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5C2B53" w14:textId="1BFCB8D3" w:rsidR="00F53D9E" w:rsidRDefault="006F2D97" w:rsidP="00D419B3">
      <w:pPr>
        <w:pStyle w:val="Heading4"/>
      </w:pPr>
      <w:bookmarkStart w:id="0" w:name="_Toc458697036"/>
      <w:r>
        <w:rPr>
          <w:noProof/>
        </w:rPr>
        <w:drawing>
          <wp:anchor distT="0" distB="0" distL="114300" distR="114300" simplePos="0" relativeHeight="251660288" behindDoc="0" locked="0" layoutInCell="1" allowOverlap="1" wp14:anchorId="25D71127" wp14:editId="43E347D1">
            <wp:simplePos x="0" y="0"/>
            <wp:positionH relativeFrom="column">
              <wp:posOffset>3699678</wp:posOffset>
            </wp:positionH>
            <wp:positionV relativeFrom="paragraph">
              <wp:posOffset>10124</wp:posOffset>
            </wp:positionV>
            <wp:extent cx="2138045" cy="759460"/>
            <wp:effectExtent l="0" t="0" r="0" b="254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8045"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2F8E052" wp14:editId="494B3285">
            <wp:simplePos x="0" y="0"/>
            <wp:positionH relativeFrom="column">
              <wp:posOffset>-457116</wp:posOffset>
            </wp:positionH>
            <wp:positionV relativeFrom="paragraph">
              <wp:posOffset>151130</wp:posOffset>
            </wp:positionV>
            <wp:extent cx="3553200" cy="61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3200" cy="61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19B3">
        <w:t xml:space="preserve">    </w:t>
      </w:r>
    </w:p>
    <w:p w14:paraId="07306D88" w14:textId="0EDAD687" w:rsidR="00D419B3" w:rsidRDefault="00D419B3" w:rsidP="00F53D9E">
      <w:pPr>
        <w:jc w:val="center"/>
        <w:rPr>
          <w:b/>
        </w:rPr>
      </w:pPr>
      <w:bookmarkStart w:id="1" w:name="_Toc256000112"/>
      <w:bookmarkStart w:id="2" w:name="_Toc256000064"/>
      <w:bookmarkStart w:id="3" w:name="_Toc256000016"/>
      <w:bookmarkStart w:id="4" w:name="_Toc256000002"/>
    </w:p>
    <w:p w14:paraId="59683A17" w14:textId="77777777" w:rsidR="00F53D9E" w:rsidRPr="00F53D9E" w:rsidRDefault="00F53D9E" w:rsidP="00F53D9E">
      <w:pPr>
        <w:jc w:val="center"/>
        <w:rPr>
          <w:b/>
        </w:rPr>
      </w:pPr>
    </w:p>
    <w:p w14:paraId="19D6179F" w14:textId="77777777" w:rsidR="00F53D9E" w:rsidRDefault="00F53D9E" w:rsidP="00F53D9E">
      <w:pPr>
        <w:pStyle w:val="Heading1"/>
      </w:pPr>
    </w:p>
    <w:p w14:paraId="1B5C2B55" w14:textId="4554F8B7" w:rsidR="00F53D9E" w:rsidRDefault="00AC555B" w:rsidP="00F53D9E">
      <w:pPr>
        <w:pStyle w:val="Heading1"/>
      </w:pPr>
      <w:r>
        <w:t xml:space="preserve">Recovery Plan for the Giant </w:t>
      </w:r>
      <w:bookmarkStart w:id="5" w:name="_GoBack"/>
      <w:bookmarkEnd w:id="5"/>
      <w:r>
        <w:t xml:space="preserve">Freshwater Crayfish </w:t>
      </w:r>
      <w:r>
        <w:rPr>
          <w:i/>
        </w:rPr>
        <w:t>(</w:t>
      </w:r>
      <w:proofErr w:type="spellStart"/>
      <w:r>
        <w:rPr>
          <w:i/>
        </w:rPr>
        <w:t>Astacopsis</w:t>
      </w:r>
      <w:proofErr w:type="spellEnd"/>
      <w:r>
        <w:rPr>
          <w:i/>
        </w:rPr>
        <w:t xml:space="preserve"> </w:t>
      </w:r>
      <w:proofErr w:type="spellStart"/>
      <w:r>
        <w:rPr>
          <w:i/>
        </w:rPr>
        <w:t>gouldi</w:t>
      </w:r>
      <w:proofErr w:type="spellEnd"/>
      <w:r>
        <w:rPr>
          <w:i/>
        </w:rPr>
        <w:t>)</w:t>
      </w:r>
      <w:bookmarkEnd w:id="0"/>
      <w:bookmarkEnd w:id="1"/>
      <w:bookmarkEnd w:id="2"/>
      <w:bookmarkEnd w:id="3"/>
      <w:bookmarkEnd w:id="4"/>
    </w:p>
    <w:p w14:paraId="1B5C2B56" w14:textId="176E1D68" w:rsidR="00F53D9E" w:rsidRDefault="006F2D97" w:rsidP="00F53D9E">
      <w:pPr>
        <w:pStyle w:val="Reportsubtitle"/>
        <w:ind w:left="-1418"/>
        <w:jc w:val="center"/>
      </w:pPr>
      <w:r w:rsidRPr="001E3C58">
        <w:rPr>
          <w:noProof/>
        </w:rPr>
        <w:drawing>
          <wp:anchor distT="0" distB="0" distL="114300" distR="114300" simplePos="0" relativeHeight="251659264" behindDoc="0" locked="0" layoutInCell="1" allowOverlap="1" wp14:anchorId="6205B5EA" wp14:editId="7374C798">
            <wp:simplePos x="0" y="0"/>
            <wp:positionH relativeFrom="page">
              <wp:posOffset>-73025</wp:posOffset>
            </wp:positionH>
            <wp:positionV relativeFrom="page">
              <wp:posOffset>7353779</wp:posOffset>
            </wp:positionV>
            <wp:extent cx="10052793" cy="43132"/>
            <wp:effectExtent l="19050" t="0" r="5607" b="0"/>
            <wp:wrapNone/>
            <wp:docPr id="16" name="Picture 16"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a:picLocks noChangeAspect="1" noChangeArrowheads="1"/>
                    </pic:cNvPicPr>
                  </pic:nvPicPr>
                  <pic:blipFill>
                    <a:blip r:embed="rId9" cstate="print"/>
                    <a:stretch>
                      <a:fillRect/>
                    </a:stretch>
                  </pic:blipFill>
                  <pic:spPr bwMode="auto">
                    <a:xfrm>
                      <a:off x="0" y="0"/>
                      <a:ext cx="10052793" cy="43132"/>
                    </a:xfrm>
                    <a:prstGeom prst="rect">
                      <a:avLst/>
                    </a:prstGeom>
                    <a:noFill/>
                    <a:ln w="9525">
                      <a:noFill/>
                      <a:miter lim="800000"/>
                      <a:headEnd/>
                      <a:tailEnd/>
                    </a:ln>
                  </pic:spPr>
                </pic:pic>
              </a:graphicData>
            </a:graphic>
          </wp:anchor>
        </w:drawing>
      </w:r>
      <w:r w:rsidR="00AC555B">
        <w:rPr>
          <w:noProof/>
        </w:rPr>
        <w:t xml:space="preserve">  </w:t>
      </w:r>
      <w:r w:rsidR="00AC555B">
        <w:rPr>
          <w:noProof/>
        </w:rPr>
        <w:drawing>
          <wp:inline distT="0" distB="0" distL="0" distR="0" wp14:anchorId="1B5C2FBD" wp14:editId="1B5C2FBE">
            <wp:extent cx="7565831" cy="427651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1567" t="32331" r="2136" b="2256"/>
                    <a:stretch>
                      <a:fillRect/>
                    </a:stretch>
                  </pic:blipFill>
                  <pic:spPr bwMode="auto">
                    <a:xfrm>
                      <a:off x="0" y="0"/>
                      <a:ext cx="7563327" cy="4275098"/>
                    </a:xfrm>
                    <a:prstGeom prst="rect">
                      <a:avLst/>
                    </a:prstGeom>
                    <a:noFill/>
                    <a:ln w="9525">
                      <a:noFill/>
                      <a:miter lim="800000"/>
                      <a:headEnd/>
                      <a:tailEnd/>
                    </a:ln>
                  </pic:spPr>
                </pic:pic>
              </a:graphicData>
            </a:graphic>
          </wp:inline>
        </w:drawing>
      </w:r>
    </w:p>
    <w:p w14:paraId="1B5C2B57" w14:textId="07A9C819" w:rsidR="00F53D9E" w:rsidRDefault="00F53D9E" w:rsidP="00F53D9E">
      <w:pPr>
        <w:pStyle w:val="Reportsubtitle"/>
      </w:pPr>
    </w:p>
    <w:p w14:paraId="1B5C2B58" w14:textId="77777777" w:rsidR="00F53D9E" w:rsidRPr="00177E96" w:rsidRDefault="00AC555B" w:rsidP="00F53D9E">
      <w:pPr>
        <w:pStyle w:val="Reportsubtitle"/>
        <w:rPr>
          <w:color w:val="808080" w:themeColor="background1" w:themeShade="80"/>
        </w:rPr>
      </w:pPr>
      <w:r>
        <w:t xml:space="preserve">  </w:t>
      </w:r>
      <w:r w:rsidRPr="00177E96">
        <w:rPr>
          <w:color w:val="808080" w:themeColor="background1" w:themeShade="80"/>
        </w:rPr>
        <w:t xml:space="preserve"> </w:t>
      </w:r>
      <w:r>
        <w:rPr>
          <w:color w:val="808080" w:themeColor="background1" w:themeShade="80"/>
        </w:rPr>
        <w:t>April</w:t>
      </w:r>
      <w:r w:rsidRPr="00177E96">
        <w:rPr>
          <w:color w:val="808080" w:themeColor="background1" w:themeShade="80"/>
        </w:rPr>
        <w:t xml:space="preserve"> 201</w:t>
      </w:r>
      <w:r>
        <w:rPr>
          <w:color w:val="808080" w:themeColor="background1" w:themeShade="80"/>
        </w:rPr>
        <w:t>7</w:t>
      </w:r>
    </w:p>
    <w:p w14:paraId="1B5C2B59" w14:textId="77E0EA59" w:rsidR="00D419B3" w:rsidRDefault="00D419B3" w:rsidP="00D419B3">
      <w:pPr>
        <w:pStyle w:val="Reportsubtitle"/>
        <w:tabs>
          <w:tab w:val="left" w:pos="3953"/>
        </w:tabs>
      </w:pPr>
      <w:r>
        <w:tab/>
      </w:r>
    </w:p>
    <w:p w14:paraId="684A0693" w14:textId="532CC726" w:rsidR="00F53D9E" w:rsidRPr="00D419B3" w:rsidRDefault="00D419B3" w:rsidP="00D419B3">
      <w:pPr>
        <w:tabs>
          <w:tab w:val="left" w:pos="3953"/>
        </w:tabs>
        <w:sectPr w:rsidR="00F53D9E" w:rsidRPr="00D419B3" w:rsidSect="00D419B3">
          <w:headerReference w:type="even" r:id="rId11"/>
          <w:headerReference w:type="default" r:id="rId12"/>
          <w:footerReference w:type="even" r:id="rId13"/>
          <w:footerReference w:type="default" r:id="rId14"/>
          <w:headerReference w:type="first" r:id="rId15"/>
          <w:footerReference w:type="first" r:id="rId16"/>
          <w:pgSz w:w="11906" w:h="16838" w:code="9"/>
          <w:pgMar w:top="851" w:right="1440" w:bottom="1440" w:left="1440" w:header="425" w:footer="425" w:gutter="0"/>
          <w:pgNumType w:start="1"/>
          <w:cols w:space="708"/>
          <w:titlePg/>
          <w:docGrid w:linePitch="360"/>
        </w:sectPr>
      </w:pPr>
      <w:r>
        <w:tab/>
      </w:r>
    </w:p>
    <w:p w14:paraId="1B5C2B5A" w14:textId="77777777" w:rsidR="00F53D9E" w:rsidRDefault="00AC555B" w:rsidP="00F53D9E">
      <w:bookmarkStart w:id="6" w:name="_Toc390850779"/>
      <w:r w:rsidRPr="00C1073C">
        <w:lastRenderedPageBreak/>
        <w:t xml:space="preserve">The </w:t>
      </w:r>
      <w:r>
        <w:t xml:space="preserve">Species Profile and Threats Database page </w:t>
      </w:r>
      <w:r w:rsidRPr="00C1073C">
        <w:t xml:space="preserve">linked to this recovery plan is obtainable from: </w:t>
      </w:r>
      <w:r w:rsidRPr="00C1073C">
        <w:br/>
      </w:r>
      <w:hyperlink r:id="rId17" w:history="1">
        <w:r w:rsidRPr="00F87F87">
          <w:rPr>
            <w:rStyle w:val="Hyperlink"/>
          </w:rPr>
          <w:t>http://www.environment.gov.au/cgi-bin/sprat/public/sprat.pl</w:t>
        </w:r>
        <w:bookmarkEnd w:id="6"/>
      </w:hyperlink>
    </w:p>
    <w:p w14:paraId="1B5C2B5B" w14:textId="77777777" w:rsidR="00F53D9E" w:rsidRPr="00C1073C" w:rsidRDefault="00F53D9E" w:rsidP="00F53D9E"/>
    <w:p w14:paraId="1B5C2B5C" w14:textId="77777777" w:rsidR="00F53D9E" w:rsidRPr="006A41AC" w:rsidRDefault="00AC555B" w:rsidP="00F53D9E">
      <w:bookmarkStart w:id="7" w:name="_Toc390850780"/>
      <w:r w:rsidRPr="006A41AC">
        <w:t>© Copyright Commonwealth of Australia, 201</w:t>
      </w:r>
      <w:r>
        <w:t>7</w:t>
      </w:r>
      <w:r w:rsidRPr="006A41AC">
        <w:t>.</w:t>
      </w:r>
    </w:p>
    <w:p w14:paraId="1B5C2B5D" w14:textId="77777777" w:rsidR="00F53D9E" w:rsidRPr="006A41AC" w:rsidRDefault="00AC555B" w:rsidP="00F53D9E">
      <w:pPr>
        <w:rPr>
          <w:rFonts w:eastAsia="Times New Roman" w:cs="Arial"/>
          <w:color w:val="000000"/>
          <w:szCs w:val="20"/>
        </w:rPr>
      </w:pPr>
      <w:r>
        <w:rPr>
          <w:noProof/>
        </w:rPr>
        <w:drawing>
          <wp:inline distT="0" distB="0" distL="0" distR="0" wp14:anchorId="1B5C2FBF" wp14:editId="1B5C2FC0">
            <wp:extent cx="1299584" cy="457200"/>
            <wp:effectExtent l="19050" t="0" r="0" b="0"/>
            <wp:docPr id="8" name="Picture 3"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reativecommons.org/l/by/3.0/88x31.png"/>
                    <pic:cNvPicPr>
                      <a:picLocks noChangeAspect="1" noChangeArrowheads="1"/>
                    </pic:cNvPicPr>
                  </pic:nvPicPr>
                  <pic:blipFill>
                    <a:blip r:embed="rId18" cstate="print"/>
                    <a:stretch>
                      <a:fillRect/>
                    </a:stretch>
                  </pic:blipFill>
                  <pic:spPr bwMode="auto">
                    <a:xfrm>
                      <a:off x="0" y="0"/>
                      <a:ext cx="1299584" cy="457200"/>
                    </a:xfrm>
                    <a:prstGeom prst="rect">
                      <a:avLst/>
                    </a:prstGeom>
                    <a:noFill/>
                    <a:ln w="9525">
                      <a:noFill/>
                      <a:miter lim="800000"/>
                      <a:headEnd/>
                      <a:tailEnd/>
                    </a:ln>
                  </pic:spPr>
                </pic:pic>
              </a:graphicData>
            </a:graphic>
          </wp:inline>
        </w:drawing>
      </w:r>
    </w:p>
    <w:p w14:paraId="1B5C2B5E" w14:textId="77777777" w:rsidR="00F53D9E" w:rsidRPr="006A41AC" w:rsidRDefault="00AC555B" w:rsidP="00F53D9E">
      <w:r>
        <w:rPr>
          <w:i/>
        </w:rPr>
        <w:t xml:space="preserve">National </w:t>
      </w:r>
      <w:r w:rsidRPr="00F7688C">
        <w:rPr>
          <w:i/>
        </w:rPr>
        <w:t xml:space="preserve">Recovery Plan for </w:t>
      </w:r>
      <w:r>
        <w:rPr>
          <w:i/>
        </w:rPr>
        <w:t>the Giant Freshwater Crayfish (</w:t>
      </w:r>
      <w:proofErr w:type="spellStart"/>
      <w:r>
        <w:rPr>
          <w:i/>
        </w:rPr>
        <w:t>Astacopsis</w:t>
      </w:r>
      <w:proofErr w:type="spellEnd"/>
      <w:r>
        <w:rPr>
          <w:i/>
        </w:rPr>
        <w:t xml:space="preserve"> </w:t>
      </w:r>
      <w:proofErr w:type="spellStart"/>
      <w:r>
        <w:rPr>
          <w:i/>
        </w:rPr>
        <w:t>gouldi</w:t>
      </w:r>
      <w:proofErr w:type="spellEnd"/>
      <w:r>
        <w:rPr>
          <w:i/>
        </w:rPr>
        <w:t>)</w:t>
      </w:r>
      <w:r w:rsidRPr="006A41AC">
        <w:t xml:space="preserve"> is licensed by the Commonwealth of Australia for use under a Creative Commons Attribution 4.0 </w:t>
      </w:r>
      <w:r>
        <w:t xml:space="preserve">International </w:t>
      </w:r>
      <w:r w:rsidRPr="006A41AC">
        <w:t xml:space="preserve">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6A41AC">
          <w:rPr>
            <w:color w:val="3966BF"/>
          </w:rPr>
          <w:t>https://creativecommons.org/licenses/by/4.0/</w:t>
        </w:r>
      </w:hyperlink>
      <w:r w:rsidRPr="006A41AC">
        <w:t xml:space="preserve"> </w:t>
      </w:r>
    </w:p>
    <w:p w14:paraId="1B5C2B5F" w14:textId="77777777" w:rsidR="00F53D9E" w:rsidRPr="006A41AC" w:rsidRDefault="00AC555B" w:rsidP="00F53D9E">
      <w:r w:rsidRPr="006A41AC">
        <w:t>This report should be attributed as ‘</w:t>
      </w:r>
      <w:r w:rsidRPr="008C0D17">
        <w:t xml:space="preserve">Recovery Plan for the Giant Freshwater </w:t>
      </w:r>
      <w:r>
        <w:t>Crayfish</w:t>
      </w:r>
      <w:r>
        <w:rPr>
          <w:i/>
        </w:rPr>
        <w:t xml:space="preserve"> (</w:t>
      </w:r>
      <w:proofErr w:type="spellStart"/>
      <w:r>
        <w:rPr>
          <w:i/>
        </w:rPr>
        <w:t>Astacopsis</w:t>
      </w:r>
      <w:proofErr w:type="spellEnd"/>
      <w:r>
        <w:rPr>
          <w:i/>
        </w:rPr>
        <w:t> </w:t>
      </w:r>
      <w:proofErr w:type="spellStart"/>
      <w:r>
        <w:rPr>
          <w:i/>
        </w:rPr>
        <w:t>gouldi</w:t>
      </w:r>
      <w:proofErr w:type="spellEnd"/>
      <w:r>
        <w:rPr>
          <w:i/>
        </w:rPr>
        <w:t>)</w:t>
      </w:r>
      <w:r w:rsidRPr="006A41AC">
        <w:t>, Commonwealth of Australia 201</w:t>
      </w:r>
      <w:r>
        <w:t>7</w:t>
      </w:r>
      <w:r w:rsidRPr="006A41AC">
        <w:t>’.</w:t>
      </w:r>
    </w:p>
    <w:p w14:paraId="1B5C2B60" w14:textId="77777777" w:rsidR="00F53D9E" w:rsidRPr="006A41AC" w:rsidRDefault="00AC555B" w:rsidP="00F53D9E">
      <w:r w:rsidRPr="006A41AC">
        <w:t>The Commonwealth of Australia has made all reasonable efforts to identify content supplied by third parties using the following format ‘© Copyright, [</w:t>
      </w:r>
      <w:r w:rsidRPr="006A41AC">
        <w:rPr>
          <w:i/>
          <w:iCs/>
        </w:rPr>
        <w:t>name of third party</w:t>
      </w:r>
      <w:r w:rsidRPr="006A41AC">
        <w:t>] ’.</w:t>
      </w:r>
      <w:bookmarkEnd w:id="7"/>
      <w:r w:rsidRPr="006A41AC">
        <w:t xml:space="preserve"> </w:t>
      </w:r>
    </w:p>
    <w:p w14:paraId="1B5C2B61" w14:textId="77777777" w:rsidR="00F53D9E" w:rsidRPr="006A41AC" w:rsidRDefault="00AC555B" w:rsidP="00F53D9E">
      <w:r w:rsidRPr="006A41AC">
        <w:t xml:space="preserve">Disclaimer </w:t>
      </w:r>
    </w:p>
    <w:p w14:paraId="1B5C2B62" w14:textId="77777777" w:rsidR="00F53D9E" w:rsidRDefault="00AC555B" w:rsidP="00F53D9E">
      <w:bookmarkStart w:id="8" w:name="_Toc390850782"/>
      <w:r w:rsidRPr="006A41AC">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8"/>
      <w:r>
        <w:t xml:space="preserve"> </w:t>
      </w:r>
    </w:p>
    <w:p w14:paraId="1B5C2B63" w14:textId="77777777" w:rsidR="00F53D9E" w:rsidRDefault="00F53D9E" w:rsidP="00F53D9E"/>
    <w:p w14:paraId="1B5C2B64" w14:textId="77777777" w:rsidR="00F53D9E" w:rsidRPr="00C1073C" w:rsidRDefault="00AC555B" w:rsidP="00F53D9E">
      <w:pPr>
        <w:rPr>
          <w:rStyle w:val="TextBold"/>
        </w:rPr>
      </w:pPr>
      <w:bookmarkStart w:id="9" w:name="_Toc390850783"/>
      <w:r w:rsidRPr="00C1073C">
        <w:rPr>
          <w:rStyle w:val="TextBold"/>
        </w:rPr>
        <w:t>Images credits</w:t>
      </w:r>
      <w:bookmarkEnd w:id="9"/>
      <w:r w:rsidRPr="00C1073C">
        <w:rPr>
          <w:rStyle w:val="TextBold"/>
        </w:rPr>
        <w:t xml:space="preserve"> </w:t>
      </w:r>
    </w:p>
    <w:p w14:paraId="1B5C2B65" w14:textId="77777777" w:rsidR="00F53D9E" w:rsidRDefault="00AC555B" w:rsidP="00F53D9E">
      <w:pPr>
        <w:spacing w:after="0"/>
        <w:rPr>
          <w:rFonts w:cs="Arial"/>
          <w:szCs w:val="20"/>
        </w:rPr>
      </w:pPr>
      <w:r>
        <w:t xml:space="preserve">Cover page: </w:t>
      </w:r>
      <w:r>
        <w:rPr>
          <w:rFonts w:cs="Arial"/>
          <w:szCs w:val="20"/>
        </w:rPr>
        <w:t>Giant freshwater crayfish on river bank</w:t>
      </w:r>
      <w:r w:rsidRPr="004D69BD">
        <w:rPr>
          <w:rFonts w:cs="Arial"/>
          <w:szCs w:val="20"/>
        </w:rPr>
        <w:t xml:space="preserve"> </w:t>
      </w:r>
      <w:r w:rsidRPr="004D69BD">
        <w:rPr>
          <w:szCs w:val="20"/>
        </w:rPr>
        <w:t xml:space="preserve">(© Copyright, </w:t>
      </w:r>
      <w:r>
        <w:rPr>
          <w:rFonts w:cs="Arial"/>
          <w:szCs w:val="20"/>
        </w:rPr>
        <w:t>Debbie Rudd</w:t>
      </w:r>
      <w:r w:rsidRPr="004D69BD">
        <w:rPr>
          <w:rFonts w:cs="Arial"/>
          <w:szCs w:val="20"/>
        </w:rPr>
        <w:t>)</w:t>
      </w:r>
      <w:r>
        <w:rPr>
          <w:rFonts w:cs="Arial"/>
          <w:szCs w:val="20"/>
        </w:rPr>
        <w:t>.</w:t>
      </w:r>
    </w:p>
    <w:p w14:paraId="1B5C2B66" w14:textId="77777777" w:rsidR="00F53D9E" w:rsidRDefault="00AC555B" w:rsidP="00F53D9E">
      <w:r>
        <w:t>Back Page: Giant freshwater crayfish habitat (</w:t>
      </w:r>
      <w:r w:rsidRPr="004D69BD">
        <w:rPr>
          <w:szCs w:val="20"/>
        </w:rPr>
        <w:t xml:space="preserve">(© Copyright, </w:t>
      </w:r>
      <w:r>
        <w:rPr>
          <w:rFonts w:cs="Arial"/>
          <w:szCs w:val="20"/>
        </w:rPr>
        <w:t>Debbie Rudd</w:t>
      </w:r>
      <w:r w:rsidRPr="004D69BD">
        <w:rPr>
          <w:rFonts w:cs="Arial"/>
          <w:szCs w:val="20"/>
        </w:rPr>
        <w:t>)</w:t>
      </w:r>
      <w:r>
        <w:rPr>
          <w:rFonts w:cs="Arial"/>
          <w:szCs w:val="20"/>
        </w:rPr>
        <w:t>.</w:t>
      </w:r>
    </w:p>
    <w:p w14:paraId="1B5C2B67" w14:textId="77777777" w:rsidR="00F53D9E" w:rsidRDefault="00F53D9E" w:rsidP="00F53D9E"/>
    <w:p w14:paraId="1B5C2B68" w14:textId="77777777" w:rsidR="00F53D9E" w:rsidRDefault="00AC555B" w:rsidP="00F53D9E">
      <w:r>
        <w:br w:type="page"/>
      </w:r>
    </w:p>
    <w:bookmarkStart w:id="10" w:name="_Toc256000135" w:displacedByCustomXml="next"/>
    <w:bookmarkStart w:id="11" w:name="_Toc256000087" w:displacedByCustomXml="next"/>
    <w:bookmarkStart w:id="12" w:name="_Toc256000003" w:displacedByCustomXml="next"/>
    <w:bookmarkStart w:id="13" w:name="_Toc256000039" w:displacedByCustomXml="next"/>
    <w:sdt>
      <w:sdtPr>
        <w:rPr>
          <w:b w:val="0"/>
          <w:bCs/>
          <w:caps/>
        </w:rPr>
        <w:id w:val="9750151"/>
        <w:docPartObj>
          <w:docPartGallery w:val="Table of Contents"/>
          <w:docPartUnique/>
        </w:docPartObj>
      </w:sdtPr>
      <w:sdtEndPr>
        <w:rPr>
          <w:b/>
          <w:bCs w:val="0"/>
          <w:caps w:val="0"/>
        </w:rPr>
      </w:sdtEndPr>
      <w:sdtContent>
        <w:p w14:paraId="1B5C2B69" w14:textId="77777777" w:rsidR="00F53D9E" w:rsidRDefault="00AC555B" w:rsidP="00F53D9E">
          <w:pPr>
            <w:pStyle w:val="TOC1"/>
          </w:pPr>
          <w:r w:rsidRPr="00E05878">
            <w:rPr>
              <w:rStyle w:val="Heading1Char"/>
            </w:rPr>
            <w:t>Table of Contents</w:t>
          </w:r>
          <w:bookmarkEnd w:id="13"/>
          <w:bookmarkEnd w:id="12"/>
          <w:bookmarkEnd w:id="11"/>
          <w:bookmarkEnd w:id="10"/>
          <w:r>
            <w:rPr>
              <w:rFonts w:eastAsiaTheme="majorEastAsia" w:cstheme="majorBidi"/>
              <w:bCs/>
              <w:caps/>
              <w:color w:val="548DD4" w:themeColor="text2" w:themeTint="99"/>
              <w:sz w:val="44"/>
              <w:szCs w:val="28"/>
              <w:lang w:val="en-US"/>
            </w:rPr>
            <w:fldChar w:fldCharType="begin"/>
          </w:r>
          <w:r>
            <w:instrText xml:space="preserve"> TOC \o "1-3" \h \z \u </w:instrText>
          </w:r>
          <w:r>
            <w:rPr>
              <w:rFonts w:eastAsiaTheme="majorEastAsia" w:cstheme="majorBidi"/>
              <w:bCs/>
              <w:caps/>
              <w:color w:val="548DD4" w:themeColor="text2" w:themeTint="99"/>
              <w:sz w:val="44"/>
              <w:szCs w:val="28"/>
              <w:lang w:val="en-US"/>
            </w:rPr>
            <w:fldChar w:fldCharType="separate"/>
          </w:r>
        </w:p>
        <w:p w14:paraId="1B5C2B6A" w14:textId="77777777" w:rsidR="00F371AA" w:rsidRDefault="00413BEF">
          <w:pPr>
            <w:pStyle w:val="TOC1"/>
            <w:rPr>
              <w:rFonts w:asciiTheme="minorHAnsi" w:hAnsiTheme="minorHAnsi"/>
              <w:noProof/>
              <w:sz w:val="22"/>
            </w:rPr>
          </w:pPr>
          <w:hyperlink w:anchor="_Toc256000112" w:history="1">
            <w:r w:rsidR="00AC555B">
              <w:rPr>
                <w:rStyle w:val="Hyperlink"/>
              </w:rPr>
              <w:t xml:space="preserve">Recovery Plan for the Giant Freshwater Crayfish </w:t>
            </w:r>
            <w:r w:rsidR="00AC555B">
              <w:rPr>
                <w:rStyle w:val="Hyperlink"/>
                <w:i/>
              </w:rPr>
              <w:t>(Astacopsis gouldi)</w:t>
            </w:r>
            <w:r w:rsidR="00AC555B">
              <w:rPr>
                <w:rStyle w:val="Hyperlink"/>
              </w:rPr>
              <w:tab/>
            </w:r>
            <w:r w:rsidR="00AC555B">
              <w:fldChar w:fldCharType="begin"/>
            </w:r>
            <w:r w:rsidR="00AC555B">
              <w:rPr>
                <w:rStyle w:val="Hyperlink"/>
              </w:rPr>
              <w:instrText xml:space="preserve"> PAGEREF _Toc256000112 \h </w:instrText>
            </w:r>
            <w:r w:rsidR="00AC555B">
              <w:fldChar w:fldCharType="separate"/>
            </w:r>
            <w:r w:rsidR="00AC555B">
              <w:rPr>
                <w:rStyle w:val="Hyperlink"/>
              </w:rPr>
              <w:t>1</w:t>
            </w:r>
            <w:r w:rsidR="00AC555B">
              <w:fldChar w:fldCharType="end"/>
            </w:r>
          </w:hyperlink>
        </w:p>
        <w:p w14:paraId="1B5C2B6B" w14:textId="77777777" w:rsidR="00F371AA" w:rsidRDefault="00413BEF">
          <w:pPr>
            <w:pStyle w:val="TOC1"/>
            <w:rPr>
              <w:rFonts w:asciiTheme="minorHAnsi" w:hAnsiTheme="minorHAnsi"/>
              <w:noProof/>
              <w:sz w:val="22"/>
            </w:rPr>
          </w:pPr>
          <w:hyperlink w:anchor="_Toc256000135" w:history="1">
            <w:r w:rsidR="00AC555B" w:rsidRPr="00E05878">
              <w:rPr>
                <w:rStyle w:val="Hyperlink"/>
              </w:rPr>
              <w:t>Table of Contents</w:t>
            </w:r>
            <w:r w:rsidR="00AC555B">
              <w:rPr>
                <w:rStyle w:val="Hyperlink"/>
              </w:rPr>
              <w:tab/>
            </w:r>
            <w:r w:rsidR="00AC555B">
              <w:fldChar w:fldCharType="begin"/>
            </w:r>
            <w:r w:rsidR="00AC555B">
              <w:rPr>
                <w:rStyle w:val="Hyperlink"/>
              </w:rPr>
              <w:instrText xml:space="preserve"> PAGEREF _Toc256000135 \h </w:instrText>
            </w:r>
            <w:r w:rsidR="00AC555B">
              <w:fldChar w:fldCharType="separate"/>
            </w:r>
            <w:r w:rsidR="00AC555B">
              <w:rPr>
                <w:rStyle w:val="Hyperlink"/>
              </w:rPr>
              <w:t>3</w:t>
            </w:r>
            <w:r w:rsidR="00AC555B">
              <w:fldChar w:fldCharType="end"/>
            </w:r>
          </w:hyperlink>
        </w:p>
        <w:p w14:paraId="1B5C2B6C" w14:textId="77777777" w:rsidR="00F371AA" w:rsidRDefault="00413BEF">
          <w:pPr>
            <w:pStyle w:val="TOC1"/>
            <w:rPr>
              <w:rFonts w:asciiTheme="minorHAnsi" w:hAnsiTheme="minorHAnsi"/>
              <w:noProof/>
              <w:sz w:val="22"/>
            </w:rPr>
          </w:pPr>
          <w:hyperlink w:anchor="_Toc256000139" w:history="1">
            <w:r w:rsidR="00AC555B">
              <w:rPr>
                <w:rStyle w:val="Hyperlink"/>
              </w:rPr>
              <w:t>Tables and figures</w:t>
            </w:r>
            <w:r w:rsidR="00AC555B">
              <w:rPr>
                <w:rStyle w:val="Hyperlink"/>
              </w:rPr>
              <w:tab/>
            </w:r>
            <w:r w:rsidR="00AC555B">
              <w:fldChar w:fldCharType="begin"/>
            </w:r>
            <w:r w:rsidR="00AC555B">
              <w:rPr>
                <w:rStyle w:val="Hyperlink"/>
              </w:rPr>
              <w:instrText xml:space="preserve"> PAGEREF _Toc256000139 \h </w:instrText>
            </w:r>
            <w:r w:rsidR="00AC555B">
              <w:fldChar w:fldCharType="separate"/>
            </w:r>
            <w:r w:rsidR="00AC555B">
              <w:rPr>
                <w:rStyle w:val="Hyperlink"/>
              </w:rPr>
              <w:t>4</w:t>
            </w:r>
            <w:r w:rsidR="00AC555B">
              <w:fldChar w:fldCharType="end"/>
            </w:r>
          </w:hyperlink>
        </w:p>
        <w:p w14:paraId="1B5C2B6D" w14:textId="77777777" w:rsidR="00F371AA" w:rsidRDefault="00413BEF">
          <w:pPr>
            <w:pStyle w:val="TOC1"/>
            <w:rPr>
              <w:rFonts w:asciiTheme="minorHAnsi" w:hAnsiTheme="minorHAnsi"/>
              <w:noProof/>
              <w:sz w:val="22"/>
            </w:rPr>
          </w:pPr>
          <w:hyperlink w:anchor="_Toc256000141" w:history="1">
            <w:r w:rsidR="00AC555B">
              <w:rPr>
                <w:rStyle w:val="Hyperlink"/>
              </w:rPr>
              <w:t>Acronyms</w:t>
            </w:r>
            <w:r w:rsidR="00AC555B">
              <w:rPr>
                <w:rStyle w:val="Hyperlink"/>
              </w:rPr>
              <w:tab/>
            </w:r>
            <w:r w:rsidR="00AC555B">
              <w:fldChar w:fldCharType="begin"/>
            </w:r>
            <w:r w:rsidR="00AC555B">
              <w:rPr>
                <w:rStyle w:val="Hyperlink"/>
              </w:rPr>
              <w:instrText xml:space="preserve"> PAGEREF _Toc256000141 \h </w:instrText>
            </w:r>
            <w:r w:rsidR="00AC555B">
              <w:fldChar w:fldCharType="separate"/>
            </w:r>
            <w:r w:rsidR="00AC555B">
              <w:rPr>
                <w:rStyle w:val="Hyperlink"/>
              </w:rPr>
              <w:t>4</w:t>
            </w:r>
            <w:r w:rsidR="00AC555B">
              <w:fldChar w:fldCharType="end"/>
            </w:r>
          </w:hyperlink>
        </w:p>
        <w:p w14:paraId="1B5C2B6E" w14:textId="77777777" w:rsidR="00F371AA" w:rsidRDefault="00413BEF">
          <w:pPr>
            <w:pStyle w:val="TOC1"/>
            <w:rPr>
              <w:rFonts w:asciiTheme="minorHAnsi" w:hAnsiTheme="minorHAnsi"/>
              <w:noProof/>
              <w:sz w:val="22"/>
            </w:rPr>
          </w:pPr>
          <w:hyperlink w:anchor="_Toc256000148" w:history="1">
            <w:r w:rsidR="00AC555B" w:rsidRPr="00E05878">
              <w:rPr>
                <w:rStyle w:val="Hyperlink"/>
              </w:rPr>
              <w:t>1 Summary</w:t>
            </w:r>
            <w:r w:rsidR="00AC555B">
              <w:rPr>
                <w:rStyle w:val="Hyperlink"/>
              </w:rPr>
              <w:tab/>
            </w:r>
            <w:r w:rsidR="00AC555B">
              <w:fldChar w:fldCharType="begin"/>
            </w:r>
            <w:r w:rsidR="00AC555B">
              <w:rPr>
                <w:rStyle w:val="Hyperlink"/>
              </w:rPr>
              <w:instrText xml:space="preserve"> PAGEREF _Toc256000148 \h </w:instrText>
            </w:r>
            <w:r w:rsidR="00AC555B">
              <w:fldChar w:fldCharType="separate"/>
            </w:r>
            <w:r w:rsidR="00AC555B">
              <w:rPr>
                <w:rStyle w:val="Hyperlink"/>
              </w:rPr>
              <w:t>6</w:t>
            </w:r>
            <w:r w:rsidR="00AC555B">
              <w:fldChar w:fldCharType="end"/>
            </w:r>
          </w:hyperlink>
        </w:p>
        <w:p w14:paraId="1B5C2B6F" w14:textId="77777777" w:rsidR="00F371AA" w:rsidRDefault="00413BEF">
          <w:pPr>
            <w:pStyle w:val="TOC2"/>
            <w:tabs>
              <w:tab w:val="right" w:leader="dot" w:pos="9016"/>
            </w:tabs>
            <w:rPr>
              <w:rFonts w:asciiTheme="minorHAnsi" w:hAnsiTheme="minorHAnsi"/>
              <w:noProof/>
              <w:sz w:val="22"/>
            </w:rPr>
          </w:pPr>
          <w:hyperlink w:anchor="_Toc256000149" w:history="1">
            <w:r w:rsidR="00AC555B" w:rsidRPr="00E05878">
              <w:rPr>
                <w:rStyle w:val="Hyperlink"/>
              </w:rPr>
              <w:t xml:space="preserve">Giant Freshwater </w:t>
            </w:r>
            <w:r w:rsidR="00AC555B">
              <w:rPr>
                <w:rStyle w:val="Hyperlink"/>
              </w:rPr>
              <w:t>Crayfish</w:t>
            </w:r>
            <w:r w:rsidR="00AC555B" w:rsidRPr="00E05878">
              <w:rPr>
                <w:rStyle w:val="Hyperlink"/>
              </w:rPr>
              <w:t xml:space="preserve"> </w:t>
            </w:r>
            <w:r w:rsidR="00AC555B" w:rsidRPr="007C2EEF">
              <w:rPr>
                <w:rStyle w:val="Hyperlink"/>
                <w:i/>
              </w:rPr>
              <w:t>(Astacopsis gouldi)</w:t>
            </w:r>
            <w:r w:rsidR="00AC555B">
              <w:rPr>
                <w:rStyle w:val="Hyperlink"/>
              </w:rPr>
              <w:tab/>
            </w:r>
            <w:r w:rsidR="00AC555B">
              <w:fldChar w:fldCharType="begin"/>
            </w:r>
            <w:r w:rsidR="00AC555B">
              <w:rPr>
                <w:rStyle w:val="Hyperlink"/>
              </w:rPr>
              <w:instrText xml:space="preserve"> PAGEREF _Toc256000149 \h </w:instrText>
            </w:r>
            <w:r w:rsidR="00AC555B">
              <w:fldChar w:fldCharType="separate"/>
            </w:r>
            <w:r w:rsidR="00AC555B">
              <w:rPr>
                <w:rStyle w:val="Hyperlink"/>
              </w:rPr>
              <w:t>6</w:t>
            </w:r>
            <w:r w:rsidR="00AC555B">
              <w:fldChar w:fldCharType="end"/>
            </w:r>
          </w:hyperlink>
        </w:p>
        <w:p w14:paraId="1B5C2B70" w14:textId="77777777" w:rsidR="00F371AA" w:rsidRDefault="00413BEF">
          <w:pPr>
            <w:pStyle w:val="TOC2"/>
            <w:tabs>
              <w:tab w:val="right" w:leader="dot" w:pos="9016"/>
            </w:tabs>
            <w:rPr>
              <w:rFonts w:asciiTheme="minorHAnsi" w:hAnsiTheme="minorHAnsi"/>
              <w:noProof/>
              <w:sz w:val="22"/>
            </w:rPr>
          </w:pPr>
          <w:hyperlink w:anchor="_Toc256000150" w:history="1">
            <w:r w:rsidR="00AC555B" w:rsidRPr="007E60CC">
              <w:rPr>
                <w:rStyle w:val="Hyperlink"/>
              </w:rPr>
              <w:t>Habitat critical for survival:</w:t>
            </w:r>
            <w:r w:rsidR="00AC555B">
              <w:rPr>
                <w:rStyle w:val="Hyperlink"/>
              </w:rPr>
              <w:tab/>
            </w:r>
            <w:r w:rsidR="00AC555B">
              <w:fldChar w:fldCharType="begin"/>
            </w:r>
            <w:r w:rsidR="00AC555B">
              <w:rPr>
                <w:rStyle w:val="Hyperlink"/>
              </w:rPr>
              <w:instrText xml:space="preserve"> PAGEREF _Toc256000150 \h </w:instrText>
            </w:r>
            <w:r w:rsidR="00AC555B">
              <w:fldChar w:fldCharType="separate"/>
            </w:r>
            <w:r w:rsidR="00AC555B">
              <w:rPr>
                <w:rStyle w:val="Hyperlink"/>
              </w:rPr>
              <w:t>6</w:t>
            </w:r>
            <w:r w:rsidR="00AC555B">
              <w:fldChar w:fldCharType="end"/>
            </w:r>
          </w:hyperlink>
        </w:p>
        <w:p w14:paraId="1B5C2B71" w14:textId="77777777" w:rsidR="00F371AA" w:rsidRDefault="00413BEF">
          <w:pPr>
            <w:pStyle w:val="TOC2"/>
            <w:tabs>
              <w:tab w:val="right" w:leader="dot" w:pos="9016"/>
            </w:tabs>
            <w:rPr>
              <w:rFonts w:asciiTheme="minorHAnsi" w:hAnsiTheme="minorHAnsi"/>
              <w:noProof/>
              <w:sz w:val="22"/>
            </w:rPr>
          </w:pPr>
          <w:hyperlink w:anchor="_Toc256000151" w:history="1">
            <w:r w:rsidR="00AC555B">
              <w:rPr>
                <w:rStyle w:val="Hyperlink"/>
              </w:rPr>
              <w:t>Recovery plan objectives</w:t>
            </w:r>
            <w:r w:rsidR="00AC555B" w:rsidRPr="00F3425C">
              <w:rPr>
                <w:rStyle w:val="Hyperlink"/>
              </w:rPr>
              <w:t>:</w:t>
            </w:r>
            <w:r w:rsidR="00AC555B">
              <w:rPr>
                <w:rStyle w:val="Hyperlink"/>
              </w:rPr>
              <w:tab/>
            </w:r>
            <w:r w:rsidR="00AC555B">
              <w:fldChar w:fldCharType="begin"/>
            </w:r>
            <w:r w:rsidR="00AC555B">
              <w:rPr>
                <w:rStyle w:val="Hyperlink"/>
              </w:rPr>
              <w:instrText xml:space="preserve"> PAGEREF _Toc256000151 \h </w:instrText>
            </w:r>
            <w:r w:rsidR="00AC555B">
              <w:fldChar w:fldCharType="separate"/>
            </w:r>
            <w:r w:rsidR="00AC555B">
              <w:rPr>
                <w:rStyle w:val="Hyperlink"/>
              </w:rPr>
              <w:t>7</w:t>
            </w:r>
            <w:r w:rsidR="00AC555B">
              <w:fldChar w:fldCharType="end"/>
            </w:r>
          </w:hyperlink>
        </w:p>
        <w:p w14:paraId="1B5C2B72" w14:textId="77777777" w:rsidR="00F371AA" w:rsidRDefault="00413BEF">
          <w:pPr>
            <w:pStyle w:val="TOC2"/>
            <w:tabs>
              <w:tab w:val="right" w:leader="dot" w:pos="9016"/>
            </w:tabs>
            <w:rPr>
              <w:rFonts w:asciiTheme="minorHAnsi" w:hAnsiTheme="minorHAnsi"/>
              <w:noProof/>
              <w:sz w:val="22"/>
            </w:rPr>
          </w:pPr>
          <w:hyperlink w:anchor="_Toc256000152" w:history="1">
            <w:r w:rsidR="00AC555B" w:rsidRPr="00F3425C">
              <w:rPr>
                <w:rStyle w:val="Hyperlink"/>
              </w:rPr>
              <w:t>Recovery</w:t>
            </w:r>
            <w:r w:rsidR="00AC555B" w:rsidRPr="007E60CC">
              <w:rPr>
                <w:rStyle w:val="Hyperlink"/>
              </w:rPr>
              <w:t xml:space="preserve"> team:</w:t>
            </w:r>
            <w:r w:rsidR="00AC555B">
              <w:rPr>
                <w:rStyle w:val="Hyperlink"/>
              </w:rPr>
              <w:tab/>
            </w:r>
            <w:r w:rsidR="00AC555B">
              <w:fldChar w:fldCharType="begin"/>
            </w:r>
            <w:r w:rsidR="00AC555B">
              <w:rPr>
                <w:rStyle w:val="Hyperlink"/>
              </w:rPr>
              <w:instrText xml:space="preserve"> PAGEREF _Toc256000152 \h </w:instrText>
            </w:r>
            <w:r w:rsidR="00AC555B">
              <w:fldChar w:fldCharType="separate"/>
            </w:r>
            <w:r w:rsidR="00AC555B">
              <w:rPr>
                <w:rStyle w:val="Hyperlink"/>
              </w:rPr>
              <w:t>7</w:t>
            </w:r>
            <w:r w:rsidR="00AC555B">
              <w:fldChar w:fldCharType="end"/>
            </w:r>
          </w:hyperlink>
        </w:p>
        <w:p w14:paraId="1B5C2B73" w14:textId="77777777" w:rsidR="00F371AA" w:rsidRDefault="00413BEF">
          <w:pPr>
            <w:pStyle w:val="TOC2"/>
            <w:tabs>
              <w:tab w:val="right" w:leader="dot" w:pos="9016"/>
            </w:tabs>
            <w:rPr>
              <w:rFonts w:asciiTheme="minorHAnsi" w:hAnsiTheme="minorHAnsi"/>
              <w:noProof/>
              <w:sz w:val="22"/>
            </w:rPr>
          </w:pPr>
          <w:hyperlink w:anchor="_Toc256000153" w:history="1">
            <w:r w:rsidR="00AC555B" w:rsidRPr="006F0B77">
              <w:rPr>
                <w:rStyle w:val="Hyperlink"/>
              </w:rPr>
              <w:t xml:space="preserve">Recovery </w:t>
            </w:r>
            <w:r w:rsidR="00AC555B">
              <w:rPr>
                <w:rStyle w:val="Hyperlink"/>
              </w:rPr>
              <w:t>strategies</w:t>
            </w:r>
            <w:r w:rsidR="00AC555B" w:rsidRPr="006F0B77">
              <w:rPr>
                <w:rStyle w:val="Hyperlink"/>
              </w:rPr>
              <w:t>:</w:t>
            </w:r>
            <w:r w:rsidR="00AC555B">
              <w:rPr>
                <w:rStyle w:val="Hyperlink"/>
              </w:rPr>
              <w:tab/>
            </w:r>
            <w:r w:rsidR="00AC555B">
              <w:fldChar w:fldCharType="begin"/>
            </w:r>
            <w:r w:rsidR="00AC555B">
              <w:rPr>
                <w:rStyle w:val="Hyperlink"/>
              </w:rPr>
              <w:instrText xml:space="preserve"> PAGEREF _Toc256000153 \h </w:instrText>
            </w:r>
            <w:r w:rsidR="00AC555B">
              <w:fldChar w:fldCharType="separate"/>
            </w:r>
            <w:r w:rsidR="00AC555B">
              <w:rPr>
                <w:rStyle w:val="Hyperlink"/>
              </w:rPr>
              <w:t>7</w:t>
            </w:r>
            <w:r w:rsidR="00AC555B">
              <w:fldChar w:fldCharType="end"/>
            </w:r>
          </w:hyperlink>
        </w:p>
        <w:p w14:paraId="1B5C2B74" w14:textId="77777777" w:rsidR="00F371AA" w:rsidRDefault="00413BEF">
          <w:pPr>
            <w:pStyle w:val="TOC2"/>
            <w:tabs>
              <w:tab w:val="right" w:leader="dot" w:pos="9016"/>
            </w:tabs>
            <w:rPr>
              <w:rFonts w:asciiTheme="minorHAnsi" w:hAnsiTheme="minorHAnsi"/>
              <w:noProof/>
              <w:sz w:val="22"/>
            </w:rPr>
          </w:pPr>
          <w:hyperlink w:anchor="_Toc256000154" w:history="1">
            <w:r w:rsidR="00AC555B" w:rsidRPr="00686D02">
              <w:rPr>
                <w:rStyle w:val="Hyperlink"/>
              </w:rPr>
              <w:t>Criteria for success:</w:t>
            </w:r>
            <w:r w:rsidR="00AC555B">
              <w:rPr>
                <w:rStyle w:val="Hyperlink"/>
              </w:rPr>
              <w:tab/>
            </w:r>
            <w:r w:rsidR="00AC555B">
              <w:fldChar w:fldCharType="begin"/>
            </w:r>
            <w:r w:rsidR="00AC555B">
              <w:rPr>
                <w:rStyle w:val="Hyperlink"/>
              </w:rPr>
              <w:instrText xml:space="preserve"> PAGEREF _Toc256000154 \h </w:instrText>
            </w:r>
            <w:r w:rsidR="00AC555B">
              <w:fldChar w:fldCharType="separate"/>
            </w:r>
            <w:r w:rsidR="00AC555B">
              <w:rPr>
                <w:rStyle w:val="Hyperlink"/>
              </w:rPr>
              <w:t>7</w:t>
            </w:r>
            <w:r w:rsidR="00AC555B">
              <w:fldChar w:fldCharType="end"/>
            </w:r>
          </w:hyperlink>
        </w:p>
        <w:p w14:paraId="1B5C2B75" w14:textId="77777777" w:rsidR="00F371AA" w:rsidRDefault="00413BEF">
          <w:pPr>
            <w:pStyle w:val="TOC2"/>
            <w:tabs>
              <w:tab w:val="right" w:leader="dot" w:pos="9016"/>
            </w:tabs>
            <w:rPr>
              <w:rFonts w:asciiTheme="minorHAnsi" w:hAnsiTheme="minorHAnsi"/>
              <w:noProof/>
              <w:sz w:val="22"/>
            </w:rPr>
          </w:pPr>
          <w:hyperlink w:anchor="_Toc256000155" w:history="1">
            <w:r w:rsidR="00AC555B" w:rsidRPr="00CC71E6">
              <w:rPr>
                <w:rStyle w:val="Hyperlink"/>
              </w:rPr>
              <w:t>Criteria for failure:</w:t>
            </w:r>
            <w:r w:rsidR="00AC555B">
              <w:rPr>
                <w:rStyle w:val="Hyperlink"/>
              </w:rPr>
              <w:tab/>
            </w:r>
            <w:r w:rsidR="00AC555B">
              <w:fldChar w:fldCharType="begin"/>
            </w:r>
            <w:r w:rsidR="00AC555B">
              <w:rPr>
                <w:rStyle w:val="Hyperlink"/>
              </w:rPr>
              <w:instrText xml:space="preserve"> PAGEREF _Toc256000155 \h </w:instrText>
            </w:r>
            <w:r w:rsidR="00AC555B">
              <w:fldChar w:fldCharType="separate"/>
            </w:r>
            <w:r w:rsidR="00AC555B">
              <w:rPr>
                <w:rStyle w:val="Hyperlink"/>
              </w:rPr>
              <w:t>8</w:t>
            </w:r>
            <w:r w:rsidR="00AC555B">
              <w:fldChar w:fldCharType="end"/>
            </w:r>
          </w:hyperlink>
        </w:p>
        <w:p w14:paraId="1B5C2B76" w14:textId="77777777" w:rsidR="00F371AA" w:rsidRDefault="00413BEF">
          <w:pPr>
            <w:pStyle w:val="TOC1"/>
            <w:rPr>
              <w:rFonts w:asciiTheme="minorHAnsi" w:hAnsiTheme="minorHAnsi"/>
              <w:noProof/>
              <w:sz w:val="22"/>
            </w:rPr>
          </w:pPr>
          <w:hyperlink w:anchor="_Toc256000156" w:history="1">
            <w:r w:rsidR="00AC555B">
              <w:rPr>
                <w:rStyle w:val="Hyperlink"/>
              </w:rPr>
              <w:t>2 Introduction</w:t>
            </w:r>
            <w:r w:rsidR="00AC555B">
              <w:rPr>
                <w:rStyle w:val="Hyperlink"/>
              </w:rPr>
              <w:tab/>
            </w:r>
            <w:r w:rsidR="00AC555B">
              <w:fldChar w:fldCharType="begin"/>
            </w:r>
            <w:r w:rsidR="00AC555B">
              <w:rPr>
                <w:rStyle w:val="Hyperlink"/>
              </w:rPr>
              <w:instrText xml:space="preserve"> PAGEREF _Toc256000156 \h </w:instrText>
            </w:r>
            <w:r w:rsidR="00AC555B">
              <w:fldChar w:fldCharType="separate"/>
            </w:r>
            <w:r w:rsidR="00AC555B">
              <w:rPr>
                <w:rStyle w:val="Hyperlink"/>
              </w:rPr>
              <w:t>8</w:t>
            </w:r>
            <w:r w:rsidR="00AC555B">
              <w:fldChar w:fldCharType="end"/>
            </w:r>
          </w:hyperlink>
        </w:p>
        <w:p w14:paraId="1B5C2B77" w14:textId="77777777" w:rsidR="00F371AA" w:rsidRDefault="00413BEF">
          <w:pPr>
            <w:pStyle w:val="TOC2"/>
            <w:tabs>
              <w:tab w:val="right" w:leader="dot" w:pos="9016"/>
            </w:tabs>
            <w:rPr>
              <w:rFonts w:asciiTheme="minorHAnsi" w:hAnsiTheme="minorHAnsi"/>
              <w:noProof/>
              <w:sz w:val="22"/>
            </w:rPr>
          </w:pPr>
          <w:hyperlink w:anchor="_Toc256000157" w:history="1">
            <w:r w:rsidR="00AC555B" w:rsidRPr="00215878">
              <w:rPr>
                <w:rStyle w:val="Hyperlink"/>
              </w:rPr>
              <w:t>2.1 Conservation Status</w:t>
            </w:r>
            <w:r w:rsidR="00AC555B">
              <w:rPr>
                <w:rStyle w:val="Hyperlink"/>
              </w:rPr>
              <w:tab/>
            </w:r>
            <w:r w:rsidR="00AC555B">
              <w:fldChar w:fldCharType="begin"/>
            </w:r>
            <w:r w:rsidR="00AC555B">
              <w:rPr>
                <w:rStyle w:val="Hyperlink"/>
              </w:rPr>
              <w:instrText xml:space="preserve"> PAGEREF _Toc256000157 \h </w:instrText>
            </w:r>
            <w:r w:rsidR="00AC555B">
              <w:fldChar w:fldCharType="separate"/>
            </w:r>
            <w:r w:rsidR="00AC555B">
              <w:rPr>
                <w:rStyle w:val="Hyperlink"/>
              </w:rPr>
              <w:t>10</w:t>
            </w:r>
            <w:r w:rsidR="00AC555B">
              <w:fldChar w:fldCharType="end"/>
            </w:r>
          </w:hyperlink>
        </w:p>
        <w:p w14:paraId="1B5C2B78" w14:textId="77777777" w:rsidR="00F371AA" w:rsidRDefault="00413BEF">
          <w:pPr>
            <w:pStyle w:val="TOC2"/>
            <w:tabs>
              <w:tab w:val="right" w:leader="dot" w:pos="9016"/>
            </w:tabs>
            <w:rPr>
              <w:rFonts w:asciiTheme="minorHAnsi" w:hAnsiTheme="minorHAnsi"/>
              <w:noProof/>
              <w:sz w:val="22"/>
            </w:rPr>
          </w:pPr>
          <w:hyperlink w:anchor="_Toc256000159" w:history="1">
            <w:r w:rsidR="00AC555B" w:rsidRPr="007672C6">
              <w:rPr>
                <w:rStyle w:val="Hyperlink"/>
              </w:rPr>
              <w:t xml:space="preserve">2.2 </w:t>
            </w:r>
            <w:r w:rsidR="00AC555B">
              <w:rPr>
                <w:rStyle w:val="Hyperlink"/>
              </w:rPr>
              <w:t>Crayfish</w:t>
            </w:r>
            <w:r w:rsidR="00AC555B" w:rsidRPr="007672C6">
              <w:rPr>
                <w:rStyle w:val="Hyperlink"/>
              </w:rPr>
              <w:t xml:space="preserve"> Recovery </w:t>
            </w:r>
            <w:r w:rsidR="00AC555B">
              <w:rPr>
                <w:rStyle w:val="Hyperlink"/>
              </w:rPr>
              <w:t>Team</w:t>
            </w:r>
            <w:r w:rsidR="00AC555B">
              <w:rPr>
                <w:rStyle w:val="Hyperlink"/>
              </w:rPr>
              <w:tab/>
            </w:r>
            <w:r w:rsidR="00AC555B">
              <w:fldChar w:fldCharType="begin"/>
            </w:r>
            <w:r w:rsidR="00AC555B">
              <w:rPr>
                <w:rStyle w:val="Hyperlink"/>
              </w:rPr>
              <w:instrText xml:space="preserve"> PAGEREF _Toc256000159 \h </w:instrText>
            </w:r>
            <w:r w:rsidR="00AC555B">
              <w:fldChar w:fldCharType="separate"/>
            </w:r>
            <w:r w:rsidR="00AC555B">
              <w:rPr>
                <w:rStyle w:val="Hyperlink"/>
              </w:rPr>
              <w:t>11</w:t>
            </w:r>
            <w:r w:rsidR="00AC555B">
              <w:fldChar w:fldCharType="end"/>
            </w:r>
          </w:hyperlink>
        </w:p>
        <w:p w14:paraId="1B5C2B79" w14:textId="77777777" w:rsidR="00F371AA" w:rsidRDefault="00413BEF">
          <w:pPr>
            <w:pStyle w:val="TOC1"/>
            <w:rPr>
              <w:rFonts w:asciiTheme="minorHAnsi" w:hAnsiTheme="minorHAnsi"/>
              <w:noProof/>
              <w:sz w:val="22"/>
            </w:rPr>
          </w:pPr>
          <w:hyperlink w:anchor="_Toc256000160" w:history="1">
            <w:r w:rsidR="00AC555B" w:rsidRPr="006C3203">
              <w:rPr>
                <w:rStyle w:val="Hyperlink"/>
              </w:rPr>
              <w:t xml:space="preserve">3 </w:t>
            </w:r>
            <w:r w:rsidR="00AC555B">
              <w:rPr>
                <w:rStyle w:val="Hyperlink"/>
              </w:rPr>
              <w:t>Background</w:t>
            </w:r>
            <w:r w:rsidR="00AC555B">
              <w:rPr>
                <w:rStyle w:val="Hyperlink"/>
              </w:rPr>
              <w:tab/>
            </w:r>
            <w:r w:rsidR="00AC555B">
              <w:fldChar w:fldCharType="begin"/>
            </w:r>
            <w:r w:rsidR="00AC555B">
              <w:rPr>
                <w:rStyle w:val="Hyperlink"/>
              </w:rPr>
              <w:instrText xml:space="preserve"> PAGEREF _Toc256000160 \h </w:instrText>
            </w:r>
            <w:r w:rsidR="00AC555B">
              <w:fldChar w:fldCharType="separate"/>
            </w:r>
            <w:r w:rsidR="00AC555B">
              <w:rPr>
                <w:rStyle w:val="Hyperlink"/>
              </w:rPr>
              <w:t>11</w:t>
            </w:r>
            <w:r w:rsidR="00AC555B">
              <w:fldChar w:fldCharType="end"/>
            </w:r>
          </w:hyperlink>
        </w:p>
        <w:p w14:paraId="1B5C2B7A" w14:textId="77777777" w:rsidR="00F371AA" w:rsidRDefault="00413BEF">
          <w:pPr>
            <w:pStyle w:val="TOC2"/>
            <w:tabs>
              <w:tab w:val="right" w:leader="dot" w:pos="9016"/>
            </w:tabs>
            <w:rPr>
              <w:rFonts w:asciiTheme="minorHAnsi" w:hAnsiTheme="minorHAnsi"/>
              <w:noProof/>
              <w:sz w:val="22"/>
            </w:rPr>
          </w:pPr>
          <w:hyperlink w:anchor="_Toc256000161" w:history="1">
            <w:r w:rsidR="00AC555B">
              <w:rPr>
                <w:rStyle w:val="Hyperlink"/>
              </w:rPr>
              <w:t xml:space="preserve">3.1 </w:t>
            </w:r>
            <w:r w:rsidR="00AC555B" w:rsidRPr="00660A32">
              <w:rPr>
                <w:rStyle w:val="Hyperlink"/>
              </w:rPr>
              <w:t>Species description and distribution in Australia</w:t>
            </w:r>
            <w:r w:rsidR="00AC555B">
              <w:rPr>
                <w:rStyle w:val="Hyperlink"/>
              </w:rPr>
              <w:tab/>
            </w:r>
            <w:r w:rsidR="00AC555B">
              <w:fldChar w:fldCharType="begin"/>
            </w:r>
            <w:r w:rsidR="00AC555B">
              <w:rPr>
                <w:rStyle w:val="Hyperlink"/>
              </w:rPr>
              <w:instrText xml:space="preserve"> PAGEREF _Toc256000161 \h </w:instrText>
            </w:r>
            <w:r w:rsidR="00AC555B">
              <w:fldChar w:fldCharType="separate"/>
            </w:r>
            <w:r w:rsidR="00AC555B">
              <w:rPr>
                <w:rStyle w:val="Hyperlink"/>
              </w:rPr>
              <w:t>11</w:t>
            </w:r>
            <w:r w:rsidR="00AC555B">
              <w:fldChar w:fldCharType="end"/>
            </w:r>
          </w:hyperlink>
        </w:p>
        <w:p w14:paraId="1B5C2B7B" w14:textId="77777777" w:rsidR="00F371AA" w:rsidRDefault="00413BEF">
          <w:pPr>
            <w:pStyle w:val="TOC2"/>
            <w:tabs>
              <w:tab w:val="right" w:leader="dot" w:pos="9016"/>
            </w:tabs>
            <w:rPr>
              <w:rFonts w:asciiTheme="minorHAnsi" w:hAnsiTheme="minorHAnsi"/>
              <w:noProof/>
              <w:sz w:val="22"/>
            </w:rPr>
          </w:pPr>
          <w:hyperlink w:anchor="_Toc256000162" w:history="1">
            <w:r w:rsidR="00AC555B">
              <w:rPr>
                <w:rStyle w:val="Hyperlink"/>
              </w:rPr>
              <w:t>3.</w:t>
            </w:r>
            <w:r w:rsidR="00AC555B" w:rsidRPr="00660A32">
              <w:rPr>
                <w:rStyle w:val="Hyperlink"/>
              </w:rPr>
              <w:t>2 Population trends</w:t>
            </w:r>
            <w:r w:rsidR="00AC555B">
              <w:rPr>
                <w:rStyle w:val="Hyperlink"/>
              </w:rPr>
              <w:tab/>
            </w:r>
            <w:r w:rsidR="00AC555B">
              <w:fldChar w:fldCharType="begin"/>
            </w:r>
            <w:r w:rsidR="00AC555B">
              <w:rPr>
                <w:rStyle w:val="Hyperlink"/>
              </w:rPr>
              <w:instrText xml:space="preserve"> PAGEREF _Toc256000162 \h </w:instrText>
            </w:r>
            <w:r w:rsidR="00AC555B">
              <w:fldChar w:fldCharType="separate"/>
            </w:r>
            <w:r w:rsidR="00AC555B">
              <w:rPr>
                <w:rStyle w:val="Hyperlink"/>
              </w:rPr>
              <w:t>11</w:t>
            </w:r>
            <w:r w:rsidR="00AC555B">
              <w:fldChar w:fldCharType="end"/>
            </w:r>
          </w:hyperlink>
        </w:p>
        <w:p w14:paraId="1B5C2B7C" w14:textId="77777777" w:rsidR="00F371AA" w:rsidRDefault="00413BEF">
          <w:pPr>
            <w:pStyle w:val="TOC2"/>
            <w:tabs>
              <w:tab w:val="right" w:leader="dot" w:pos="9016"/>
            </w:tabs>
            <w:rPr>
              <w:rFonts w:asciiTheme="minorHAnsi" w:hAnsiTheme="minorHAnsi"/>
              <w:noProof/>
              <w:sz w:val="22"/>
            </w:rPr>
          </w:pPr>
          <w:hyperlink w:anchor="_Toc256000163" w:history="1">
            <w:r w:rsidR="00AC555B">
              <w:rPr>
                <w:rStyle w:val="Hyperlink"/>
              </w:rPr>
              <w:t>3.3 Biology and e</w:t>
            </w:r>
            <w:r w:rsidR="00AC555B" w:rsidRPr="00660A32">
              <w:rPr>
                <w:rStyle w:val="Hyperlink"/>
              </w:rPr>
              <w:t>cology</w:t>
            </w:r>
            <w:r w:rsidR="00AC555B">
              <w:rPr>
                <w:rStyle w:val="Hyperlink"/>
              </w:rPr>
              <w:tab/>
            </w:r>
            <w:r w:rsidR="00AC555B">
              <w:fldChar w:fldCharType="begin"/>
            </w:r>
            <w:r w:rsidR="00AC555B">
              <w:rPr>
                <w:rStyle w:val="Hyperlink"/>
              </w:rPr>
              <w:instrText xml:space="preserve"> PAGEREF _Toc256000163 \h </w:instrText>
            </w:r>
            <w:r w:rsidR="00AC555B">
              <w:fldChar w:fldCharType="separate"/>
            </w:r>
            <w:r w:rsidR="00AC555B">
              <w:rPr>
                <w:rStyle w:val="Hyperlink"/>
              </w:rPr>
              <w:t>12</w:t>
            </w:r>
            <w:r w:rsidR="00AC555B">
              <w:fldChar w:fldCharType="end"/>
            </w:r>
          </w:hyperlink>
        </w:p>
        <w:p w14:paraId="1B5C2B7D" w14:textId="77777777" w:rsidR="00F371AA" w:rsidRDefault="00413BEF">
          <w:pPr>
            <w:pStyle w:val="TOC2"/>
            <w:tabs>
              <w:tab w:val="right" w:leader="dot" w:pos="9016"/>
            </w:tabs>
            <w:rPr>
              <w:rFonts w:asciiTheme="minorHAnsi" w:hAnsiTheme="minorHAnsi"/>
              <w:noProof/>
              <w:sz w:val="22"/>
            </w:rPr>
          </w:pPr>
          <w:hyperlink w:anchor="_Toc256000164" w:history="1">
            <w:r w:rsidR="00AC555B">
              <w:rPr>
                <w:rStyle w:val="Hyperlink"/>
              </w:rPr>
              <w:t>3.</w:t>
            </w:r>
            <w:r w:rsidR="00AC555B" w:rsidRPr="00660A32">
              <w:rPr>
                <w:rStyle w:val="Hyperlink"/>
              </w:rPr>
              <w:t xml:space="preserve">4 Habitat critical to the survival of the </w:t>
            </w:r>
            <w:r w:rsidR="00AC555B">
              <w:rPr>
                <w:rStyle w:val="Hyperlink"/>
              </w:rPr>
              <w:t>giant freshwater crayfish</w:t>
            </w:r>
            <w:r w:rsidR="00AC555B">
              <w:rPr>
                <w:rStyle w:val="Hyperlink"/>
              </w:rPr>
              <w:tab/>
            </w:r>
            <w:r w:rsidR="00AC555B">
              <w:fldChar w:fldCharType="begin"/>
            </w:r>
            <w:r w:rsidR="00AC555B">
              <w:rPr>
                <w:rStyle w:val="Hyperlink"/>
              </w:rPr>
              <w:instrText xml:space="preserve"> PAGEREF _Toc256000164 \h </w:instrText>
            </w:r>
            <w:r w:rsidR="00AC555B">
              <w:fldChar w:fldCharType="separate"/>
            </w:r>
            <w:r w:rsidR="00AC555B">
              <w:rPr>
                <w:rStyle w:val="Hyperlink"/>
              </w:rPr>
              <w:t>13</w:t>
            </w:r>
            <w:r w:rsidR="00AC555B">
              <w:fldChar w:fldCharType="end"/>
            </w:r>
          </w:hyperlink>
        </w:p>
        <w:p w14:paraId="1B5C2B7E" w14:textId="77777777" w:rsidR="00F371AA" w:rsidRDefault="00413BEF">
          <w:pPr>
            <w:pStyle w:val="TOC2"/>
            <w:tabs>
              <w:tab w:val="right" w:leader="dot" w:pos="9016"/>
            </w:tabs>
            <w:rPr>
              <w:rFonts w:asciiTheme="minorHAnsi" w:hAnsiTheme="minorHAnsi"/>
              <w:noProof/>
              <w:sz w:val="22"/>
            </w:rPr>
          </w:pPr>
          <w:hyperlink w:anchor="_Toc256000165" w:history="1">
            <w:r w:rsidR="00AC555B">
              <w:rPr>
                <w:rStyle w:val="Hyperlink"/>
              </w:rPr>
              <w:t>3.5 Indigenous knowledge, role and interest</w:t>
            </w:r>
            <w:r w:rsidR="00AC555B">
              <w:rPr>
                <w:rStyle w:val="Hyperlink"/>
              </w:rPr>
              <w:tab/>
            </w:r>
            <w:r w:rsidR="00AC555B">
              <w:fldChar w:fldCharType="begin"/>
            </w:r>
            <w:r w:rsidR="00AC555B">
              <w:rPr>
                <w:rStyle w:val="Hyperlink"/>
              </w:rPr>
              <w:instrText xml:space="preserve"> PAGEREF _Toc256000165 \h </w:instrText>
            </w:r>
            <w:r w:rsidR="00AC555B">
              <w:fldChar w:fldCharType="separate"/>
            </w:r>
            <w:r w:rsidR="00AC555B">
              <w:rPr>
                <w:rStyle w:val="Hyperlink"/>
              </w:rPr>
              <w:t>14</w:t>
            </w:r>
            <w:r w:rsidR="00AC555B">
              <w:fldChar w:fldCharType="end"/>
            </w:r>
          </w:hyperlink>
        </w:p>
        <w:p w14:paraId="1B5C2B7F" w14:textId="77777777" w:rsidR="00F371AA" w:rsidRDefault="00413BEF">
          <w:pPr>
            <w:pStyle w:val="TOC1"/>
            <w:rPr>
              <w:rFonts w:asciiTheme="minorHAnsi" w:hAnsiTheme="minorHAnsi"/>
              <w:noProof/>
              <w:sz w:val="22"/>
            </w:rPr>
          </w:pPr>
          <w:hyperlink w:anchor="_Toc256000166" w:history="1">
            <w:r w:rsidR="00AC555B" w:rsidRPr="006C3203">
              <w:rPr>
                <w:rStyle w:val="Hyperlink"/>
              </w:rPr>
              <w:t xml:space="preserve">4 </w:t>
            </w:r>
            <w:r w:rsidR="00AC555B">
              <w:rPr>
                <w:rStyle w:val="Hyperlink"/>
              </w:rPr>
              <w:t>Threats</w:t>
            </w:r>
            <w:r w:rsidR="00AC555B">
              <w:rPr>
                <w:rStyle w:val="Hyperlink"/>
              </w:rPr>
              <w:tab/>
            </w:r>
            <w:r w:rsidR="00AC555B">
              <w:fldChar w:fldCharType="begin"/>
            </w:r>
            <w:r w:rsidR="00AC555B">
              <w:rPr>
                <w:rStyle w:val="Hyperlink"/>
              </w:rPr>
              <w:instrText xml:space="preserve"> PAGEREF _Toc256000166 \h </w:instrText>
            </w:r>
            <w:r w:rsidR="00AC555B">
              <w:fldChar w:fldCharType="separate"/>
            </w:r>
            <w:r w:rsidR="00AC555B">
              <w:rPr>
                <w:rStyle w:val="Hyperlink"/>
              </w:rPr>
              <w:t>18</w:t>
            </w:r>
            <w:r w:rsidR="00AC555B">
              <w:fldChar w:fldCharType="end"/>
            </w:r>
          </w:hyperlink>
        </w:p>
        <w:p w14:paraId="1B5C2B80" w14:textId="77777777" w:rsidR="00F371AA" w:rsidRDefault="00413BEF">
          <w:pPr>
            <w:pStyle w:val="TOC2"/>
            <w:tabs>
              <w:tab w:val="right" w:leader="dot" w:pos="9016"/>
            </w:tabs>
            <w:rPr>
              <w:rFonts w:asciiTheme="minorHAnsi" w:hAnsiTheme="minorHAnsi"/>
              <w:noProof/>
              <w:sz w:val="22"/>
            </w:rPr>
          </w:pPr>
          <w:hyperlink w:anchor="_Toc256000167" w:history="1">
            <w:r w:rsidR="00AC555B" w:rsidRPr="005906D6">
              <w:rPr>
                <w:rStyle w:val="Hyperlink"/>
              </w:rPr>
              <w:t>4.1 Historical causes of decline</w:t>
            </w:r>
            <w:r w:rsidR="00AC555B">
              <w:rPr>
                <w:rStyle w:val="Hyperlink"/>
              </w:rPr>
              <w:tab/>
            </w:r>
            <w:r w:rsidR="00AC555B">
              <w:fldChar w:fldCharType="begin"/>
            </w:r>
            <w:r w:rsidR="00AC555B">
              <w:rPr>
                <w:rStyle w:val="Hyperlink"/>
              </w:rPr>
              <w:instrText xml:space="preserve"> PAGEREF _Toc256000167 \h </w:instrText>
            </w:r>
            <w:r w:rsidR="00AC555B">
              <w:fldChar w:fldCharType="separate"/>
            </w:r>
            <w:r w:rsidR="00AC555B">
              <w:rPr>
                <w:rStyle w:val="Hyperlink"/>
              </w:rPr>
              <w:t>18</w:t>
            </w:r>
            <w:r w:rsidR="00AC555B">
              <w:fldChar w:fldCharType="end"/>
            </w:r>
          </w:hyperlink>
        </w:p>
        <w:p w14:paraId="1B5C2B81" w14:textId="77777777" w:rsidR="00F371AA" w:rsidRDefault="00413BEF">
          <w:pPr>
            <w:pStyle w:val="TOC2"/>
            <w:tabs>
              <w:tab w:val="right" w:leader="dot" w:pos="9016"/>
            </w:tabs>
            <w:rPr>
              <w:rFonts w:asciiTheme="minorHAnsi" w:hAnsiTheme="minorHAnsi"/>
              <w:noProof/>
              <w:sz w:val="22"/>
            </w:rPr>
          </w:pPr>
          <w:hyperlink w:anchor="_Toc256000168" w:history="1">
            <w:r w:rsidR="00AC555B" w:rsidRPr="005906D6">
              <w:rPr>
                <w:rStyle w:val="Hyperlink"/>
              </w:rPr>
              <w:t>4.2 Current threatening processes</w:t>
            </w:r>
            <w:r w:rsidR="00AC555B">
              <w:rPr>
                <w:rStyle w:val="Hyperlink"/>
              </w:rPr>
              <w:tab/>
            </w:r>
            <w:r w:rsidR="00AC555B">
              <w:fldChar w:fldCharType="begin"/>
            </w:r>
            <w:r w:rsidR="00AC555B">
              <w:rPr>
                <w:rStyle w:val="Hyperlink"/>
              </w:rPr>
              <w:instrText xml:space="preserve"> PAGEREF _Toc256000168 \h </w:instrText>
            </w:r>
            <w:r w:rsidR="00AC555B">
              <w:fldChar w:fldCharType="separate"/>
            </w:r>
            <w:r w:rsidR="00AC555B">
              <w:rPr>
                <w:rStyle w:val="Hyperlink"/>
              </w:rPr>
              <w:t>18</w:t>
            </w:r>
            <w:r w:rsidR="00AC555B">
              <w:fldChar w:fldCharType="end"/>
            </w:r>
          </w:hyperlink>
        </w:p>
        <w:p w14:paraId="1B5C2B82" w14:textId="77777777" w:rsidR="00F371AA" w:rsidRDefault="00413BEF">
          <w:pPr>
            <w:pStyle w:val="TOC3"/>
            <w:tabs>
              <w:tab w:val="right" w:leader="dot" w:pos="9016"/>
            </w:tabs>
            <w:rPr>
              <w:rFonts w:asciiTheme="minorHAnsi" w:hAnsiTheme="minorHAnsi"/>
              <w:noProof/>
              <w:sz w:val="22"/>
            </w:rPr>
          </w:pPr>
          <w:hyperlink w:anchor="_Toc256000169" w:history="1">
            <w:r w:rsidR="00AC555B" w:rsidRPr="000B776B">
              <w:rPr>
                <w:rStyle w:val="Hyperlink"/>
              </w:rPr>
              <w:t>4.2.</w:t>
            </w:r>
            <w:r w:rsidR="00AC555B">
              <w:rPr>
                <w:rStyle w:val="Hyperlink"/>
              </w:rPr>
              <w:t>1</w:t>
            </w:r>
            <w:r w:rsidR="00AC555B" w:rsidRPr="000B776B">
              <w:rPr>
                <w:rStyle w:val="Hyperlink"/>
              </w:rPr>
              <w:t xml:space="preserve"> </w:t>
            </w:r>
            <w:r w:rsidR="00AC555B">
              <w:rPr>
                <w:rStyle w:val="Hyperlink"/>
              </w:rPr>
              <w:t>Habitat loss/disturbance and sedimentation of waterways</w:t>
            </w:r>
            <w:r w:rsidR="00AC555B">
              <w:rPr>
                <w:rStyle w:val="Hyperlink"/>
              </w:rPr>
              <w:tab/>
            </w:r>
            <w:r w:rsidR="00AC555B">
              <w:fldChar w:fldCharType="begin"/>
            </w:r>
            <w:r w:rsidR="00AC555B">
              <w:rPr>
                <w:rStyle w:val="Hyperlink"/>
              </w:rPr>
              <w:instrText xml:space="preserve"> PAGEREF _Toc256000169 \h </w:instrText>
            </w:r>
            <w:r w:rsidR="00AC555B">
              <w:fldChar w:fldCharType="separate"/>
            </w:r>
            <w:r w:rsidR="00AC555B">
              <w:rPr>
                <w:rStyle w:val="Hyperlink"/>
              </w:rPr>
              <w:t>18</w:t>
            </w:r>
            <w:r w:rsidR="00AC555B">
              <w:fldChar w:fldCharType="end"/>
            </w:r>
          </w:hyperlink>
        </w:p>
        <w:p w14:paraId="1B5C2B84" w14:textId="246ECF2E" w:rsidR="00F371AA" w:rsidRDefault="00413BEF" w:rsidP="00D419B3">
          <w:pPr>
            <w:pStyle w:val="TOC3"/>
            <w:tabs>
              <w:tab w:val="right" w:leader="dot" w:pos="9016"/>
            </w:tabs>
            <w:rPr>
              <w:rFonts w:asciiTheme="minorHAnsi" w:hAnsiTheme="minorHAnsi"/>
              <w:noProof/>
              <w:sz w:val="22"/>
            </w:rPr>
          </w:pPr>
          <w:hyperlink w:anchor="_Toc256000170" w:history="1">
            <w:r w:rsidR="00AC555B">
              <w:rPr>
                <w:rStyle w:val="Hyperlink"/>
              </w:rPr>
              <w:t xml:space="preserve">4.2.2 </w:t>
            </w:r>
            <w:r w:rsidR="00AC555B" w:rsidRPr="00C22CCA">
              <w:rPr>
                <w:rStyle w:val="Hyperlink"/>
              </w:rPr>
              <w:t>Modifications to water flow</w:t>
            </w:r>
            <w:r w:rsidR="00AC555B">
              <w:rPr>
                <w:rStyle w:val="Hyperlink"/>
              </w:rPr>
              <w:tab/>
            </w:r>
            <w:r w:rsidR="00AC555B">
              <w:fldChar w:fldCharType="begin"/>
            </w:r>
            <w:r w:rsidR="00AC555B">
              <w:rPr>
                <w:rStyle w:val="Hyperlink"/>
              </w:rPr>
              <w:instrText xml:space="preserve"> PAGEREF _Toc256000170 \h </w:instrText>
            </w:r>
            <w:r w:rsidR="00AC555B">
              <w:fldChar w:fldCharType="separate"/>
            </w:r>
            <w:r w:rsidR="00AC555B">
              <w:rPr>
                <w:rStyle w:val="Hyperlink"/>
              </w:rPr>
              <w:t>20</w:t>
            </w:r>
            <w:r w:rsidR="00AC555B">
              <w:fldChar w:fldCharType="end"/>
            </w:r>
          </w:hyperlink>
        </w:p>
        <w:p w14:paraId="1B5C2B85" w14:textId="77777777" w:rsidR="00F371AA" w:rsidRDefault="00413BEF">
          <w:pPr>
            <w:pStyle w:val="TOC3"/>
            <w:tabs>
              <w:tab w:val="right" w:leader="dot" w:pos="9016"/>
            </w:tabs>
            <w:rPr>
              <w:rFonts w:asciiTheme="minorHAnsi" w:hAnsiTheme="minorHAnsi"/>
              <w:noProof/>
              <w:sz w:val="22"/>
            </w:rPr>
          </w:pPr>
          <w:hyperlink w:anchor="_Toc256000172" w:history="1">
            <w:r w:rsidR="00AC555B" w:rsidRPr="00802411">
              <w:rPr>
                <w:rStyle w:val="Hyperlink"/>
              </w:rPr>
              <w:t>4.2</w:t>
            </w:r>
            <w:r w:rsidR="00AC555B">
              <w:rPr>
                <w:rStyle w:val="Hyperlink"/>
              </w:rPr>
              <w:t>.3 Illegal fishing</w:t>
            </w:r>
            <w:r w:rsidR="00AC555B">
              <w:rPr>
                <w:rStyle w:val="Hyperlink"/>
              </w:rPr>
              <w:tab/>
            </w:r>
            <w:r w:rsidR="00AC555B">
              <w:fldChar w:fldCharType="begin"/>
            </w:r>
            <w:r w:rsidR="00AC555B">
              <w:rPr>
                <w:rStyle w:val="Hyperlink"/>
              </w:rPr>
              <w:instrText xml:space="preserve"> PAGEREF _Toc256000172 \h </w:instrText>
            </w:r>
            <w:r w:rsidR="00AC555B">
              <w:fldChar w:fldCharType="separate"/>
            </w:r>
            <w:r w:rsidR="00AC555B">
              <w:rPr>
                <w:rStyle w:val="Hyperlink"/>
              </w:rPr>
              <w:t>21</w:t>
            </w:r>
            <w:r w:rsidR="00AC555B">
              <w:fldChar w:fldCharType="end"/>
            </w:r>
          </w:hyperlink>
        </w:p>
        <w:p w14:paraId="1B5C2B86" w14:textId="77777777" w:rsidR="00F371AA" w:rsidRDefault="00413BEF">
          <w:pPr>
            <w:pStyle w:val="TOC3"/>
            <w:tabs>
              <w:tab w:val="right" w:leader="dot" w:pos="9016"/>
            </w:tabs>
            <w:rPr>
              <w:rFonts w:asciiTheme="minorHAnsi" w:hAnsiTheme="minorHAnsi"/>
              <w:noProof/>
              <w:sz w:val="22"/>
            </w:rPr>
          </w:pPr>
          <w:hyperlink w:anchor="_Toc256000173" w:history="1">
            <w:r w:rsidR="00AC555B" w:rsidRPr="00425C89">
              <w:rPr>
                <w:rStyle w:val="Hyperlink"/>
              </w:rPr>
              <w:t>4.2.</w:t>
            </w:r>
            <w:r w:rsidR="00AC555B">
              <w:rPr>
                <w:rStyle w:val="Hyperlink"/>
              </w:rPr>
              <w:t>4</w:t>
            </w:r>
            <w:r w:rsidR="00AC555B" w:rsidRPr="00425C89">
              <w:rPr>
                <w:rStyle w:val="Hyperlink"/>
              </w:rPr>
              <w:t xml:space="preserve"> </w:t>
            </w:r>
            <w:r w:rsidR="00AC555B">
              <w:rPr>
                <w:rStyle w:val="Hyperlink"/>
              </w:rPr>
              <w:t>Climate change</w:t>
            </w:r>
            <w:r w:rsidR="00AC555B">
              <w:rPr>
                <w:rStyle w:val="Hyperlink"/>
              </w:rPr>
              <w:tab/>
            </w:r>
            <w:r w:rsidR="00AC555B">
              <w:fldChar w:fldCharType="begin"/>
            </w:r>
            <w:r w:rsidR="00AC555B">
              <w:rPr>
                <w:rStyle w:val="Hyperlink"/>
              </w:rPr>
              <w:instrText xml:space="preserve"> PAGEREF _Toc256000173 \h </w:instrText>
            </w:r>
            <w:r w:rsidR="00AC555B">
              <w:fldChar w:fldCharType="separate"/>
            </w:r>
            <w:r w:rsidR="00AC555B">
              <w:rPr>
                <w:rStyle w:val="Hyperlink"/>
              </w:rPr>
              <w:t>21</w:t>
            </w:r>
            <w:r w:rsidR="00AC555B">
              <w:fldChar w:fldCharType="end"/>
            </w:r>
          </w:hyperlink>
        </w:p>
        <w:p w14:paraId="1B5C2B87" w14:textId="77777777" w:rsidR="00F371AA" w:rsidRDefault="00413BEF">
          <w:pPr>
            <w:pStyle w:val="TOC3"/>
            <w:tabs>
              <w:tab w:val="right" w:leader="dot" w:pos="9016"/>
            </w:tabs>
            <w:rPr>
              <w:rFonts w:asciiTheme="minorHAnsi" w:hAnsiTheme="minorHAnsi"/>
              <w:noProof/>
              <w:sz w:val="22"/>
            </w:rPr>
          </w:pPr>
          <w:hyperlink w:anchor="_Toc256000174" w:history="1">
            <w:r w:rsidR="00AC555B" w:rsidRPr="00425C89">
              <w:rPr>
                <w:rStyle w:val="Hyperlink"/>
              </w:rPr>
              <w:t>4.2.</w:t>
            </w:r>
            <w:r w:rsidR="00AC555B">
              <w:rPr>
                <w:rStyle w:val="Hyperlink"/>
              </w:rPr>
              <w:t>5</w:t>
            </w:r>
            <w:r w:rsidR="00AC555B" w:rsidRPr="00425C89">
              <w:rPr>
                <w:rStyle w:val="Hyperlink"/>
              </w:rPr>
              <w:t xml:space="preserve"> </w:t>
            </w:r>
            <w:r w:rsidR="00AC555B">
              <w:rPr>
                <w:rStyle w:val="Hyperlink"/>
              </w:rPr>
              <w:t>Management approaches to managing threatening processes</w:t>
            </w:r>
            <w:r w:rsidR="00AC555B">
              <w:rPr>
                <w:rStyle w:val="Hyperlink"/>
              </w:rPr>
              <w:tab/>
            </w:r>
            <w:r w:rsidR="00AC555B">
              <w:fldChar w:fldCharType="begin"/>
            </w:r>
            <w:r w:rsidR="00AC555B">
              <w:rPr>
                <w:rStyle w:val="Hyperlink"/>
              </w:rPr>
              <w:instrText xml:space="preserve"> PAGEREF _Toc256000174 \h </w:instrText>
            </w:r>
            <w:r w:rsidR="00AC555B">
              <w:fldChar w:fldCharType="separate"/>
            </w:r>
            <w:r w:rsidR="00AC555B">
              <w:rPr>
                <w:rStyle w:val="Hyperlink"/>
              </w:rPr>
              <w:t>22</w:t>
            </w:r>
            <w:r w:rsidR="00AC555B">
              <w:fldChar w:fldCharType="end"/>
            </w:r>
          </w:hyperlink>
        </w:p>
        <w:p w14:paraId="1B5C2B88" w14:textId="77777777" w:rsidR="00F371AA" w:rsidRDefault="00413BEF">
          <w:pPr>
            <w:pStyle w:val="TOC1"/>
            <w:rPr>
              <w:rFonts w:asciiTheme="minorHAnsi" w:hAnsiTheme="minorHAnsi"/>
              <w:noProof/>
              <w:sz w:val="22"/>
            </w:rPr>
          </w:pPr>
          <w:hyperlink w:anchor="_Toc256000175" w:history="1">
            <w:r w:rsidR="00AC555B">
              <w:rPr>
                <w:rStyle w:val="Hyperlink"/>
              </w:rPr>
              <w:t>5 Current management practices</w:t>
            </w:r>
            <w:r w:rsidR="00AC555B">
              <w:rPr>
                <w:rStyle w:val="Hyperlink"/>
              </w:rPr>
              <w:tab/>
            </w:r>
            <w:r w:rsidR="00AC555B">
              <w:fldChar w:fldCharType="begin"/>
            </w:r>
            <w:r w:rsidR="00AC555B">
              <w:rPr>
                <w:rStyle w:val="Hyperlink"/>
              </w:rPr>
              <w:instrText xml:space="preserve"> PAGEREF _Toc256000175 \h </w:instrText>
            </w:r>
            <w:r w:rsidR="00AC555B">
              <w:fldChar w:fldCharType="separate"/>
            </w:r>
            <w:r w:rsidR="00AC555B">
              <w:rPr>
                <w:rStyle w:val="Hyperlink"/>
              </w:rPr>
              <w:t>22</w:t>
            </w:r>
            <w:r w:rsidR="00AC555B">
              <w:fldChar w:fldCharType="end"/>
            </w:r>
          </w:hyperlink>
        </w:p>
        <w:p w14:paraId="1B5C2B89" w14:textId="77777777" w:rsidR="00F371AA" w:rsidRDefault="00413BEF">
          <w:pPr>
            <w:pStyle w:val="TOC1"/>
            <w:rPr>
              <w:rFonts w:asciiTheme="minorHAnsi" w:hAnsiTheme="minorHAnsi"/>
              <w:noProof/>
              <w:sz w:val="22"/>
            </w:rPr>
          </w:pPr>
          <w:hyperlink w:anchor="_Toc256000176" w:history="1">
            <w:r w:rsidR="00AC555B">
              <w:rPr>
                <w:rStyle w:val="Hyperlink"/>
              </w:rPr>
              <w:t>6</w:t>
            </w:r>
            <w:r w:rsidR="00AC555B" w:rsidRPr="00425C89">
              <w:rPr>
                <w:rStyle w:val="Hyperlink"/>
              </w:rPr>
              <w:t xml:space="preserve"> Populations under particular</w:t>
            </w:r>
            <w:r w:rsidR="00AC555B">
              <w:rPr>
                <w:rStyle w:val="Hyperlink"/>
              </w:rPr>
              <w:t xml:space="preserve"> pressure</w:t>
            </w:r>
            <w:r w:rsidR="00AC555B">
              <w:rPr>
                <w:rStyle w:val="Hyperlink"/>
              </w:rPr>
              <w:tab/>
            </w:r>
            <w:r w:rsidR="00AC555B">
              <w:fldChar w:fldCharType="begin"/>
            </w:r>
            <w:r w:rsidR="00AC555B">
              <w:rPr>
                <w:rStyle w:val="Hyperlink"/>
              </w:rPr>
              <w:instrText xml:space="preserve"> PAGEREF _Toc256000176 \h </w:instrText>
            </w:r>
            <w:r w:rsidR="00AC555B">
              <w:fldChar w:fldCharType="separate"/>
            </w:r>
            <w:r w:rsidR="00AC555B">
              <w:rPr>
                <w:rStyle w:val="Hyperlink"/>
              </w:rPr>
              <w:t>24</w:t>
            </w:r>
            <w:r w:rsidR="00AC555B">
              <w:fldChar w:fldCharType="end"/>
            </w:r>
          </w:hyperlink>
        </w:p>
        <w:p w14:paraId="1B5C2B8A" w14:textId="77777777" w:rsidR="00F371AA" w:rsidRDefault="00413BEF">
          <w:pPr>
            <w:pStyle w:val="TOC1"/>
            <w:rPr>
              <w:rFonts w:asciiTheme="minorHAnsi" w:hAnsiTheme="minorHAnsi"/>
              <w:noProof/>
              <w:sz w:val="22"/>
            </w:rPr>
          </w:pPr>
          <w:hyperlink w:anchor="_Toc256000177" w:history="1">
            <w:r w:rsidR="00AC555B">
              <w:rPr>
                <w:rStyle w:val="Hyperlink"/>
              </w:rPr>
              <w:t>7 Objectives and strategies</w:t>
            </w:r>
            <w:r w:rsidR="00AC555B">
              <w:rPr>
                <w:rStyle w:val="Hyperlink"/>
              </w:rPr>
              <w:tab/>
            </w:r>
            <w:r w:rsidR="00AC555B">
              <w:fldChar w:fldCharType="begin"/>
            </w:r>
            <w:r w:rsidR="00AC555B">
              <w:rPr>
                <w:rStyle w:val="Hyperlink"/>
              </w:rPr>
              <w:instrText xml:space="preserve"> PAGEREF _Toc256000177 \h </w:instrText>
            </w:r>
            <w:r w:rsidR="00AC555B">
              <w:fldChar w:fldCharType="separate"/>
            </w:r>
            <w:r w:rsidR="00AC555B">
              <w:rPr>
                <w:rStyle w:val="Hyperlink"/>
              </w:rPr>
              <w:t>24</w:t>
            </w:r>
            <w:r w:rsidR="00AC555B">
              <w:fldChar w:fldCharType="end"/>
            </w:r>
          </w:hyperlink>
        </w:p>
        <w:p w14:paraId="1B5C2B8B" w14:textId="77777777" w:rsidR="00F371AA" w:rsidRDefault="00413BEF">
          <w:pPr>
            <w:pStyle w:val="TOC1"/>
            <w:rPr>
              <w:rFonts w:asciiTheme="minorHAnsi" w:hAnsiTheme="minorHAnsi"/>
              <w:noProof/>
              <w:sz w:val="22"/>
            </w:rPr>
          </w:pPr>
          <w:hyperlink w:anchor="_Toc256000178" w:history="1">
            <w:r w:rsidR="00AC555B">
              <w:rPr>
                <w:rStyle w:val="Hyperlink"/>
              </w:rPr>
              <w:t>8</w:t>
            </w:r>
            <w:r w:rsidR="00AC555B" w:rsidRPr="00235A0D">
              <w:rPr>
                <w:rStyle w:val="Hyperlink"/>
              </w:rPr>
              <w:t xml:space="preserve"> </w:t>
            </w:r>
            <w:r w:rsidR="00AC555B">
              <w:rPr>
                <w:rStyle w:val="Hyperlink"/>
              </w:rPr>
              <w:t>Actions to achieve the specific objectives</w:t>
            </w:r>
            <w:r w:rsidR="00AC555B">
              <w:rPr>
                <w:rStyle w:val="Hyperlink"/>
              </w:rPr>
              <w:tab/>
            </w:r>
            <w:r w:rsidR="00AC555B">
              <w:fldChar w:fldCharType="begin"/>
            </w:r>
            <w:r w:rsidR="00AC555B">
              <w:rPr>
                <w:rStyle w:val="Hyperlink"/>
              </w:rPr>
              <w:instrText xml:space="preserve"> PAGEREF _Toc256000178 \h </w:instrText>
            </w:r>
            <w:r w:rsidR="00AC555B">
              <w:fldChar w:fldCharType="separate"/>
            </w:r>
            <w:r w:rsidR="00AC555B">
              <w:rPr>
                <w:rStyle w:val="Hyperlink"/>
              </w:rPr>
              <w:t>24</w:t>
            </w:r>
            <w:r w:rsidR="00AC555B">
              <w:fldChar w:fldCharType="end"/>
            </w:r>
          </w:hyperlink>
        </w:p>
        <w:p w14:paraId="1B5C2B8C" w14:textId="77777777" w:rsidR="00F371AA" w:rsidRDefault="00413BEF">
          <w:pPr>
            <w:pStyle w:val="TOC2"/>
            <w:tabs>
              <w:tab w:val="right" w:leader="dot" w:pos="9016"/>
            </w:tabs>
            <w:rPr>
              <w:rFonts w:asciiTheme="minorHAnsi" w:hAnsiTheme="minorHAnsi"/>
              <w:noProof/>
              <w:sz w:val="22"/>
            </w:rPr>
          </w:pPr>
          <w:hyperlink w:anchor="_Toc256000179" w:history="1">
            <w:r w:rsidR="00AC555B" w:rsidRPr="00C1377E">
              <w:rPr>
                <w:rStyle w:val="Hyperlink"/>
                <w:color w:val="17365D" w:themeColor="text2" w:themeShade="BF"/>
              </w:rPr>
              <w:t xml:space="preserve">Strategy </w:t>
            </w:r>
            <w:r w:rsidR="00AC555B">
              <w:rPr>
                <w:rStyle w:val="Hyperlink"/>
                <w:color w:val="17365D" w:themeColor="text2" w:themeShade="BF"/>
              </w:rPr>
              <w:t>1</w:t>
            </w:r>
            <w:r w:rsidR="00AC555B" w:rsidRPr="00C1377E">
              <w:rPr>
                <w:rStyle w:val="Hyperlink"/>
                <w:color w:val="17365D" w:themeColor="text2" w:themeShade="BF"/>
              </w:rPr>
              <w:t xml:space="preserve"> – Conduct </w:t>
            </w:r>
            <w:r w:rsidR="00AC555B">
              <w:rPr>
                <w:rStyle w:val="Hyperlink"/>
                <w:color w:val="17365D" w:themeColor="text2" w:themeShade="BF"/>
              </w:rPr>
              <w:t>population trend monitoring and research to assess the current status of the species and evaluate the effectiveness of recovery actions</w:t>
            </w:r>
            <w:r w:rsidR="00AC555B" w:rsidRPr="00C1377E">
              <w:rPr>
                <w:rStyle w:val="Hyperlink"/>
                <w:color w:val="17365D" w:themeColor="text2" w:themeShade="BF"/>
              </w:rPr>
              <w:t>.</w:t>
            </w:r>
            <w:r w:rsidR="00AC555B">
              <w:rPr>
                <w:rStyle w:val="Hyperlink"/>
              </w:rPr>
              <w:tab/>
            </w:r>
            <w:r w:rsidR="00AC555B">
              <w:fldChar w:fldCharType="begin"/>
            </w:r>
            <w:r w:rsidR="00AC555B">
              <w:rPr>
                <w:rStyle w:val="Hyperlink"/>
              </w:rPr>
              <w:instrText xml:space="preserve"> PAGEREF _Toc256000179 \h </w:instrText>
            </w:r>
            <w:r w:rsidR="00AC555B">
              <w:fldChar w:fldCharType="separate"/>
            </w:r>
            <w:r w:rsidR="00AC555B">
              <w:rPr>
                <w:rStyle w:val="Hyperlink"/>
              </w:rPr>
              <w:t>25</w:t>
            </w:r>
            <w:r w:rsidR="00AC555B">
              <w:fldChar w:fldCharType="end"/>
            </w:r>
          </w:hyperlink>
        </w:p>
        <w:p w14:paraId="1B5C2B8D" w14:textId="77777777" w:rsidR="00F371AA" w:rsidRDefault="00413BEF">
          <w:pPr>
            <w:pStyle w:val="TOC2"/>
            <w:tabs>
              <w:tab w:val="right" w:leader="dot" w:pos="9016"/>
            </w:tabs>
            <w:rPr>
              <w:rFonts w:asciiTheme="minorHAnsi" w:hAnsiTheme="minorHAnsi"/>
              <w:noProof/>
              <w:sz w:val="22"/>
            </w:rPr>
          </w:pPr>
          <w:hyperlink w:anchor="_Toc256000180" w:history="1">
            <w:r w:rsidR="00AC555B" w:rsidRPr="00C1377E">
              <w:rPr>
                <w:rStyle w:val="Hyperlink"/>
                <w:color w:val="17365D" w:themeColor="text2" w:themeShade="BF"/>
              </w:rPr>
              <w:t xml:space="preserve">Strategy </w:t>
            </w:r>
            <w:r w:rsidR="00AC555B">
              <w:rPr>
                <w:rStyle w:val="Hyperlink"/>
                <w:color w:val="17365D" w:themeColor="text2" w:themeShade="BF"/>
              </w:rPr>
              <w:t>2</w:t>
            </w:r>
            <w:r w:rsidR="00AC555B" w:rsidRPr="00C1377E">
              <w:rPr>
                <w:rStyle w:val="Hyperlink"/>
                <w:color w:val="17365D" w:themeColor="text2" w:themeShade="BF"/>
              </w:rPr>
              <w:t xml:space="preserve"> – </w:t>
            </w:r>
            <w:r w:rsidR="00AC555B" w:rsidRPr="002C383A">
              <w:rPr>
                <w:rStyle w:val="Hyperlink"/>
                <w:color w:val="17365D" w:themeColor="text2" w:themeShade="BF"/>
              </w:rPr>
              <w:t>Mitigate key threats impacting upon giant freshwater crayfish habitat.</w:t>
            </w:r>
            <w:r w:rsidR="00AC555B">
              <w:rPr>
                <w:rStyle w:val="Hyperlink"/>
              </w:rPr>
              <w:tab/>
            </w:r>
            <w:r w:rsidR="00AC555B">
              <w:fldChar w:fldCharType="begin"/>
            </w:r>
            <w:r w:rsidR="00AC555B">
              <w:rPr>
                <w:rStyle w:val="Hyperlink"/>
              </w:rPr>
              <w:instrText xml:space="preserve"> PAGEREF _Toc256000180 \h </w:instrText>
            </w:r>
            <w:r w:rsidR="00AC555B">
              <w:fldChar w:fldCharType="separate"/>
            </w:r>
            <w:r w:rsidR="00AC555B">
              <w:rPr>
                <w:rStyle w:val="Hyperlink"/>
              </w:rPr>
              <w:t>27</w:t>
            </w:r>
            <w:r w:rsidR="00AC555B">
              <w:fldChar w:fldCharType="end"/>
            </w:r>
          </w:hyperlink>
        </w:p>
        <w:p w14:paraId="1B5C2B8E" w14:textId="77777777" w:rsidR="00F371AA" w:rsidRDefault="00413BEF">
          <w:pPr>
            <w:pStyle w:val="TOC2"/>
            <w:tabs>
              <w:tab w:val="right" w:leader="dot" w:pos="9016"/>
            </w:tabs>
            <w:rPr>
              <w:rFonts w:asciiTheme="minorHAnsi" w:hAnsiTheme="minorHAnsi"/>
              <w:noProof/>
              <w:sz w:val="22"/>
            </w:rPr>
          </w:pPr>
          <w:hyperlink w:anchor="_Toc256000182" w:history="1">
            <w:r w:rsidR="00AC555B" w:rsidRPr="001D65FA">
              <w:rPr>
                <w:rStyle w:val="Hyperlink"/>
                <w:color w:val="17365D" w:themeColor="text2" w:themeShade="BF"/>
              </w:rPr>
              <w:t xml:space="preserve">Strategy </w:t>
            </w:r>
            <w:r w:rsidR="00AC555B">
              <w:rPr>
                <w:rStyle w:val="Hyperlink"/>
                <w:color w:val="17365D" w:themeColor="text2" w:themeShade="BF"/>
              </w:rPr>
              <w:t>3</w:t>
            </w:r>
            <w:r w:rsidR="00AC555B" w:rsidRPr="001D65FA">
              <w:rPr>
                <w:rStyle w:val="Hyperlink"/>
                <w:color w:val="17365D" w:themeColor="text2" w:themeShade="BF"/>
              </w:rPr>
              <w:t xml:space="preserve"> – Increase the reservation status and improve the quality of key habitat for the giant freshwater </w:t>
            </w:r>
            <w:r w:rsidR="00AC555B">
              <w:rPr>
                <w:rStyle w:val="Hyperlink"/>
                <w:color w:val="17365D" w:themeColor="text2" w:themeShade="BF"/>
              </w:rPr>
              <w:t>crayfish</w:t>
            </w:r>
            <w:r w:rsidR="00AC555B" w:rsidRPr="001D65FA">
              <w:rPr>
                <w:rStyle w:val="Hyperlink"/>
                <w:color w:val="17365D" w:themeColor="text2" w:themeShade="BF"/>
              </w:rPr>
              <w:t>.</w:t>
            </w:r>
            <w:r w:rsidR="00AC555B">
              <w:rPr>
                <w:rStyle w:val="Hyperlink"/>
              </w:rPr>
              <w:tab/>
            </w:r>
            <w:r w:rsidR="00AC555B">
              <w:fldChar w:fldCharType="begin"/>
            </w:r>
            <w:r w:rsidR="00AC555B">
              <w:rPr>
                <w:rStyle w:val="Hyperlink"/>
              </w:rPr>
              <w:instrText xml:space="preserve"> PAGEREF _Toc256000182 \h </w:instrText>
            </w:r>
            <w:r w:rsidR="00AC555B">
              <w:fldChar w:fldCharType="separate"/>
            </w:r>
            <w:r w:rsidR="00AC555B">
              <w:rPr>
                <w:rStyle w:val="Hyperlink"/>
              </w:rPr>
              <w:t>31</w:t>
            </w:r>
            <w:r w:rsidR="00AC555B">
              <w:fldChar w:fldCharType="end"/>
            </w:r>
          </w:hyperlink>
        </w:p>
        <w:p w14:paraId="1B5C2B8F" w14:textId="77777777" w:rsidR="00F371AA" w:rsidRDefault="00413BEF">
          <w:pPr>
            <w:pStyle w:val="TOC2"/>
            <w:tabs>
              <w:tab w:val="right" w:leader="dot" w:pos="9016"/>
            </w:tabs>
            <w:rPr>
              <w:rFonts w:asciiTheme="minorHAnsi" w:hAnsiTheme="minorHAnsi"/>
              <w:noProof/>
              <w:sz w:val="22"/>
            </w:rPr>
          </w:pPr>
          <w:hyperlink w:anchor="_Toc256000183" w:history="1">
            <w:r w:rsidR="00AC555B" w:rsidRPr="00C1377E">
              <w:rPr>
                <w:rStyle w:val="Hyperlink"/>
                <w:color w:val="17365D" w:themeColor="text2" w:themeShade="BF"/>
              </w:rPr>
              <w:t xml:space="preserve">Strategy </w:t>
            </w:r>
            <w:r w:rsidR="00AC555B">
              <w:rPr>
                <w:rStyle w:val="Hyperlink"/>
                <w:color w:val="17365D" w:themeColor="text2" w:themeShade="BF"/>
              </w:rPr>
              <w:t>4</w:t>
            </w:r>
            <w:r w:rsidR="00AC555B" w:rsidRPr="00C1377E">
              <w:rPr>
                <w:rStyle w:val="Hyperlink"/>
                <w:color w:val="17365D" w:themeColor="text2" w:themeShade="BF"/>
              </w:rPr>
              <w:t xml:space="preserve"> – </w:t>
            </w:r>
            <w:r w:rsidR="00AC555B">
              <w:rPr>
                <w:rStyle w:val="Hyperlink"/>
                <w:color w:val="17365D" w:themeColor="text2" w:themeShade="BF"/>
              </w:rPr>
              <w:t>Prevent</w:t>
            </w:r>
            <w:r w:rsidR="00AC555B" w:rsidRPr="00C1377E">
              <w:rPr>
                <w:rStyle w:val="Hyperlink"/>
                <w:color w:val="17365D" w:themeColor="text2" w:themeShade="BF"/>
              </w:rPr>
              <w:t xml:space="preserve"> illegal fishing o</w:t>
            </w:r>
            <w:r w:rsidR="00AC555B">
              <w:rPr>
                <w:rStyle w:val="Hyperlink"/>
                <w:color w:val="17365D" w:themeColor="text2" w:themeShade="BF"/>
              </w:rPr>
              <w:t>f</w:t>
            </w:r>
            <w:r w:rsidR="00AC555B" w:rsidRPr="00C1377E">
              <w:rPr>
                <w:rStyle w:val="Hyperlink"/>
                <w:color w:val="17365D" w:themeColor="text2" w:themeShade="BF"/>
              </w:rPr>
              <w:t xml:space="preserve"> the giant freshwater </w:t>
            </w:r>
            <w:r w:rsidR="00AC555B">
              <w:rPr>
                <w:rStyle w:val="Hyperlink"/>
                <w:color w:val="17365D" w:themeColor="text2" w:themeShade="BF"/>
              </w:rPr>
              <w:t>crayfish</w:t>
            </w:r>
            <w:r w:rsidR="00AC555B" w:rsidRPr="00C1377E">
              <w:rPr>
                <w:rStyle w:val="Hyperlink"/>
                <w:color w:val="17365D" w:themeColor="text2" w:themeShade="BF"/>
              </w:rPr>
              <w:t>.</w:t>
            </w:r>
            <w:r w:rsidR="00AC555B">
              <w:rPr>
                <w:rStyle w:val="Hyperlink"/>
              </w:rPr>
              <w:tab/>
            </w:r>
            <w:r w:rsidR="00AC555B">
              <w:fldChar w:fldCharType="begin"/>
            </w:r>
            <w:r w:rsidR="00AC555B">
              <w:rPr>
                <w:rStyle w:val="Hyperlink"/>
              </w:rPr>
              <w:instrText xml:space="preserve"> PAGEREF _Toc256000183 \h </w:instrText>
            </w:r>
            <w:r w:rsidR="00AC555B">
              <w:fldChar w:fldCharType="separate"/>
            </w:r>
            <w:r w:rsidR="00AC555B">
              <w:rPr>
                <w:rStyle w:val="Hyperlink"/>
              </w:rPr>
              <w:t>32</w:t>
            </w:r>
            <w:r w:rsidR="00AC555B">
              <w:fldChar w:fldCharType="end"/>
            </w:r>
          </w:hyperlink>
        </w:p>
        <w:p w14:paraId="1B5C2B90" w14:textId="77777777" w:rsidR="00F371AA" w:rsidRDefault="00413BEF">
          <w:pPr>
            <w:pStyle w:val="TOC2"/>
            <w:tabs>
              <w:tab w:val="right" w:leader="dot" w:pos="9016"/>
            </w:tabs>
            <w:rPr>
              <w:rFonts w:asciiTheme="minorHAnsi" w:hAnsiTheme="minorHAnsi"/>
              <w:noProof/>
              <w:sz w:val="22"/>
            </w:rPr>
          </w:pPr>
          <w:hyperlink w:anchor="_Toc256000184" w:history="1">
            <w:r w:rsidR="00AC555B" w:rsidRPr="00C1377E">
              <w:rPr>
                <w:rStyle w:val="Hyperlink"/>
                <w:color w:val="17365D" w:themeColor="text2" w:themeShade="BF"/>
              </w:rPr>
              <w:t xml:space="preserve">Strategy 5 – Engage with the general public, local government and NGOs in developing </w:t>
            </w:r>
            <w:r w:rsidR="00AC555B">
              <w:rPr>
                <w:rStyle w:val="Hyperlink"/>
                <w:color w:val="17365D" w:themeColor="text2" w:themeShade="BF"/>
              </w:rPr>
              <w:t>/</w:t>
            </w:r>
            <w:r w:rsidR="00AC555B" w:rsidRPr="00C1377E">
              <w:rPr>
                <w:rStyle w:val="Hyperlink"/>
                <w:color w:val="17365D" w:themeColor="text2" w:themeShade="BF"/>
              </w:rPr>
              <w:t xml:space="preserve"> delivering con</w:t>
            </w:r>
            <w:r w:rsidR="00AC555B">
              <w:rPr>
                <w:rStyle w:val="Hyperlink"/>
                <w:color w:val="17365D" w:themeColor="text2" w:themeShade="BF"/>
              </w:rPr>
              <w:t>s</w:t>
            </w:r>
            <w:r w:rsidR="00AC555B" w:rsidRPr="00C1377E">
              <w:rPr>
                <w:rStyle w:val="Hyperlink"/>
                <w:color w:val="17365D" w:themeColor="text2" w:themeShade="BF"/>
              </w:rPr>
              <w:t>er</w:t>
            </w:r>
            <w:r w:rsidR="00AC555B">
              <w:rPr>
                <w:rStyle w:val="Hyperlink"/>
                <w:color w:val="17365D" w:themeColor="text2" w:themeShade="BF"/>
              </w:rPr>
              <w:t>v</w:t>
            </w:r>
            <w:r w:rsidR="00AC555B" w:rsidRPr="00C1377E">
              <w:rPr>
                <w:rStyle w:val="Hyperlink"/>
                <w:color w:val="17365D" w:themeColor="text2" w:themeShade="BF"/>
              </w:rPr>
              <w:t>ation measures.</w:t>
            </w:r>
            <w:r w:rsidR="00AC555B">
              <w:rPr>
                <w:rStyle w:val="Hyperlink"/>
              </w:rPr>
              <w:tab/>
            </w:r>
            <w:r w:rsidR="00AC555B">
              <w:fldChar w:fldCharType="begin"/>
            </w:r>
            <w:r w:rsidR="00AC555B">
              <w:rPr>
                <w:rStyle w:val="Hyperlink"/>
              </w:rPr>
              <w:instrText xml:space="preserve"> PAGEREF _Toc256000184 \h </w:instrText>
            </w:r>
            <w:r w:rsidR="00AC555B">
              <w:fldChar w:fldCharType="separate"/>
            </w:r>
            <w:r w:rsidR="00AC555B">
              <w:rPr>
                <w:rStyle w:val="Hyperlink"/>
              </w:rPr>
              <w:t>33</w:t>
            </w:r>
            <w:r w:rsidR="00AC555B">
              <w:fldChar w:fldCharType="end"/>
            </w:r>
          </w:hyperlink>
        </w:p>
        <w:p w14:paraId="1B5C2B91" w14:textId="77777777" w:rsidR="00F371AA" w:rsidRDefault="00413BEF">
          <w:pPr>
            <w:pStyle w:val="TOC1"/>
            <w:rPr>
              <w:rFonts w:asciiTheme="minorHAnsi" w:hAnsiTheme="minorHAnsi"/>
              <w:noProof/>
              <w:sz w:val="22"/>
            </w:rPr>
          </w:pPr>
          <w:hyperlink w:anchor="_Toc256000186" w:history="1">
            <w:r w:rsidR="00AC555B">
              <w:rPr>
                <w:rStyle w:val="Hyperlink"/>
              </w:rPr>
              <w:t>9</w:t>
            </w:r>
            <w:r w:rsidR="00AC555B" w:rsidRPr="00C63481">
              <w:rPr>
                <w:rStyle w:val="Hyperlink"/>
              </w:rPr>
              <w:t xml:space="preserve"> </w:t>
            </w:r>
            <w:r w:rsidR="00AC555B">
              <w:rPr>
                <w:rStyle w:val="Hyperlink"/>
              </w:rPr>
              <w:t>Duration and cost of the recovery process</w:t>
            </w:r>
            <w:r w:rsidR="00AC555B">
              <w:rPr>
                <w:rStyle w:val="Hyperlink"/>
              </w:rPr>
              <w:tab/>
            </w:r>
            <w:r w:rsidR="00AC555B">
              <w:fldChar w:fldCharType="begin"/>
            </w:r>
            <w:r w:rsidR="00AC555B">
              <w:rPr>
                <w:rStyle w:val="Hyperlink"/>
              </w:rPr>
              <w:instrText xml:space="preserve"> PAGEREF _Toc256000186 \h </w:instrText>
            </w:r>
            <w:r w:rsidR="00AC555B">
              <w:fldChar w:fldCharType="separate"/>
            </w:r>
            <w:r w:rsidR="00AC555B">
              <w:rPr>
                <w:rStyle w:val="Hyperlink"/>
              </w:rPr>
              <w:t>36</w:t>
            </w:r>
            <w:r w:rsidR="00AC555B">
              <w:fldChar w:fldCharType="end"/>
            </w:r>
          </w:hyperlink>
        </w:p>
        <w:p w14:paraId="1B5C2B92" w14:textId="77777777" w:rsidR="00F371AA" w:rsidRDefault="00413BEF">
          <w:pPr>
            <w:pStyle w:val="TOC1"/>
            <w:rPr>
              <w:rFonts w:asciiTheme="minorHAnsi" w:hAnsiTheme="minorHAnsi"/>
              <w:noProof/>
              <w:sz w:val="22"/>
            </w:rPr>
          </w:pPr>
          <w:hyperlink w:anchor="_Toc256000188" w:history="1">
            <w:r w:rsidR="00AC555B">
              <w:rPr>
                <w:rStyle w:val="Hyperlink"/>
              </w:rPr>
              <w:t>10</w:t>
            </w:r>
            <w:r w:rsidR="00AC555B" w:rsidRPr="001F78EA">
              <w:rPr>
                <w:rStyle w:val="Hyperlink"/>
              </w:rPr>
              <w:t xml:space="preserve"> Effects on other native species and biodiversity benefits</w:t>
            </w:r>
            <w:r w:rsidR="00AC555B">
              <w:rPr>
                <w:rStyle w:val="Hyperlink"/>
              </w:rPr>
              <w:tab/>
            </w:r>
            <w:r w:rsidR="00AC555B">
              <w:fldChar w:fldCharType="begin"/>
            </w:r>
            <w:r w:rsidR="00AC555B">
              <w:rPr>
                <w:rStyle w:val="Hyperlink"/>
              </w:rPr>
              <w:instrText xml:space="preserve"> PAGEREF _Toc256000188 \h </w:instrText>
            </w:r>
            <w:r w:rsidR="00AC555B">
              <w:fldChar w:fldCharType="separate"/>
            </w:r>
            <w:r w:rsidR="00AC555B">
              <w:rPr>
                <w:rStyle w:val="Hyperlink"/>
              </w:rPr>
              <w:t>37</w:t>
            </w:r>
            <w:r w:rsidR="00AC555B">
              <w:fldChar w:fldCharType="end"/>
            </w:r>
          </w:hyperlink>
        </w:p>
        <w:p w14:paraId="1B5C2B93" w14:textId="77777777" w:rsidR="00F371AA" w:rsidRDefault="00413BEF">
          <w:pPr>
            <w:pStyle w:val="TOC1"/>
            <w:rPr>
              <w:rFonts w:asciiTheme="minorHAnsi" w:hAnsiTheme="minorHAnsi"/>
              <w:noProof/>
              <w:sz w:val="22"/>
            </w:rPr>
          </w:pPr>
          <w:hyperlink w:anchor="_Toc256000189" w:history="1">
            <w:r w:rsidR="00AC555B">
              <w:rPr>
                <w:rStyle w:val="Hyperlink"/>
              </w:rPr>
              <w:t>11 Social and economic considerations</w:t>
            </w:r>
            <w:r w:rsidR="00AC555B">
              <w:rPr>
                <w:rStyle w:val="Hyperlink"/>
              </w:rPr>
              <w:tab/>
            </w:r>
            <w:r w:rsidR="00AC555B">
              <w:fldChar w:fldCharType="begin"/>
            </w:r>
            <w:r w:rsidR="00AC555B">
              <w:rPr>
                <w:rStyle w:val="Hyperlink"/>
              </w:rPr>
              <w:instrText xml:space="preserve"> PAGEREF _Toc256000189 \h </w:instrText>
            </w:r>
            <w:r w:rsidR="00AC555B">
              <w:fldChar w:fldCharType="separate"/>
            </w:r>
            <w:r w:rsidR="00AC555B">
              <w:rPr>
                <w:rStyle w:val="Hyperlink"/>
              </w:rPr>
              <w:t>37</w:t>
            </w:r>
            <w:r w:rsidR="00AC555B">
              <w:fldChar w:fldCharType="end"/>
            </w:r>
          </w:hyperlink>
        </w:p>
        <w:p w14:paraId="1B5C2B94" w14:textId="77777777" w:rsidR="00F371AA" w:rsidRDefault="00413BEF">
          <w:pPr>
            <w:pStyle w:val="TOC1"/>
            <w:rPr>
              <w:rFonts w:asciiTheme="minorHAnsi" w:hAnsiTheme="minorHAnsi"/>
              <w:noProof/>
              <w:sz w:val="22"/>
            </w:rPr>
          </w:pPr>
          <w:hyperlink w:anchor="_Toc256000190" w:history="1">
            <w:r w:rsidR="00AC555B">
              <w:rPr>
                <w:rStyle w:val="Hyperlink"/>
              </w:rPr>
              <w:t>12 Affected interests</w:t>
            </w:r>
            <w:r w:rsidR="00AC555B">
              <w:rPr>
                <w:rStyle w:val="Hyperlink"/>
              </w:rPr>
              <w:tab/>
            </w:r>
            <w:r w:rsidR="00AC555B">
              <w:fldChar w:fldCharType="begin"/>
            </w:r>
            <w:r w:rsidR="00AC555B">
              <w:rPr>
                <w:rStyle w:val="Hyperlink"/>
              </w:rPr>
              <w:instrText xml:space="preserve"> PAGEREF _Toc256000190 \h </w:instrText>
            </w:r>
            <w:r w:rsidR="00AC555B">
              <w:fldChar w:fldCharType="separate"/>
            </w:r>
            <w:r w:rsidR="00AC555B">
              <w:rPr>
                <w:rStyle w:val="Hyperlink"/>
              </w:rPr>
              <w:t>37</w:t>
            </w:r>
            <w:r w:rsidR="00AC555B">
              <w:fldChar w:fldCharType="end"/>
            </w:r>
          </w:hyperlink>
        </w:p>
        <w:p w14:paraId="1B5C2B95" w14:textId="77777777" w:rsidR="00F371AA" w:rsidRDefault="00413BEF">
          <w:pPr>
            <w:pStyle w:val="TOC1"/>
            <w:rPr>
              <w:rFonts w:asciiTheme="minorHAnsi" w:hAnsiTheme="minorHAnsi"/>
              <w:noProof/>
              <w:sz w:val="22"/>
            </w:rPr>
          </w:pPr>
          <w:hyperlink w:anchor="_Toc256000191" w:history="1">
            <w:r w:rsidR="00AC555B" w:rsidRPr="00105524">
              <w:rPr>
                <w:rStyle w:val="Hyperlink"/>
                <w:lang w:val="en-US" w:eastAsia="ja-JP"/>
              </w:rPr>
              <w:t>1</w:t>
            </w:r>
            <w:r w:rsidR="00AC555B">
              <w:rPr>
                <w:rStyle w:val="Hyperlink"/>
                <w:lang w:val="en-US" w:eastAsia="ja-JP"/>
              </w:rPr>
              <w:t>3 Consultation</w:t>
            </w:r>
            <w:r w:rsidR="00AC555B">
              <w:rPr>
                <w:rStyle w:val="Hyperlink"/>
              </w:rPr>
              <w:tab/>
            </w:r>
            <w:r w:rsidR="00AC555B">
              <w:fldChar w:fldCharType="begin"/>
            </w:r>
            <w:r w:rsidR="00AC555B">
              <w:rPr>
                <w:rStyle w:val="Hyperlink"/>
              </w:rPr>
              <w:instrText xml:space="preserve"> PAGEREF _Toc256000191 \h </w:instrText>
            </w:r>
            <w:r w:rsidR="00AC555B">
              <w:fldChar w:fldCharType="separate"/>
            </w:r>
            <w:r w:rsidR="00AC555B">
              <w:rPr>
                <w:rStyle w:val="Hyperlink"/>
              </w:rPr>
              <w:t>38</w:t>
            </w:r>
            <w:r w:rsidR="00AC555B">
              <w:fldChar w:fldCharType="end"/>
            </w:r>
          </w:hyperlink>
        </w:p>
        <w:p w14:paraId="1B5C2B96" w14:textId="77777777" w:rsidR="00F371AA" w:rsidRDefault="00413BEF">
          <w:pPr>
            <w:pStyle w:val="TOC1"/>
            <w:rPr>
              <w:rFonts w:asciiTheme="minorHAnsi" w:hAnsiTheme="minorHAnsi"/>
              <w:noProof/>
              <w:sz w:val="22"/>
            </w:rPr>
          </w:pPr>
          <w:hyperlink w:anchor="_Toc256000192" w:history="1">
            <w:r w:rsidR="00AC555B">
              <w:rPr>
                <w:rStyle w:val="Hyperlink"/>
              </w:rPr>
              <w:t>14 Organisations/persons involved in evaluating the performance of the plan</w:t>
            </w:r>
            <w:r w:rsidR="00AC555B">
              <w:rPr>
                <w:rStyle w:val="Hyperlink"/>
              </w:rPr>
              <w:tab/>
            </w:r>
            <w:r w:rsidR="00AC555B">
              <w:fldChar w:fldCharType="begin"/>
            </w:r>
            <w:r w:rsidR="00AC555B">
              <w:rPr>
                <w:rStyle w:val="Hyperlink"/>
              </w:rPr>
              <w:instrText xml:space="preserve"> PAGEREF _Toc256000192 \h </w:instrText>
            </w:r>
            <w:r w:rsidR="00AC555B">
              <w:fldChar w:fldCharType="separate"/>
            </w:r>
            <w:r w:rsidR="00AC555B">
              <w:rPr>
                <w:rStyle w:val="Hyperlink"/>
              </w:rPr>
              <w:t>38</w:t>
            </w:r>
            <w:r w:rsidR="00AC555B">
              <w:fldChar w:fldCharType="end"/>
            </w:r>
          </w:hyperlink>
        </w:p>
        <w:p w14:paraId="1B5C2B97" w14:textId="77777777" w:rsidR="00F371AA" w:rsidRDefault="00413BEF">
          <w:pPr>
            <w:pStyle w:val="TOC1"/>
            <w:rPr>
              <w:rFonts w:asciiTheme="minorHAnsi" w:hAnsiTheme="minorHAnsi"/>
              <w:noProof/>
              <w:sz w:val="22"/>
            </w:rPr>
          </w:pPr>
          <w:hyperlink w:anchor="_Toc256000193" w:history="1">
            <w:r w:rsidR="00AC555B">
              <w:rPr>
                <w:rStyle w:val="Hyperlink"/>
              </w:rPr>
              <w:t>15</w:t>
            </w:r>
            <w:r w:rsidR="00AC555B" w:rsidRPr="006C5332">
              <w:rPr>
                <w:rStyle w:val="Hyperlink"/>
              </w:rPr>
              <w:t xml:space="preserve"> </w:t>
            </w:r>
            <w:r w:rsidR="00AC555B">
              <w:rPr>
                <w:rStyle w:val="Hyperlink"/>
              </w:rPr>
              <w:t>References</w:t>
            </w:r>
            <w:r w:rsidR="00AC555B">
              <w:rPr>
                <w:rStyle w:val="Hyperlink"/>
              </w:rPr>
              <w:tab/>
            </w:r>
            <w:r w:rsidR="00AC555B">
              <w:fldChar w:fldCharType="begin"/>
            </w:r>
            <w:r w:rsidR="00AC555B">
              <w:rPr>
                <w:rStyle w:val="Hyperlink"/>
              </w:rPr>
              <w:instrText xml:space="preserve"> PAGEREF _Toc256000193 \h </w:instrText>
            </w:r>
            <w:r w:rsidR="00AC555B">
              <w:fldChar w:fldCharType="separate"/>
            </w:r>
            <w:r w:rsidR="00AC555B">
              <w:rPr>
                <w:rStyle w:val="Hyperlink"/>
              </w:rPr>
              <w:t>39</w:t>
            </w:r>
            <w:r w:rsidR="00AC555B">
              <w:fldChar w:fldCharType="end"/>
            </w:r>
          </w:hyperlink>
        </w:p>
        <w:p w14:paraId="1B5C2B98" w14:textId="77777777" w:rsidR="00F371AA" w:rsidRDefault="00AC555B" w:rsidP="00F53D9E">
          <w:pPr>
            <w:pStyle w:val="TOC1"/>
          </w:pPr>
          <w:r>
            <w:fldChar w:fldCharType="end"/>
          </w:r>
        </w:p>
      </w:sdtContent>
    </w:sdt>
    <w:p w14:paraId="1B5C2B99" w14:textId="77777777" w:rsidR="00F53D9E" w:rsidRPr="007A252C" w:rsidRDefault="00AC555B" w:rsidP="00F53D9E">
      <w:pPr>
        <w:pStyle w:val="Heading1"/>
      </w:pPr>
      <w:bookmarkStart w:id="14" w:name="_Toc256000139"/>
      <w:bookmarkStart w:id="15" w:name="_Toc256000091"/>
      <w:bookmarkStart w:id="16" w:name="_Toc458697037"/>
      <w:bookmarkStart w:id="17" w:name="_Toc440634600"/>
      <w:bookmarkStart w:id="18" w:name="_Toc440634528"/>
      <w:bookmarkStart w:id="19" w:name="_Toc432076284"/>
      <w:bookmarkStart w:id="20" w:name="_Toc429051744"/>
      <w:bookmarkStart w:id="21" w:name="_Toc429051665"/>
      <w:bookmarkStart w:id="22" w:name="_Toc424812380"/>
      <w:bookmarkStart w:id="23" w:name="_Toc417992940"/>
      <w:bookmarkStart w:id="24" w:name="_Toc417985028"/>
      <w:bookmarkStart w:id="25" w:name="_Toc412111385"/>
      <w:bookmarkStart w:id="26" w:name="_Toc412111329"/>
      <w:bookmarkStart w:id="27" w:name="_Toc412111273"/>
      <w:bookmarkStart w:id="28" w:name="_Toc412111191"/>
      <w:bookmarkStart w:id="29" w:name="_Toc400465396"/>
      <w:bookmarkStart w:id="30" w:name="_Toc399918847"/>
      <w:bookmarkStart w:id="31" w:name="_Toc397329993"/>
      <w:bookmarkStart w:id="32" w:name="_Toc396470594"/>
      <w:bookmarkStart w:id="33" w:name="_Toc396389829"/>
      <w:bookmarkStart w:id="34" w:name="_Toc396389743"/>
      <w:bookmarkStart w:id="35" w:name="_Toc393467595"/>
      <w:bookmarkStart w:id="36" w:name="_Toc256000004"/>
      <w:bookmarkStart w:id="37" w:name="_Toc256000043"/>
      <w:r>
        <w:t>Tables and figures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B5C2B9A" w14:textId="77777777" w:rsidR="00F53D9E" w:rsidRDefault="00AC555B">
      <w:pPr>
        <w:pStyle w:val="TableofFigures"/>
        <w:tabs>
          <w:tab w:val="right" w:leader="dot" w:pos="9016"/>
        </w:tabs>
      </w:pPr>
      <w:r>
        <w:t>Table 1: Progress made against the objectives of the 2006 Recovery Plan ……………………………..8</w:t>
      </w:r>
    </w:p>
    <w:p w14:paraId="1B5C2B9B" w14:textId="77777777" w:rsidR="00F371AA" w:rsidRDefault="00413BEF">
      <w:r>
        <w:fldChar w:fldCharType="begin"/>
      </w:r>
      <w:r>
        <w:instrText xml:space="preserve"> TOC \h \z \c "Figure" </w:instrText>
      </w:r>
      <w:r>
        <w:fldChar w:fldCharType="separate"/>
      </w:r>
      <w:r w:rsidR="00AC555B">
        <w:rPr>
          <w:b/>
        </w:rPr>
        <w:t>No table of figures entries found.</w:t>
      </w:r>
      <w:r>
        <w:rPr>
          <w:b/>
        </w:rPr>
        <w:fldChar w:fldCharType="end"/>
      </w:r>
    </w:p>
    <w:p w14:paraId="1B5C2B9C" w14:textId="77777777" w:rsidR="00F371AA" w:rsidRDefault="00AC555B" w:rsidP="00F53D9E">
      <w:pPr>
        <w:pStyle w:val="Heading1"/>
        <w:spacing w:before="240"/>
      </w:pPr>
      <w:bookmarkStart w:id="38" w:name="_Toc256000141"/>
      <w:bookmarkStart w:id="39" w:name="_Toc256000093"/>
      <w:bookmarkStart w:id="40" w:name="_Toc256000045"/>
      <w:bookmarkStart w:id="41" w:name="_Toc256000005"/>
      <w:bookmarkStart w:id="42" w:name="_Toc424812381"/>
      <w:bookmarkStart w:id="43" w:name="_Toc429051666"/>
      <w:bookmarkStart w:id="44" w:name="_Toc429051745"/>
      <w:bookmarkStart w:id="45" w:name="_Toc432076285"/>
      <w:bookmarkStart w:id="46" w:name="_Toc440634529"/>
      <w:bookmarkStart w:id="47" w:name="_Toc440634601"/>
      <w:bookmarkStart w:id="48" w:name="_Toc458697038"/>
      <w:r>
        <w:t>Acronyms</w:t>
      </w:r>
      <w:bookmarkEnd w:id="38"/>
      <w:bookmarkEnd w:id="39"/>
      <w:bookmarkEnd w:id="40"/>
      <w:bookmarkEnd w:id="41"/>
      <w:bookmarkEnd w:id="42"/>
      <w:bookmarkEnd w:id="43"/>
      <w:bookmarkEnd w:id="44"/>
      <w:bookmarkEnd w:id="45"/>
      <w:bookmarkEnd w:id="46"/>
      <w:bookmarkEnd w:id="47"/>
      <w:bookmarkEnd w:id="48"/>
    </w:p>
    <w:tbl>
      <w:tblPr>
        <w:tblW w:w="0" w:type="auto"/>
        <w:tblBorders>
          <w:top w:val="nil"/>
          <w:left w:val="nil"/>
          <w:bottom w:val="nil"/>
          <w:right w:val="nil"/>
        </w:tblBorders>
        <w:tblLayout w:type="fixed"/>
        <w:tblCellMar>
          <w:top w:w="57" w:type="dxa"/>
          <w:bottom w:w="57" w:type="dxa"/>
        </w:tblCellMar>
        <w:tblLook w:val="0000" w:firstRow="0" w:lastRow="0" w:firstColumn="0" w:lastColumn="0" w:noHBand="0" w:noVBand="0"/>
      </w:tblPr>
      <w:tblGrid>
        <w:gridCol w:w="1242"/>
        <w:gridCol w:w="7513"/>
      </w:tblGrid>
      <w:tr w:rsidR="00F371AA" w14:paraId="1B5C2B9F" w14:textId="77777777" w:rsidTr="00F53D9E">
        <w:trPr>
          <w:trHeight w:val="103"/>
        </w:trPr>
        <w:tc>
          <w:tcPr>
            <w:tcW w:w="1242" w:type="dxa"/>
            <w:tcBorders>
              <w:top w:val="single" w:sz="4" w:space="0" w:color="auto"/>
              <w:bottom w:val="single" w:sz="4" w:space="0" w:color="auto"/>
            </w:tcBorders>
            <w:vAlign w:val="center"/>
          </w:tcPr>
          <w:p w14:paraId="1B5C2B9D" w14:textId="77777777" w:rsidR="00F53D9E" w:rsidRDefault="00AC555B" w:rsidP="00F53D9E">
            <w:pPr>
              <w:spacing w:after="0"/>
            </w:pPr>
            <w:r>
              <w:t>CBS</w:t>
            </w:r>
          </w:p>
        </w:tc>
        <w:tc>
          <w:tcPr>
            <w:tcW w:w="7513" w:type="dxa"/>
            <w:tcBorders>
              <w:top w:val="single" w:sz="4" w:space="0" w:color="auto"/>
              <w:bottom w:val="single" w:sz="4" w:space="0" w:color="auto"/>
            </w:tcBorders>
            <w:vAlign w:val="center"/>
          </w:tcPr>
          <w:p w14:paraId="1B5C2B9E" w14:textId="77777777" w:rsidR="00F53D9E" w:rsidRDefault="00AC555B" w:rsidP="00F53D9E">
            <w:pPr>
              <w:spacing w:after="0"/>
            </w:pPr>
            <w:proofErr w:type="spellStart"/>
            <w:r>
              <w:t>Clearfell</w:t>
            </w:r>
            <w:proofErr w:type="spellEnd"/>
            <w:r>
              <w:t>, burn and sow</w:t>
            </w:r>
          </w:p>
        </w:tc>
      </w:tr>
      <w:tr w:rsidR="00F371AA" w14:paraId="1B5C2BA2" w14:textId="77777777" w:rsidTr="00F53D9E">
        <w:trPr>
          <w:trHeight w:val="103"/>
        </w:trPr>
        <w:tc>
          <w:tcPr>
            <w:tcW w:w="1242" w:type="dxa"/>
            <w:tcBorders>
              <w:top w:val="single" w:sz="4" w:space="0" w:color="auto"/>
              <w:bottom w:val="single" w:sz="4" w:space="0" w:color="auto"/>
            </w:tcBorders>
            <w:vAlign w:val="center"/>
          </w:tcPr>
          <w:p w14:paraId="1B5C2BA0" w14:textId="77777777" w:rsidR="00F53D9E" w:rsidRDefault="00AC555B" w:rsidP="00F53D9E">
            <w:pPr>
              <w:spacing w:after="0"/>
            </w:pPr>
            <w:r>
              <w:t>CNFN</w:t>
            </w:r>
          </w:p>
        </w:tc>
        <w:tc>
          <w:tcPr>
            <w:tcW w:w="7513" w:type="dxa"/>
            <w:tcBorders>
              <w:top w:val="single" w:sz="4" w:space="0" w:color="auto"/>
              <w:bottom w:val="single" w:sz="4" w:space="0" w:color="auto"/>
            </w:tcBorders>
            <w:vAlign w:val="center"/>
          </w:tcPr>
          <w:p w14:paraId="1B5C2BA1" w14:textId="77777777" w:rsidR="00F53D9E" w:rsidRDefault="00AC555B" w:rsidP="00F53D9E">
            <w:pPr>
              <w:spacing w:after="0"/>
            </w:pPr>
            <w:r>
              <w:rPr>
                <w:rFonts w:ascii="Carlito" w:hAnsi="Carlito" w:cs="Carlito"/>
              </w:rPr>
              <w:t>Central North Field Naturalist</w:t>
            </w:r>
          </w:p>
        </w:tc>
      </w:tr>
      <w:tr w:rsidR="00F371AA" w14:paraId="1B5C2BA5" w14:textId="77777777" w:rsidTr="00F53D9E">
        <w:trPr>
          <w:trHeight w:val="103"/>
        </w:trPr>
        <w:tc>
          <w:tcPr>
            <w:tcW w:w="1242" w:type="dxa"/>
            <w:tcBorders>
              <w:top w:val="single" w:sz="4" w:space="0" w:color="auto"/>
              <w:bottom w:val="single" w:sz="4" w:space="0" w:color="auto"/>
            </w:tcBorders>
            <w:vAlign w:val="center"/>
          </w:tcPr>
          <w:p w14:paraId="1B5C2BA3" w14:textId="77777777" w:rsidR="00F53D9E" w:rsidRDefault="00AC555B" w:rsidP="00F53D9E">
            <w:pPr>
              <w:spacing w:after="0"/>
            </w:pPr>
            <w:r>
              <w:t>CSIRO</w:t>
            </w:r>
          </w:p>
        </w:tc>
        <w:tc>
          <w:tcPr>
            <w:tcW w:w="7513" w:type="dxa"/>
            <w:tcBorders>
              <w:top w:val="single" w:sz="4" w:space="0" w:color="auto"/>
              <w:bottom w:val="single" w:sz="4" w:space="0" w:color="auto"/>
            </w:tcBorders>
            <w:vAlign w:val="center"/>
          </w:tcPr>
          <w:p w14:paraId="1B5C2BA4" w14:textId="77777777" w:rsidR="00F53D9E" w:rsidRDefault="00AC555B" w:rsidP="00F53D9E">
            <w:pPr>
              <w:spacing w:after="0"/>
            </w:pPr>
            <w:r w:rsidRPr="00431974">
              <w:t>Commonwealth Scientific and Industrial Research Organisation</w:t>
            </w:r>
            <w:r>
              <w:t xml:space="preserve"> (Commonwealth)</w:t>
            </w:r>
          </w:p>
        </w:tc>
      </w:tr>
      <w:tr w:rsidR="00F371AA" w14:paraId="1B5C2BA8" w14:textId="77777777" w:rsidTr="00F53D9E">
        <w:trPr>
          <w:trHeight w:val="103"/>
        </w:trPr>
        <w:tc>
          <w:tcPr>
            <w:tcW w:w="1242" w:type="dxa"/>
            <w:tcBorders>
              <w:top w:val="single" w:sz="4" w:space="0" w:color="auto"/>
              <w:bottom w:val="single" w:sz="4" w:space="0" w:color="auto"/>
            </w:tcBorders>
            <w:vAlign w:val="center"/>
          </w:tcPr>
          <w:p w14:paraId="1B5C2BA6" w14:textId="77777777" w:rsidR="00F53D9E" w:rsidRDefault="00AC555B" w:rsidP="00F53D9E">
            <w:pPr>
              <w:spacing w:after="0"/>
            </w:pPr>
            <w:proofErr w:type="spellStart"/>
            <w:r>
              <w:t>DoEE</w:t>
            </w:r>
            <w:proofErr w:type="spellEnd"/>
          </w:p>
        </w:tc>
        <w:tc>
          <w:tcPr>
            <w:tcW w:w="7513" w:type="dxa"/>
            <w:tcBorders>
              <w:top w:val="single" w:sz="4" w:space="0" w:color="auto"/>
              <w:bottom w:val="single" w:sz="4" w:space="0" w:color="auto"/>
            </w:tcBorders>
            <w:vAlign w:val="center"/>
          </w:tcPr>
          <w:p w14:paraId="1B5C2BA7" w14:textId="77777777" w:rsidR="00F53D9E" w:rsidRDefault="00AC555B">
            <w:pPr>
              <w:spacing w:after="0"/>
            </w:pPr>
            <w:r>
              <w:t>Department of the Environment and Energy (Commonwealth)</w:t>
            </w:r>
          </w:p>
        </w:tc>
      </w:tr>
      <w:tr w:rsidR="00F371AA" w14:paraId="1B5C2BAB" w14:textId="77777777" w:rsidTr="00F53D9E">
        <w:trPr>
          <w:trHeight w:val="103"/>
        </w:trPr>
        <w:tc>
          <w:tcPr>
            <w:tcW w:w="1242" w:type="dxa"/>
            <w:tcBorders>
              <w:top w:val="single" w:sz="4" w:space="0" w:color="auto"/>
              <w:bottom w:val="single" w:sz="4" w:space="0" w:color="auto"/>
            </w:tcBorders>
            <w:vAlign w:val="center"/>
          </w:tcPr>
          <w:p w14:paraId="1B5C2BA9" w14:textId="77777777" w:rsidR="00F53D9E" w:rsidRDefault="00AC555B" w:rsidP="00F53D9E">
            <w:pPr>
              <w:spacing w:after="0"/>
            </w:pPr>
            <w:r>
              <w:t>DPIPWE</w:t>
            </w:r>
          </w:p>
        </w:tc>
        <w:tc>
          <w:tcPr>
            <w:tcW w:w="7513" w:type="dxa"/>
            <w:tcBorders>
              <w:top w:val="single" w:sz="4" w:space="0" w:color="auto"/>
              <w:bottom w:val="single" w:sz="4" w:space="0" w:color="auto"/>
            </w:tcBorders>
            <w:vAlign w:val="center"/>
          </w:tcPr>
          <w:p w14:paraId="1B5C2BAA" w14:textId="77777777" w:rsidR="00F53D9E" w:rsidRDefault="00AC555B" w:rsidP="00F53D9E">
            <w:pPr>
              <w:spacing w:after="0"/>
            </w:pPr>
            <w:r>
              <w:t>Department of Primary Industries, Parks, Water and Environment (Tasmania)</w:t>
            </w:r>
          </w:p>
        </w:tc>
      </w:tr>
      <w:tr w:rsidR="00F371AA" w14:paraId="1B5C2BAE" w14:textId="77777777" w:rsidTr="00F53D9E">
        <w:trPr>
          <w:trHeight w:val="103"/>
        </w:trPr>
        <w:tc>
          <w:tcPr>
            <w:tcW w:w="1242" w:type="dxa"/>
            <w:tcBorders>
              <w:top w:val="single" w:sz="4" w:space="0" w:color="auto"/>
              <w:bottom w:val="single" w:sz="4" w:space="0" w:color="auto"/>
            </w:tcBorders>
            <w:vAlign w:val="center"/>
          </w:tcPr>
          <w:p w14:paraId="1B5C2BAC" w14:textId="77777777" w:rsidR="00F53D9E" w:rsidRDefault="00AC555B" w:rsidP="00F53D9E">
            <w:pPr>
              <w:spacing w:after="0"/>
            </w:pPr>
            <w:r>
              <w:t xml:space="preserve">EPBC Act </w:t>
            </w:r>
          </w:p>
        </w:tc>
        <w:tc>
          <w:tcPr>
            <w:tcW w:w="7513" w:type="dxa"/>
            <w:tcBorders>
              <w:top w:val="single" w:sz="4" w:space="0" w:color="auto"/>
              <w:bottom w:val="single" w:sz="4" w:space="0" w:color="auto"/>
            </w:tcBorders>
            <w:vAlign w:val="center"/>
          </w:tcPr>
          <w:p w14:paraId="1B5C2BAD" w14:textId="77777777" w:rsidR="00F53D9E" w:rsidRDefault="00AC555B" w:rsidP="00F53D9E">
            <w:pPr>
              <w:spacing w:after="0"/>
            </w:pPr>
            <w:r w:rsidRPr="00B1331E">
              <w:rPr>
                <w:i/>
              </w:rPr>
              <w:t>Environment Protection and Biodiversity Conservation Act 1999</w:t>
            </w:r>
            <w:r>
              <w:t xml:space="preserve"> (Commonwealth) </w:t>
            </w:r>
          </w:p>
        </w:tc>
      </w:tr>
      <w:tr w:rsidR="00F371AA" w14:paraId="1B5C2BB1" w14:textId="77777777" w:rsidTr="00F53D9E">
        <w:trPr>
          <w:trHeight w:val="103"/>
        </w:trPr>
        <w:tc>
          <w:tcPr>
            <w:tcW w:w="1242" w:type="dxa"/>
            <w:tcBorders>
              <w:top w:val="single" w:sz="4" w:space="0" w:color="auto"/>
              <w:bottom w:val="single" w:sz="4" w:space="0" w:color="auto"/>
            </w:tcBorders>
            <w:vAlign w:val="center"/>
          </w:tcPr>
          <w:p w14:paraId="1B5C2BAF" w14:textId="77777777" w:rsidR="00F53D9E" w:rsidRDefault="00AC555B" w:rsidP="00F53D9E">
            <w:pPr>
              <w:spacing w:after="0"/>
            </w:pPr>
            <w:r>
              <w:t>FLAG</w:t>
            </w:r>
          </w:p>
        </w:tc>
        <w:tc>
          <w:tcPr>
            <w:tcW w:w="7513" w:type="dxa"/>
            <w:tcBorders>
              <w:top w:val="single" w:sz="4" w:space="0" w:color="auto"/>
              <w:bottom w:val="single" w:sz="4" w:space="0" w:color="auto"/>
            </w:tcBorders>
            <w:vAlign w:val="center"/>
          </w:tcPr>
          <w:p w14:paraId="1B5C2BB0" w14:textId="77777777" w:rsidR="00F53D9E" w:rsidRDefault="00AC555B" w:rsidP="00F53D9E">
            <w:pPr>
              <w:spacing w:after="0"/>
            </w:pPr>
            <w:r>
              <w:t>Friends of Lapoinya Action Group</w:t>
            </w:r>
          </w:p>
        </w:tc>
      </w:tr>
      <w:tr w:rsidR="00F371AA" w14:paraId="1B5C2BB4" w14:textId="77777777" w:rsidTr="00F53D9E">
        <w:trPr>
          <w:trHeight w:val="103"/>
        </w:trPr>
        <w:tc>
          <w:tcPr>
            <w:tcW w:w="1242" w:type="dxa"/>
            <w:tcBorders>
              <w:top w:val="single" w:sz="4" w:space="0" w:color="auto"/>
              <w:bottom w:val="single" w:sz="4" w:space="0" w:color="auto"/>
            </w:tcBorders>
            <w:vAlign w:val="center"/>
          </w:tcPr>
          <w:p w14:paraId="1B5C2BB2" w14:textId="77777777" w:rsidR="00F53D9E" w:rsidRDefault="00AC555B" w:rsidP="00F53D9E">
            <w:pPr>
              <w:spacing w:after="0"/>
            </w:pPr>
            <w:r>
              <w:t>FLG</w:t>
            </w:r>
          </w:p>
        </w:tc>
        <w:tc>
          <w:tcPr>
            <w:tcW w:w="7513" w:type="dxa"/>
            <w:tcBorders>
              <w:top w:val="single" w:sz="4" w:space="0" w:color="auto"/>
              <w:bottom w:val="single" w:sz="4" w:space="0" w:color="auto"/>
            </w:tcBorders>
            <w:vAlign w:val="center"/>
          </w:tcPr>
          <w:p w14:paraId="1B5C2BB3" w14:textId="77777777" w:rsidR="00F53D9E" w:rsidRDefault="00AC555B" w:rsidP="00F53D9E">
            <w:pPr>
              <w:spacing w:after="0"/>
            </w:pPr>
            <w:r>
              <w:rPr>
                <w:rFonts w:ascii="Carlito" w:hAnsi="Carlito" w:cs="Carlito"/>
              </w:rPr>
              <w:t>Friends of the Leven Group</w:t>
            </w:r>
          </w:p>
        </w:tc>
      </w:tr>
      <w:tr w:rsidR="00F371AA" w14:paraId="1B5C2BB7" w14:textId="77777777" w:rsidTr="00F53D9E">
        <w:trPr>
          <w:trHeight w:val="103"/>
        </w:trPr>
        <w:tc>
          <w:tcPr>
            <w:tcW w:w="1242" w:type="dxa"/>
            <w:tcBorders>
              <w:top w:val="single" w:sz="4" w:space="0" w:color="auto"/>
              <w:bottom w:val="single" w:sz="4" w:space="0" w:color="auto"/>
            </w:tcBorders>
            <w:vAlign w:val="center"/>
          </w:tcPr>
          <w:p w14:paraId="1B5C2BB5" w14:textId="77777777" w:rsidR="00F53D9E" w:rsidRDefault="00AC555B" w:rsidP="00F53D9E">
            <w:pPr>
              <w:spacing w:after="0"/>
            </w:pPr>
            <w:r>
              <w:t>FPA</w:t>
            </w:r>
          </w:p>
        </w:tc>
        <w:tc>
          <w:tcPr>
            <w:tcW w:w="7513" w:type="dxa"/>
            <w:tcBorders>
              <w:top w:val="single" w:sz="4" w:space="0" w:color="auto"/>
              <w:bottom w:val="single" w:sz="4" w:space="0" w:color="auto"/>
            </w:tcBorders>
            <w:vAlign w:val="center"/>
          </w:tcPr>
          <w:p w14:paraId="1B5C2BB6" w14:textId="77777777" w:rsidR="00F53D9E" w:rsidRPr="008C2839" w:rsidRDefault="00AC555B" w:rsidP="00F53D9E">
            <w:pPr>
              <w:spacing w:after="0"/>
              <w:rPr>
                <w:rStyle w:val="Emphasis"/>
                <w:rFonts w:cs="Arial"/>
                <w:b w:val="0"/>
                <w:color w:val="222222"/>
              </w:rPr>
            </w:pPr>
            <w:r>
              <w:rPr>
                <w:rStyle w:val="Emphasis"/>
                <w:rFonts w:cs="Arial"/>
                <w:b w:val="0"/>
                <w:color w:val="222222"/>
              </w:rPr>
              <w:t>Forest Practices Authority</w:t>
            </w:r>
          </w:p>
        </w:tc>
      </w:tr>
      <w:tr w:rsidR="00F371AA" w14:paraId="1B5C2BBA" w14:textId="77777777" w:rsidTr="00F53D9E">
        <w:trPr>
          <w:trHeight w:val="103"/>
        </w:trPr>
        <w:tc>
          <w:tcPr>
            <w:tcW w:w="1242" w:type="dxa"/>
            <w:tcBorders>
              <w:top w:val="single" w:sz="4" w:space="0" w:color="auto"/>
              <w:bottom w:val="single" w:sz="4" w:space="0" w:color="auto"/>
            </w:tcBorders>
            <w:vAlign w:val="center"/>
          </w:tcPr>
          <w:p w14:paraId="1B5C2BB8" w14:textId="77777777" w:rsidR="00F53D9E" w:rsidRDefault="00AC555B" w:rsidP="00F53D9E">
            <w:pPr>
              <w:spacing w:after="0"/>
            </w:pPr>
            <w:r>
              <w:t>FPP</w:t>
            </w:r>
          </w:p>
        </w:tc>
        <w:tc>
          <w:tcPr>
            <w:tcW w:w="7513" w:type="dxa"/>
            <w:tcBorders>
              <w:top w:val="single" w:sz="4" w:space="0" w:color="auto"/>
              <w:bottom w:val="single" w:sz="4" w:space="0" w:color="auto"/>
            </w:tcBorders>
            <w:vAlign w:val="center"/>
          </w:tcPr>
          <w:p w14:paraId="1B5C2BB9" w14:textId="77777777" w:rsidR="00F53D9E" w:rsidRDefault="00AC555B" w:rsidP="00F53D9E">
            <w:pPr>
              <w:spacing w:after="0"/>
              <w:rPr>
                <w:rStyle w:val="Emphasis"/>
                <w:rFonts w:cs="Arial"/>
                <w:b w:val="0"/>
                <w:color w:val="222222"/>
              </w:rPr>
            </w:pPr>
            <w:r>
              <w:rPr>
                <w:rStyle w:val="Emphasis"/>
                <w:rFonts w:cs="Arial"/>
                <w:b w:val="0"/>
                <w:color w:val="222222"/>
              </w:rPr>
              <w:t>Forest Practices Plan</w:t>
            </w:r>
          </w:p>
        </w:tc>
      </w:tr>
      <w:tr w:rsidR="00F371AA" w14:paraId="1B5C2BBD" w14:textId="77777777" w:rsidTr="00F53D9E">
        <w:trPr>
          <w:trHeight w:val="103"/>
        </w:trPr>
        <w:tc>
          <w:tcPr>
            <w:tcW w:w="1242" w:type="dxa"/>
            <w:tcBorders>
              <w:top w:val="single" w:sz="4" w:space="0" w:color="auto"/>
              <w:bottom w:val="single" w:sz="4" w:space="0" w:color="auto"/>
            </w:tcBorders>
            <w:vAlign w:val="center"/>
          </w:tcPr>
          <w:p w14:paraId="1B5C2BBB" w14:textId="77777777" w:rsidR="00F53D9E" w:rsidRDefault="00AC555B" w:rsidP="00F53D9E">
            <w:pPr>
              <w:spacing w:after="0"/>
            </w:pPr>
            <w:r>
              <w:t>FT</w:t>
            </w:r>
          </w:p>
        </w:tc>
        <w:tc>
          <w:tcPr>
            <w:tcW w:w="7513" w:type="dxa"/>
            <w:tcBorders>
              <w:top w:val="single" w:sz="4" w:space="0" w:color="auto"/>
              <w:bottom w:val="single" w:sz="4" w:space="0" w:color="auto"/>
            </w:tcBorders>
            <w:vAlign w:val="center"/>
          </w:tcPr>
          <w:p w14:paraId="1B5C2BBC" w14:textId="77777777" w:rsidR="00F53D9E" w:rsidRPr="008C2839" w:rsidRDefault="00AC555B" w:rsidP="00F53D9E">
            <w:pPr>
              <w:spacing w:after="0"/>
              <w:rPr>
                <w:rStyle w:val="Emphasis"/>
                <w:rFonts w:cs="Arial"/>
                <w:b w:val="0"/>
                <w:color w:val="222222"/>
              </w:rPr>
            </w:pPr>
            <w:r>
              <w:rPr>
                <w:rStyle w:val="Emphasis"/>
                <w:rFonts w:cs="Arial"/>
                <w:b w:val="0"/>
                <w:color w:val="222222"/>
              </w:rPr>
              <w:t>Forestry Tasmania</w:t>
            </w:r>
          </w:p>
        </w:tc>
      </w:tr>
      <w:tr w:rsidR="00F371AA" w14:paraId="1B5C2BC0" w14:textId="77777777" w:rsidTr="00F53D9E">
        <w:trPr>
          <w:trHeight w:val="103"/>
        </w:trPr>
        <w:tc>
          <w:tcPr>
            <w:tcW w:w="1242" w:type="dxa"/>
            <w:tcBorders>
              <w:top w:val="single" w:sz="4" w:space="0" w:color="auto"/>
              <w:bottom w:val="single" w:sz="4" w:space="0" w:color="auto"/>
            </w:tcBorders>
            <w:vAlign w:val="center"/>
          </w:tcPr>
          <w:p w14:paraId="1B5C2BBE" w14:textId="77777777" w:rsidR="00F53D9E" w:rsidRDefault="00AC555B" w:rsidP="00F53D9E">
            <w:pPr>
              <w:spacing w:after="0"/>
            </w:pPr>
            <w:r>
              <w:t>IMCRA</w:t>
            </w:r>
          </w:p>
        </w:tc>
        <w:tc>
          <w:tcPr>
            <w:tcW w:w="7513" w:type="dxa"/>
            <w:tcBorders>
              <w:top w:val="single" w:sz="4" w:space="0" w:color="auto"/>
              <w:bottom w:val="single" w:sz="4" w:space="0" w:color="auto"/>
            </w:tcBorders>
            <w:vAlign w:val="center"/>
          </w:tcPr>
          <w:p w14:paraId="1B5C2BBF" w14:textId="77777777" w:rsidR="00F53D9E" w:rsidRPr="008C2839" w:rsidRDefault="00AC555B" w:rsidP="00F53D9E">
            <w:pPr>
              <w:spacing w:after="0"/>
              <w:rPr>
                <w:b/>
                <w:iCs/>
              </w:rPr>
            </w:pPr>
            <w:r w:rsidRPr="008C2839">
              <w:rPr>
                <w:rStyle w:val="Emphasis"/>
                <w:rFonts w:cs="Arial"/>
                <w:b w:val="0"/>
                <w:color w:val="222222"/>
              </w:rPr>
              <w:t>Integrated Marine and Coastal Regionalisation of Australia</w:t>
            </w:r>
          </w:p>
        </w:tc>
      </w:tr>
      <w:tr w:rsidR="00F371AA" w14:paraId="1B5C2BC3" w14:textId="77777777" w:rsidTr="00F53D9E">
        <w:trPr>
          <w:trHeight w:val="103"/>
        </w:trPr>
        <w:tc>
          <w:tcPr>
            <w:tcW w:w="1242" w:type="dxa"/>
            <w:tcBorders>
              <w:top w:val="single" w:sz="4" w:space="0" w:color="auto"/>
              <w:bottom w:val="single" w:sz="4" w:space="0" w:color="auto"/>
            </w:tcBorders>
            <w:vAlign w:val="center"/>
          </w:tcPr>
          <w:p w14:paraId="1B5C2BC1" w14:textId="77777777" w:rsidR="00F53D9E" w:rsidRDefault="00AC555B" w:rsidP="00F53D9E">
            <w:pPr>
              <w:spacing w:after="0"/>
            </w:pPr>
            <w:r>
              <w:t xml:space="preserve">IUCN </w:t>
            </w:r>
          </w:p>
        </w:tc>
        <w:tc>
          <w:tcPr>
            <w:tcW w:w="7513" w:type="dxa"/>
            <w:tcBorders>
              <w:top w:val="single" w:sz="4" w:space="0" w:color="auto"/>
              <w:bottom w:val="single" w:sz="4" w:space="0" w:color="auto"/>
            </w:tcBorders>
            <w:vAlign w:val="center"/>
          </w:tcPr>
          <w:p w14:paraId="1B5C2BC2" w14:textId="77777777" w:rsidR="00F53D9E" w:rsidRDefault="00AC555B" w:rsidP="00F53D9E">
            <w:pPr>
              <w:spacing w:after="0"/>
            </w:pPr>
            <w:r>
              <w:t xml:space="preserve">International Union for Conservation of Nature </w:t>
            </w:r>
          </w:p>
        </w:tc>
      </w:tr>
      <w:tr w:rsidR="00F371AA" w14:paraId="1B5C2BC6" w14:textId="77777777" w:rsidTr="00F53D9E">
        <w:trPr>
          <w:trHeight w:val="103"/>
        </w:trPr>
        <w:tc>
          <w:tcPr>
            <w:tcW w:w="1242" w:type="dxa"/>
            <w:tcBorders>
              <w:top w:val="single" w:sz="4" w:space="0" w:color="auto"/>
              <w:bottom w:val="single" w:sz="4" w:space="0" w:color="auto"/>
            </w:tcBorders>
            <w:vAlign w:val="center"/>
          </w:tcPr>
          <w:p w14:paraId="1B5C2BC4" w14:textId="77777777" w:rsidR="00F53D9E" w:rsidRDefault="00AC555B" w:rsidP="00F53D9E">
            <w:pPr>
              <w:spacing w:after="0"/>
            </w:pPr>
            <w:r>
              <w:t>LMRM Act</w:t>
            </w:r>
          </w:p>
        </w:tc>
        <w:tc>
          <w:tcPr>
            <w:tcW w:w="7513" w:type="dxa"/>
            <w:tcBorders>
              <w:top w:val="single" w:sz="4" w:space="0" w:color="auto"/>
              <w:bottom w:val="single" w:sz="4" w:space="0" w:color="auto"/>
            </w:tcBorders>
            <w:vAlign w:val="center"/>
          </w:tcPr>
          <w:p w14:paraId="1B5C2BC5" w14:textId="77777777" w:rsidR="00F53D9E" w:rsidRDefault="00AC555B" w:rsidP="00F53D9E">
            <w:pPr>
              <w:spacing w:after="0"/>
            </w:pPr>
            <w:r w:rsidRPr="00B1331E">
              <w:rPr>
                <w:i/>
              </w:rPr>
              <w:t>Living Marine Resources Management Act 1995</w:t>
            </w:r>
            <w:r>
              <w:t xml:space="preserve"> </w:t>
            </w:r>
            <w:r w:rsidRPr="009A0A14">
              <w:t>(Tas</w:t>
            </w:r>
            <w:r>
              <w:t>mania</w:t>
            </w:r>
            <w:r w:rsidRPr="009A0A14">
              <w:t>)</w:t>
            </w:r>
          </w:p>
        </w:tc>
      </w:tr>
      <w:tr w:rsidR="00F371AA" w14:paraId="1B5C2BC9" w14:textId="77777777" w:rsidTr="00F53D9E">
        <w:trPr>
          <w:trHeight w:val="103"/>
        </w:trPr>
        <w:tc>
          <w:tcPr>
            <w:tcW w:w="1242" w:type="dxa"/>
            <w:tcBorders>
              <w:top w:val="single" w:sz="4" w:space="0" w:color="auto"/>
              <w:bottom w:val="single" w:sz="4" w:space="0" w:color="auto"/>
            </w:tcBorders>
            <w:vAlign w:val="center"/>
          </w:tcPr>
          <w:p w14:paraId="1B5C2BC7" w14:textId="77777777" w:rsidR="00F53D9E" w:rsidRDefault="00AC555B" w:rsidP="00F53D9E">
            <w:pPr>
              <w:spacing w:after="0"/>
            </w:pPr>
            <w:r>
              <w:t>LRT</w:t>
            </w:r>
          </w:p>
        </w:tc>
        <w:tc>
          <w:tcPr>
            <w:tcW w:w="7513" w:type="dxa"/>
            <w:tcBorders>
              <w:top w:val="single" w:sz="4" w:space="0" w:color="auto"/>
              <w:bottom w:val="single" w:sz="4" w:space="0" w:color="auto"/>
            </w:tcBorders>
            <w:vAlign w:val="center"/>
          </w:tcPr>
          <w:p w14:paraId="1B5C2BC8" w14:textId="77777777" w:rsidR="00F53D9E" w:rsidRDefault="00AC555B" w:rsidP="00F53D9E">
            <w:pPr>
              <w:spacing w:after="0"/>
            </w:pPr>
            <w:r>
              <w:t>Crayfish Recovery Team</w:t>
            </w:r>
          </w:p>
        </w:tc>
      </w:tr>
      <w:tr w:rsidR="00F371AA" w14:paraId="1B5C2BCC" w14:textId="77777777" w:rsidTr="00F53D9E">
        <w:trPr>
          <w:trHeight w:val="103"/>
        </w:trPr>
        <w:tc>
          <w:tcPr>
            <w:tcW w:w="1242" w:type="dxa"/>
            <w:tcBorders>
              <w:top w:val="single" w:sz="4" w:space="0" w:color="auto"/>
              <w:bottom w:val="single" w:sz="4" w:space="0" w:color="auto"/>
            </w:tcBorders>
            <w:vAlign w:val="center"/>
          </w:tcPr>
          <w:p w14:paraId="1B5C2BCA" w14:textId="77777777" w:rsidR="00F53D9E" w:rsidRDefault="00AC555B" w:rsidP="00F53D9E">
            <w:pPr>
              <w:spacing w:after="0"/>
            </w:pPr>
            <w:r>
              <w:t>MNES</w:t>
            </w:r>
          </w:p>
        </w:tc>
        <w:tc>
          <w:tcPr>
            <w:tcW w:w="7513" w:type="dxa"/>
            <w:tcBorders>
              <w:top w:val="single" w:sz="4" w:space="0" w:color="auto"/>
              <w:bottom w:val="single" w:sz="4" w:space="0" w:color="auto"/>
            </w:tcBorders>
            <w:vAlign w:val="center"/>
          </w:tcPr>
          <w:p w14:paraId="1B5C2BCB" w14:textId="77777777" w:rsidR="00F53D9E" w:rsidRDefault="00AC555B" w:rsidP="00F53D9E">
            <w:pPr>
              <w:spacing w:after="0"/>
            </w:pPr>
            <w:r>
              <w:t>Matter of National Environmental Significance</w:t>
            </w:r>
          </w:p>
        </w:tc>
      </w:tr>
      <w:tr w:rsidR="00F371AA" w14:paraId="1B5C2BCF" w14:textId="77777777" w:rsidTr="00F53D9E">
        <w:trPr>
          <w:trHeight w:val="103"/>
        </w:trPr>
        <w:tc>
          <w:tcPr>
            <w:tcW w:w="1242" w:type="dxa"/>
            <w:tcBorders>
              <w:top w:val="single" w:sz="4" w:space="0" w:color="auto"/>
              <w:bottom w:val="single" w:sz="4" w:space="0" w:color="auto"/>
            </w:tcBorders>
            <w:vAlign w:val="center"/>
          </w:tcPr>
          <w:p w14:paraId="1B5C2BCD" w14:textId="77777777" w:rsidR="00F53D9E" w:rsidRDefault="00AC555B" w:rsidP="00F53D9E">
            <w:pPr>
              <w:spacing w:after="0"/>
            </w:pPr>
            <w:r>
              <w:t xml:space="preserve">NGO </w:t>
            </w:r>
          </w:p>
        </w:tc>
        <w:tc>
          <w:tcPr>
            <w:tcW w:w="7513" w:type="dxa"/>
            <w:tcBorders>
              <w:top w:val="single" w:sz="4" w:space="0" w:color="auto"/>
              <w:bottom w:val="single" w:sz="4" w:space="0" w:color="auto"/>
            </w:tcBorders>
            <w:vAlign w:val="center"/>
          </w:tcPr>
          <w:p w14:paraId="1B5C2BCE" w14:textId="77777777" w:rsidR="00F53D9E" w:rsidRDefault="00AC555B" w:rsidP="00F53D9E">
            <w:pPr>
              <w:spacing w:after="0"/>
            </w:pPr>
            <w:r>
              <w:t xml:space="preserve">Non-government organisation </w:t>
            </w:r>
          </w:p>
        </w:tc>
      </w:tr>
      <w:tr w:rsidR="00F371AA" w14:paraId="1B5C2BD2" w14:textId="77777777" w:rsidTr="00F53D9E">
        <w:trPr>
          <w:trHeight w:val="103"/>
        </w:trPr>
        <w:tc>
          <w:tcPr>
            <w:tcW w:w="1242" w:type="dxa"/>
            <w:tcBorders>
              <w:top w:val="single" w:sz="4" w:space="0" w:color="auto"/>
              <w:bottom w:val="single" w:sz="4" w:space="0" w:color="auto"/>
            </w:tcBorders>
            <w:vAlign w:val="center"/>
          </w:tcPr>
          <w:p w14:paraId="1B5C2BD0" w14:textId="77777777" w:rsidR="00F53D9E" w:rsidRDefault="00AC555B" w:rsidP="00F53D9E">
            <w:pPr>
              <w:spacing w:after="0"/>
            </w:pPr>
            <w:r>
              <w:t>NVA</w:t>
            </w:r>
          </w:p>
        </w:tc>
        <w:tc>
          <w:tcPr>
            <w:tcW w:w="7513" w:type="dxa"/>
            <w:tcBorders>
              <w:top w:val="single" w:sz="4" w:space="0" w:color="auto"/>
              <w:bottom w:val="single" w:sz="4" w:space="0" w:color="auto"/>
            </w:tcBorders>
            <w:vAlign w:val="center"/>
          </w:tcPr>
          <w:p w14:paraId="1B5C2BD1" w14:textId="77777777" w:rsidR="00F53D9E" w:rsidRDefault="00AC555B" w:rsidP="00F53D9E">
            <w:pPr>
              <w:spacing w:after="0"/>
            </w:pPr>
            <w:r>
              <w:t xml:space="preserve">Natural Values Atlas </w:t>
            </w:r>
            <w:r w:rsidRPr="009A0A14">
              <w:t>(Tas</w:t>
            </w:r>
            <w:r>
              <w:t>mania</w:t>
            </w:r>
            <w:r w:rsidRPr="009A0A14">
              <w:t>)</w:t>
            </w:r>
          </w:p>
        </w:tc>
      </w:tr>
      <w:tr w:rsidR="00F371AA" w14:paraId="1B5C2BD5" w14:textId="77777777" w:rsidTr="00F53D9E">
        <w:trPr>
          <w:trHeight w:val="103"/>
        </w:trPr>
        <w:tc>
          <w:tcPr>
            <w:tcW w:w="1242" w:type="dxa"/>
            <w:tcBorders>
              <w:top w:val="single" w:sz="4" w:space="0" w:color="auto"/>
              <w:bottom w:val="single" w:sz="4" w:space="0" w:color="auto"/>
            </w:tcBorders>
            <w:vAlign w:val="center"/>
          </w:tcPr>
          <w:p w14:paraId="1B5C2BD3" w14:textId="77777777" w:rsidR="00F53D9E" w:rsidRDefault="00AC555B" w:rsidP="00F53D9E">
            <w:pPr>
              <w:spacing w:after="0"/>
            </w:pPr>
            <w:r>
              <w:lastRenderedPageBreak/>
              <w:t>REDMAP</w:t>
            </w:r>
          </w:p>
        </w:tc>
        <w:tc>
          <w:tcPr>
            <w:tcW w:w="7513" w:type="dxa"/>
            <w:tcBorders>
              <w:top w:val="single" w:sz="4" w:space="0" w:color="auto"/>
              <w:bottom w:val="single" w:sz="4" w:space="0" w:color="auto"/>
            </w:tcBorders>
            <w:vAlign w:val="center"/>
          </w:tcPr>
          <w:p w14:paraId="1B5C2BD4" w14:textId="77777777" w:rsidR="00F53D9E" w:rsidRPr="00994D05" w:rsidRDefault="00AC555B" w:rsidP="00F53D9E">
            <w:pPr>
              <w:spacing w:after="0"/>
            </w:pPr>
            <w:r w:rsidRPr="00994D05">
              <w:rPr>
                <w:rStyle w:val="st1"/>
                <w:rFonts w:cs="Arial"/>
              </w:rPr>
              <w:t>Range Extension Database and Mapping Project</w:t>
            </w:r>
          </w:p>
        </w:tc>
      </w:tr>
      <w:tr w:rsidR="00F371AA" w14:paraId="1B5C2BD8" w14:textId="77777777" w:rsidTr="00F53D9E">
        <w:trPr>
          <w:trHeight w:val="103"/>
        </w:trPr>
        <w:tc>
          <w:tcPr>
            <w:tcW w:w="1242" w:type="dxa"/>
            <w:tcBorders>
              <w:top w:val="single" w:sz="4" w:space="0" w:color="auto"/>
              <w:bottom w:val="single" w:sz="4" w:space="0" w:color="auto"/>
            </w:tcBorders>
            <w:vAlign w:val="center"/>
          </w:tcPr>
          <w:p w14:paraId="1B5C2BD6" w14:textId="77777777" w:rsidR="00F53D9E" w:rsidRDefault="00AC555B" w:rsidP="00F53D9E">
            <w:pPr>
              <w:spacing w:after="0"/>
            </w:pPr>
            <w:r>
              <w:t>SAC</w:t>
            </w:r>
          </w:p>
        </w:tc>
        <w:tc>
          <w:tcPr>
            <w:tcW w:w="7513" w:type="dxa"/>
            <w:tcBorders>
              <w:top w:val="single" w:sz="4" w:space="0" w:color="auto"/>
              <w:bottom w:val="single" w:sz="4" w:space="0" w:color="auto"/>
            </w:tcBorders>
            <w:vAlign w:val="center"/>
          </w:tcPr>
          <w:p w14:paraId="1B5C2BD7" w14:textId="77777777" w:rsidR="00F53D9E" w:rsidRPr="00994D05" w:rsidRDefault="00AC555B" w:rsidP="00F53D9E">
            <w:pPr>
              <w:spacing w:after="0"/>
              <w:rPr>
                <w:rStyle w:val="st1"/>
                <w:rFonts w:cs="Arial"/>
              </w:rPr>
            </w:pPr>
            <w:r>
              <w:rPr>
                <w:rStyle w:val="st1"/>
                <w:rFonts w:cs="Arial"/>
              </w:rPr>
              <w:t>Scientific Advisory Committee (Tasmania)</w:t>
            </w:r>
          </w:p>
        </w:tc>
      </w:tr>
      <w:tr w:rsidR="00F371AA" w14:paraId="1B5C2BDB" w14:textId="77777777" w:rsidTr="00F53D9E">
        <w:trPr>
          <w:trHeight w:val="103"/>
        </w:trPr>
        <w:tc>
          <w:tcPr>
            <w:tcW w:w="1242" w:type="dxa"/>
            <w:tcBorders>
              <w:top w:val="single" w:sz="4" w:space="0" w:color="auto"/>
              <w:bottom w:val="single" w:sz="4" w:space="0" w:color="auto"/>
            </w:tcBorders>
            <w:vAlign w:val="center"/>
          </w:tcPr>
          <w:p w14:paraId="1B5C2BD9" w14:textId="77777777" w:rsidR="00F53D9E" w:rsidRDefault="00AC555B" w:rsidP="00F53D9E">
            <w:pPr>
              <w:spacing w:after="0"/>
            </w:pPr>
            <w:r>
              <w:t>SPRAT</w:t>
            </w:r>
          </w:p>
        </w:tc>
        <w:tc>
          <w:tcPr>
            <w:tcW w:w="7513" w:type="dxa"/>
            <w:tcBorders>
              <w:top w:val="single" w:sz="4" w:space="0" w:color="auto"/>
              <w:bottom w:val="single" w:sz="4" w:space="0" w:color="auto"/>
            </w:tcBorders>
            <w:vAlign w:val="center"/>
          </w:tcPr>
          <w:p w14:paraId="1B5C2BDA" w14:textId="77777777" w:rsidR="00F53D9E" w:rsidRDefault="00AC555B" w:rsidP="00F53D9E">
            <w:pPr>
              <w:spacing w:after="0"/>
              <w:rPr>
                <w:rStyle w:val="st1"/>
                <w:rFonts w:cs="Arial"/>
              </w:rPr>
            </w:pPr>
            <w:r>
              <w:rPr>
                <w:rStyle w:val="st1"/>
                <w:rFonts w:cs="Arial"/>
              </w:rPr>
              <w:t>Species Profile and Threats Database (Commonwealth)</w:t>
            </w:r>
          </w:p>
        </w:tc>
      </w:tr>
      <w:tr w:rsidR="00F371AA" w14:paraId="1B5C2BDE" w14:textId="77777777" w:rsidTr="00F53D9E">
        <w:trPr>
          <w:trHeight w:val="103"/>
        </w:trPr>
        <w:tc>
          <w:tcPr>
            <w:tcW w:w="1242" w:type="dxa"/>
            <w:tcBorders>
              <w:top w:val="single" w:sz="4" w:space="0" w:color="auto"/>
              <w:bottom w:val="single" w:sz="4" w:space="0" w:color="auto"/>
            </w:tcBorders>
            <w:vAlign w:val="center"/>
          </w:tcPr>
          <w:p w14:paraId="1B5C2BDC" w14:textId="77777777" w:rsidR="00F53D9E" w:rsidRDefault="00AC555B" w:rsidP="00F53D9E">
            <w:pPr>
              <w:spacing w:after="0"/>
            </w:pPr>
            <w:r>
              <w:t>TFGA</w:t>
            </w:r>
          </w:p>
        </w:tc>
        <w:tc>
          <w:tcPr>
            <w:tcW w:w="7513" w:type="dxa"/>
            <w:tcBorders>
              <w:top w:val="single" w:sz="4" w:space="0" w:color="auto"/>
              <w:bottom w:val="single" w:sz="4" w:space="0" w:color="auto"/>
            </w:tcBorders>
            <w:vAlign w:val="center"/>
          </w:tcPr>
          <w:p w14:paraId="1B5C2BDD" w14:textId="77777777" w:rsidR="00F53D9E" w:rsidRPr="008C0D17" w:rsidRDefault="00AC555B" w:rsidP="00F53D9E">
            <w:pPr>
              <w:spacing w:after="0"/>
            </w:pPr>
            <w:r>
              <w:t xml:space="preserve">Tasmanian Farmers and Graziers Association </w:t>
            </w:r>
          </w:p>
        </w:tc>
      </w:tr>
      <w:tr w:rsidR="00F371AA" w14:paraId="1B5C2BE1" w14:textId="77777777" w:rsidTr="00F53D9E">
        <w:trPr>
          <w:trHeight w:val="103"/>
        </w:trPr>
        <w:tc>
          <w:tcPr>
            <w:tcW w:w="1242" w:type="dxa"/>
            <w:tcBorders>
              <w:top w:val="single" w:sz="4" w:space="0" w:color="auto"/>
              <w:bottom w:val="single" w:sz="4" w:space="0" w:color="auto"/>
            </w:tcBorders>
            <w:vAlign w:val="center"/>
          </w:tcPr>
          <w:p w14:paraId="1B5C2BDF" w14:textId="77777777" w:rsidR="00F53D9E" w:rsidRDefault="00AC555B" w:rsidP="00F53D9E">
            <w:pPr>
              <w:spacing w:after="0"/>
            </w:pPr>
            <w:r>
              <w:t>TSP Act</w:t>
            </w:r>
          </w:p>
        </w:tc>
        <w:tc>
          <w:tcPr>
            <w:tcW w:w="7513" w:type="dxa"/>
            <w:tcBorders>
              <w:top w:val="single" w:sz="4" w:space="0" w:color="auto"/>
              <w:bottom w:val="single" w:sz="4" w:space="0" w:color="auto"/>
            </w:tcBorders>
            <w:vAlign w:val="center"/>
          </w:tcPr>
          <w:p w14:paraId="1B5C2BE0" w14:textId="77777777" w:rsidR="00F53D9E" w:rsidRPr="009A0A14" w:rsidRDefault="00AC555B" w:rsidP="00F53D9E">
            <w:pPr>
              <w:spacing w:after="0"/>
            </w:pPr>
            <w:r w:rsidRPr="00B1331E">
              <w:rPr>
                <w:i/>
              </w:rPr>
              <w:t>Threatened Species Protection Act 1995</w:t>
            </w:r>
            <w:r>
              <w:t xml:space="preserve"> </w:t>
            </w:r>
            <w:r w:rsidRPr="009A0A14">
              <w:t>(Tas</w:t>
            </w:r>
            <w:r>
              <w:t>mania</w:t>
            </w:r>
            <w:r w:rsidRPr="009A0A14">
              <w:t>)</w:t>
            </w:r>
          </w:p>
        </w:tc>
      </w:tr>
      <w:tr w:rsidR="00F371AA" w14:paraId="1B5C2BE4" w14:textId="77777777" w:rsidTr="00F53D9E">
        <w:trPr>
          <w:trHeight w:val="103"/>
        </w:trPr>
        <w:tc>
          <w:tcPr>
            <w:tcW w:w="1242" w:type="dxa"/>
            <w:tcBorders>
              <w:top w:val="single" w:sz="4" w:space="0" w:color="auto"/>
              <w:bottom w:val="single" w:sz="4" w:space="0" w:color="auto"/>
            </w:tcBorders>
            <w:vAlign w:val="center"/>
          </w:tcPr>
          <w:p w14:paraId="1B5C2BE2" w14:textId="77777777" w:rsidR="00F53D9E" w:rsidRDefault="00AC555B" w:rsidP="00F53D9E">
            <w:pPr>
              <w:spacing w:after="0"/>
            </w:pPr>
            <w:r>
              <w:t xml:space="preserve">TSSC </w:t>
            </w:r>
          </w:p>
        </w:tc>
        <w:tc>
          <w:tcPr>
            <w:tcW w:w="7513" w:type="dxa"/>
            <w:tcBorders>
              <w:top w:val="single" w:sz="4" w:space="0" w:color="auto"/>
              <w:bottom w:val="single" w:sz="4" w:space="0" w:color="auto"/>
            </w:tcBorders>
            <w:vAlign w:val="center"/>
          </w:tcPr>
          <w:p w14:paraId="1B5C2BE3" w14:textId="77777777" w:rsidR="00F53D9E" w:rsidRDefault="00AC555B" w:rsidP="00F53D9E">
            <w:pPr>
              <w:spacing w:after="0"/>
            </w:pPr>
            <w:r>
              <w:t>Threatened Species Scientific Committee (Commonwealth)</w:t>
            </w:r>
          </w:p>
        </w:tc>
      </w:tr>
      <w:tr w:rsidR="00F371AA" w14:paraId="1B5C2BE7" w14:textId="77777777" w:rsidTr="00F53D9E">
        <w:trPr>
          <w:trHeight w:val="103"/>
        </w:trPr>
        <w:tc>
          <w:tcPr>
            <w:tcW w:w="1242" w:type="dxa"/>
            <w:tcBorders>
              <w:top w:val="single" w:sz="4" w:space="0" w:color="auto"/>
              <w:bottom w:val="single" w:sz="4" w:space="0" w:color="auto"/>
            </w:tcBorders>
            <w:vAlign w:val="center"/>
          </w:tcPr>
          <w:p w14:paraId="1B5C2BE5" w14:textId="77777777" w:rsidR="00F53D9E" w:rsidRDefault="00AC555B" w:rsidP="00F53D9E">
            <w:pPr>
              <w:spacing w:after="0"/>
            </w:pPr>
            <w:r>
              <w:t>UTAS</w:t>
            </w:r>
          </w:p>
        </w:tc>
        <w:tc>
          <w:tcPr>
            <w:tcW w:w="7513" w:type="dxa"/>
            <w:tcBorders>
              <w:top w:val="single" w:sz="4" w:space="0" w:color="auto"/>
              <w:bottom w:val="single" w:sz="4" w:space="0" w:color="auto"/>
            </w:tcBorders>
            <w:vAlign w:val="center"/>
          </w:tcPr>
          <w:p w14:paraId="1B5C2BE6" w14:textId="77777777" w:rsidR="00F53D9E" w:rsidRDefault="00AC555B" w:rsidP="00F53D9E">
            <w:pPr>
              <w:spacing w:after="0"/>
            </w:pPr>
            <w:r>
              <w:t>University of Tasmania</w:t>
            </w:r>
          </w:p>
        </w:tc>
      </w:tr>
    </w:tbl>
    <w:p w14:paraId="1B5C2BE8" w14:textId="77777777" w:rsidR="00F53D9E" w:rsidRPr="00D04A76" w:rsidRDefault="00F53D9E" w:rsidP="00F53D9E">
      <w:pPr>
        <w:spacing w:after="0"/>
      </w:pPr>
    </w:p>
    <w:p w14:paraId="1B5C2BE9" w14:textId="77777777" w:rsidR="00F53D9E" w:rsidRPr="00D04A76" w:rsidRDefault="00F53D9E" w:rsidP="00F53D9E">
      <w:pPr>
        <w:sectPr w:rsidR="00F53D9E" w:rsidRPr="00D04A76" w:rsidSect="00F53D9E">
          <w:headerReference w:type="first" r:id="rId20"/>
          <w:footerReference w:type="first" r:id="rId21"/>
          <w:pgSz w:w="11906" w:h="16838" w:code="9"/>
          <w:pgMar w:top="1440" w:right="1440" w:bottom="1440" w:left="1440" w:header="425" w:footer="425" w:gutter="0"/>
          <w:cols w:space="708"/>
          <w:titlePg/>
          <w:docGrid w:linePitch="360"/>
        </w:sectPr>
      </w:pPr>
    </w:p>
    <w:p w14:paraId="1B5C2BEA" w14:textId="77777777" w:rsidR="00F53D9E" w:rsidRPr="00E05878" w:rsidRDefault="00AC555B" w:rsidP="00F53D9E">
      <w:pPr>
        <w:pStyle w:val="Heading1"/>
      </w:pPr>
      <w:bookmarkStart w:id="49" w:name="_Toc256000148"/>
      <w:bookmarkStart w:id="50" w:name="_Toc256000102"/>
      <w:bookmarkStart w:id="51" w:name="_Toc256000054"/>
      <w:bookmarkStart w:id="52" w:name="_Toc256000006"/>
      <w:bookmarkStart w:id="53" w:name="_Toc458697039"/>
      <w:r w:rsidRPr="00E05878">
        <w:lastRenderedPageBreak/>
        <w:t>1 Summary</w:t>
      </w:r>
      <w:bookmarkEnd w:id="49"/>
      <w:bookmarkEnd w:id="50"/>
      <w:bookmarkEnd w:id="51"/>
      <w:bookmarkEnd w:id="52"/>
      <w:bookmarkEnd w:id="53"/>
    </w:p>
    <w:p w14:paraId="1B5C2BEB" w14:textId="77777777" w:rsidR="00F53D9E" w:rsidRPr="00E05878" w:rsidRDefault="00AC555B" w:rsidP="00F53D9E">
      <w:pPr>
        <w:pStyle w:val="Heading2"/>
      </w:pPr>
      <w:bookmarkStart w:id="54" w:name="_Toc256000149"/>
      <w:bookmarkStart w:id="55" w:name="_Toc256000103"/>
      <w:bookmarkStart w:id="56" w:name="_Toc256000055"/>
      <w:bookmarkStart w:id="57" w:name="_Toc256000007"/>
      <w:bookmarkStart w:id="58" w:name="_Toc393467326"/>
      <w:bookmarkStart w:id="59" w:name="_Toc424812383"/>
      <w:bookmarkStart w:id="60" w:name="_Toc429051747"/>
      <w:bookmarkStart w:id="61" w:name="_Toc432076287"/>
      <w:bookmarkStart w:id="62" w:name="_Toc440634531"/>
      <w:bookmarkStart w:id="63" w:name="_Toc440634603"/>
      <w:bookmarkStart w:id="64" w:name="_Toc457469875"/>
      <w:bookmarkStart w:id="65" w:name="_Toc458697040"/>
      <w:r w:rsidRPr="00E05878">
        <w:t xml:space="preserve">Giant Freshwater </w:t>
      </w:r>
      <w:r>
        <w:t>Crayfish</w:t>
      </w:r>
      <w:r w:rsidRPr="00E05878">
        <w:t xml:space="preserve"> </w:t>
      </w:r>
      <w:r w:rsidRPr="007C2EEF">
        <w:rPr>
          <w:i/>
        </w:rPr>
        <w:t>(</w:t>
      </w:r>
      <w:proofErr w:type="spellStart"/>
      <w:r w:rsidRPr="007C2EEF">
        <w:rPr>
          <w:i/>
        </w:rPr>
        <w:t>Astacopsis</w:t>
      </w:r>
      <w:proofErr w:type="spellEnd"/>
      <w:r w:rsidRPr="007C2EEF">
        <w:rPr>
          <w:i/>
        </w:rPr>
        <w:t xml:space="preserve"> </w:t>
      </w:r>
      <w:proofErr w:type="spellStart"/>
      <w:r w:rsidRPr="007C2EEF">
        <w:rPr>
          <w:i/>
        </w:rPr>
        <w:t>gouldi</w:t>
      </w:r>
      <w:proofErr w:type="spellEnd"/>
      <w:r w:rsidRPr="007C2EEF">
        <w:rPr>
          <w:i/>
        </w:rPr>
        <w:t>)</w:t>
      </w:r>
      <w:bookmarkEnd w:id="54"/>
      <w:bookmarkEnd w:id="55"/>
      <w:bookmarkEnd w:id="56"/>
      <w:bookmarkEnd w:id="57"/>
      <w:bookmarkEnd w:id="58"/>
      <w:bookmarkEnd w:id="59"/>
      <w:bookmarkEnd w:id="60"/>
      <w:bookmarkEnd w:id="61"/>
      <w:bookmarkEnd w:id="62"/>
      <w:bookmarkEnd w:id="63"/>
      <w:bookmarkEnd w:id="64"/>
      <w:bookmarkEnd w:id="65"/>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2890"/>
        <w:gridCol w:w="6136"/>
      </w:tblGrid>
      <w:tr w:rsidR="00F371AA" w14:paraId="1B5C2BEE" w14:textId="77777777" w:rsidTr="00F53D9E">
        <w:trPr>
          <w:cnfStyle w:val="100000000000" w:firstRow="1" w:lastRow="0" w:firstColumn="0" w:lastColumn="0" w:oddVBand="0" w:evenVBand="0" w:oddHBand="0" w:evenHBand="0" w:firstRowFirstColumn="0" w:firstRowLastColumn="0" w:lastRowFirstColumn="0" w:lastRowLastColumn="0"/>
        </w:trPr>
        <w:tc>
          <w:tcPr>
            <w:tcW w:w="2943" w:type="dxa"/>
          </w:tcPr>
          <w:p w14:paraId="1B5C2BEC" w14:textId="77777777" w:rsidR="00F53D9E" w:rsidRDefault="00AC555B" w:rsidP="00F53D9E">
            <w:pPr>
              <w:rPr>
                <w:b/>
              </w:rPr>
            </w:pPr>
            <w:r w:rsidRPr="007A5262">
              <w:rPr>
                <w:b/>
              </w:rPr>
              <w:t>Family:</w:t>
            </w:r>
            <w:r>
              <w:tab/>
            </w:r>
          </w:p>
        </w:tc>
        <w:tc>
          <w:tcPr>
            <w:tcW w:w="6299" w:type="dxa"/>
          </w:tcPr>
          <w:p w14:paraId="1B5C2BED" w14:textId="77777777" w:rsidR="00F53D9E" w:rsidRDefault="00AC555B" w:rsidP="00F53D9E">
            <w:pPr>
              <w:rPr>
                <w:b/>
              </w:rPr>
            </w:pPr>
            <w:proofErr w:type="spellStart"/>
            <w:r>
              <w:rPr>
                <w:szCs w:val="20"/>
              </w:rPr>
              <w:t>Parastacidae</w:t>
            </w:r>
            <w:proofErr w:type="spellEnd"/>
          </w:p>
        </w:tc>
      </w:tr>
      <w:tr w:rsidR="00F371AA" w14:paraId="1B5C2BF3" w14:textId="77777777" w:rsidTr="00F53D9E">
        <w:trPr>
          <w:cnfStyle w:val="000000100000" w:firstRow="0" w:lastRow="0" w:firstColumn="0" w:lastColumn="0" w:oddVBand="0" w:evenVBand="0" w:oddHBand="1" w:evenHBand="0" w:firstRowFirstColumn="0" w:firstRowLastColumn="0" w:lastRowFirstColumn="0" w:lastRowLastColumn="0"/>
        </w:trPr>
        <w:tc>
          <w:tcPr>
            <w:tcW w:w="2943" w:type="dxa"/>
          </w:tcPr>
          <w:p w14:paraId="1B5C2BEF" w14:textId="77777777" w:rsidR="00F53D9E" w:rsidRDefault="00AC555B" w:rsidP="00F53D9E">
            <w:pPr>
              <w:rPr>
                <w:b/>
              </w:rPr>
            </w:pPr>
            <w:r w:rsidRPr="007A5262">
              <w:rPr>
                <w:b/>
              </w:rPr>
              <w:t>I</w:t>
            </w:r>
            <w:r>
              <w:rPr>
                <w:b/>
              </w:rPr>
              <w:t>B</w:t>
            </w:r>
            <w:r w:rsidRPr="007A5262">
              <w:rPr>
                <w:b/>
              </w:rPr>
              <w:t>RA Bioregion</w:t>
            </w:r>
            <w:r w:rsidRPr="00DC7144">
              <w:rPr>
                <w:b/>
              </w:rPr>
              <w:t xml:space="preserve"> </w:t>
            </w:r>
            <w:r>
              <w:rPr>
                <w:b/>
              </w:rPr>
              <w:t>(ver. 7.0)</w:t>
            </w:r>
            <w:r w:rsidRPr="007A5262">
              <w:rPr>
                <w:b/>
              </w:rPr>
              <w:t>:</w:t>
            </w:r>
          </w:p>
        </w:tc>
        <w:tc>
          <w:tcPr>
            <w:tcW w:w="6299" w:type="dxa"/>
          </w:tcPr>
          <w:p w14:paraId="1B5C2BF0" w14:textId="77777777" w:rsidR="00F53D9E" w:rsidRDefault="00AC555B">
            <w:r w:rsidRPr="00F9556F">
              <w:t xml:space="preserve">Known: </w:t>
            </w:r>
            <w:r>
              <w:t>King; Furneaux; Tasmanian Northern Slopes; Ben Lomond</w:t>
            </w:r>
          </w:p>
          <w:p w14:paraId="1B5C2BF1" w14:textId="77777777" w:rsidR="00F53D9E" w:rsidRDefault="00AC555B">
            <w:r>
              <w:t>Translocated populations: Ben Lomond; Tasmanian South East</w:t>
            </w:r>
          </w:p>
          <w:p w14:paraId="1B5C2BF2" w14:textId="77777777" w:rsidR="00F53D9E" w:rsidRDefault="00AC555B">
            <w:pPr>
              <w:rPr>
                <w:b/>
              </w:rPr>
            </w:pPr>
            <w:r w:rsidRPr="00F9556F">
              <w:t xml:space="preserve">Possible: </w:t>
            </w:r>
            <w:r>
              <w:t>Tasmanian West; Tasmanian Northern Midlands;</w:t>
            </w:r>
            <w:r w:rsidRPr="000C6C31">
              <w:t xml:space="preserve"> </w:t>
            </w:r>
            <w:r>
              <w:t>Tasmanian Central Highlands: Tasmanian South East</w:t>
            </w:r>
          </w:p>
        </w:tc>
      </w:tr>
      <w:tr w:rsidR="00F371AA" w14:paraId="1B5C2BF8" w14:textId="77777777" w:rsidTr="00F53D9E">
        <w:trPr>
          <w:cnfStyle w:val="000000010000" w:firstRow="0" w:lastRow="0" w:firstColumn="0" w:lastColumn="0" w:oddVBand="0" w:evenVBand="0" w:oddHBand="0" w:evenHBand="1" w:firstRowFirstColumn="0" w:firstRowLastColumn="0" w:lastRowFirstColumn="0" w:lastRowLastColumn="0"/>
        </w:trPr>
        <w:tc>
          <w:tcPr>
            <w:tcW w:w="2943" w:type="dxa"/>
          </w:tcPr>
          <w:p w14:paraId="1B5C2BF4" w14:textId="77777777" w:rsidR="00F53D9E" w:rsidRDefault="00AC555B" w:rsidP="00F53D9E">
            <w:pPr>
              <w:rPr>
                <w:b/>
              </w:rPr>
            </w:pPr>
            <w:r w:rsidRPr="00F9556F">
              <w:rPr>
                <w:b/>
              </w:rPr>
              <w:t>Current status of taxon:</w:t>
            </w:r>
          </w:p>
        </w:tc>
        <w:tc>
          <w:tcPr>
            <w:tcW w:w="6299" w:type="dxa"/>
          </w:tcPr>
          <w:p w14:paraId="1B5C2BF5" w14:textId="77777777" w:rsidR="00F53D9E" w:rsidRDefault="00AC555B" w:rsidP="00F53D9E">
            <w:pPr>
              <w:ind w:hanging="34"/>
            </w:pPr>
            <w:r w:rsidRPr="000D1A82">
              <w:rPr>
                <w:i/>
              </w:rPr>
              <w:t>Environment Protection and Biodiversity Conservation Act 1999</w:t>
            </w:r>
            <w:r>
              <w:rPr>
                <w:i/>
              </w:rPr>
              <w:t xml:space="preserve"> </w:t>
            </w:r>
            <w:r w:rsidRPr="000D1A82">
              <w:t>(</w:t>
            </w:r>
            <w:proofErr w:type="spellStart"/>
            <w:r w:rsidRPr="000D1A82">
              <w:t>C’th</w:t>
            </w:r>
            <w:proofErr w:type="spellEnd"/>
            <w:r w:rsidRPr="000D1A82">
              <w:t>)</w:t>
            </w:r>
            <w:r w:rsidRPr="00F9556F">
              <w:t xml:space="preserve">: </w:t>
            </w:r>
            <w:r>
              <w:t>Vulnerable</w:t>
            </w:r>
          </w:p>
          <w:p w14:paraId="1B5C2BF6" w14:textId="77777777" w:rsidR="00F53D9E" w:rsidRDefault="00AC555B" w:rsidP="00F53D9E">
            <w:pPr>
              <w:ind w:hanging="34"/>
            </w:pPr>
            <w:r w:rsidRPr="000D1A82">
              <w:rPr>
                <w:i/>
              </w:rPr>
              <w:t>Threatened Species Protection Act 1995</w:t>
            </w:r>
            <w:r w:rsidRPr="00F9556F">
              <w:t xml:space="preserve"> (Tas</w:t>
            </w:r>
            <w:r>
              <w:t>mania</w:t>
            </w:r>
            <w:r w:rsidRPr="00F9556F">
              <w:t xml:space="preserve">): </w:t>
            </w:r>
            <w:r>
              <w:t>Vulnerable</w:t>
            </w:r>
          </w:p>
          <w:p w14:paraId="1B5C2BF7" w14:textId="77777777" w:rsidR="00F53D9E" w:rsidRPr="003953F2" w:rsidRDefault="00AC555B" w:rsidP="00F53D9E">
            <w:pPr>
              <w:ind w:hanging="34"/>
            </w:pPr>
            <w:r>
              <w:tab/>
            </w:r>
            <w:r w:rsidRPr="00F9556F">
              <w:t xml:space="preserve">IUCN Red List of Threatened Species: Endangered  </w:t>
            </w:r>
          </w:p>
        </w:tc>
      </w:tr>
      <w:tr w:rsidR="00F371AA" w14:paraId="1B5C2BFB" w14:textId="77777777" w:rsidTr="00F53D9E">
        <w:trPr>
          <w:cnfStyle w:val="000000100000" w:firstRow="0" w:lastRow="0" w:firstColumn="0" w:lastColumn="0" w:oddVBand="0" w:evenVBand="0" w:oddHBand="1" w:evenHBand="0" w:firstRowFirstColumn="0" w:firstRowLastColumn="0" w:lastRowFirstColumn="0" w:lastRowLastColumn="0"/>
        </w:trPr>
        <w:tc>
          <w:tcPr>
            <w:tcW w:w="2943" w:type="dxa"/>
          </w:tcPr>
          <w:p w14:paraId="1B5C2BF9" w14:textId="77777777" w:rsidR="00F53D9E" w:rsidRDefault="00AC555B" w:rsidP="00F53D9E">
            <w:pPr>
              <w:rPr>
                <w:b/>
              </w:rPr>
            </w:pPr>
            <w:r w:rsidRPr="00F9556F">
              <w:rPr>
                <w:b/>
              </w:rPr>
              <w:t>Distribution and habitat:</w:t>
            </w:r>
          </w:p>
        </w:tc>
        <w:tc>
          <w:tcPr>
            <w:tcW w:w="6299" w:type="dxa"/>
          </w:tcPr>
          <w:p w14:paraId="1B5C2BFA" w14:textId="77777777" w:rsidR="00F53D9E" w:rsidRDefault="00AC555B">
            <w:pPr>
              <w:rPr>
                <w:b/>
              </w:rPr>
            </w:pPr>
            <w:r>
              <w:t xml:space="preserve">The giant freshwater crayfish is endemic to rivers of northern Tasmania. This species requires well-shaded streams that have good water quality, low sediment levels, snags, </w:t>
            </w:r>
            <w:proofErr w:type="gramStart"/>
            <w:r>
              <w:t>pools</w:t>
            </w:r>
            <w:proofErr w:type="gramEnd"/>
            <w:r>
              <w:t xml:space="preserve"> and undercut banks (</w:t>
            </w:r>
            <w:proofErr w:type="spellStart"/>
            <w:r>
              <w:t>Growns</w:t>
            </w:r>
            <w:proofErr w:type="spellEnd"/>
            <w:r>
              <w:t xml:space="preserve"> 1995; </w:t>
            </w:r>
            <w:proofErr w:type="spellStart"/>
            <w:r>
              <w:t>Hamr</w:t>
            </w:r>
            <w:proofErr w:type="spellEnd"/>
            <w:r>
              <w:t xml:space="preserve"> 1990a, b; Lynch 1967). The giant freshwater crayfish requires a stable thermal regime of relatively low water temperature (TSS 2006).</w:t>
            </w:r>
          </w:p>
        </w:tc>
      </w:tr>
    </w:tbl>
    <w:p w14:paraId="1B5C2BFC" w14:textId="77777777" w:rsidR="00F53D9E" w:rsidRPr="007E60CC" w:rsidRDefault="00AC555B" w:rsidP="00F53D9E">
      <w:pPr>
        <w:pStyle w:val="Heading2"/>
      </w:pPr>
      <w:bookmarkStart w:id="66" w:name="_Toc256000150"/>
      <w:bookmarkStart w:id="67" w:name="_Toc256000104"/>
      <w:bookmarkStart w:id="68" w:name="_Toc256000056"/>
      <w:bookmarkStart w:id="69" w:name="_Toc256000008"/>
      <w:bookmarkStart w:id="70" w:name="_Toc393467329"/>
      <w:bookmarkStart w:id="71" w:name="_Toc424812384"/>
      <w:bookmarkStart w:id="72" w:name="_Toc429051748"/>
      <w:bookmarkStart w:id="73" w:name="_Toc432076288"/>
      <w:bookmarkStart w:id="74" w:name="_Toc440634532"/>
      <w:bookmarkStart w:id="75" w:name="_Toc440634604"/>
      <w:bookmarkStart w:id="76" w:name="_Toc457469876"/>
      <w:bookmarkStart w:id="77" w:name="_Toc458697041"/>
      <w:r w:rsidRPr="007E60CC">
        <w:t>Habitat critical for survival:</w:t>
      </w:r>
      <w:bookmarkEnd w:id="66"/>
      <w:bookmarkEnd w:id="67"/>
      <w:bookmarkEnd w:id="68"/>
      <w:bookmarkEnd w:id="69"/>
      <w:bookmarkEnd w:id="70"/>
      <w:bookmarkEnd w:id="71"/>
      <w:bookmarkEnd w:id="72"/>
      <w:bookmarkEnd w:id="73"/>
      <w:bookmarkEnd w:id="74"/>
      <w:bookmarkEnd w:id="75"/>
      <w:bookmarkEnd w:id="76"/>
      <w:bookmarkEnd w:id="77"/>
    </w:p>
    <w:p w14:paraId="1B5C2BFD" w14:textId="77777777" w:rsidR="00F53D9E" w:rsidRPr="002A122F" w:rsidRDefault="00AC555B" w:rsidP="00F53D9E">
      <w:r w:rsidRPr="002A122F">
        <w:t xml:space="preserve">Habitat critical to the survival of </w:t>
      </w:r>
      <w:r>
        <w:t>the giant freshwater crayfish</w:t>
      </w:r>
      <w:r w:rsidRPr="002A122F">
        <w:t xml:space="preserve"> is defined as:</w:t>
      </w:r>
    </w:p>
    <w:p w14:paraId="1B5C2BFE" w14:textId="77777777" w:rsidR="00F53D9E" w:rsidRDefault="00AC555B" w:rsidP="00F53D9E">
      <w:pPr>
        <w:pStyle w:val="ListBullet"/>
        <w:numPr>
          <w:ilvl w:val="0"/>
          <w:numId w:val="14"/>
        </w:numPr>
      </w:pPr>
      <w:r>
        <w:t xml:space="preserve">Habitat within the known/likely distribution of the species that: </w:t>
      </w:r>
    </w:p>
    <w:p w14:paraId="1B5C2BFF" w14:textId="77777777" w:rsidR="00F53D9E" w:rsidRDefault="00AC555B" w:rsidP="00F53D9E">
      <w:pPr>
        <w:pStyle w:val="ListParagraph"/>
        <w:numPr>
          <w:ilvl w:val="1"/>
          <w:numId w:val="14"/>
        </w:numPr>
        <w:ind w:left="1843" w:hanging="425"/>
      </w:pPr>
      <w:r w:rsidRPr="00176023">
        <w:t>is known to be of high priority for the maintenance of breeding populations throughout the species’ range</w:t>
      </w:r>
      <w:r w:rsidRPr="0032387E">
        <w:rPr>
          <w:rFonts w:cs="Arial"/>
          <w:color w:val="000000"/>
          <w:szCs w:val="20"/>
        </w:rPr>
        <w:t>;</w:t>
      </w:r>
    </w:p>
    <w:p w14:paraId="1B5C2C00" w14:textId="77777777" w:rsidR="00F53D9E" w:rsidRDefault="00AC555B" w:rsidP="00F53D9E">
      <w:pPr>
        <w:pStyle w:val="ListBullet2"/>
        <w:numPr>
          <w:ilvl w:val="0"/>
          <w:numId w:val="0"/>
        </w:numPr>
        <w:ind w:left="1843" w:hanging="425"/>
      </w:pPr>
      <w:r>
        <w:t>AND</w:t>
      </w:r>
    </w:p>
    <w:p w14:paraId="1B5C2C01" w14:textId="77777777" w:rsidR="00F53D9E" w:rsidRPr="00430363" w:rsidRDefault="00AC555B" w:rsidP="00F53D9E">
      <w:pPr>
        <w:pStyle w:val="ListParagraph"/>
        <w:numPr>
          <w:ilvl w:val="1"/>
          <w:numId w:val="14"/>
        </w:numPr>
        <w:ind w:left="1843" w:hanging="425"/>
      </w:pPr>
      <w:proofErr w:type="gramStart"/>
      <w:r>
        <w:t>the</w:t>
      </w:r>
      <w:proofErr w:type="gramEnd"/>
      <w:r>
        <w:t xml:space="preserve"> conversion of which to an alternative land-use </w:t>
      </w:r>
      <w:r w:rsidRPr="00176023">
        <w:t xml:space="preserve">is considered </w:t>
      </w:r>
      <w:r>
        <w:t xml:space="preserve">likely </w:t>
      </w:r>
      <w:r w:rsidRPr="00176023">
        <w:t>to result in a long-term negative impact on breeding populations of the species</w:t>
      </w:r>
      <w:r w:rsidRPr="00430363">
        <w:t>.</w:t>
      </w:r>
    </w:p>
    <w:p w14:paraId="1B5C2C02" w14:textId="77777777" w:rsidR="00F53D9E" w:rsidRDefault="00AC555B">
      <w:r w:rsidRPr="002C383A">
        <w:rPr>
          <w:b/>
        </w:rPr>
        <w:t>Habitat</w:t>
      </w:r>
      <w:r w:rsidRPr="00430363">
        <w:t>, as defined above, includes streams</w:t>
      </w:r>
      <w:r>
        <w:t xml:space="preserve">, </w:t>
      </w:r>
      <w:r w:rsidRPr="00430363">
        <w:t xml:space="preserve">river reaches and associated riparian vegetation. </w:t>
      </w:r>
    </w:p>
    <w:p w14:paraId="1B5C2C03" w14:textId="77777777" w:rsidR="00F53D9E" w:rsidRPr="00AC13B8" w:rsidRDefault="00AC555B" w:rsidP="00F53D9E">
      <w:pPr>
        <w:pStyle w:val="ListBullet"/>
        <w:ind w:left="0" w:firstLine="0"/>
      </w:pPr>
      <w:r w:rsidRPr="002C383A">
        <w:rPr>
          <w:b/>
        </w:rPr>
        <w:t>Known/likely distribution</w:t>
      </w:r>
      <w:r>
        <w:t>, as defined above, can be derived from the ‘species likely to occur’ category shown in Figure 1 and subsequently ground-</w:t>
      </w:r>
      <w:proofErr w:type="spellStart"/>
      <w:r>
        <w:t>truthed</w:t>
      </w:r>
      <w:proofErr w:type="spellEnd"/>
      <w:r>
        <w:t xml:space="preserve"> using appropriate methodology agreed by the Threatened Species Section of Department of Primary Industries, Parks, Water and Environment (DPIPWE)</w:t>
      </w:r>
      <w:r w:rsidRPr="00AC13B8">
        <w:rPr>
          <w:rFonts w:cs="Arial"/>
          <w:color w:val="000000"/>
          <w:szCs w:val="20"/>
        </w:rPr>
        <w:t xml:space="preserve"> </w:t>
      </w:r>
      <w:r w:rsidRPr="00176023">
        <w:rPr>
          <w:rFonts w:cs="Arial"/>
          <w:color w:val="000000"/>
          <w:szCs w:val="20"/>
        </w:rPr>
        <w:t>in consultation with species' specialists</w:t>
      </w:r>
      <w:r>
        <w:t>.</w:t>
      </w:r>
    </w:p>
    <w:p w14:paraId="1B5C2C04" w14:textId="77777777" w:rsidR="00F53D9E" w:rsidRDefault="00AC555B" w:rsidP="00F53D9E">
      <w:pPr>
        <w:pStyle w:val="Default"/>
        <w:spacing w:after="240"/>
        <w:rPr>
          <w:color w:val="808080" w:themeColor="background1" w:themeShade="80"/>
          <w:sz w:val="32"/>
        </w:rPr>
      </w:pPr>
      <w:r w:rsidRPr="002C383A">
        <w:rPr>
          <w:i/>
          <w:sz w:val="20"/>
          <w:szCs w:val="20"/>
        </w:rPr>
        <w:t>Note: For the purpose of forestry operations</w:t>
      </w:r>
      <w:r>
        <w:rPr>
          <w:i/>
          <w:sz w:val="20"/>
          <w:szCs w:val="20"/>
        </w:rPr>
        <w:t xml:space="preserve"> that</w:t>
      </w:r>
      <w:r w:rsidRPr="002C383A">
        <w:rPr>
          <w:i/>
          <w:sz w:val="20"/>
          <w:szCs w:val="20"/>
        </w:rPr>
        <w:t xml:space="preserve"> </w:t>
      </w:r>
      <w:r>
        <w:rPr>
          <w:i/>
          <w:sz w:val="20"/>
          <w:szCs w:val="20"/>
        </w:rPr>
        <w:t>are conducted in accordance with the Forest Practices Act 1985</w:t>
      </w:r>
      <w:r w:rsidRPr="002C383A">
        <w:rPr>
          <w:i/>
          <w:sz w:val="20"/>
          <w:szCs w:val="20"/>
        </w:rPr>
        <w:t xml:space="preserve">, the above definition of ‘habitat critical </w:t>
      </w:r>
      <w:r>
        <w:rPr>
          <w:i/>
          <w:sz w:val="20"/>
          <w:szCs w:val="20"/>
        </w:rPr>
        <w:t>for</w:t>
      </w:r>
      <w:r w:rsidRPr="002C383A">
        <w:rPr>
          <w:i/>
          <w:sz w:val="20"/>
          <w:szCs w:val="20"/>
        </w:rPr>
        <w:t xml:space="preserve"> survival’ should be considered to be consistent with the generic description of ‘significant habitat’ and the definition of giant freshwater crayfish ‘potential habitat’</w:t>
      </w:r>
      <w:r>
        <w:rPr>
          <w:i/>
          <w:sz w:val="20"/>
          <w:szCs w:val="20"/>
        </w:rPr>
        <w:t>,</w:t>
      </w:r>
      <w:r w:rsidRPr="002C383A">
        <w:rPr>
          <w:i/>
          <w:sz w:val="20"/>
          <w:szCs w:val="20"/>
        </w:rPr>
        <w:t xml:space="preserve"> as outlined by the </w:t>
      </w:r>
      <w:r w:rsidRPr="009D5EF4">
        <w:rPr>
          <w:bCs/>
          <w:i/>
          <w:sz w:val="20"/>
          <w:szCs w:val="20"/>
        </w:rPr>
        <w:t>Forest Practices Authority</w:t>
      </w:r>
      <w:r w:rsidRPr="009D5EF4">
        <w:rPr>
          <w:i/>
          <w:sz w:val="20"/>
          <w:szCs w:val="20"/>
        </w:rPr>
        <w:t xml:space="preserve"> </w:t>
      </w:r>
      <w:r>
        <w:rPr>
          <w:i/>
          <w:sz w:val="20"/>
          <w:szCs w:val="20"/>
        </w:rPr>
        <w:t>(</w:t>
      </w:r>
      <w:r w:rsidRPr="0032387E">
        <w:rPr>
          <w:i/>
          <w:sz w:val="20"/>
          <w:szCs w:val="20"/>
        </w:rPr>
        <w:t>FPA</w:t>
      </w:r>
      <w:r>
        <w:rPr>
          <w:i/>
          <w:sz w:val="20"/>
          <w:szCs w:val="20"/>
        </w:rPr>
        <w:t>)</w:t>
      </w:r>
      <w:r w:rsidRPr="002C383A">
        <w:rPr>
          <w:i/>
          <w:sz w:val="20"/>
          <w:szCs w:val="20"/>
        </w:rPr>
        <w:t xml:space="preserve"> in the </w:t>
      </w:r>
      <w:hyperlink r:id="rId22" w:history="1">
        <w:r w:rsidRPr="002C383A">
          <w:rPr>
            <w:rStyle w:val="Hyperlink"/>
            <w:i/>
            <w:sz w:val="20"/>
            <w:szCs w:val="20"/>
          </w:rPr>
          <w:t>Threatened fauna species range boundaries and habitat descriptions</w:t>
        </w:r>
      </w:hyperlink>
      <w:r>
        <w:rPr>
          <w:bCs/>
          <w:i/>
          <w:sz w:val="20"/>
          <w:szCs w:val="20"/>
        </w:rPr>
        <w:t>.</w:t>
      </w:r>
      <w:bookmarkStart w:id="78" w:name="_Toc393467330"/>
      <w:bookmarkStart w:id="79" w:name="_Toc424812385"/>
      <w:bookmarkStart w:id="80" w:name="_Toc429051749"/>
      <w:bookmarkStart w:id="81" w:name="_Toc432076289"/>
      <w:bookmarkStart w:id="82" w:name="_Toc440634533"/>
      <w:bookmarkStart w:id="83" w:name="_Toc440634605"/>
      <w:bookmarkStart w:id="84" w:name="_Toc457469877"/>
      <w:bookmarkStart w:id="85" w:name="_Toc458697042"/>
    </w:p>
    <w:p w14:paraId="1B5C2C05" w14:textId="77777777" w:rsidR="00F53D9E" w:rsidRDefault="00AC555B" w:rsidP="00F53D9E">
      <w:pPr>
        <w:pStyle w:val="Heading2"/>
      </w:pPr>
      <w:bookmarkStart w:id="86" w:name="_Toc256000151"/>
      <w:bookmarkStart w:id="87" w:name="_Toc256000105"/>
      <w:bookmarkStart w:id="88" w:name="_Toc256000057"/>
      <w:bookmarkStart w:id="89" w:name="_Toc256000009"/>
      <w:r>
        <w:lastRenderedPageBreak/>
        <w:t>Recovery plan objectives</w:t>
      </w:r>
      <w:r w:rsidRPr="00F3425C">
        <w:t>:</w:t>
      </w:r>
      <w:bookmarkEnd w:id="86"/>
      <w:bookmarkEnd w:id="87"/>
      <w:bookmarkEnd w:id="88"/>
      <w:bookmarkEnd w:id="89"/>
      <w:bookmarkEnd w:id="78"/>
      <w:bookmarkEnd w:id="79"/>
      <w:bookmarkEnd w:id="80"/>
      <w:bookmarkEnd w:id="81"/>
      <w:bookmarkEnd w:id="82"/>
      <w:bookmarkEnd w:id="83"/>
      <w:bookmarkEnd w:id="84"/>
      <w:bookmarkEnd w:id="85"/>
    </w:p>
    <w:p w14:paraId="1B5C2C06" w14:textId="77777777" w:rsidR="00F53D9E" w:rsidRDefault="00AC555B" w:rsidP="00F53D9E">
      <w:r w:rsidRPr="00072963">
        <w:t>The objective</w:t>
      </w:r>
      <w:r>
        <w:t>s</w:t>
      </w:r>
      <w:r w:rsidRPr="00072963">
        <w:t xml:space="preserve"> of this recovery plan </w:t>
      </w:r>
      <w:r>
        <w:t>are</w:t>
      </w:r>
      <w:r w:rsidRPr="00072963">
        <w:t xml:space="preserve"> to</w:t>
      </w:r>
      <w:r>
        <w:t>:</w:t>
      </w:r>
    </w:p>
    <w:p w14:paraId="1B5C2C07" w14:textId="77777777" w:rsidR="00F53D9E" w:rsidRDefault="00AC555B" w:rsidP="00F53D9E">
      <w:pPr>
        <w:pStyle w:val="ListBullet"/>
        <w:numPr>
          <w:ilvl w:val="0"/>
          <w:numId w:val="14"/>
        </w:numPr>
        <w:rPr>
          <w:szCs w:val="20"/>
        </w:rPr>
      </w:pPr>
      <w:bookmarkStart w:id="90" w:name="OLE_LINK8"/>
      <w:bookmarkStart w:id="91" w:name="OLE_LINK9"/>
      <w:bookmarkStart w:id="92" w:name="_Toc393467331"/>
      <w:r>
        <w:t>Identify, conserve and manage key locations to support increasing populations of the giant freshwater crayfish, with a healthy demographic structure.</w:t>
      </w:r>
    </w:p>
    <w:p w14:paraId="1B5C2C08" w14:textId="77777777" w:rsidR="00F53D9E" w:rsidRPr="00FA3E68" w:rsidRDefault="00AC555B" w:rsidP="00F53D9E">
      <w:pPr>
        <w:pStyle w:val="ListBullet"/>
        <w:numPr>
          <w:ilvl w:val="0"/>
          <w:numId w:val="14"/>
        </w:numPr>
      </w:pPr>
      <w:r>
        <w:t>Address threats and improve habitat quality across the species’ range</w:t>
      </w:r>
      <w:bookmarkEnd w:id="90"/>
      <w:bookmarkEnd w:id="91"/>
      <w:r>
        <w:t>.</w:t>
      </w:r>
    </w:p>
    <w:p w14:paraId="1B5C2C09" w14:textId="77777777" w:rsidR="00F53D9E" w:rsidRPr="007E60CC" w:rsidRDefault="00AC555B" w:rsidP="00F53D9E">
      <w:pPr>
        <w:pStyle w:val="Heading2"/>
      </w:pPr>
      <w:bookmarkStart w:id="93" w:name="_Toc256000152"/>
      <w:bookmarkStart w:id="94" w:name="_Toc256000106"/>
      <w:bookmarkStart w:id="95" w:name="_Toc256000058"/>
      <w:bookmarkStart w:id="96" w:name="_Toc256000010"/>
      <w:bookmarkStart w:id="97" w:name="_Toc424812386"/>
      <w:bookmarkStart w:id="98" w:name="_Toc429051750"/>
      <w:bookmarkStart w:id="99" w:name="_Toc432076290"/>
      <w:bookmarkStart w:id="100" w:name="_Toc440634534"/>
      <w:bookmarkStart w:id="101" w:name="_Toc440634606"/>
      <w:bookmarkStart w:id="102" w:name="_Toc457469878"/>
      <w:bookmarkStart w:id="103" w:name="_Toc458697043"/>
      <w:r w:rsidRPr="00F3425C">
        <w:t>Recovery</w:t>
      </w:r>
      <w:r w:rsidRPr="007E60CC">
        <w:t xml:space="preserve"> team:</w:t>
      </w:r>
      <w:bookmarkEnd w:id="93"/>
      <w:bookmarkEnd w:id="94"/>
      <w:bookmarkEnd w:id="95"/>
      <w:bookmarkEnd w:id="96"/>
      <w:bookmarkEnd w:id="92"/>
      <w:bookmarkEnd w:id="97"/>
      <w:bookmarkEnd w:id="98"/>
      <w:bookmarkEnd w:id="99"/>
      <w:bookmarkEnd w:id="100"/>
      <w:bookmarkEnd w:id="101"/>
      <w:bookmarkEnd w:id="102"/>
      <w:bookmarkEnd w:id="103"/>
    </w:p>
    <w:p w14:paraId="1B5C2C0A" w14:textId="77777777" w:rsidR="00F53D9E" w:rsidRDefault="00AC555B" w:rsidP="00F53D9E">
      <w:pPr>
        <w:rPr>
          <w:rFonts w:cs="Arial"/>
          <w:b/>
          <w:sz w:val="24"/>
        </w:rPr>
      </w:pPr>
      <w:r w:rsidRPr="000B31A8">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w:t>
      </w:r>
      <w:r w:rsidRPr="00F3425C">
        <w:t xml:space="preserve">The </w:t>
      </w:r>
      <w:r>
        <w:t>Crayfish</w:t>
      </w:r>
      <w:r w:rsidRPr="00F3425C">
        <w:t xml:space="preserve"> Recovery </w:t>
      </w:r>
      <w:r>
        <w:t>Team</w:t>
      </w:r>
      <w:r w:rsidRPr="00F3425C">
        <w:t xml:space="preserve"> </w:t>
      </w:r>
      <w:r>
        <w:t xml:space="preserve">(CRT) </w:t>
      </w:r>
      <w:r w:rsidRPr="000B31A8">
        <w:t>has the responsibility of providing advice</w:t>
      </w:r>
      <w:r>
        <w:t xml:space="preserve"> on</w:t>
      </w:r>
      <w:r w:rsidRPr="000B31A8">
        <w:t xml:space="preserve"> the implementation of the recovery actions outlined in this recovery plan.</w:t>
      </w:r>
      <w:r>
        <w:t xml:space="preserve"> </w:t>
      </w:r>
      <w:r w:rsidRPr="007672C6">
        <w:t xml:space="preserve">The membership of the </w:t>
      </w:r>
      <w:r>
        <w:t>CRT may include</w:t>
      </w:r>
      <w:r w:rsidRPr="007672C6">
        <w:t xml:space="preserve"> individuals with relevant</w:t>
      </w:r>
      <w:r>
        <w:t xml:space="preserve"> responsibility and </w:t>
      </w:r>
      <w:r w:rsidRPr="007672C6">
        <w:t xml:space="preserve">expertise from </w:t>
      </w:r>
      <w:r>
        <w:t>Department of the Environment and Energy (</w:t>
      </w:r>
      <w:proofErr w:type="spellStart"/>
      <w:r>
        <w:t>DoEE</w:t>
      </w:r>
      <w:proofErr w:type="spellEnd"/>
      <w:r>
        <w:t>) and DPIPWE</w:t>
      </w:r>
      <w:r w:rsidRPr="009A0A14">
        <w:t xml:space="preserve">, </w:t>
      </w:r>
      <w:r>
        <w:t>as well as experts from research institutions and consultancies, and private researchers</w:t>
      </w:r>
      <w:r w:rsidRPr="007672C6">
        <w:t xml:space="preserve">; </w:t>
      </w:r>
      <w:r>
        <w:t>membership may change over time</w:t>
      </w:r>
      <w:r w:rsidRPr="007672C6">
        <w:t>.</w:t>
      </w:r>
      <w:bookmarkStart w:id="104" w:name="_Toc393467332"/>
      <w:bookmarkStart w:id="105" w:name="_Toc424812387"/>
      <w:bookmarkStart w:id="106" w:name="_Toc335118399"/>
    </w:p>
    <w:p w14:paraId="1B5C2C0B" w14:textId="77777777" w:rsidR="00F53D9E" w:rsidRDefault="00AC555B">
      <w:pPr>
        <w:pStyle w:val="Heading2"/>
        <w:spacing w:after="120"/>
      </w:pPr>
      <w:bookmarkStart w:id="107" w:name="_Toc256000153"/>
      <w:bookmarkStart w:id="108" w:name="_Toc256000107"/>
      <w:bookmarkStart w:id="109" w:name="_Toc256000059"/>
      <w:bookmarkStart w:id="110" w:name="_Toc256000011"/>
      <w:bookmarkStart w:id="111" w:name="_Toc429051751"/>
      <w:bookmarkStart w:id="112" w:name="_Toc432076291"/>
      <w:bookmarkStart w:id="113" w:name="_Toc440634535"/>
      <w:bookmarkStart w:id="114" w:name="_Toc440634607"/>
      <w:bookmarkStart w:id="115" w:name="_Toc457469879"/>
      <w:bookmarkStart w:id="116" w:name="_Toc458697044"/>
      <w:r w:rsidRPr="006F0B77">
        <w:t xml:space="preserve">Recovery </w:t>
      </w:r>
      <w:r>
        <w:t>strategies</w:t>
      </w:r>
      <w:r w:rsidRPr="006F0B77">
        <w:t>:</w:t>
      </w:r>
      <w:bookmarkEnd w:id="107"/>
      <w:bookmarkEnd w:id="108"/>
      <w:bookmarkEnd w:id="109"/>
      <w:bookmarkEnd w:id="110"/>
      <w:bookmarkEnd w:id="104"/>
      <w:bookmarkEnd w:id="105"/>
      <w:bookmarkEnd w:id="111"/>
      <w:bookmarkEnd w:id="112"/>
      <w:bookmarkEnd w:id="113"/>
      <w:bookmarkEnd w:id="114"/>
      <w:bookmarkEnd w:id="115"/>
      <w:bookmarkEnd w:id="116"/>
    </w:p>
    <w:p w14:paraId="1B5C2C0C" w14:textId="77777777" w:rsidR="00F53D9E" w:rsidRDefault="00AC555B">
      <w:pPr>
        <w:pStyle w:val="ListBullet"/>
        <w:spacing w:after="120"/>
        <w:ind w:left="0" w:firstLine="0"/>
      </w:pPr>
      <w:r w:rsidRPr="0011026A">
        <w:t xml:space="preserve">The strategies to achieve the plans’ objectives are to: </w:t>
      </w:r>
    </w:p>
    <w:p w14:paraId="1B5C2C0D" w14:textId="77777777" w:rsidR="00F53D9E" w:rsidRDefault="00AC555B" w:rsidP="00F53D9E">
      <w:pPr>
        <w:pStyle w:val="ListBullet"/>
        <w:numPr>
          <w:ilvl w:val="0"/>
          <w:numId w:val="15"/>
        </w:numPr>
      </w:pPr>
      <w:r>
        <w:t>Conduct population trend monitoring and research to assess the current status of the species and evaluate the effectiveness of recovery actions.</w:t>
      </w:r>
    </w:p>
    <w:p w14:paraId="1B5C2C0E" w14:textId="77777777" w:rsidR="00F53D9E" w:rsidRDefault="00AC555B" w:rsidP="00F53D9E">
      <w:pPr>
        <w:pStyle w:val="ListBullet"/>
        <w:numPr>
          <w:ilvl w:val="0"/>
          <w:numId w:val="15"/>
        </w:numPr>
      </w:pPr>
      <w:r>
        <w:t>Mitigate key threats impacting upon giant freshwater crayfish habitat.</w:t>
      </w:r>
    </w:p>
    <w:p w14:paraId="1B5C2C0F" w14:textId="77777777" w:rsidR="00F53D9E" w:rsidRDefault="00AC555B" w:rsidP="00F53D9E">
      <w:pPr>
        <w:pStyle w:val="ListBullet"/>
        <w:numPr>
          <w:ilvl w:val="0"/>
          <w:numId w:val="15"/>
        </w:numPr>
      </w:pPr>
      <w:r w:rsidRPr="00D34645">
        <w:t xml:space="preserve">Increase the reservation status </w:t>
      </w:r>
      <w:r>
        <w:t xml:space="preserve">and improve the quality of identified </w:t>
      </w:r>
      <w:r w:rsidRPr="00D34645">
        <w:t xml:space="preserve">key </w:t>
      </w:r>
      <w:r>
        <w:t>locations</w:t>
      </w:r>
      <w:r w:rsidRPr="00D34645">
        <w:t xml:space="preserve"> </w:t>
      </w:r>
      <w:r>
        <w:t>for the giant freshwater crayfish.</w:t>
      </w:r>
      <w:r w:rsidRPr="00D34645">
        <w:t xml:space="preserve"> </w:t>
      </w:r>
    </w:p>
    <w:p w14:paraId="1B5C2C10" w14:textId="77777777" w:rsidR="00F53D9E" w:rsidRDefault="00AC555B" w:rsidP="00F53D9E">
      <w:pPr>
        <w:pStyle w:val="ListBullet"/>
        <w:numPr>
          <w:ilvl w:val="0"/>
          <w:numId w:val="15"/>
        </w:numPr>
      </w:pPr>
      <w:r>
        <w:t>Reduce the pressures of illegal fishing on the giant freshwater crayfish.</w:t>
      </w:r>
    </w:p>
    <w:p w14:paraId="1B5C2C11" w14:textId="77777777" w:rsidR="00F53D9E" w:rsidRDefault="00AC555B" w:rsidP="00F53D9E">
      <w:pPr>
        <w:pStyle w:val="ListBullet"/>
        <w:numPr>
          <w:ilvl w:val="0"/>
          <w:numId w:val="15"/>
        </w:numPr>
      </w:pPr>
      <w:r>
        <w:t>Engage with the general public, local government and non-government organisations (NGOs) in developing and delivering conservation measures.</w:t>
      </w:r>
    </w:p>
    <w:p w14:paraId="1B5C2C12" w14:textId="77777777" w:rsidR="00F53D9E" w:rsidRDefault="00AC555B">
      <w:pPr>
        <w:pStyle w:val="Heading2"/>
        <w:spacing w:after="120"/>
      </w:pPr>
      <w:bookmarkStart w:id="117" w:name="_Toc256000154"/>
      <w:bookmarkStart w:id="118" w:name="_Toc256000108"/>
      <w:bookmarkStart w:id="119" w:name="_Toc256000060"/>
      <w:bookmarkStart w:id="120" w:name="_Toc256000012"/>
      <w:bookmarkStart w:id="121" w:name="_Toc393467333"/>
      <w:bookmarkStart w:id="122" w:name="_Toc424812388"/>
      <w:bookmarkStart w:id="123" w:name="_Toc429051752"/>
      <w:bookmarkStart w:id="124" w:name="_Toc432076292"/>
      <w:bookmarkStart w:id="125" w:name="_Toc440634536"/>
      <w:bookmarkStart w:id="126" w:name="_Toc440634608"/>
      <w:bookmarkStart w:id="127" w:name="_Toc457469880"/>
      <w:bookmarkStart w:id="128" w:name="_Toc458697045"/>
      <w:r w:rsidRPr="00686D02">
        <w:t>Criteria for success:</w:t>
      </w:r>
      <w:bookmarkEnd w:id="117"/>
      <w:bookmarkEnd w:id="118"/>
      <w:bookmarkEnd w:id="119"/>
      <w:bookmarkEnd w:id="120"/>
      <w:bookmarkEnd w:id="106"/>
      <w:bookmarkEnd w:id="121"/>
      <w:bookmarkEnd w:id="122"/>
      <w:bookmarkEnd w:id="123"/>
      <w:bookmarkEnd w:id="124"/>
      <w:bookmarkEnd w:id="125"/>
      <w:bookmarkEnd w:id="126"/>
      <w:bookmarkEnd w:id="127"/>
      <w:bookmarkEnd w:id="128"/>
    </w:p>
    <w:p w14:paraId="1B5C2C13" w14:textId="77777777" w:rsidR="00F53D9E" w:rsidRDefault="00AC555B">
      <w:pPr>
        <w:spacing w:after="120"/>
        <w:rPr>
          <w:b/>
        </w:rPr>
      </w:pPr>
      <w:r w:rsidRPr="00CC71E6">
        <w:t>T</w:t>
      </w:r>
      <w:r w:rsidRPr="005D2FDC">
        <w:t>his recovery plan will be deemed successful if, within 10 years, all the following have been achieved:</w:t>
      </w:r>
    </w:p>
    <w:p w14:paraId="1B5C2C14" w14:textId="77777777" w:rsidR="00F53D9E" w:rsidRDefault="00AC555B" w:rsidP="00F53D9E">
      <w:pPr>
        <w:pStyle w:val="ListBullet"/>
        <w:numPr>
          <w:ilvl w:val="0"/>
          <w:numId w:val="16"/>
        </w:numPr>
      </w:pPr>
      <w:r w:rsidRPr="005D2FDC">
        <w:t>Population densities</w:t>
      </w:r>
      <w:r w:rsidRPr="00097F91">
        <w:t xml:space="preserve"> </w:t>
      </w:r>
      <w:r>
        <w:t>are increasing and have a healthy demographic structure.</w:t>
      </w:r>
    </w:p>
    <w:p w14:paraId="1B5C2C15" w14:textId="77777777" w:rsidR="00F53D9E" w:rsidRDefault="00AC555B" w:rsidP="00F53D9E">
      <w:pPr>
        <w:pStyle w:val="ListBullet"/>
        <w:numPr>
          <w:ilvl w:val="0"/>
          <w:numId w:val="16"/>
        </w:numPr>
      </w:pPr>
      <w:r>
        <w:t>Key locations are identified and monitored annually, and population trends are assessed.</w:t>
      </w:r>
    </w:p>
    <w:p w14:paraId="1B5C2C16" w14:textId="77777777" w:rsidR="00F53D9E" w:rsidRDefault="00AC555B" w:rsidP="00F53D9E">
      <w:pPr>
        <w:pStyle w:val="ListBullet"/>
        <w:numPr>
          <w:ilvl w:val="0"/>
          <w:numId w:val="16"/>
        </w:numPr>
      </w:pPr>
      <w:r w:rsidRPr="00DB34EA">
        <w:t xml:space="preserve">Illegal fishing </w:t>
      </w:r>
      <w:r>
        <w:t>has been reduced to a point that it no longer threatens the species’ survival.</w:t>
      </w:r>
    </w:p>
    <w:p w14:paraId="1B5C2C17" w14:textId="77777777" w:rsidR="00F53D9E" w:rsidRDefault="00AC555B" w:rsidP="00F53D9E">
      <w:pPr>
        <w:pStyle w:val="ListBullet"/>
        <w:numPr>
          <w:ilvl w:val="0"/>
          <w:numId w:val="16"/>
        </w:numPr>
      </w:pPr>
      <w:r>
        <w:t>Appropriate measures</w:t>
      </w:r>
      <w:r w:rsidRPr="00165C70">
        <w:t xml:space="preserve"> have been put in place to </w:t>
      </w:r>
      <w:r>
        <w:t>manage key threats</w:t>
      </w:r>
      <w:r w:rsidRPr="00165C70">
        <w:t xml:space="preserve"> </w:t>
      </w:r>
      <w:r>
        <w:t>affecting habitat.</w:t>
      </w:r>
    </w:p>
    <w:p w14:paraId="1B5C2C18" w14:textId="77777777" w:rsidR="00F53D9E" w:rsidRDefault="00AC555B" w:rsidP="00F53D9E">
      <w:pPr>
        <w:pStyle w:val="ListBullet"/>
        <w:numPr>
          <w:ilvl w:val="0"/>
          <w:numId w:val="16"/>
        </w:numPr>
      </w:pPr>
      <w:r w:rsidRPr="00165C70">
        <w:t xml:space="preserve">Habitat quality has </w:t>
      </w:r>
      <w:r>
        <w:t xml:space="preserve">been maintained or </w:t>
      </w:r>
      <w:r w:rsidRPr="00165C70">
        <w:t>improved in key locations</w:t>
      </w:r>
      <w:r>
        <w:t>.</w:t>
      </w:r>
    </w:p>
    <w:p w14:paraId="1B5C2C19" w14:textId="77777777" w:rsidR="00F53D9E" w:rsidRDefault="00AC555B" w:rsidP="00F53D9E">
      <w:pPr>
        <w:pStyle w:val="ListBullet"/>
        <w:numPr>
          <w:ilvl w:val="0"/>
          <w:numId w:val="16"/>
        </w:numPr>
      </w:pPr>
      <w:r>
        <w:t>Reservation status has been improved, or habitat protections increased, in key locations</w:t>
      </w:r>
      <w:bookmarkStart w:id="129" w:name="_Toc335118400"/>
      <w:r>
        <w:t>.</w:t>
      </w:r>
    </w:p>
    <w:p w14:paraId="1B5C2C1A" w14:textId="77777777" w:rsidR="00F53D9E" w:rsidRDefault="00AC555B" w:rsidP="00F53D9E">
      <w:pPr>
        <w:pStyle w:val="ListBullet"/>
        <w:numPr>
          <w:ilvl w:val="0"/>
          <w:numId w:val="16"/>
        </w:numPr>
      </w:pPr>
      <w:r w:rsidRPr="005D2FDC">
        <w:t xml:space="preserve">Community awareness of, and participation in, </w:t>
      </w:r>
      <w:r>
        <w:t>giant freshwater crayfish</w:t>
      </w:r>
      <w:r w:rsidRPr="005D2FDC">
        <w:t xml:space="preserve"> conservation has increased</w:t>
      </w:r>
      <w:r>
        <w:t>.</w:t>
      </w:r>
    </w:p>
    <w:p w14:paraId="1B5C2C1B" w14:textId="77777777" w:rsidR="00F53D9E" w:rsidRDefault="00AC555B">
      <w:pPr>
        <w:pStyle w:val="Heading2"/>
        <w:spacing w:after="120"/>
      </w:pPr>
      <w:bookmarkStart w:id="130" w:name="_Toc256000155"/>
      <w:bookmarkStart w:id="131" w:name="_Toc256000109"/>
      <w:bookmarkStart w:id="132" w:name="_Toc256000061"/>
      <w:bookmarkStart w:id="133" w:name="_Toc256000013"/>
      <w:bookmarkStart w:id="134" w:name="_Toc393467334"/>
      <w:bookmarkStart w:id="135" w:name="_Toc424812389"/>
      <w:bookmarkStart w:id="136" w:name="_Toc429051753"/>
      <w:bookmarkStart w:id="137" w:name="_Toc432076293"/>
      <w:bookmarkStart w:id="138" w:name="_Toc440634537"/>
      <w:bookmarkStart w:id="139" w:name="_Toc440634609"/>
      <w:bookmarkStart w:id="140" w:name="_Toc457469881"/>
      <w:bookmarkStart w:id="141" w:name="_Toc458697046"/>
      <w:r w:rsidRPr="00CC71E6">
        <w:lastRenderedPageBreak/>
        <w:t>Criteria for failure:</w:t>
      </w:r>
      <w:bookmarkEnd w:id="130"/>
      <w:bookmarkEnd w:id="131"/>
      <w:bookmarkEnd w:id="132"/>
      <w:bookmarkEnd w:id="133"/>
      <w:bookmarkEnd w:id="129"/>
      <w:bookmarkEnd w:id="134"/>
      <w:bookmarkEnd w:id="135"/>
      <w:bookmarkEnd w:id="136"/>
      <w:bookmarkEnd w:id="137"/>
      <w:bookmarkEnd w:id="138"/>
      <w:bookmarkEnd w:id="139"/>
      <w:bookmarkEnd w:id="140"/>
      <w:bookmarkEnd w:id="141"/>
    </w:p>
    <w:p w14:paraId="1B5C2C1C" w14:textId="77777777" w:rsidR="00F53D9E" w:rsidRDefault="00AC555B">
      <w:pPr>
        <w:spacing w:after="120"/>
      </w:pPr>
      <w:r w:rsidRPr="007E60CC">
        <w:t xml:space="preserve">This recovery plan will be deemed to have failed if; within 10 years any of the following </w:t>
      </w:r>
      <w:r>
        <w:t>have occurred</w:t>
      </w:r>
      <w:r w:rsidRPr="007E60CC">
        <w:t>:</w:t>
      </w:r>
    </w:p>
    <w:p w14:paraId="1B5C2C1D" w14:textId="77777777" w:rsidR="00F53D9E" w:rsidRDefault="00AC555B" w:rsidP="00F53D9E">
      <w:pPr>
        <w:pStyle w:val="ListBullet"/>
        <w:numPr>
          <w:ilvl w:val="0"/>
          <w:numId w:val="17"/>
        </w:numPr>
      </w:pPr>
      <w:r w:rsidRPr="00473607">
        <w:t>Regular monitoring has not been conducted and population trends have not been assessed</w:t>
      </w:r>
      <w:r>
        <w:t>.</w:t>
      </w:r>
    </w:p>
    <w:p w14:paraId="1B5C2C1E" w14:textId="77777777" w:rsidR="00F53D9E" w:rsidRDefault="00AC555B" w:rsidP="00F53D9E">
      <w:pPr>
        <w:pStyle w:val="ListBullet"/>
        <w:numPr>
          <w:ilvl w:val="0"/>
          <w:numId w:val="17"/>
        </w:numPr>
      </w:pPr>
      <w:r>
        <w:t>The species</w:t>
      </w:r>
      <w:r w:rsidRPr="005D2FDC">
        <w:t xml:space="preserve"> ha</w:t>
      </w:r>
      <w:r>
        <w:t>s</w:t>
      </w:r>
      <w:r w:rsidRPr="007E60CC">
        <w:t xml:space="preserve"> become </w:t>
      </w:r>
      <w:r>
        <w:t xml:space="preserve">locally </w:t>
      </w:r>
      <w:r w:rsidRPr="007E60CC">
        <w:t>extinct</w:t>
      </w:r>
      <w:r>
        <w:t xml:space="preserve"> from key locations in the wild, or populations at these locations do not display a healthy demographic structure.</w:t>
      </w:r>
    </w:p>
    <w:p w14:paraId="1B5C2C1F" w14:textId="77777777" w:rsidR="00F53D9E" w:rsidRDefault="00AC555B" w:rsidP="00F53D9E">
      <w:pPr>
        <w:pStyle w:val="ListBullet"/>
        <w:numPr>
          <w:ilvl w:val="0"/>
          <w:numId w:val="17"/>
        </w:numPr>
      </w:pPr>
      <w:r>
        <w:t xml:space="preserve">Recruitment of juveniles has not been recorded, and a healthy demographic structure is lacking, </w:t>
      </w:r>
      <w:r w:rsidRPr="005D2FDC">
        <w:t>at locations identified as key to the survival</w:t>
      </w:r>
      <w:r>
        <w:t xml:space="preserve"> of the giant freshwater crayfish.</w:t>
      </w:r>
    </w:p>
    <w:p w14:paraId="1B5C2C20" w14:textId="77777777" w:rsidR="00F53D9E" w:rsidRDefault="00AC555B" w:rsidP="00F53D9E">
      <w:pPr>
        <w:pStyle w:val="ListBullet"/>
        <w:numPr>
          <w:ilvl w:val="0"/>
          <w:numId w:val="17"/>
        </w:numPr>
      </w:pPr>
      <w:r>
        <w:t>Illegal fishing pressure has not been reduced across the species’ range.</w:t>
      </w:r>
    </w:p>
    <w:p w14:paraId="1B5C2C21" w14:textId="77777777" w:rsidR="00F53D9E" w:rsidRDefault="00AC555B" w:rsidP="00F53D9E">
      <w:pPr>
        <w:pStyle w:val="ListBullet"/>
        <w:numPr>
          <w:ilvl w:val="0"/>
          <w:numId w:val="17"/>
        </w:numPr>
      </w:pPr>
      <w:r>
        <w:t>Actions have not been undertaken to address key</w:t>
      </w:r>
      <w:r w:rsidRPr="00347078">
        <w:t xml:space="preserve"> </w:t>
      </w:r>
      <w:r>
        <w:t>threats</w:t>
      </w:r>
      <w:r w:rsidRPr="00347078">
        <w:t xml:space="preserve"> limiting population growth</w:t>
      </w:r>
      <w:r>
        <w:t xml:space="preserve"> and recovery. </w:t>
      </w:r>
    </w:p>
    <w:p w14:paraId="1B5C2C22" w14:textId="77777777" w:rsidR="00F53D9E" w:rsidRDefault="00AC555B" w:rsidP="00F53D9E">
      <w:pPr>
        <w:pStyle w:val="ListBullet"/>
        <w:numPr>
          <w:ilvl w:val="0"/>
          <w:numId w:val="17"/>
        </w:numPr>
        <w:spacing w:after="480"/>
        <w:ind w:left="1003" w:hanging="357"/>
      </w:pPr>
      <w:r w:rsidRPr="0056001F">
        <w:t>Habitat quality has declined in key locations</w:t>
      </w:r>
      <w:r>
        <w:t>.</w:t>
      </w:r>
    </w:p>
    <w:p w14:paraId="1B5C2C23" w14:textId="77777777" w:rsidR="00F53D9E" w:rsidRDefault="00AC555B" w:rsidP="00F53D9E">
      <w:pPr>
        <w:pStyle w:val="Heading1"/>
        <w:spacing w:before="360" w:after="120"/>
      </w:pPr>
      <w:bookmarkStart w:id="142" w:name="_Toc256000156"/>
      <w:bookmarkStart w:id="143" w:name="_Toc256000110"/>
      <w:bookmarkStart w:id="144" w:name="_Toc256000062"/>
      <w:bookmarkStart w:id="145" w:name="_Toc256000014"/>
      <w:bookmarkStart w:id="146" w:name="_Toc458697047"/>
      <w:r>
        <w:t>2</w:t>
      </w:r>
      <w:r>
        <w:tab/>
        <w:t>Introduction</w:t>
      </w:r>
      <w:bookmarkEnd w:id="142"/>
      <w:bookmarkEnd w:id="143"/>
      <w:bookmarkEnd w:id="144"/>
      <w:bookmarkEnd w:id="145"/>
      <w:bookmarkEnd w:id="146"/>
    </w:p>
    <w:p w14:paraId="1B5C2C24" w14:textId="77777777" w:rsidR="00F53D9E" w:rsidRDefault="00AC555B" w:rsidP="00F53D9E">
      <w:r w:rsidRPr="008333C1">
        <w:t xml:space="preserve">This document constitutes the </w:t>
      </w:r>
      <w:r>
        <w:t xml:space="preserve">‘National </w:t>
      </w:r>
      <w:r w:rsidRPr="00CF3233">
        <w:t xml:space="preserve">Recovery Plan for </w:t>
      </w:r>
      <w:r>
        <w:t xml:space="preserve">the Giant Freshwater Crayfish </w:t>
      </w:r>
      <w:r w:rsidRPr="00B96F9A">
        <w:rPr>
          <w:i/>
        </w:rPr>
        <w:t>(</w:t>
      </w:r>
      <w:proofErr w:type="spellStart"/>
      <w:r w:rsidRPr="00B96F9A">
        <w:rPr>
          <w:i/>
        </w:rPr>
        <w:t>Astacopsis</w:t>
      </w:r>
      <w:proofErr w:type="spellEnd"/>
      <w:r w:rsidRPr="00B96F9A">
        <w:rPr>
          <w:i/>
        </w:rPr>
        <w:t> </w:t>
      </w:r>
      <w:proofErr w:type="spellStart"/>
      <w:r w:rsidRPr="00B96F9A">
        <w:rPr>
          <w:i/>
        </w:rPr>
        <w:t>gouldi</w:t>
      </w:r>
      <w:proofErr w:type="spellEnd"/>
      <w:r w:rsidRPr="00B96F9A">
        <w:rPr>
          <w:i/>
        </w:rPr>
        <w:t>)</w:t>
      </w:r>
      <w:r>
        <w:rPr>
          <w:snapToGrid w:val="0"/>
        </w:rPr>
        <w:t>’</w:t>
      </w:r>
      <w:r w:rsidRPr="008333C1">
        <w:rPr>
          <w:snapToGrid w:val="0"/>
        </w:rPr>
        <w:t xml:space="preserve">. </w:t>
      </w:r>
      <w:r w:rsidRPr="008333C1">
        <w:t xml:space="preserve">The </w:t>
      </w:r>
      <w:r>
        <w:t xml:space="preserve">recovery </w:t>
      </w:r>
      <w:r w:rsidRPr="008333C1">
        <w:t>plan considers the conservation r</w:t>
      </w:r>
      <w:r>
        <w:t>e</w:t>
      </w:r>
      <w:r w:rsidRPr="008333C1">
        <w:t>quirements of th</w:t>
      </w:r>
      <w:r>
        <w:t xml:space="preserve">e species across its range and </w:t>
      </w:r>
      <w:r w:rsidRPr="008333C1">
        <w:t>identifies the actions to</w:t>
      </w:r>
      <w:r>
        <w:t xml:space="preserve"> be taken to ensure the species’</w:t>
      </w:r>
      <w:r w:rsidRPr="008333C1">
        <w:t xml:space="preserve"> long-term viability in na</w:t>
      </w:r>
      <w:r>
        <w:t xml:space="preserve">ture, and </w:t>
      </w:r>
      <w:r w:rsidRPr="008333C1">
        <w:t xml:space="preserve">the parties that will undertake those actions. </w:t>
      </w:r>
    </w:p>
    <w:p w14:paraId="1B5C2C25" w14:textId="77777777" w:rsidR="00F53D9E" w:rsidRDefault="00AC555B" w:rsidP="00F53D9E">
      <w:r w:rsidRPr="00F35697">
        <w:rPr>
          <w:szCs w:val="20"/>
        </w:rPr>
        <w:t xml:space="preserve">This recovery plan is a revision of the </w:t>
      </w:r>
      <w:r w:rsidRPr="00F35697">
        <w:rPr>
          <w:iCs/>
          <w:szCs w:val="20"/>
        </w:rPr>
        <w:t xml:space="preserve">Giant Freshwater </w:t>
      </w:r>
      <w:r>
        <w:rPr>
          <w:iCs/>
          <w:szCs w:val="20"/>
        </w:rPr>
        <w:t>Lobster</w:t>
      </w:r>
      <w:r w:rsidRPr="00F35697">
        <w:rPr>
          <w:iCs/>
          <w:szCs w:val="20"/>
        </w:rPr>
        <w:t xml:space="preserve"> </w:t>
      </w:r>
      <w:r w:rsidRPr="00F35697">
        <w:rPr>
          <w:i/>
          <w:szCs w:val="20"/>
        </w:rPr>
        <w:t>(</w:t>
      </w:r>
      <w:proofErr w:type="spellStart"/>
      <w:r w:rsidRPr="00F35697">
        <w:rPr>
          <w:i/>
          <w:szCs w:val="20"/>
        </w:rPr>
        <w:t>Astacopsis</w:t>
      </w:r>
      <w:proofErr w:type="spellEnd"/>
      <w:r w:rsidRPr="00F35697">
        <w:rPr>
          <w:i/>
          <w:szCs w:val="20"/>
        </w:rPr>
        <w:t xml:space="preserve"> </w:t>
      </w:r>
      <w:proofErr w:type="spellStart"/>
      <w:r w:rsidRPr="00F35697">
        <w:rPr>
          <w:i/>
          <w:szCs w:val="20"/>
        </w:rPr>
        <w:t>gouldi</w:t>
      </w:r>
      <w:proofErr w:type="spellEnd"/>
      <w:r w:rsidRPr="00F35697">
        <w:rPr>
          <w:i/>
          <w:szCs w:val="20"/>
        </w:rPr>
        <w:t>)</w:t>
      </w:r>
      <w:r>
        <w:rPr>
          <w:i/>
          <w:szCs w:val="20"/>
        </w:rPr>
        <w:t xml:space="preserve"> </w:t>
      </w:r>
      <w:r w:rsidRPr="00F35697">
        <w:rPr>
          <w:iCs/>
          <w:szCs w:val="20"/>
        </w:rPr>
        <w:t>Recovery Plan</w:t>
      </w:r>
      <w:r w:rsidRPr="00F35697">
        <w:rPr>
          <w:i/>
          <w:szCs w:val="20"/>
        </w:rPr>
        <w:t xml:space="preserve"> </w:t>
      </w:r>
      <w:r w:rsidRPr="004E52E4">
        <w:rPr>
          <w:szCs w:val="20"/>
        </w:rPr>
        <w:t>2006-2010</w:t>
      </w:r>
      <w:r w:rsidRPr="00F35697">
        <w:rPr>
          <w:szCs w:val="20"/>
        </w:rPr>
        <w:t xml:space="preserve"> (</w:t>
      </w:r>
      <w:r>
        <w:rPr>
          <w:szCs w:val="20"/>
        </w:rPr>
        <w:t>TSS</w:t>
      </w:r>
      <w:r w:rsidRPr="00F35697">
        <w:rPr>
          <w:szCs w:val="20"/>
        </w:rPr>
        <w:t xml:space="preserve"> 2006). </w:t>
      </w:r>
      <w:r w:rsidRPr="00F35697">
        <w:rPr>
          <w:bCs/>
          <w:szCs w:val="20"/>
        </w:rPr>
        <w:t xml:space="preserve">The 2006 recovery plan </w:t>
      </w:r>
      <w:r w:rsidRPr="00F35697">
        <w:rPr>
          <w:szCs w:val="20"/>
        </w:rPr>
        <w:t xml:space="preserve">was reviewed in 2015 by an expert panel that included representatives from </w:t>
      </w:r>
      <w:proofErr w:type="spellStart"/>
      <w:r>
        <w:rPr>
          <w:szCs w:val="20"/>
        </w:rPr>
        <w:t>DoEE</w:t>
      </w:r>
      <w:proofErr w:type="spellEnd"/>
      <w:r w:rsidRPr="00F35697">
        <w:rPr>
          <w:szCs w:val="20"/>
        </w:rPr>
        <w:t xml:space="preserve">, DPIPWE, CSIRO, </w:t>
      </w:r>
      <w:r>
        <w:rPr>
          <w:szCs w:val="20"/>
        </w:rPr>
        <w:t>the University of Tasmania (UTAS)</w:t>
      </w:r>
      <w:r w:rsidRPr="00F35697">
        <w:rPr>
          <w:szCs w:val="20"/>
        </w:rPr>
        <w:t>, FPA, Hydro Tasmania and independent researchers and species experts. This review acknowledged that while considerable progress had been made on implementing the 2006 recovery plan</w:t>
      </w:r>
      <w:r>
        <w:rPr>
          <w:szCs w:val="20"/>
        </w:rPr>
        <w:t>,</w:t>
      </w:r>
      <w:r w:rsidRPr="00F35697">
        <w:rPr>
          <w:szCs w:val="20"/>
        </w:rPr>
        <w:t xml:space="preserve"> continued efforts were required to secure the future of the species. In particular a more targeted approach was needed with a focus on building upon the actions already undertaken and identifying the actions that would be likely to be the most effective in improving the species</w:t>
      </w:r>
      <w:r>
        <w:rPr>
          <w:szCs w:val="20"/>
        </w:rPr>
        <w:t>’</w:t>
      </w:r>
      <w:r w:rsidRPr="00F35697">
        <w:rPr>
          <w:szCs w:val="20"/>
        </w:rPr>
        <w:t xml:space="preserve"> conservation status. Furthermore, the review concluded that a new recovery plan should be developed for the species </w:t>
      </w:r>
      <w:r>
        <w:rPr>
          <w:szCs w:val="20"/>
        </w:rPr>
        <w:t>that included actions such as the</w:t>
      </w:r>
      <w:r w:rsidRPr="00F35697">
        <w:rPr>
          <w:szCs w:val="20"/>
        </w:rPr>
        <w:t xml:space="preserve"> identification of key habitat that may benefit from greater protection </w:t>
      </w:r>
      <w:r>
        <w:rPr>
          <w:szCs w:val="20"/>
        </w:rPr>
        <w:t>and</w:t>
      </w:r>
      <w:r w:rsidRPr="00F35697">
        <w:rPr>
          <w:szCs w:val="20"/>
        </w:rPr>
        <w:t xml:space="preserve"> a shift in fisheries compliance activities to focus on illegal poaching, including greater collaboration with police. </w:t>
      </w:r>
      <w:r w:rsidRPr="00755937">
        <w:t>The 200</w:t>
      </w:r>
      <w:r>
        <w:t>6</w:t>
      </w:r>
      <w:r w:rsidRPr="00755937">
        <w:t xml:space="preserve"> recovery plan and the 201</w:t>
      </w:r>
      <w:r>
        <w:t>5</w:t>
      </w:r>
      <w:r w:rsidRPr="00755937">
        <w:t xml:space="preserve"> review of the recovery plan are available from: </w:t>
      </w:r>
    </w:p>
    <w:p w14:paraId="1B5C2C26" w14:textId="77777777" w:rsidR="00F53D9E" w:rsidRDefault="00413BEF" w:rsidP="00F53D9E">
      <w:hyperlink r:id="rId23" w:history="1">
        <w:r w:rsidR="00AC555B" w:rsidRPr="00C64A9C">
          <w:rPr>
            <w:rStyle w:val="Hyperlink"/>
          </w:rPr>
          <w:t>http://www.environment.gov.au/resource/giant-freshwater-</w:t>
        </w:r>
        <w:r w:rsidR="00AC555B">
          <w:rPr>
            <w:rStyle w:val="Hyperlink"/>
          </w:rPr>
          <w:t>crayfish</w:t>
        </w:r>
        <w:r w:rsidR="00AC555B" w:rsidRPr="00C64A9C">
          <w:rPr>
            <w:rStyle w:val="Hyperlink"/>
          </w:rPr>
          <w:t>-astacopsis-gouldi-recovery-plan-2006-2010</w:t>
        </w:r>
      </w:hyperlink>
      <w:r w:rsidR="00AC555B">
        <w:t xml:space="preserve">. </w:t>
      </w:r>
    </w:p>
    <w:p w14:paraId="1B5C2C27" w14:textId="77777777" w:rsidR="00F53D9E" w:rsidRDefault="00AC555B" w:rsidP="00F53D9E">
      <w:r>
        <w:br w:type="page"/>
      </w:r>
    </w:p>
    <w:p w14:paraId="1B5C2C28" w14:textId="77777777" w:rsidR="00F53D9E" w:rsidRDefault="00AC555B" w:rsidP="00F53D9E">
      <w:r w:rsidRPr="004C048B">
        <w:rPr>
          <w:b/>
          <w:i/>
        </w:rPr>
        <w:lastRenderedPageBreak/>
        <w:t>Table 1:</w:t>
      </w:r>
      <w:r w:rsidRPr="004C048B">
        <w:rPr>
          <w:i/>
        </w:rPr>
        <w:t xml:space="preserve"> A summary of the progress made against the objectives of the 2006 recovery plan</w:t>
      </w:r>
      <w:r>
        <w:t xml:space="preserve">  </w:t>
      </w:r>
    </w:p>
    <w:tbl>
      <w:tblPr>
        <w:tblW w:w="9356" w:type="dxa"/>
        <w:tblBorders>
          <w:top w:val="single" w:sz="6" w:space="0" w:color="0F243E" w:themeColor="text2" w:themeShade="80"/>
          <w:bottom w:val="single" w:sz="6" w:space="0" w:color="0F243E" w:themeColor="text2" w:themeShade="80"/>
          <w:insideH w:val="single" w:sz="6" w:space="0" w:color="0F243E" w:themeColor="text2" w:themeShade="80"/>
        </w:tblBorders>
        <w:shd w:val="clear" w:color="auto" w:fill="DBE5F1" w:themeFill="accent1" w:themeFillTint="33"/>
        <w:tblCellMar>
          <w:top w:w="57" w:type="dxa"/>
          <w:bottom w:w="57" w:type="dxa"/>
        </w:tblCellMar>
        <w:tblLook w:val="0000" w:firstRow="0" w:lastRow="0" w:firstColumn="0" w:lastColumn="0" w:noHBand="0" w:noVBand="0"/>
      </w:tblPr>
      <w:tblGrid>
        <w:gridCol w:w="2660"/>
        <w:gridCol w:w="6696"/>
      </w:tblGrid>
      <w:tr w:rsidR="00F371AA" w14:paraId="1B5C2C2B" w14:textId="77777777" w:rsidTr="00F53D9E">
        <w:trPr>
          <w:trHeight w:val="665"/>
        </w:trPr>
        <w:tc>
          <w:tcPr>
            <w:tcW w:w="2660" w:type="dxa"/>
            <w:shd w:val="clear" w:color="auto" w:fill="0F243E" w:themeFill="text2" w:themeFillShade="80"/>
            <w:vAlign w:val="center"/>
          </w:tcPr>
          <w:p w14:paraId="1B5C2C29" w14:textId="77777777" w:rsidR="00F53D9E" w:rsidRDefault="00AC555B">
            <w:pPr>
              <w:pStyle w:val="Default"/>
              <w:rPr>
                <w:color w:val="FFFFFF" w:themeColor="background1"/>
                <w:sz w:val="20"/>
                <w:szCs w:val="20"/>
              </w:rPr>
            </w:pPr>
            <w:r w:rsidRPr="004E52E4">
              <w:rPr>
                <w:b/>
                <w:bCs/>
                <w:color w:val="FFFFFF" w:themeColor="background1"/>
                <w:sz w:val="20"/>
                <w:szCs w:val="20"/>
              </w:rPr>
              <w:t xml:space="preserve">2006 Recovery Plan Objectives </w:t>
            </w:r>
          </w:p>
        </w:tc>
        <w:tc>
          <w:tcPr>
            <w:tcW w:w="6696" w:type="dxa"/>
            <w:shd w:val="clear" w:color="auto" w:fill="0F243E" w:themeFill="text2" w:themeFillShade="80"/>
            <w:vAlign w:val="center"/>
          </w:tcPr>
          <w:p w14:paraId="1B5C2C2A" w14:textId="77777777" w:rsidR="00F53D9E" w:rsidRDefault="00AC555B">
            <w:pPr>
              <w:pStyle w:val="Default"/>
              <w:rPr>
                <w:b/>
                <w:bCs/>
                <w:color w:val="FFFFFF" w:themeColor="background1"/>
                <w:sz w:val="20"/>
                <w:szCs w:val="20"/>
              </w:rPr>
            </w:pPr>
            <w:r>
              <w:rPr>
                <w:b/>
                <w:bCs/>
                <w:color w:val="FFFFFF" w:themeColor="background1"/>
                <w:sz w:val="20"/>
                <w:szCs w:val="20"/>
              </w:rPr>
              <w:t>Actions undertaken and p</w:t>
            </w:r>
            <w:r w:rsidRPr="004E52E4">
              <w:rPr>
                <w:b/>
                <w:bCs/>
                <w:color w:val="FFFFFF" w:themeColor="background1"/>
                <w:sz w:val="20"/>
                <w:szCs w:val="20"/>
              </w:rPr>
              <w:t xml:space="preserve">rogress </w:t>
            </w:r>
            <w:r>
              <w:rPr>
                <w:b/>
                <w:bCs/>
                <w:color w:val="FFFFFF" w:themeColor="background1"/>
                <w:sz w:val="20"/>
                <w:szCs w:val="20"/>
              </w:rPr>
              <w:t>against recovery objectives</w:t>
            </w:r>
          </w:p>
        </w:tc>
      </w:tr>
      <w:tr w:rsidR="00F371AA" w14:paraId="1B5C2C2E" w14:textId="77777777" w:rsidTr="00F53D9E">
        <w:trPr>
          <w:trHeight w:val="1252"/>
        </w:trPr>
        <w:tc>
          <w:tcPr>
            <w:tcW w:w="2660" w:type="dxa"/>
            <w:shd w:val="clear" w:color="auto" w:fill="DBE5F1" w:themeFill="accent1" w:themeFillTint="33"/>
            <w:vAlign w:val="center"/>
          </w:tcPr>
          <w:p w14:paraId="1B5C2C2C" w14:textId="77777777" w:rsidR="00F53D9E" w:rsidRDefault="00AC555B">
            <w:pPr>
              <w:autoSpaceDE w:val="0"/>
              <w:autoSpaceDN w:val="0"/>
              <w:adjustRightInd w:val="0"/>
              <w:spacing w:after="0" w:line="240" w:lineRule="auto"/>
              <w:rPr>
                <w:rFonts w:eastAsiaTheme="minorEastAsia" w:cs="Arial"/>
                <w:szCs w:val="20"/>
              </w:rPr>
            </w:pPr>
            <w:r w:rsidRPr="004E52E4">
              <w:rPr>
                <w:rFonts w:eastAsiaTheme="minorEastAsia" w:cs="Arial"/>
                <w:szCs w:val="20"/>
              </w:rPr>
              <w:t>Reduce and eliminate</w:t>
            </w:r>
            <w:r>
              <w:rPr>
                <w:rFonts w:eastAsiaTheme="minorEastAsia" w:cs="Arial"/>
                <w:szCs w:val="20"/>
              </w:rPr>
              <w:t xml:space="preserve"> </w:t>
            </w:r>
            <w:r w:rsidRPr="004E52E4">
              <w:rPr>
                <w:rFonts w:eastAsiaTheme="minorEastAsia" w:cs="Arial"/>
                <w:szCs w:val="20"/>
              </w:rPr>
              <w:t>fishing pressure.</w:t>
            </w:r>
          </w:p>
        </w:tc>
        <w:tc>
          <w:tcPr>
            <w:tcW w:w="6696" w:type="dxa"/>
            <w:shd w:val="clear" w:color="auto" w:fill="DBE5F1" w:themeFill="accent1" w:themeFillTint="33"/>
            <w:vAlign w:val="center"/>
          </w:tcPr>
          <w:p w14:paraId="1B5C2C2D" w14:textId="77777777" w:rsidR="00F53D9E" w:rsidRDefault="00AC555B" w:rsidP="00F53D9E">
            <w:pPr>
              <w:pStyle w:val="Default"/>
              <w:rPr>
                <w:szCs w:val="20"/>
              </w:rPr>
            </w:pPr>
            <w:r>
              <w:rPr>
                <w:sz w:val="20"/>
                <w:szCs w:val="20"/>
              </w:rPr>
              <w:t xml:space="preserve">Reductions in recreational fishing have been significant. Nevertheless, fishing is still an issue in terms of small numbers of people engaged in significant poaching activity that may have a large impact. Fishing pressure has not been eliminated, thus bans need to be maintained, even if the species conservation trajectory were to improve significantly. </w:t>
            </w:r>
          </w:p>
        </w:tc>
      </w:tr>
      <w:tr w:rsidR="00F371AA" w14:paraId="1B5C2C33" w14:textId="77777777" w:rsidTr="00F53D9E">
        <w:trPr>
          <w:trHeight w:val="665"/>
        </w:trPr>
        <w:tc>
          <w:tcPr>
            <w:tcW w:w="2660" w:type="dxa"/>
            <w:shd w:val="clear" w:color="auto" w:fill="DBE5F1" w:themeFill="accent1" w:themeFillTint="33"/>
            <w:vAlign w:val="center"/>
          </w:tcPr>
          <w:p w14:paraId="1B5C2C2F" w14:textId="77777777" w:rsidR="00F53D9E" w:rsidRPr="0043584D" w:rsidRDefault="00AC555B">
            <w:pPr>
              <w:autoSpaceDE w:val="0"/>
              <w:autoSpaceDN w:val="0"/>
              <w:adjustRightInd w:val="0"/>
              <w:spacing w:after="0" w:line="240" w:lineRule="auto"/>
              <w:rPr>
                <w:rFonts w:eastAsiaTheme="minorEastAsia" w:cs="Arial"/>
                <w:szCs w:val="20"/>
              </w:rPr>
            </w:pPr>
            <w:r w:rsidRPr="004E52E4">
              <w:rPr>
                <w:rFonts w:eastAsiaTheme="minorEastAsia" w:cs="Arial"/>
                <w:szCs w:val="20"/>
              </w:rPr>
              <w:t>Prevent and ameliorate</w:t>
            </w:r>
            <w:r>
              <w:rPr>
                <w:rFonts w:eastAsiaTheme="minorEastAsia" w:cs="Arial"/>
                <w:szCs w:val="20"/>
              </w:rPr>
              <w:t xml:space="preserve"> </w:t>
            </w:r>
            <w:r w:rsidRPr="004E52E4">
              <w:rPr>
                <w:rFonts w:eastAsiaTheme="minorEastAsia" w:cs="Arial"/>
                <w:szCs w:val="20"/>
              </w:rPr>
              <w:t>habitat degradation.</w:t>
            </w:r>
          </w:p>
        </w:tc>
        <w:tc>
          <w:tcPr>
            <w:tcW w:w="6696" w:type="dxa"/>
            <w:shd w:val="clear" w:color="auto" w:fill="DBE5F1" w:themeFill="accent1" w:themeFillTint="33"/>
          </w:tcPr>
          <w:p w14:paraId="1B5C2C30" w14:textId="77777777" w:rsidR="00F53D9E" w:rsidRDefault="00AC555B">
            <w:pPr>
              <w:pStyle w:val="Default"/>
              <w:spacing w:after="240"/>
              <w:rPr>
                <w:sz w:val="20"/>
                <w:szCs w:val="20"/>
              </w:rPr>
            </w:pPr>
            <w:r>
              <w:rPr>
                <w:sz w:val="20"/>
                <w:szCs w:val="20"/>
              </w:rPr>
              <w:t xml:space="preserve">Some covenants have been enacted for protection of the species on private land. More funding would be beneficial to continue this initiative. </w:t>
            </w:r>
          </w:p>
          <w:p w14:paraId="1B5C2C31" w14:textId="77777777" w:rsidR="00F53D9E" w:rsidRDefault="00AC555B">
            <w:pPr>
              <w:pStyle w:val="Default"/>
              <w:spacing w:after="240"/>
              <w:rPr>
                <w:sz w:val="20"/>
                <w:szCs w:val="20"/>
              </w:rPr>
            </w:pPr>
            <w:r>
              <w:rPr>
                <w:sz w:val="20"/>
                <w:szCs w:val="20"/>
              </w:rPr>
              <w:t xml:space="preserve">A number of mechanisms have been developed to mitigate the impacts of forestry activities, including the </w:t>
            </w:r>
            <w:r w:rsidRPr="00F220C7">
              <w:rPr>
                <w:sz w:val="20"/>
                <w:szCs w:val="20"/>
              </w:rPr>
              <w:t>establishment of streamside reserves, and restoration of streamside reserves in previously cleared areas now utilised for wood production</w:t>
            </w:r>
            <w:r>
              <w:rPr>
                <w:sz w:val="20"/>
                <w:szCs w:val="20"/>
              </w:rPr>
              <w:t>. However, there is still scope to incorporate future research into ongoing forestry management. Mechanisms have been slower to improve in other sectors/tenures such as agriculture and dam constructions.</w:t>
            </w:r>
          </w:p>
          <w:p w14:paraId="1B5C2C32" w14:textId="77777777" w:rsidR="00F53D9E" w:rsidRDefault="00AC555B">
            <w:pPr>
              <w:pStyle w:val="Default"/>
              <w:rPr>
                <w:b/>
                <w:bCs/>
                <w:color w:val="FF0000"/>
                <w:sz w:val="20"/>
                <w:szCs w:val="20"/>
              </w:rPr>
            </w:pPr>
            <w:r>
              <w:rPr>
                <w:sz w:val="20"/>
                <w:szCs w:val="20"/>
              </w:rPr>
              <w:t>Community awareness programs were very effective in the early days of the plan, however due to funding restrictions scope was limited.</w:t>
            </w:r>
          </w:p>
        </w:tc>
      </w:tr>
      <w:tr w:rsidR="00F371AA" w14:paraId="1B5C2C37" w14:textId="77777777" w:rsidTr="00F53D9E">
        <w:trPr>
          <w:trHeight w:val="665"/>
        </w:trPr>
        <w:tc>
          <w:tcPr>
            <w:tcW w:w="2660" w:type="dxa"/>
            <w:shd w:val="clear" w:color="auto" w:fill="DBE5F1" w:themeFill="accent1" w:themeFillTint="33"/>
            <w:vAlign w:val="center"/>
          </w:tcPr>
          <w:p w14:paraId="1B5C2C34" w14:textId="77777777" w:rsidR="00F53D9E" w:rsidRPr="0043584D" w:rsidRDefault="00AC555B">
            <w:pPr>
              <w:autoSpaceDE w:val="0"/>
              <w:autoSpaceDN w:val="0"/>
              <w:adjustRightInd w:val="0"/>
              <w:spacing w:after="0" w:line="240" w:lineRule="auto"/>
              <w:rPr>
                <w:rFonts w:eastAsiaTheme="minorEastAsia" w:cs="Arial"/>
                <w:i/>
                <w:iCs/>
                <w:szCs w:val="20"/>
              </w:rPr>
            </w:pPr>
            <w:r w:rsidRPr="004E52E4">
              <w:rPr>
                <w:rFonts w:eastAsiaTheme="minorEastAsia" w:cs="Arial"/>
                <w:szCs w:val="20"/>
              </w:rPr>
              <w:t xml:space="preserve">Monitor and assess </w:t>
            </w:r>
            <w:r w:rsidRPr="004E52E4">
              <w:rPr>
                <w:rFonts w:eastAsiaTheme="minorEastAsia" w:cs="Arial"/>
                <w:i/>
                <w:iCs/>
                <w:szCs w:val="20"/>
              </w:rPr>
              <w:t>A.</w:t>
            </w:r>
          </w:p>
          <w:p w14:paraId="1B5C2C35" w14:textId="77777777" w:rsidR="00F53D9E" w:rsidRPr="0043584D" w:rsidRDefault="00AC555B">
            <w:pPr>
              <w:autoSpaceDE w:val="0"/>
              <w:autoSpaceDN w:val="0"/>
              <w:adjustRightInd w:val="0"/>
              <w:spacing w:after="0" w:line="240" w:lineRule="auto"/>
              <w:rPr>
                <w:rFonts w:eastAsiaTheme="minorEastAsia" w:cs="Arial"/>
                <w:szCs w:val="20"/>
              </w:rPr>
            </w:pPr>
            <w:proofErr w:type="spellStart"/>
            <w:r>
              <w:rPr>
                <w:rFonts w:eastAsiaTheme="minorEastAsia" w:cs="Arial"/>
                <w:i/>
                <w:iCs/>
                <w:szCs w:val="20"/>
              </w:rPr>
              <w:t>Gouldi</w:t>
            </w:r>
            <w:proofErr w:type="spellEnd"/>
            <w:r>
              <w:rPr>
                <w:rFonts w:eastAsiaTheme="minorEastAsia" w:cs="Arial"/>
                <w:i/>
                <w:iCs/>
                <w:szCs w:val="20"/>
              </w:rPr>
              <w:t xml:space="preserve"> </w:t>
            </w:r>
            <w:r w:rsidRPr="004E52E4">
              <w:rPr>
                <w:rFonts w:eastAsiaTheme="minorEastAsia" w:cs="Arial"/>
                <w:szCs w:val="20"/>
              </w:rPr>
              <w:t>populations and</w:t>
            </w:r>
            <w:r>
              <w:rPr>
                <w:rFonts w:eastAsiaTheme="minorEastAsia" w:cs="Arial"/>
                <w:szCs w:val="20"/>
              </w:rPr>
              <w:t xml:space="preserve"> </w:t>
            </w:r>
            <w:r w:rsidRPr="004E52E4">
              <w:rPr>
                <w:rFonts w:eastAsiaTheme="minorEastAsia" w:cs="Arial"/>
                <w:szCs w:val="20"/>
              </w:rPr>
              <w:t>habitats.</w:t>
            </w:r>
          </w:p>
        </w:tc>
        <w:tc>
          <w:tcPr>
            <w:tcW w:w="6696" w:type="dxa"/>
            <w:shd w:val="clear" w:color="auto" w:fill="DBE5F1" w:themeFill="accent1" w:themeFillTint="33"/>
          </w:tcPr>
          <w:p w14:paraId="1B5C2C36" w14:textId="77777777" w:rsidR="00F53D9E" w:rsidRDefault="00AC555B">
            <w:pPr>
              <w:pStyle w:val="Default"/>
              <w:rPr>
                <w:b/>
                <w:bCs/>
                <w:color w:val="FF0000"/>
                <w:sz w:val="20"/>
                <w:szCs w:val="20"/>
              </w:rPr>
            </w:pPr>
            <w:r>
              <w:rPr>
                <w:sz w:val="20"/>
                <w:szCs w:val="20"/>
              </w:rPr>
              <w:t>Good baseline monitoring was conducted, and regularly occurring, when the plan was implemented. Though funding restraints limited ongoing monitoring. An increase in the size of adults has been documented. However, ongoing monitoring is needed to assess population trends.</w:t>
            </w:r>
          </w:p>
        </w:tc>
      </w:tr>
      <w:tr w:rsidR="00F371AA" w14:paraId="1B5C2C3A" w14:textId="77777777" w:rsidTr="00F53D9E">
        <w:trPr>
          <w:trHeight w:val="1102"/>
        </w:trPr>
        <w:tc>
          <w:tcPr>
            <w:tcW w:w="2660" w:type="dxa"/>
            <w:shd w:val="clear" w:color="auto" w:fill="DBE5F1" w:themeFill="accent1" w:themeFillTint="33"/>
            <w:vAlign w:val="center"/>
          </w:tcPr>
          <w:p w14:paraId="1B5C2C38" w14:textId="77777777" w:rsidR="00F53D9E" w:rsidRPr="0043584D" w:rsidRDefault="00AC555B">
            <w:pPr>
              <w:autoSpaceDE w:val="0"/>
              <w:autoSpaceDN w:val="0"/>
              <w:adjustRightInd w:val="0"/>
              <w:spacing w:after="0" w:line="240" w:lineRule="auto"/>
              <w:rPr>
                <w:rFonts w:eastAsiaTheme="minorEastAsia" w:cs="Arial"/>
                <w:szCs w:val="20"/>
              </w:rPr>
            </w:pPr>
            <w:r w:rsidRPr="004E52E4">
              <w:rPr>
                <w:rFonts w:eastAsiaTheme="minorEastAsia" w:cs="Arial"/>
                <w:szCs w:val="20"/>
              </w:rPr>
              <w:t xml:space="preserve">Increase understanding of </w:t>
            </w:r>
            <w:r w:rsidRPr="004E52E4">
              <w:rPr>
                <w:rFonts w:eastAsiaTheme="minorEastAsia" w:cs="Arial"/>
                <w:i/>
                <w:iCs/>
                <w:szCs w:val="20"/>
              </w:rPr>
              <w:t xml:space="preserve">A. </w:t>
            </w:r>
            <w:proofErr w:type="spellStart"/>
            <w:r w:rsidRPr="004E52E4">
              <w:rPr>
                <w:rFonts w:eastAsiaTheme="minorEastAsia" w:cs="Arial"/>
                <w:i/>
                <w:iCs/>
                <w:szCs w:val="20"/>
              </w:rPr>
              <w:t>gouldi</w:t>
            </w:r>
            <w:proofErr w:type="spellEnd"/>
            <w:r w:rsidRPr="004E52E4">
              <w:rPr>
                <w:rFonts w:eastAsiaTheme="minorEastAsia" w:cs="Arial"/>
                <w:i/>
                <w:iCs/>
                <w:szCs w:val="20"/>
              </w:rPr>
              <w:t xml:space="preserve"> </w:t>
            </w:r>
            <w:r w:rsidRPr="004E52E4">
              <w:rPr>
                <w:rFonts w:eastAsiaTheme="minorEastAsia" w:cs="Arial"/>
                <w:szCs w:val="20"/>
              </w:rPr>
              <w:t>biology and</w:t>
            </w:r>
            <w:r>
              <w:rPr>
                <w:rFonts w:eastAsiaTheme="minorEastAsia" w:cs="Arial"/>
                <w:szCs w:val="20"/>
              </w:rPr>
              <w:t xml:space="preserve"> </w:t>
            </w:r>
            <w:r w:rsidRPr="004E52E4">
              <w:rPr>
                <w:rFonts w:eastAsiaTheme="minorEastAsia" w:cs="Arial"/>
                <w:szCs w:val="20"/>
              </w:rPr>
              <w:t>conservation requirements to</w:t>
            </w:r>
            <w:r>
              <w:rPr>
                <w:rFonts w:eastAsiaTheme="minorEastAsia" w:cs="Arial"/>
                <w:szCs w:val="20"/>
              </w:rPr>
              <w:t xml:space="preserve"> improve </w:t>
            </w:r>
            <w:r w:rsidRPr="004E52E4">
              <w:rPr>
                <w:rFonts w:eastAsiaTheme="minorEastAsia" w:cs="Arial"/>
                <w:szCs w:val="20"/>
              </w:rPr>
              <w:t>management.</w:t>
            </w:r>
          </w:p>
        </w:tc>
        <w:tc>
          <w:tcPr>
            <w:tcW w:w="6696" w:type="dxa"/>
            <w:shd w:val="clear" w:color="auto" w:fill="DBE5F1" w:themeFill="accent1" w:themeFillTint="33"/>
          </w:tcPr>
          <w:p w14:paraId="1B5C2C39" w14:textId="77777777" w:rsidR="00F53D9E" w:rsidRDefault="00AC555B">
            <w:pPr>
              <w:pStyle w:val="Default"/>
              <w:rPr>
                <w:b/>
                <w:bCs/>
                <w:color w:val="FF0000"/>
                <w:sz w:val="20"/>
                <w:szCs w:val="20"/>
              </w:rPr>
            </w:pPr>
            <w:r>
              <w:rPr>
                <w:sz w:val="20"/>
                <w:szCs w:val="20"/>
              </w:rPr>
              <w:t xml:space="preserve">Some knowledge of movement has been gained but further genetic studies would aid understanding of relationships between populations and meta-population movements. Considerable research has been conducted by the FPA on potential impacts associated with forestry activities, and management prescriptions have been regularly updated in response. Further research is needed to improve understanding of impacts to environmental flows and water temperatures. </w:t>
            </w:r>
          </w:p>
        </w:tc>
      </w:tr>
      <w:tr w:rsidR="00F371AA" w14:paraId="1B5C2C3D" w14:textId="77777777" w:rsidTr="00F53D9E">
        <w:trPr>
          <w:trHeight w:val="665"/>
        </w:trPr>
        <w:tc>
          <w:tcPr>
            <w:tcW w:w="2660" w:type="dxa"/>
            <w:shd w:val="clear" w:color="auto" w:fill="DBE5F1" w:themeFill="accent1" w:themeFillTint="33"/>
            <w:vAlign w:val="center"/>
          </w:tcPr>
          <w:p w14:paraId="1B5C2C3B" w14:textId="77777777" w:rsidR="00F53D9E" w:rsidRPr="0043584D" w:rsidRDefault="00AC555B">
            <w:pPr>
              <w:autoSpaceDE w:val="0"/>
              <w:autoSpaceDN w:val="0"/>
              <w:adjustRightInd w:val="0"/>
              <w:spacing w:after="0" w:line="240" w:lineRule="auto"/>
              <w:rPr>
                <w:rFonts w:eastAsiaTheme="minorEastAsia" w:cs="Arial"/>
                <w:szCs w:val="20"/>
              </w:rPr>
            </w:pPr>
            <w:r w:rsidRPr="004E52E4">
              <w:rPr>
                <w:rFonts w:eastAsiaTheme="minorEastAsia" w:cs="Arial"/>
                <w:szCs w:val="20"/>
              </w:rPr>
              <w:t>Coordinate</w:t>
            </w:r>
            <w:r>
              <w:rPr>
                <w:rFonts w:eastAsiaTheme="minorEastAsia" w:cs="Arial"/>
                <w:szCs w:val="20"/>
              </w:rPr>
              <w:t xml:space="preserve"> </w:t>
            </w:r>
            <w:r w:rsidRPr="004E52E4">
              <w:rPr>
                <w:rFonts w:eastAsiaTheme="minorEastAsia" w:cs="Arial"/>
                <w:szCs w:val="20"/>
              </w:rPr>
              <w:t>implementation of the</w:t>
            </w:r>
            <w:r>
              <w:rPr>
                <w:rFonts w:eastAsiaTheme="minorEastAsia" w:cs="Arial"/>
                <w:szCs w:val="20"/>
              </w:rPr>
              <w:t xml:space="preserve"> </w:t>
            </w:r>
            <w:r w:rsidRPr="004E52E4">
              <w:rPr>
                <w:rFonts w:eastAsiaTheme="minorEastAsia" w:cs="Arial"/>
                <w:szCs w:val="20"/>
              </w:rPr>
              <w:t>recovery program.</w:t>
            </w:r>
          </w:p>
        </w:tc>
        <w:tc>
          <w:tcPr>
            <w:tcW w:w="6696" w:type="dxa"/>
            <w:shd w:val="clear" w:color="auto" w:fill="DBE5F1" w:themeFill="accent1" w:themeFillTint="33"/>
          </w:tcPr>
          <w:p w14:paraId="1B5C2C3C" w14:textId="77777777" w:rsidR="00F53D9E" w:rsidRDefault="00AC555B" w:rsidP="00F53D9E">
            <w:pPr>
              <w:pStyle w:val="Default"/>
              <w:rPr>
                <w:b/>
                <w:bCs/>
                <w:color w:val="FF0000"/>
                <w:sz w:val="20"/>
                <w:szCs w:val="20"/>
              </w:rPr>
            </w:pPr>
            <w:r>
              <w:rPr>
                <w:sz w:val="20"/>
                <w:szCs w:val="20"/>
              </w:rPr>
              <w:t xml:space="preserve">Recovery plan implementation progressed well, given funding constraints. Implementation and financing of some actions was largely undertaken by Cradle Coast Natural Resource Management Group, DPIPWE and the FPA. </w:t>
            </w:r>
          </w:p>
        </w:tc>
      </w:tr>
    </w:tbl>
    <w:p w14:paraId="1B5C2C3E" w14:textId="77777777" w:rsidR="00F53D9E" w:rsidRDefault="00F53D9E" w:rsidP="00F53D9E">
      <w:pPr>
        <w:spacing w:after="0" w:line="240" w:lineRule="auto"/>
      </w:pPr>
      <w:bookmarkStart w:id="147" w:name="_Toc390850799"/>
    </w:p>
    <w:p w14:paraId="1B5C2C3F" w14:textId="77777777" w:rsidR="00F53D9E" w:rsidRPr="003E4827" w:rsidRDefault="00AC555B" w:rsidP="00F53D9E">
      <w:pPr>
        <w:rPr>
          <w:szCs w:val="20"/>
        </w:rPr>
      </w:pPr>
      <w:r w:rsidRPr="003E4827">
        <w:rPr>
          <w:szCs w:val="20"/>
        </w:rPr>
        <w:t xml:space="preserve">Threats to the giant freshwater crayfish include illegal fishing pressure, large-scale habitat disturbance or loss, siltation of waterways, drought and climate change. However, at the workshop to review the 2006 recovery plan, land clearing and habitat disturbance were identified as potentially the most significant threat currently impacting upon the species. In particular, any form of land clearing or habitat disturbance that resulted in increased siltation of waterways, including in-stream erosion, bank destabilisation, slope run-off and clearing in upstream reaches of catchments supporting giant freshwater crayfish populations, was considered high risk. Such activities can affect the ability of giant freshwater crayfish to transpire oxygen through the gills (Eastman &amp; Eastman 2007), and have a considerable impact on the life cycle of giant freshwater crayfish, particularly affecting the species’ juvenile life stage. </w:t>
      </w:r>
      <w:bookmarkEnd w:id="147"/>
    </w:p>
    <w:p w14:paraId="1B5C2C40" w14:textId="77777777" w:rsidR="00F53D9E" w:rsidRDefault="00AC555B">
      <w:pPr>
        <w:spacing w:after="0" w:line="240" w:lineRule="auto"/>
        <w:rPr>
          <w:szCs w:val="20"/>
        </w:rPr>
      </w:pPr>
      <w:bookmarkStart w:id="148" w:name="_Toc390850800"/>
      <w:r>
        <w:rPr>
          <w:szCs w:val="20"/>
        </w:rPr>
        <w:br w:type="page"/>
      </w:r>
    </w:p>
    <w:p w14:paraId="1B5C2C41" w14:textId="77777777" w:rsidR="00F53D9E" w:rsidRPr="003E4827" w:rsidRDefault="00AC555B" w:rsidP="00F53D9E">
      <w:pPr>
        <w:rPr>
          <w:szCs w:val="20"/>
        </w:rPr>
      </w:pPr>
      <w:r w:rsidRPr="003E4827">
        <w:rPr>
          <w:szCs w:val="20"/>
        </w:rPr>
        <w:lastRenderedPageBreak/>
        <w:t xml:space="preserve">This recovery plan sets out the research and management actions necessary to stop the decline, and support the recovery, of the giant freshwater crayfish in Australia. </w:t>
      </w:r>
      <w:bookmarkEnd w:id="148"/>
      <w:r w:rsidRPr="003E4827">
        <w:rPr>
          <w:szCs w:val="20"/>
        </w:rPr>
        <w:t>The overarching objectives of this recovery plan are to:</w:t>
      </w:r>
    </w:p>
    <w:p w14:paraId="1B5C2C42" w14:textId="77777777" w:rsidR="00F53D9E" w:rsidRDefault="00AC555B" w:rsidP="00F53D9E">
      <w:pPr>
        <w:pStyle w:val="ListBullet"/>
        <w:numPr>
          <w:ilvl w:val="0"/>
          <w:numId w:val="18"/>
        </w:numPr>
      </w:pPr>
      <w:r>
        <w:t>Identify, conserve and manage key locations to support increasing populations of the giant freshwater crayfish, with a healthy demographic structure.</w:t>
      </w:r>
    </w:p>
    <w:p w14:paraId="1B5C2C43" w14:textId="77777777" w:rsidR="00F53D9E" w:rsidRDefault="00AC555B" w:rsidP="00F53D9E">
      <w:pPr>
        <w:pStyle w:val="ListBullet"/>
        <w:numPr>
          <w:ilvl w:val="0"/>
          <w:numId w:val="18"/>
        </w:numPr>
      </w:pPr>
      <w:r>
        <w:t xml:space="preserve">Address threats and improve habitat quality across the species’ range.  </w:t>
      </w:r>
    </w:p>
    <w:p w14:paraId="1B5C2C44" w14:textId="77777777" w:rsidR="00F53D9E" w:rsidRPr="00E90876" w:rsidRDefault="00AC555B" w:rsidP="00F53D9E">
      <w:pPr>
        <w:rPr>
          <w:szCs w:val="20"/>
        </w:rPr>
      </w:pPr>
      <w:bookmarkStart w:id="149" w:name="_Toc390850803"/>
      <w:r w:rsidRPr="00E90876">
        <w:rPr>
          <w:szCs w:val="20"/>
        </w:rPr>
        <w:t>To achieve these objectives a range of strategies will be employed, including</w:t>
      </w:r>
      <w:r>
        <w:rPr>
          <w:szCs w:val="20"/>
        </w:rPr>
        <w:t>:</w:t>
      </w:r>
      <w:r w:rsidRPr="00E90876">
        <w:rPr>
          <w:szCs w:val="20"/>
        </w:rPr>
        <w:t xml:space="preserve"> reducing the impacts</w:t>
      </w:r>
      <w:r>
        <w:rPr>
          <w:szCs w:val="20"/>
        </w:rPr>
        <w:t xml:space="preserve"> of</w:t>
      </w:r>
      <w:r w:rsidRPr="00E90876">
        <w:rPr>
          <w:szCs w:val="20"/>
        </w:rPr>
        <w:t xml:space="preserve"> habitat degradation and illegal fishing</w:t>
      </w:r>
      <w:r>
        <w:rPr>
          <w:szCs w:val="20"/>
        </w:rPr>
        <w:t>;</w:t>
      </w:r>
      <w:r w:rsidRPr="00E90876">
        <w:rPr>
          <w:szCs w:val="20"/>
        </w:rPr>
        <w:t xml:space="preserve"> improving habitat quality and increasing habitat protection</w:t>
      </w:r>
      <w:r>
        <w:rPr>
          <w:szCs w:val="20"/>
        </w:rPr>
        <w:t>;</w:t>
      </w:r>
      <w:r w:rsidRPr="00E90876">
        <w:rPr>
          <w:szCs w:val="20"/>
        </w:rPr>
        <w:t xml:space="preserve"> increasing understanding of the species biology and ecology</w:t>
      </w:r>
      <w:r>
        <w:rPr>
          <w:szCs w:val="20"/>
        </w:rPr>
        <w:t>,</w:t>
      </w:r>
      <w:r w:rsidRPr="00E90876">
        <w:rPr>
          <w:szCs w:val="20"/>
        </w:rPr>
        <w:t xml:space="preserve"> and its ability to recover from past threats</w:t>
      </w:r>
      <w:r>
        <w:rPr>
          <w:szCs w:val="20"/>
        </w:rPr>
        <w:t>;</w:t>
      </w:r>
      <w:r w:rsidRPr="00E90876">
        <w:rPr>
          <w:szCs w:val="20"/>
        </w:rPr>
        <w:t xml:space="preserve"> and promoting </w:t>
      </w:r>
      <w:r>
        <w:rPr>
          <w:szCs w:val="20"/>
        </w:rPr>
        <w:t xml:space="preserve">the </w:t>
      </w:r>
      <w:r w:rsidRPr="00E90876">
        <w:rPr>
          <w:szCs w:val="20"/>
        </w:rPr>
        <w:t xml:space="preserve">giant freshwater </w:t>
      </w:r>
      <w:r>
        <w:rPr>
          <w:szCs w:val="20"/>
        </w:rPr>
        <w:t>crayfish</w:t>
      </w:r>
      <w:r w:rsidRPr="00E90876">
        <w:rPr>
          <w:szCs w:val="20"/>
        </w:rPr>
        <w:t xml:space="preserve"> as a flagship species for healthy catchment management. In particular</w:t>
      </w:r>
      <w:r>
        <w:rPr>
          <w:szCs w:val="20"/>
        </w:rPr>
        <w:t>,</w:t>
      </w:r>
      <w:r w:rsidRPr="00E90876">
        <w:rPr>
          <w:szCs w:val="20"/>
        </w:rPr>
        <w:t xml:space="preserve"> it is believed that the species has a high probability of recovery if the following three goals are achieved:</w:t>
      </w:r>
    </w:p>
    <w:p w14:paraId="1B5C2C45" w14:textId="77777777" w:rsidR="00F53D9E" w:rsidRDefault="00AC555B" w:rsidP="00F53D9E">
      <w:pPr>
        <w:pStyle w:val="ListBullet"/>
        <w:numPr>
          <w:ilvl w:val="0"/>
          <w:numId w:val="19"/>
        </w:numPr>
      </w:pPr>
      <w:r w:rsidRPr="002C383A">
        <w:t>Habitat protection is increased in key locations</w:t>
      </w:r>
      <w:r>
        <w:t>;</w:t>
      </w:r>
    </w:p>
    <w:p w14:paraId="1B5C2C46" w14:textId="77777777" w:rsidR="00F53D9E" w:rsidRDefault="00AC555B" w:rsidP="00F53D9E">
      <w:pPr>
        <w:pStyle w:val="ListBullet"/>
        <w:numPr>
          <w:ilvl w:val="0"/>
          <w:numId w:val="19"/>
        </w:numPr>
      </w:pPr>
      <w:r w:rsidRPr="002C383A">
        <w:t xml:space="preserve">Upstream land use activities are appropriately managed to prevent impacts on key downstream locations; and </w:t>
      </w:r>
    </w:p>
    <w:p w14:paraId="1B5C2C47" w14:textId="77777777" w:rsidR="00F53D9E" w:rsidRDefault="00AC555B" w:rsidP="00F53D9E">
      <w:pPr>
        <w:pStyle w:val="ListBullet"/>
        <w:numPr>
          <w:ilvl w:val="0"/>
          <w:numId w:val="19"/>
        </w:numPr>
      </w:pPr>
      <w:r w:rsidRPr="002C383A">
        <w:t>Fishing ban enforcement activities are focussed on tackling poaching.</w:t>
      </w:r>
    </w:p>
    <w:p w14:paraId="1B5C2C48" w14:textId="77777777" w:rsidR="00F53D9E" w:rsidRDefault="00AC555B" w:rsidP="00F53D9E">
      <w:pPr>
        <w:rPr>
          <w:rFonts w:cs="Arial"/>
          <w:color w:val="808080" w:themeColor="background1" w:themeShade="80"/>
          <w:sz w:val="32"/>
        </w:rPr>
      </w:pPr>
      <w:r w:rsidRPr="00E90876">
        <w:rPr>
          <w:szCs w:val="20"/>
        </w:rPr>
        <w:t xml:space="preserve">An accompanying Species Profile and Threats Database (SPRAT) page provides background information on the biology, population status and threats to the giant freshwater </w:t>
      </w:r>
      <w:r>
        <w:rPr>
          <w:szCs w:val="20"/>
        </w:rPr>
        <w:t>crayfish</w:t>
      </w:r>
      <w:r w:rsidRPr="00E90876">
        <w:rPr>
          <w:szCs w:val="20"/>
        </w:rPr>
        <w:t xml:space="preserve">. The SPRAT page is available from: </w:t>
      </w:r>
      <w:hyperlink r:id="rId24" w:history="1">
        <w:r w:rsidRPr="00E90876">
          <w:rPr>
            <w:rStyle w:val="Hyperlink"/>
            <w:szCs w:val="20"/>
          </w:rPr>
          <w:t>http://www.environment.gov.au/cgi-bin/sprat/public/sprat.pl</w:t>
        </w:r>
      </w:hyperlink>
      <w:bookmarkEnd w:id="149"/>
      <w:r w:rsidRPr="00E90876">
        <w:rPr>
          <w:szCs w:val="20"/>
        </w:rPr>
        <w:t>.</w:t>
      </w:r>
      <w:bookmarkStart w:id="150" w:name="_Toc432076295"/>
      <w:bookmarkStart w:id="151" w:name="_Toc458697048"/>
    </w:p>
    <w:p w14:paraId="1B5C2C49" w14:textId="77777777" w:rsidR="00F53D9E" w:rsidRDefault="00AC555B">
      <w:pPr>
        <w:pStyle w:val="Heading2"/>
        <w:spacing w:before="240"/>
      </w:pPr>
      <w:bookmarkStart w:id="152" w:name="_Toc256000157"/>
      <w:bookmarkStart w:id="153" w:name="_Toc256000111"/>
      <w:bookmarkStart w:id="154" w:name="_Toc256000063"/>
      <w:bookmarkStart w:id="155" w:name="_Toc256000015"/>
      <w:r w:rsidRPr="00215878">
        <w:t>2.1</w:t>
      </w:r>
      <w:r w:rsidRPr="00215878">
        <w:tab/>
        <w:t>Conservation Status</w:t>
      </w:r>
      <w:bookmarkEnd w:id="152"/>
      <w:bookmarkEnd w:id="153"/>
      <w:bookmarkEnd w:id="154"/>
      <w:bookmarkEnd w:id="155"/>
      <w:bookmarkEnd w:id="150"/>
      <w:bookmarkEnd w:id="151"/>
    </w:p>
    <w:p w14:paraId="1B5C2C4A" w14:textId="77777777" w:rsidR="00F53D9E" w:rsidRDefault="00AC555B" w:rsidP="00F53D9E">
      <w:r>
        <w:t>The giant freshwater crayfish is</w:t>
      </w:r>
      <w:r w:rsidRPr="002E422E">
        <w:t xml:space="preserve"> listed as threatened under </w:t>
      </w:r>
      <w:r>
        <w:t xml:space="preserve">both </w:t>
      </w:r>
      <w:r w:rsidRPr="002E422E">
        <w:t xml:space="preserve">the </w:t>
      </w:r>
      <w:r w:rsidRPr="002E422E">
        <w:rPr>
          <w:i/>
          <w:iCs/>
        </w:rPr>
        <w:t>Environment Protection and Biodiversity Conservation Act 1999</w:t>
      </w:r>
      <w:r w:rsidRPr="002E422E">
        <w:t xml:space="preserve"> (EPBC Act)</w:t>
      </w:r>
      <w:r>
        <w:t xml:space="preserve"> and</w:t>
      </w:r>
      <w:r w:rsidRPr="002E422E">
        <w:t xml:space="preserve"> </w:t>
      </w:r>
      <w:r>
        <w:t xml:space="preserve">the Tasmanian </w:t>
      </w:r>
      <w:r w:rsidRPr="00D16B1B">
        <w:rPr>
          <w:i/>
        </w:rPr>
        <w:t>Threatened Species Protection Act 1995</w:t>
      </w:r>
      <w:r>
        <w:rPr>
          <w:i/>
        </w:rPr>
        <w:t xml:space="preserve"> </w:t>
      </w:r>
      <w:r w:rsidRPr="00205D1B">
        <w:t>(</w:t>
      </w:r>
      <w:r>
        <w:t>refer to Table 1)</w:t>
      </w:r>
      <w:r w:rsidRPr="002E422E">
        <w:t>.</w:t>
      </w:r>
      <w:r>
        <w:t xml:space="preserve"> </w:t>
      </w:r>
    </w:p>
    <w:p w14:paraId="1B5C2C4B" w14:textId="77777777" w:rsidR="00F53D9E" w:rsidRPr="00D56611" w:rsidRDefault="00AC555B" w:rsidP="00F53D9E">
      <w:r w:rsidRPr="004644F6">
        <w:t xml:space="preserve">The </w:t>
      </w:r>
      <w:r>
        <w:t>giant freshwater crayfish</w:t>
      </w:r>
      <w:r w:rsidRPr="004644F6">
        <w:t xml:space="preserve"> was transfer</w:t>
      </w:r>
      <w:r w:rsidRPr="004644F6">
        <w:rPr>
          <w:spacing w:val="-3"/>
        </w:rPr>
        <w:t>r</w:t>
      </w:r>
      <w:r w:rsidRPr="004644F6">
        <w:t>ed</w:t>
      </w:r>
      <w:r w:rsidRPr="004644F6">
        <w:rPr>
          <w:spacing w:val="-2"/>
        </w:rPr>
        <w:t xml:space="preserve"> </w:t>
      </w:r>
      <w:r w:rsidRPr="004644F6">
        <w:t>f</w:t>
      </w:r>
      <w:r w:rsidRPr="004644F6">
        <w:rPr>
          <w:spacing w:val="-2"/>
        </w:rPr>
        <w:t>r</w:t>
      </w:r>
      <w:r w:rsidRPr="004644F6">
        <w:t>om</w:t>
      </w:r>
      <w:r w:rsidRPr="004644F6">
        <w:rPr>
          <w:spacing w:val="-2"/>
        </w:rPr>
        <w:t xml:space="preserve"> </w:t>
      </w:r>
      <w:r w:rsidRPr="004644F6">
        <w:t>the</w:t>
      </w:r>
      <w:r w:rsidRPr="004644F6">
        <w:rPr>
          <w:spacing w:val="-2"/>
        </w:rPr>
        <w:t xml:space="preserve"> </w:t>
      </w:r>
      <w:r w:rsidRPr="004644F6">
        <w:rPr>
          <w:i/>
          <w:spacing w:val="-4"/>
        </w:rPr>
        <w:t>E</w:t>
      </w:r>
      <w:r w:rsidRPr="004644F6">
        <w:rPr>
          <w:i/>
        </w:rPr>
        <w:t>ndange</w:t>
      </w:r>
      <w:r w:rsidRPr="004644F6">
        <w:rPr>
          <w:i/>
          <w:spacing w:val="-4"/>
        </w:rPr>
        <w:t>r</w:t>
      </w:r>
      <w:r w:rsidRPr="004644F6">
        <w:rPr>
          <w:i/>
        </w:rPr>
        <w:t>ed</w:t>
      </w:r>
      <w:r w:rsidRPr="004644F6">
        <w:rPr>
          <w:i/>
          <w:spacing w:val="-2"/>
        </w:rPr>
        <w:t xml:space="preserve"> </w:t>
      </w:r>
      <w:r w:rsidRPr="004644F6">
        <w:rPr>
          <w:i/>
          <w:spacing w:val="-3"/>
        </w:rPr>
        <w:t>S</w:t>
      </w:r>
      <w:r w:rsidRPr="004644F6">
        <w:rPr>
          <w:i/>
        </w:rPr>
        <w:t>pecies</w:t>
      </w:r>
      <w:r w:rsidRPr="004644F6">
        <w:rPr>
          <w:i/>
          <w:spacing w:val="-2"/>
        </w:rPr>
        <w:t xml:space="preserve"> </w:t>
      </w:r>
      <w:r w:rsidRPr="004644F6">
        <w:rPr>
          <w:i/>
          <w:spacing w:val="-5"/>
        </w:rPr>
        <w:t>P</w:t>
      </w:r>
      <w:r w:rsidRPr="004644F6">
        <w:rPr>
          <w:i/>
          <w:spacing w:val="-2"/>
        </w:rPr>
        <w:t>r</w:t>
      </w:r>
      <w:r w:rsidRPr="004644F6">
        <w:rPr>
          <w:i/>
        </w:rPr>
        <w:t>otection</w:t>
      </w:r>
      <w:r w:rsidRPr="004644F6">
        <w:rPr>
          <w:i/>
          <w:spacing w:val="-2"/>
        </w:rPr>
        <w:t xml:space="preserve"> </w:t>
      </w:r>
      <w:r w:rsidRPr="004644F6">
        <w:rPr>
          <w:i/>
          <w:spacing w:val="-4"/>
        </w:rPr>
        <w:t>A</w:t>
      </w:r>
      <w:r w:rsidRPr="004644F6">
        <w:rPr>
          <w:i/>
        </w:rPr>
        <w:t>ct</w:t>
      </w:r>
      <w:r w:rsidRPr="004644F6">
        <w:rPr>
          <w:i/>
          <w:spacing w:val="-2"/>
        </w:rPr>
        <w:t xml:space="preserve"> </w:t>
      </w:r>
      <w:r w:rsidRPr="004644F6">
        <w:rPr>
          <w:i/>
        </w:rPr>
        <w:t>1992</w:t>
      </w:r>
      <w:r w:rsidRPr="004644F6">
        <w:rPr>
          <w:i/>
          <w:spacing w:val="-2"/>
        </w:rPr>
        <w:t xml:space="preserve"> </w:t>
      </w:r>
      <w:r w:rsidRPr="004644F6">
        <w:t>(ESP</w:t>
      </w:r>
      <w:r>
        <w:rPr>
          <w:spacing w:val="-2"/>
        </w:rPr>
        <w:t> </w:t>
      </w:r>
      <w:r w:rsidRPr="004644F6">
        <w:rPr>
          <w:spacing w:val="-3"/>
        </w:rPr>
        <w:t>A</w:t>
      </w:r>
      <w:r w:rsidRPr="004644F6">
        <w:t>ct)</w:t>
      </w:r>
      <w:r w:rsidRPr="004644F6">
        <w:rPr>
          <w:spacing w:val="-2"/>
        </w:rPr>
        <w:t xml:space="preserve"> </w:t>
      </w:r>
      <w:r w:rsidRPr="004644F6">
        <w:t>to</w:t>
      </w:r>
      <w:r w:rsidRPr="004644F6">
        <w:rPr>
          <w:spacing w:val="-2"/>
        </w:rPr>
        <w:t xml:space="preserve"> </w:t>
      </w:r>
      <w:r w:rsidRPr="004644F6">
        <w:t xml:space="preserve">the </w:t>
      </w:r>
      <w:r>
        <w:t>V</w:t>
      </w:r>
      <w:r w:rsidRPr="004644F6">
        <w:t xml:space="preserve">ulnerable list of the EPBC </w:t>
      </w:r>
      <w:r w:rsidRPr="004644F6">
        <w:rPr>
          <w:spacing w:val="-3"/>
        </w:rPr>
        <w:t>A</w:t>
      </w:r>
      <w:r w:rsidRPr="004644F6">
        <w:t>ct when it came into fo</w:t>
      </w:r>
      <w:r w:rsidRPr="004644F6">
        <w:rPr>
          <w:spacing w:val="-2"/>
        </w:rPr>
        <w:t>r</w:t>
      </w:r>
      <w:r w:rsidRPr="004644F6">
        <w:t xml:space="preserve">ce in </w:t>
      </w:r>
      <w:r w:rsidRPr="004644F6">
        <w:rPr>
          <w:spacing w:val="-8"/>
        </w:rPr>
        <w:t>J</w:t>
      </w:r>
      <w:r w:rsidRPr="004644F6">
        <w:t xml:space="preserve">uly 2000. </w:t>
      </w:r>
      <w:r w:rsidRPr="004644F6">
        <w:rPr>
          <w:spacing w:val="-8"/>
        </w:rPr>
        <w:t>F</w:t>
      </w:r>
      <w:r w:rsidRPr="004644F6">
        <w:t>or a species to be conside</w:t>
      </w:r>
      <w:r w:rsidRPr="004644F6">
        <w:rPr>
          <w:spacing w:val="-3"/>
        </w:rPr>
        <w:t>r</w:t>
      </w:r>
      <w:r w:rsidRPr="004644F6">
        <w:t xml:space="preserve">ed as </w:t>
      </w:r>
      <w:r>
        <w:t>V</w:t>
      </w:r>
      <w:r w:rsidRPr="004644F6">
        <w:t>ulnerable under</w:t>
      </w:r>
      <w:r w:rsidRPr="004644F6">
        <w:rPr>
          <w:spacing w:val="-1"/>
        </w:rPr>
        <w:t xml:space="preserve"> </w:t>
      </w:r>
      <w:r w:rsidRPr="004644F6">
        <w:t>the ESP</w:t>
      </w:r>
      <w:r w:rsidRPr="004644F6">
        <w:rPr>
          <w:spacing w:val="-1"/>
        </w:rPr>
        <w:t xml:space="preserve"> </w:t>
      </w:r>
      <w:r w:rsidRPr="004644F6">
        <w:rPr>
          <w:spacing w:val="-3"/>
        </w:rPr>
        <w:t>A</w:t>
      </w:r>
      <w:r w:rsidRPr="004644F6">
        <w:t xml:space="preserve">ct, the </w:t>
      </w:r>
      <w:r w:rsidRPr="004644F6">
        <w:rPr>
          <w:spacing w:val="-3"/>
        </w:rPr>
        <w:t>M</w:t>
      </w:r>
      <w:r w:rsidRPr="004644F6">
        <w:t>inister</w:t>
      </w:r>
      <w:r w:rsidRPr="004644F6">
        <w:rPr>
          <w:spacing w:val="-1"/>
        </w:rPr>
        <w:t xml:space="preserve"> </w:t>
      </w:r>
      <w:r w:rsidRPr="004644F6">
        <w:t>must ha</w:t>
      </w:r>
      <w:r w:rsidRPr="004644F6">
        <w:rPr>
          <w:spacing w:val="-2"/>
        </w:rPr>
        <w:t>v</w:t>
      </w:r>
      <w:r w:rsidRPr="004644F6">
        <w:t>e been</w:t>
      </w:r>
      <w:r w:rsidRPr="004644F6">
        <w:rPr>
          <w:spacing w:val="-1"/>
        </w:rPr>
        <w:t xml:space="preserve"> </w:t>
      </w:r>
      <w:r w:rsidRPr="004644F6">
        <w:t>satisfied that the</w:t>
      </w:r>
      <w:r w:rsidRPr="004644F6">
        <w:rPr>
          <w:spacing w:val="-1"/>
        </w:rPr>
        <w:t xml:space="preserve"> </w:t>
      </w:r>
      <w:r w:rsidRPr="004644F6">
        <w:t>species was likely</w:t>
      </w:r>
      <w:r w:rsidRPr="004644F6">
        <w:rPr>
          <w:spacing w:val="-1"/>
        </w:rPr>
        <w:t xml:space="preserve"> </w:t>
      </w:r>
      <w:r w:rsidRPr="004644F6">
        <w:t>to become endange</w:t>
      </w:r>
      <w:r w:rsidRPr="004644F6">
        <w:rPr>
          <w:spacing w:val="-3"/>
        </w:rPr>
        <w:t>r</w:t>
      </w:r>
      <w:r w:rsidRPr="004644F6">
        <w:t>ed</w:t>
      </w:r>
      <w:r w:rsidRPr="004644F6">
        <w:rPr>
          <w:spacing w:val="-1"/>
        </w:rPr>
        <w:t xml:space="preserve"> </w:t>
      </w:r>
      <w:r w:rsidRPr="004644F6">
        <w:t xml:space="preserve">within the next 25 </w:t>
      </w:r>
      <w:r w:rsidRPr="004644F6">
        <w:rPr>
          <w:spacing w:val="-2"/>
        </w:rPr>
        <w:t>y</w:t>
      </w:r>
      <w:r w:rsidRPr="004644F6">
        <w:t xml:space="preserve">ears. </w:t>
      </w:r>
      <w:r w:rsidRPr="004644F6">
        <w:rPr>
          <w:spacing w:val="-3"/>
        </w:rPr>
        <w:t>R</w:t>
      </w:r>
      <w:r w:rsidRPr="004644F6">
        <w:t xml:space="preserve">ecommendations for listing species under the ESP </w:t>
      </w:r>
      <w:r w:rsidRPr="004644F6">
        <w:rPr>
          <w:spacing w:val="-3"/>
        </w:rPr>
        <w:t>A</w:t>
      </w:r>
      <w:r w:rsidRPr="004644F6">
        <w:t xml:space="preserve">ct </w:t>
      </w:r>
      <w:r w:rsidRPr="004644F6">
        <w:rPr>
          <w:spacing w:val="-2"/>
        </w:rPr>
        <w:t>w</w:t>
      </w:r>
      <w:r w:rsidRPr="004644F6">
        <w:t>e</w:t>
      </w:r>
      <w:r w:rsidRPr="004644F6">
        <w:rPr>
          <w:spacing w:val="-2"/>
        </w:rPr>
        <w:t>r</w:t>
      </w:r>
      <w:r w:rsidRPr="004644F6">
        <w:t xml:space="preserve">e made to the </w:t>
      </w:r>
      <w:r w:rsidRPr="004644F6">
        <w:rPr>
          <w:spacing w:val="-3"/>
        </w:rPr>
        <w:t>M</w:t>
      </w:r>
      <w:r w:rsidRPr="004644F6">
        <w:t xml:space="preserve">inister </w:t>
      </w:r>
      <w:r w:rsidRPr="004644F6">
        <w:rPr>
          <w:spacing w:val="-2"/>
        </w:rPr>
        <w:t>b</w:t>
      </w:r>
      <w:r w:rsidRPr="004644F6">
        <w:t>y the</w:t>
      </w:r>
      <w:r>
        <w:t xml:space="preserve"> then</w:t>
      </w:r>
      <w:r>
        <w:rPr>
          <w:spacing w:val="-2"/>
        </w:rPr>
        <w:t xml:space="preserve"> E</w:t>
      </w:r>
      <w:r>
        <w:t>ndange</w:t>
      </w:r>
      <w:r>
        <w:rPr>
          <w:spacing w:val="-2"/>
        </w:rPr>
        <w:t>r</w:t>
      </w:r>
      <w:r>
        <w:t>ed</w:t>
      </w:r>
      <w:r>
        <w:rPr>
          <w:spacing w:val="-2"/>
        </w:rPr>
        <w:t xml:space="preserve"> </w:t>
      </w:r>
      <w:r>
        <w:rPr>
          <w:spacing w:val="-5"/>
        </w:rPr>
        <w:t>S</w:t>
      </w:r>
      <w:r>
        <w:t>pecies</w:t>
      </w:r>
      <w:r>
        <w:rPr>
          <w:spacing w:val="-2"/>
        </w:rPr>
        <w:t xml:space="preserve"> </w:t>
      </w:r>
      <w:r>
        <w:rPr>
          <w:spacing w:val="-3"/>
        </w:rPr>
        <w:t>A</w:t>
      </w:r>
      <w:r>
        <w:t>dviso</w:t>
      </w:r>
      <w:r>
        <w:rPr>
          <w:spacing w:val="3"/>
        </w:rPr>
        <w:t>r</w:t>
      </w:r>
      <w:r>
        <w:t>y</w:t>
      </w:r>
      <w:r>
        <w:rPr>
          <w:spacing w:val="-2"/>
        </w:rPr>
        <w:t xml:space="preserve"> </w:t>
      </w:r>
      <w:r>
        <w:t>Committee.</w:t>
      </w:r>
    </w:p>
    <w:p w14:paraId="1B5C2C4C" w14:textId="77777777" w:rsidR="00F53D9E" w:rsidRPr="00C33C28" w:rsidRDefault="00AC555B" w:rsidP="00F53D9E">
      <w:pPr>
        <w:pStyle w:val="Caption"/>
        <w:rPr>
          <w:szCs w:val="20"/>
        </w:rPr>
      </w:pPr>
      <w:bookmarkStart w:id="156" w:name="_Toc256000100"/>
      <w:bookmarkStart w:id="157" w:name="_Toc256000052"/>
      <w:bookmarkStart w:id="158" w:name="_Toc429043301"/>
      <w:r w:rsidRPr="0059043B">
        <w:rPr>
          <w:b/>
        </w:rPr>
        <w:t xml:space="preserve">Table </w:t>
      </w:r>
      <w:r>
        <w:rPr>
          <w:b/>
        </w:rPr>
        <w:t>2</w:t>
      </w:r>
      <w:r w:rsidRPr="0059043B">
        <w:rPr>
          <w:b/>
        </w:rPr>
        <w:t>:</w:t>
      </w:r>
      <w:r>
        <w:t xml:space="preserve"> C</w:t>
      </w:r>
      <w:r w:rsidRPr="00C33C28">
        <w:t xml:space="preserve">onservation </w:t>
      </w:r>
      <w:r>
        <w:t>status of the giant freshwater crayfish</w:t>
      </w:r>
      <w:r w:rsidRPr="00C33C28">
        <w:rPr>
          <w:szCs w:val="20"/>
        </w:rPr>
        <w:t>.</w:t>
      </w:r>
      <w:bookmarkEnd w:id="156"/>
      <w:bookmarkEnd w:id="157"/>
      <w:bookmarkEnd w:id="158"/>
    </w:p>
    <w:tbl>
      <w:tblPr>
        <w:tblW w:w="5000"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6347"/>
        <w:gridCol w:w="2679"/>
      </w:tblGrid>
      <w:tr w:rsidR="00F371AA" w14:paraId="1B5C2C4F" w14:textId="77777777" w:rsidTr="00F53D9E">
        <w:trPr>
          <w:cantSplit/>
          <w:trHeight w:val="381"/>
          <w:jc w:val="center"/>
        </w:trPr>
        <w:tc>
          <w:tcPr>
            <w:tcW w:w="3516" w:type="pct"/>
            <w:shd w:val="clear" w:color="auto" w:fill="17365D" w:themeFill="text2" w:themeFillShade="BF"/>
            <w:vAlign w:val="center"/>
          </w:tcPr>
          <w:p w14:paraId="1B5C2C4D" w14:textId="77777777" w:rsidR="00F53D9E" w:rsidRPr="00534F82" w:rsidRDefault="00AC555B" w:rsidP="00F53D9E">
            <w:pPr>
              <w:pStyle w:val="Tabletext"/>
              <w:rPr>
                <w:snapToGrid w:val="0"/>
              </w:rPr>
            </w:pPr>
            <w:r>
              <w:rPr>
                <w:snapToGrid w:val="0"/>
              </w:rPr>
              <w:t>Legislation</w:t>
            </w:r>
          </w:p>
        </w:tc>
        <w:tc>
          <w:tcPr>
            <w:tcW w:w="1484" w:type="pct"/>
            <w:shd w:val="clear" w:color="auto" w:fill="17365D" w:themeFill="text2" w:themeFillShade="BF"/>
            <w:vAlign w:val="center"/>
          </w:tcPr>
          <w:p w14:paraId="1B5C2C4E" w14:textId="77777777" w:rsidR="00F53D9E" w:rsidRPr="00534F82" w:rsidRDefault="00AC555B" w:rsidP="00F53D9E">
            <w:pPr>
              <w:pStyle w:val="Tabletext"/>
              <w:rPr>
                <w:snapToGrid w:val="0"/>
              </w:rPr>
            </w:pPr>
            <w:r w:rsidRPr="00534F82">
              <w:rPr>
                <w:snapToGrid w:val="0"/>
              </w:rPr>
              <w:t>Conservation Status</w:t>
            </w:r>
          </w:p>
        </w:tc>
      </w:tr>
      <w:tr w:rsidR="00F371AA" w14:paraId="1B5C2C52" w14:textId="77777777" w:rsidTr="00F53D9E">
        <w:trPr>
          <w:trHeight w:val="511"/>
          <w:jc w:val="center"/>
        </w:trPr>
        <w:tc>
          <w:tcPr>
            <w:tcW w:w="3516" w:type="pct"/>
            <w:shd w:val="clear" w:color="auto" w:fill="auto"/>
            <w:vAlign w:val="center"/>
          </w:tcPr>
          <w:p w14:paraId="1B5C2C50" w14:textId="77777777" w:rsidR="00F53D9E" w:rsidRPr="00F51B01" w:rsidRDefault="00AC555B" w:rsidP="00F53D9E">
            <w:pPr>
              <w:pStyle w:val="Tabletext"/>
              <w:rPr>
                <w:snapToGrid w:val="0"/>
              </w:rPr>
            </w:pPr>
            <w:r w:rsidRPr="00B1331E">
              <w:rPr>
                <w:i/>
              </w:rPr>
              <w:t>Environment Protection and Biodiversity Conservation Act 1999</w:t>
            </w:r>
            <w:r>
              <w:t xml:space="preserve"> (</w:t>
            </w:r>
            <w:proofErr w:type="spellStart"/>
            <w:r>
              <w:t>C'th</w:t>
            </w:r>
            <w:proofErr w:type="spellEnd"/>
            <w:r>
              <w:t>)</w:t>
            </w:r>
          </w:p>
        </w:tc>
        <w:tc>
          <w:tcPr>
            <w:tcW w:w="1484" w:type="pct"/>
            <w:shd w:val="clear" w:color="auto" w:fill="auto"/>
            <w:vAlign w:val="center"/>
          </w:tcPr>
          <w:p w14:paraId="1B5C2C51" w14:textId="77777777" w:rsidR="00F53D9E" w:rsidRDefault="00AC555B" w:rsidP="00F53D9E">
            <w:pPr>
              <w:spacing w:before="60" w:after="0"/>
            </w:pPr>
            <w:r w:rsidRPr="00C55184">
              <w:rPr>
                <w:snapToGrid w:val="0"/>
              </w:rPr>
              <w:t>Vulnerable</w:t>
            </w:r>
          </w:p>
        </w:tc>
      </w:tr>
      <w:tr w:rsidR="00F371AA" w14:paraId="1B5C2C55" w14:textId="77777777" w:rsidTr="00F53D9E">
        <w:trPr>
          <w:trHeight w:val="547"/>
          <w:jc w:val="center"/>
        </w:trPr>
        <w:tc>
          <w:tcPr>
            <w:tcW w:w="3516" w:type="pct"/>
            <w:shd w:val="clear" w:color="auto" w:fill="auto"/>
            <w:vAlign w:val="center"/>
          </w:tcPr>
          <w:p w14:paraId="1B5C2C53" w14:textId="77777777" w:rsidR="00F53D9E" w:rsidRPr="00C35757" w:rsidRDefault="00AC555B" w:rsidP="00F53D9E">
            <w:pPr>
              <w:pStyle w:val="Tabletext"/>
              <w:rPr>
                <w:snapToGrid w:val="0"/>
              </w:rPr>
            </w:pPr>
            <w:r w:rsidRPr="00B1331E">
              <w:rPr>
                <w:i/>
              </w:rPr>
              <w:t>Threatened Species Protection Act 1995</w:t>
            </w:r>
            <w:r w:rsidRPr="002E422E">
              <w:t xml:space="preserve"> </w:t>
            </w:r>
            <w:r w:rsidRPr="00F51B01">
              <w:t>(</w:t>
            </w:r>
            <w:proofErr w:type="spellStart"/>
            <w:r w:rsidRPr="00F51B01">
              <w:t>Tas</w:t>
            </w:r>
            <w:proofErr w:type="spellEnd"/>
            <w:r w:rsidRPr="00F51B01">
              <w:t>)</w:t>
            </w:r>
            <w:r>
              <w:t xml:space="preserve"> </w:t>
            </w:r>
          </w:p>
        </w:tc>
        <w:tc>
          <w:tcPr>
            <w:tcW w:w="1484" w:type="pct"/>
            <w:shd w:val="clear" w:color="auto" w:fill="auto"/>
            <w:vAlign w:val="center"/>
          </w:tcPr>
          <w:p w14:paraId="1B5C2C54" w14:textId="77777777" w:rsidR="00F53D9E" w:rsidRPr="00C4488C" w:rsidRDefault="00AC555B" w:rsidP="00F53D9E">
            <w:pPr>
              <w:pStyle w:val="Tabletext"/>
              <w:rPr>
                <w:snapToGrid w:val="0"/>
                <w:vertAlign w:val="superscript"/>
              </w:rPr>
            </w:pPr>
            <w:r w:rsidRPr="002E422E">
              <w:rPr>
                <w:snapToGrid w:val="0"/>
              </w:rPr>
              <w:t>Vulnerable</w:t>
            </w:r>
          </w:p>
        </w:tc>
      </w:tr>
      <w:tr w:rsidR="00F371AA" w14:paraId="1B5C2C58" w14:textId="77777777" w:rsidTr="00F53D9E">
        <w:trPr>
          <w:trHeight w:val="569"/>
          <w:jc w:val="center"/>
        </w:trPr>
        <w:tc>
          <w:tcPr>
            <w:tcW w:w="3516" w:type="pct"/>
            <w:shd w:val="clear" w:color="auto" w:fill="auto"/>
            <w:vAlign w:val="center"/>
          </w:tcPr>
          <w:p w14:paraId="1B5C2C56" w14:textId="77777777" w:rsidR="00F53D9E" w:rsidRPr="00C35757" w:rsidRDefault="00AC555B" w:rsidP="00F53D9E">
            <w:pPr>
              <w:pStyle w:val="Tabletext"/>
              <w:rPr>
                <w:i/>
                <w:snapToGrid w:val="0"/>
              </w:rPr>
            </w:pPr>
            <w:r>
              <w:rPr>
                <w:snapToGrid w:val="0"/>
              </w:rPr>
              <w:t>IUCN Red List of Threatened Species (International)</w:t>
            </w:r>
          </w:p>
        </w:tc>
        <w:tc>
          <w:tcPr>
            <w:tcW w:w="1484" w:type="pct"/>
            <w:shd w:val="clear" w:color="auto" w:fill="auto"/>
            <w:vAlign w:val="center"/>
          </w:tcPr>
          <w:p w14:paraId="1B5C2C57" w14:textId="77777777" w:rsidR="00F53D9E" w:rsidRPr="00C4488C" w:rsidRDefault="00AC555B" w:rsidP="00F53D9E">
            <w:pPr>
              <w:pStyle w:val="Tabletext"/>
              <w:rPr>
                <w:snapToGrid w:val="0"/>
                <w:vertAlign w:val="superscript"/>
              </w:rPr>
            </w:pPr>
            <w:r>
              <w:rPr>
                <w:snapToGrid w:val="0"/>
              </w:rPr>
              <w:t>Endangered</w:t>
            </w:r>
          </w:p>
        </w:tc>
      </w:tr>
    </w:tbl>
    <w:p w14:paraId="1B5C2C59" w14:textId="77777777" w:rsidR="00F53D9E" w:rsidRDefault="00F53D9E" w:rsidP="00F53D9E">
      <w:pPr>
        <w:pStyle w:val="Heading2"/>
        <w:spacing w:before="240"/>
      </w:pPr>
      <w:bookmarkStart w:id="159" w:name="_Toc369262173"/>
      <w:bookmarkStart w:id="160" w:name="_Toc432076296"/>
      <w:bookmarkStart w:id="161" w:name="_Toc458697049"/>
    </w:p>
    <w:p w14:paraId="1B5C2C5A" w14:textId="77777777" w:rsidR="00F53D9E" w:rsidRDefault="00AC555B" w:rsidP="00F53D9E">
      <w:pPr>
        <w:rPr>
          <w:rFonts w:cs="Arial"/>
          <w:color w:val="808080" w:themeColor="background1" w:themeShade="80"/>
          <w:sz w:val="32"/>
        </w:rPr>
      </w:pPr>
      <w:r>
        <w:br w:type="page"/>
      </w:r>
    </w:p>
    <w:p w14:paraId="1B5C2C5B" w14:textId="77777777" w:rsidR="00F53D9E" w:rsidRPr="007672C6" w:rsidRDefault="00AC555B" w:rsidP="00F53D9E">
      <w:pPr>
        <w:pStyle w:val="Heading2"/>
        <w:spacing w:before="240"/>
        <w:rPr>
          <w:szCs w:val="20"/>
        </w:rPr>
      </w:pPr>
      <w:bookmarkStart w:id="162" w:name="_Toc256000159"/>
      <w:bookmarkStart w:id="163" w:name="_Toc256000113"/>
      <w:bookmarkStart w:id="164" w:name="_Toc256000065"/>
      <w:bookmarkStart w:id="165" w:name="_Toc256000017"/>
      <w:r w:rsidRPr="007672C6">
        <w:lastRenderedPageBreak/>
        <w:t>2.2</w:t>
      </w:r>
      <w:r w:rsidRPr="007672C6">
        <w:tab/>
      </w:r>
      <w:r>
        <w:t>Crayfish</w:t>
      </w:r>
      <w:r w:rsidRPr="007672C6">
        <w:t xml:space="preserve"> Recovery </w:t>
      </w:r>
      <w:r>
        <w:t>Team</w:t>
      </w:r>
      <w:bookmarkEnd w:id="162"/>
      <w:bookmarkEnd w:id="163"/>
      <w:bookmarkEnd w:id="164"/>
      <w:bookmarkEnd w:id="165"/>
      <w:bookmarkEnd w:id="159"/>
      <w:bookmarkEnd w:id="160"/>
      <w:bookmarkEnd w:id="161"/>
    </w:p>
    <w:p w14:paraId="1B5C2C5C" w14:textId="77777777" w:rsidR="00F53D9E" w:rsidRPr="007672C6" w:rsidRDefault="00AC555B" w:rsidP="00F53D9E">
      <w:r w:rsidRPr="00DA5E07">
        <w:rPr>
          <w:rFonts w:cs="Arial"/>
          <w:szCs w:val="20"/>
        </w:rPr>
        <w:t xml:space="preserve">The recovery program for </w:t>
      </w:r>
      <w:r>
        <w:rPr>
          <w:rFonts w:cs="Arial"/>
          <w:szCs w:val="20"/>
        </w:rPr>
        <w:t>the giant freshwater crayfish</w:t>
      </w:r>
      <w:r w:rsidRPr="00DA5E07">
        <w:rPr>
          <w:rFonts w:cs="Arial"/>
          <w:szCs w:val="20"/>
        </w:rPr>
        <w:t xml:space="preserve"> </w:t>
      </w:r>
      <w:r>
        <w:rPr>
          <w:rFonts w:cs="Arial"/>
          <w:szCs w:val="20"/>
        </w:rPr>
        <w:t>will be</w:t>
      </w:r>
      <w:r w:rsidRPr="00DA5E07">
        <w:rPr>
          <w:rFonts w:cs="Arial"/>
          <w:szCs w:val="20"/>
        </w:rPr>
        <w:t xml:space="preserve"> coordinated by th</w:t>
      </w:r>
      <w:r w:rsidRPr="00F740F8">
        <w:rPr>
          <w:rFonts w:cs="Arial"/>
          <w:szCs w:val="20"/>
        </w:rPr>
        <w:t xml:space="preserve">e </w:t>
      </w:r>
      <w:r>
        <w:rPr>
          <w:rFonts w:cs="Arial"/>
          <w:szCs w:val="20"/>
        </w:rPr>
        <w:t>Crayfish</w:t>
      </w:r>
      <w:r w:rsidRPr="00F740F8">
        <w:rPr>
          <w:rFonts w:cs="Arial"/>
          <w:szCs w:val="20"/>
        </w:rPr>
        <w:t xml:space="preserve"> Recovery Team (</w:t>
      </w:r>
      <w:r>
        <w:rPr>
          <w:rFonts w:cs="Arial"/>
          <w:szCs w:val="20"/>
        </w:rPr>
        <w:t>C</w:t>
      </w:r>
      <w:r w:rsidRPr="00F740F8">
        <w:rPr>
          <w:rFonts w:cs="Arial"/>
          <w:szCs w:val="20"/>
        </w:rPr>
        <w:t xml:space="preserve">RT) </w:t>
      </w:r>
      <w:r w:rsidRPr="00F740F8">
        <w:t xml:space="preserve">which was formed in 2015. The membership of the </w:t>
      </w:r>
      <w:r>
        <w:t>C</w:t>
      </w:r>
      <w:r w:rsidRPr="00F740F8">
        <w:t xml:space="preserve">RT </w:t>
      </w:r>
      <w:r>
        <w:t>may</w:t>
      </w:r>
      <w:r w:rsidRPr="00F740F8">
        <w:t xml:space="preserve"> include individuals with relevant expertise from </w:t>
      </w:r>
      <w:proofErr w:type="spellStart"/>
      <w:r>
        <w:t>DoEE</w:t>
      </w:r>
      <w:proofErr w:type="spellEnd"/>
      <w:r>
        <w:t xml:space="preserve"> and</w:t>
      </w:r>
      <w:r w:rsidRPr="00F740F8">
        <w:t xml:space="preserve"> DPIPWE, as well as </w:t>
      </w:r>
      <w:r>
        <w:t xml:space="preserve">experts from research institutions, consultancies and individuals with relevant expertise; </w:t>
      </w:r>
      <w:r w:rsidRPr="00F740F8">
        <w:t xml:space="preserve">membership may change over time. The </w:t>
      </w:r>
      <w:r>
        <w:t>C</w:t>
      </w:r>
      <w:r w:rsidRPr="00F740F8">
        <w:t xml:space="preserve">RT </w:t>
      </w:r>
      <w:r>
        <w:t>will provide</w:t>
      </w:r>
      <w:r w:rsidRPr="000B31A8">
        <w:t xml:space="preserve"> advice</w:t>
      </w:r>
      <w:r>
        <w:t xml:space="preserve"> on</w:t>
      </w:r>
      <w:r w:rsidRPr="000B31A8">
        <w:t xml:space="preserve"> the implementation of the recovery actions outlined in this recovery plan</w:t>
      </w:r>
      <w:r w:rsidRPr="007672C6">
        <w:t>.</w:t>
      </w:r>
    </w:p>
    <w:p w14:paraId="1B5C2C5D" w14:textId="77777777" w:rsidR="00F53D9E" w:rsidRPr="006C3203" w:rsidRDefault="00AC555B" w:rsidP="00F53D9E">
      <w:pPr>
        <w:pStyle w:val="Heading1"/>
      </w:pPr>
      <w:bookmarkStart w:id="166" w:name="_Toc256000160"/>
      <w:bookmarkStart w:id="167" w:name="_Toc256000114"/>
      <w:bookmarkStart w:id="168" w:name="_Toc256000066"/>
      <w:bookmarkStart w:id="169" w:name="_Toc256000018"/>
      <w:bookmarkStart w:id="170" w:name="_Toc458697050"/>
      <w:r w:rsidRPr="006C3203">
        <w:t>3</w:t>
      </w:r>
      <w:r w:rsidRPr="006C3203">
        <w:tab/>
      </w:r>
      <w:r>
        <w:t>Background</w:t>
      </w:r>
      <w:bookmarkEnd w:id="166"/>
      <w:bookmarkEnd w:id="167"/>
      <w:bookmarkEnd w:id="168"/>
      <w:bookmarkEnd w:id="169"/>
      <w:bookmarkEnd w:id="170"/>
    </w:p>
    <w:p w14:paraId="1B5C2C5E" w14:textId="77777777" w:rsidR="00F53D9E" w:rsidRPr="00562D2C" w:rsidRDefault="00AC555B" w:rsidP="00F53D9E">
      <w:pPr>
        <w:pStyle w:val="Heading2"/>
      </w:pPr>
      <w:bookmarkStart w:id="171" w:name="_Toc256000161"/>
      <w:bookmarkStart w:id="172" w:name="_Toc256000115"/>
      <w:bookmarkStart w:id="173" w:name="_Toc256000067"/>
      <w:bookmarkStart w:id="174" w:name="_Toc256000019"/>
      <w:bookmarkStart w:id="175" w:name="_Toc429051758"/>
      <w:bookmarkStart w:id="176" w:name="_Toc432076298"/>
      <w:bookmarkStart w:id="177" w:name="_Toc440634614"/>
      <w:bookmarkStart w:id="178" w:name="_Toc458697051"/>
      <w:r>
        <w:t>3.1</w:t>
      </w:r>
      <w:r>
        <w:tab/>
      </w:r>
      <w:r w:rsidRPr="00660A32">
        <w:t>Species description and distribution in Australia</w:t>
      </w:r>
      <w:bookmarkEnd w:id="171"/>
      <w:bookmarkEnd w:id="172"/>
      <w:bookmarkEnd w:id="173"/>
      <w:bookmarkEnd w:id="174"/>
      <w:bookmarkEnd w:id="175"/>
      <w:bookmarkEnd w:id="176"/>
      <w:bookmarkEnd w:id="177"/>
      <w:bookmarkEnd w:id="178"/>
    </w:p>
    <w:p w14:paraId="1B5C2C5F" w14:textId="77777777" w:rsidR="00F53D9E" w:rsidRPr="00C6245E" w:rsidRDefault="00AC555B" w:rsidP="00F53D9E">
      <w:r w:rsidRPr="00C6245E">
        <w:t xml:space="preserve">The giant freshwater </w:t>
      </w:r>
      <w:r>
        <w:t>crayfish</w:t>
      </w:r>
      <w:r w:rsidRPr="00C6245E">
        <w:t xml:space="preserve"> is the world’s largest freshwater crustacean. The species has been reported to attain weights of up to 6 </w:t>
      </w:r>
      <w:r>
        <w:t>kg</w:t>
      </w:r>
      <w:r w:rsidRPr="00C6245E">
        <w:t>, however in recent years the majority of the larger specimens recorded weigh between 2-3 k</w:t>
      </w:r>
      <w:r>
        <w:t>g</w:t>
      </w:r>
      <w:r w:rsidRPr="00C6245E">
        <w:t xml:space="preserve">. The species </w:t>
      </w:r>
      <w:r>
        <w:t xml:space="preserve">is slow-growing and long-lived. </w:t>
      </w:r>
      <w:r w:rsidRPr="00C6245E">
        <w:t>Colour varies considerably among individuals, with adults ranging from dark brown-gr</w:t>
      </w:r>
      <w:r>
        <w:t>een to black or blue</w:t>
      </w:r>
      <w:r w:rsidRPr="00C6245E">
        <w:t xml:space="preserve">. The species is spiny and has large distinct chelae (front pincers), walking legs, carapace and abdomen ending in a tail fan. Males have larger pincers than females. </w:t>
      </w:r>
      <w:proofErr w:type="spellStart"/>
      <w:r w:rsidRPr="00C6245E">
        <w:rPr>
          <w:i/>
          <w:iCs/>
        </w:rPr>
        <w:t>Astacopsis</w:t>
      </w:r>
      <w:proofErr w:type="spellEnd"/>
      <w:r w:rsidRPr="00C6245E">
        <w:rPr>
          <w:i/>
          <w:iCs/>
        </w:rPr>
        <w:t xml:space="preserve"> </w:t>
      </w:r>
      <w:proofErr w:type="spellStart"/>
      <w:r w:rsidRPr="00C6245E">
        <w:rPr>
          <w:i/>
          <w:iCs/>
        </w:rPr>
        <w:t>gouldi</w:t>
      </w:r>
      <w:proofErr w:type="spellEnd"/>
      <w:r w:rsidRPr="00C6245E">
        <w:t xml:space="preserve"> </w:t>
      </w:r>
      <w:r>
        <w:t xml:space="preserve">is the largest of the three </w:t>
      </w:r>
      <w:proofErr w:type="spellStart"/>
      <w:r w:rsidRPr="000A034F">
        <w:rPr>
          <w:i/>
        </w:rPr>
        <w:t>Astacopsis</w:t>
      </w:r>
      <w:proofErr w:type="spellEnd"/>
      <w:r>
        <w:t xml:space="preserve"> species. Juvenile </w:t>
      </w:r>
      <w:r w:rsidRPr="000A034F">
        <w:rPr>
          <w:i/>
        </w:rPr>
        <w:t xml:space="preserve">A. </w:t>
      </w:r>
      <w:proofErr w:type="spellStart"/>
      <w:r w:rsidRPr="000A034F">
        <w:rPr>
          <w:i/>
        </w:rPr>
        <w:t>gouldi</w:t>
      </w:r>
      <w:proofErr w:type="spellEnd"/>
      <w:r>
        <w:t xml:space="preserve"> </w:t>
      </w:r>
      <w:r w:rsidRPr="00C6245E">
        <w:t xml:space="preserve">can be </w:t>
      </w:r>
      <w:r>
        <w:t>differentiated</w:t>
      </w:r>
      <w:r w:rsidRPr="00C6245E">
        <w:t xml:space="preserve"> from the other two species (</w:t>
      </w:r>
      <w:r w:rsidRPr="00C6245E">
        <w:rPr>
          <w:i/>
        </w:rPr>
        <w:t xml:space="preserve">A. </w:t>
      </w:r>
      <w:proofErr w:type="spellStart"/>
      <w:r w:rsidRPr="00C6245E">
        <w:rPr>
          <w:i/>
        </w:rPr>
        <w:t>franklinii</w:t>
      </w:r>
      <w:proofErr w:type="spellEnd"/>
      <w:r w:rsidRPr="00C6245E">
        <w:t xml:space="preserve"> and </w:t>
      </w:r>
      <w:r w:rsidRPr="00C6245E">
        <w:rPr>
          <w:i/>
        </w:rPr>
        <w:t xml:space="preserve">A. </w:t>
      </w:r>
      <w:proofErr w:type="spellStart"/>
      <w:r w:rsidRPr="00C6245E">
        <w:rPr>
          <w:i/>
        </w:rPr>
        <w:t>tricornis</w:t>
      </w:r>
      <w:proofErr w:type="spellEnd"/>
      <w:r w:rsidRPr="00C6245E">
        <w:t xml:space="preserve">) by </w:t>
      </w:r>
      <w:r>
        <w:t xml:space="preserve">the presence of </w:t>
      </w:r>
      <w:r w:rsidRPr="00C6245E">
        <w:t>a raised ridge in the middle of its forehead (rostrum).</w:t>
      </w:r>
    </w:p>
    <w:p w14:paraId="1B5C2C60" w14:textId="77777777" w:rsidR="00F53D9E" w:rsidRPr="005658E6" w:rsidRDefault="00AC555B" w:rsidP="00F53D9E">
      <w:r w:rsidRPr="00E2716E">
        <w:t xml:space="preserve">The Tasmanian giant freshwater </w:t>
      </w:r>
      <w:r>
        <w:t>crayfish</w:t>
      </w:r>
      <w:r w:rsidRPr="00E2716E">
        <w:t xml:space="preserve"> is endemic to rivers</w:t>
      </w:r>
      <w:r>
        <w:t>, lakes and streams</w:t>
      </w:r>
      <w:r w:rsidRPr="00E2716E">
        <w:t xml:space="preserve"> of northern Tasmania. Formerly, the species was distributed from the Arthur River in the west and eastwards across northern Tasmania</w:t>
      </w:r>
      <w:r>
        <w:t>,</w:t>
      </w:r>
      <w:r w:rsidRPr="00E2716E">
        <w:t xml:space="preserve"> where it was found in all rivers flowing into Bass Strait, except for those of the Tamar catchment (Horwitz 1994).</w:t>
      </w:r>
      <w:r>
        <w:rPr>
          <w:rFonts w:ascii="Garamond" w:hAnsi="Garamond" w:cs="Garamond"/>
          <w:sz w:val="24"/>
          <w:szCs w:val="24"/>
        </w:rPr>
        <w:t xml:space="preserve"> </w:t>
      </w:r>
      <w:r w:rsidRPr="00E2716E">
        <w:t xml:space="preserve">Presently, the species distribution is more disjunct. Localised extinctions, or large declines in numbers, are thought to have occurred in the Welcome, Montagu, Rubicon, Don, </w:t>
      </w:r>
      <w:r>
        <w:t>Brid</w:t>
      </w:r>
      <w:r w:rsidRPr="00E2716E">
        <w:t xml:space="preserve">, </w:t>
      </w:r>
      <w:proofErr w:type="spellStart"/>
      <w:r w:rsidRPr="00E2716E">
        <w:t>Boobyalla</w:t>
      </w:r>
      <w:proofErr w:type="spellEnd"/>
      <w:r w:rsidRPr="00E2716E">
        <w:t>, Pipers, Ringarooma, Duck, Little and Great Forester Rivers and Claytons Rivulet (Horwitz </w:t>
      </w:r>
      <w:r>
        <w:t>1990, 1991, 1994; TSS 2006). The species</w:t>
      </w:r>
      <w:r w:rsidRPr="00E2716E">
        <w:t xml:space="preserve"> has </w:t>
      </w:r>
      <w:r>
        <w:t xml:space="preserve">also </w:t>
      </w:r>
      <w:r w:rsidRPr="00E2716E">
        <w:t xml:space="preserve">been introduced into two catchments: the North </w:t>
      </w:r>
      <w:proofErr w:type="spellStart"/>
      <w:r w:rsidRPr="00E2716E">
        <w:t>Esk</w:t>
      </w:r>
      <w:proofErr w:type="spellEnd"/>
      <w:r w:rsidRPr="00E2716E">
        <w:t xml:space="preserve"> catchment (St Patricks River); and the Derwent catchment (Clyde River) (IFS </w:t>
      </w:r>
      <w:proofErr w:type="spellStart"/>
      <w:r w:rsidRPr="00E2716E">
        <w:t>unpub</w:t>
      </w:r>
      <w:proofErr w:type="spellEnd"/>
      <w:r w:rsidRPr="00E2716E">
        <w:t>. Data</w:t>
      </w:r>
      <w:r>
        <w:t>,</w:t>
      </w:r>
      <w:r w:rsidRPr="00E2716E">
        <w:t xml:space="preserve"> cited in TSS 2006)</w:t>
      </w:r>
      <w:r>
        <w:t>, and populations have become established. The species naturally</w:t>
      </w:r>
      <w:r w:rsidRPr="00E2716E">
        <w:t xml:space="preserve"> occurs at altitudes below 400 m, with most caught below 200 m (Horwitz 1991, 1994).</w:t>
      </w:r>
      <w:r>
        <w:t xml:space="preserve"> </w:t>
      </w:r>
      <w:r w:rsidRPr="00D55970">
        <w:t xml:space="preserve">The estimated extent of occurrence of the giant freshwater </w:t>
      </w:r>
      <w:r>
        <w:t>crayfish</w:t>
      </w:r>
      <w:r w:rsidRPr="00D55970">
        <w:t>, based on catchments where the species is known to occur and historical reports of species presence, is app</w:t>
      </w:r>
      <w:r>
        <w:t>roximately 10 700 km² (TSS 2006</w:t>
      </w:r>
      <w:r w:rsidRPr="00D55970">
        <w:t>).</w:t>
      </w:r>
      <w:r>
        <w:t xml:space="preserve"> Approximately 19 percent of the streams in which the species habitat is predicted to occur were protected in either formal or informal reserves at the time of development of the previous recovery plan (TSS 2006). Since this time a large proportion of additional habitat has been incorporated into formal and informal reserves, however current figures on the total amount of giant freshwater crayfish habitat within a protected area were not available at the time of writing this plan.  </w:t>
      </w:r>
    </w:p>
    <w:p w14:paraId="1B5C2C61" w14:textId="77777777" w:rsidR="00F53D9E" w:rsidRPr="00660A32" w:rsidRDefault="00AC555B" w:rsidP="00F53D9E">
      <w:pPr>
        <w:pStyle w:val="Heading2"/>
        <w:rPr>
          <w:highlight w:val="yellow"/>
        </w:rPr>
      </w:pPr>
      <w:bookmarkStart w:id="179" w:name="_Toc256000162"/>
      <w:bookmarkStart w:id="180" w:name="_Toc256000116"/>
      <w:bookmarkStart w:id="181" w:name="_Toc256000068"/>
      <w:bookmarkStart w:id="182" w:name="_Toc256000020"/>
      <w:bookmarkStart w:id="183" w:name="_Toc429051759"/>
      <w:bookmarkStart w:id="184" w:name="_Toc432076299"/>
      <w:bookmarkStart w:id="185" w:name="_Toc440634615"/>
      <w:bookmarkStart w:id="186" w:name="_Toc458697052"/>
      <w:r>
        <w:t>3.</w:t>
      </w:r>
      <w:r w:rsidRPr="00660A32">
        <w:t>2</w:t>
      </w:r>
      <w:r w:rsidRPr="00660A32">
        <w:tab/>
        <w:t>Population trends</w:t>
      </w:r>
      <w:bookmarkEnd w:id="179"/>
      <w:bookmarkEnd w:id="180"/>
      <w:bookmarkEnd w:id="181"/>
      <w:bookmarkEnd w:id="182"/>
      <w:bookmarkEnd w:id="183"/>
      <w:bookmarkEnd w:id="184"/>
      <w:bookmarkEnd w:id="185"/>
      <w:bookmarkEnd w:id="186"/>
    </w:p>
    <w:p w14:paraId="1B5C2C62" w14:textId="77777777" w:rsidR="00F53D9E" w:rsidRPr="00914EF5" w:rsidRDefault="00AC555B" w:rsidP="00F53D9E">
      <w:r>
        <w:t xml:space="preserve">No data on population numbers are available for the giant freshwater crayfish, however </w:t>
      </w:r>
      <w:r w:rsidRPr="00DB38CD">
        <w:t xml:space="preserve">reports, largely based on anecdotal evidence, of localised extinctions and large declines in numbers due to fishing and/or habitat degradation were relatively common in the 1990s (e.g. </w:t>
      </w:r>
      <w:proofErr w:type="spellStart"/>
      <w:r w:rsidRPr="00DB38CD">
        <w:t>Hamr</w:t>
      </w:r>
      <w:proofErr w:type="spellEnd"/>
      <w:r w:rsidRPr="00DB38CD">
        <w:t xml:space="preserve"> 1990a</w:t>
      </w:r>
      <w:r>
        <w:t>; Horwitz 1991, 1994;</w:t>
      </w:r>
      <w:r w:rsidRPr="00DB38CD">
        <w:t xml:space="preserve"> Maxwell</w:t>
      </w:r>
      <w:r w:rsidRPr="009C4C85">
        <w:t xml:space="preserve"> </w:t>
      </w:r>
      <w:r w:rsidRPr="009C4C85">
        <w:rPr>
          <w:iCs/>
        </w:rPr>
        <w:t>et al.</w:t>
      </w:r>
      <w:r w:rsidRPr="00DB38CD">
        <w:rPr>
          <w:i/>
          <w:iCs/>
        </w:rPr>
        <w:t xml:space="preserve"> </w:t>
      </w:r>
      <w:r w:rsidRPr="00DB38CD">
        <w:t>1997).</w:t>
      </w:r>
      <w:r>
        <w:t xml:space="preserve"> </w:t>
      </w:r>
      <w:r w:rsidRPr="007E5724">
        <w:t xml:space="preserve">The structure of populations studied during this period indicated an absence of large individuals, particularly males, with very few </w:t>
      </w:r>
      <w:r>
        <w:t>giant freshwater crayfish</w:t>
      </w:r>
      <w:r w:rsidRPr="007E5724">
        <w:t xml:space="preserve"> of a size indicating sexual maturity being found (</w:t>
      </w:r>
      <w:proofErr w:type="spellStart"/>
      <w:r w:rsidRPr="007E5724">
        <w:t>Growns</w:t>
      </w:r>
      <w:proofErr w:type="spellEnd"/>
      <w:r>
        <w:t xml:space="preserve"> 1995;</w:t>
      </w:r>
      <w:r w:rsidRPr="007E5724">
        <w:t xml:space="preserve"> </w:t>
      </w:r>
      <w:proofErr w:type="spellStart"/>
      <w:r w:rsidRPr="007E5724">
        <w:t>Hamr</w:t>
      </w:r>
      <w:proofErr w:type="spellEnd"/>
      <w:r>
        <w:t xml:space="preserve"> 1996; Lynch &amp;</w:t>
      </w:r>
      <w:r w:rsidRPr="007E5724">
        <w:t xml:space="preserve"> </w:t>
      </w:r>
      <w:proofErr w:type="spellStart"/>
      <w:r w:rsidRPr="007E5724">
        <w:t>Blühdorn</w:t>
      </w:r>
      <w:proofErr w:type="spellEnd"/>
      <w:r w:rsidRPr="007E5724">
        <w:t xml:space="preserve"> 1997).</w:t>
      </w:r>
      <w:r>
        <w:t xml:space="preserve"> However, in recent years ongoing monitoring efforts have</w:t>
      </w:r>
      <w:r w:rsidRPr="002F7643">
        <w:t xml:space="preserve"> </w:t>
      </w:r>
      <w:r>
        <w:t xml:space="preserve">recorded larger specimens with increasing regularity (Doran &amp; Richardson 2008). Whilst earlier records of the species had individuals weighing in at five kilograms or greater, by the late 1990s individuals weighing two or three kilograms were considered large (Doran &amp; Richardson 2008). In January 1998, a fishing ban was imposed for the species, and </w:t>
      </w:r>
      <w:r>
        <w:lastRenderedPageBreak/>
        <w:t xml:space="preserve">there is some evidence to suggest that population demographics have been improving since this time, with records of individuals weighing four kilograms and recaptures of marked individuals becoming increasingly common (Doran &amp; Richardson 2008). </w:t>
      </w:r>
    </w:p>
    <w:p w14:paraId="1B5C2C63" w14:textId="77777777" w:rsidR="00F53D9E" w:rsidRPr="00660A32" w:rsidRDefault="00AC555B" w:rsidP="00F53D9E">
      <w:pPr>
        <w:pStyle w:val="Heading2"/>
      </w:pPr>
      <w:bookmarkStart w:id="187" w:name="_Toc256000163"/>
      <w:bookmarkStart w:id="188" w:name="_Toc256000117"/>
      <w:bookmarkStart w:id="189" w:name="_Toc256000069"/>
      <w:bookmarkStart w:id="190" w:name="_Toc256000021"/>
      <w:bookmarkStart w:id="191" w:name="_Toc429051760"/>
      <w:bookmarkStart w:id="192" w:name="_Toc432076300"/>
      <w:bookmarkStart w:id="193" w:name="_Toc440634616"/>
      <w:bookmarkStart w:id="194" w:name="_Toc458697053"/>
      <w:r>
        <w:t>3.3</w:t>
      </w:r>
      <w:r>
        <w:tab/>
        <w:t>Biology and e</w:t>
      </w:r>
      <w:r w:rsidRPr="00660A32">
        <w:t>cology</w:t>
      </w:r>
      <w:bookmarkEnd w:id="187"/>
      <w:bookmarkEnd w:id="188"/>
      <w:bookmarkEnd w:id="189"/>
      <w:bookmarkEnd w:id="190"/>
      <w:bookmarkEnd w:id="191"/>
      <w:bookmarkEnd w:id="192"/>
      <w:bookmarkEnd w:id="193"/>
      <w:bookmarkEnd w:id="194"/>
    </w:p>
    <w:p w14:paraId="1B5C2C64" w14:textId="77777777" w:rsidR="00F53D9E" w:rsidRPr="00532926" w:rsidRDefault="00AC555B" w:rsidP="00F53D9E">
      <w:r w:rsidRPr="005E2D1B">
        <w:t xml:space="preserve">The giant freshwater </w:t>
      </w:r>
      <w:r>
        <w:t>crayfish</w:t>
      </w:r>
      <w:r w:rsidRPr="005E2D1B">
        <w:t xml:space="preserve"> is a slow-growing crustacean, with females reaching sexual maturity at a carapace length of approximately 119 mm and weight of approximately 550 g, around 14 years, and males reaching sexual maturity at a carapace length of approximately 76 mm and weight of approximately 300 g, thought to be a</w:t>
      </w:r>
      <w:r w:rsidRPr="0078112F">
        <w:t>round nine years (</w:t>
      </w:r>
      <w:proofErr w:type="spellStart"/>
      <w:r w:rsidRPr="0078112F">
        <w:t>Hamr</w:t>
      </w:r>
      <w:proofErr w:type="spellEnd"/>
      <w:r w:rsidRPr="0078112F">
        <w:t xml:space="preserve"> 1996). The species also h</w:t>
      </w:r>
      <w:r>
        <w:t>as relatively low fecundity</w:t>
      </w:r>
      <w:bookmarkStart w:id="195" w:name="OLE_LINK10"/>
      <w:r>
        <w:t xml:space="preserve"> (TSS</w:t>
      </w:r>
      <w:r w:rsidRPr="0078112F">
        <w:t xml:space="preserve"> 2006)</w:t>
      </w:r>
      <w:bookmarkEnd w:id="195"/>
      <w:r w:rsidRPr="0078112F">
        <w:t>, with females mating and spawning biennially in autumn, after a summer moult (</w:t>
      </w:r>
      <w:proofErr w:type="spellStart"/>
      <w:r w:rsidRPr="0078112F">
        <w:t>Hamr</w:t>
      </w:r>
      <w:proofErr w:type="spellEnd"/>
      <w:r>
        <w:t xml:space="preserve"> 1990a, 1992,</w:t>
      </w:r>
      <w:r w:rsidRPr="0078112F">
        <w:t xml:space="preserve"> 1996). Gestation takes </w:t>
      </w:r>
      <w:r>
        <w:t>about</w:t>
      </w:r>
      <w:r w:rsidRPr="0078112F">
        <w:t xml:space="preserve"> nine months, with females carrying the eggs on their tail through winter</w:t>
      </w:r>
      <w:r>
        <w:t xml:space="preserve"> (TSS 2006)</w:t>
      </w:r>
      <w:r w:rsidRPr="0078112F">
        <w:t>. The number of eggs produced by a female is proportional to its size, and egg counts range from 224–1300 per female</w:t>
      </w:r>
      <w:r>
        <w:t xml:space="preserve"> </w:t>
      </w:r>
      <w:r w:rsidRPr="00F902B4">
        <w:rPr>
          <w:rFonts w:cs="Arial"/>
          <w:szCs w:val="20"/>
        </w:rPr>
        <w:t>(</w:t>
      </w:r>
      <w:proofErr w:type="spellStart"/>
      <w:r w:rsidRPr="00F902B4">
        <w:rPr>
          <w:rFonts w:cs="Arial"/>
          <w:szCs w:val="20"/>
        </w:rPr>
        <w:t>Hamr</w:t>
      </w:r>
      <w:proofErr w:type="spellEnd"/>
      <w:r w:rsidRPr="00F902B4">
        <w:rPr>
          <w:rFonts w:cs="Arial"/>
          <w:szCs w:val="20"/>
        </w:rPr>
        <w:t xml:space="preserve"> 1996).</w:t>
      </w:r>
      <w:r w:rsidRPr="0078112F">
        <w:t xml:space="preserve"> After hatching in mid-summer, young </w:t>
      </w:r>
      <w:r>
        <w:t>giant freshwater crayfish</w:t>
      </w:r>
      <w:r w:rsidRPr="0078112F">
        <w:t xml:space="preserve"> stay attached to the female until autumn (</w:t>
      </w:r>
      <w:proofErr w:type="spellStart"/>
      <w:r w:rsidRPr="0078112F">
        <w:t>Hamr</w:t>
      </w:r>
      <w:proofErr w:type="spellEnd"/>
      <w:r w:rsidRPr="0078112F">
        <w:t xml:space="preserve"> 1996).</w:t>
      </w:r>
      <w:r>
        <w:t xml:space="preserve"> The species is long-lived and has been known to live up to 60 years of ag</w:t>
      </w:r>
      <w:r w:rsidRPr="007D751C">
        <w:t>e (Bryant &amp; Jackson 1999).</w:t>
      </w:r>
    </w:p>
    <w:p w14:paraId="1B5C2C65" w14:textId="77777777" w:rsidR="00F53D9E" w:rsidRPr="007D751C" w:rsidRDefault="00AC555B" w:rsidP="00F53D9E">
      <w:r w:rsidRPr="007D751C">
        <w:t xml:space="preserve">The dispersal patterns and migratory activities of the giant freshwater </w:t>
      </w:r>
      <w:r>
        <w:t>crayfish</w:t>
      </w:r>
      <w:r w:rsidRPr="007D751C">
        <w:t xml:space="preserve"> are largely unknown; however</w:t>
      </w:r>
      <w:r>
        <w:t>,</w:t>
      </w:r>
      <w:r w:rsidRPr="007D751C">
        <w:t xml:space="preserve"> the species generally appears to have two patterns in their movement and behaviour: </w:t>
      </w:r>
    </w:p>
    <w:p w14:paraId="1B5C2C66" w14:textId="77777777" w:rsidR="00F53D9E" w:rsidRDefault="00AC555B" w:rsidP="00F53D9E">
      <w:pPr>
        <w:pStyle w:val="ListBullet"/>
        <w:numPr>
          <w:ilvl w:val="0"/>
          <w:numId w:val="20"/>
        </w:numPr>
      </w:pPr>
      <w:r w:rsidRPr="007D751C">
        <w:t xml:space="preserve">residential periods, during which time animals may be inactive, or undertake small-scale movements, usually returning to a specific "home site"; and </w:t>
      </w:r>
    </w:p>
    <w:p w14:paraId="1B5C2C67" w14:textId="77777777" w:rsidR="00F53D9E" w:rsidRDefault="00AC555B" w:rsidP="00F53D9E">
      <w:pPr>
        <w:pStyle w:val="ListBullet"/>
        <w:numPr>
          <w:ilvl w:val="0"/>
          <w:numId w:val="20"/>
        </w:numPr>
        <w:spacing w:after="0" w:line="240" w:lineRule="auto"/>
      </w:pPr>
      <w:proofErr w:type="gramStart"/>
      <w:r w:rsidRPr="007D751C">
        <w:t>less</w:t>
      </w:r>
      <w:proofErr w:type="gramEnd"/>
      <w:r w:rsidRPr="007D751C">
        <w:t xml:space="preserve"> common large-scale movements, after which the animal takes up residence in a new "home site" or pool, or returns to its initial "home site" (Webb &amp; Richardson 2004). </w:t>
      </w:r>
    </w:p>
    <w:p w14:paraId="1B5C2C68" w14:textId="77777777" w:rsidR="00F53D9E" w:rsidRDefault="00F53D9E" w:rsidP="00F53D9E">
      <w:pPr>
        <w:pStyle w:val="ListBullet"/>
        <w:spacing w:after="0" w:line="240" w:lineRule="auto"/>
        <w:ind w:left="1004" w:firstLine="0"/>
      </w:pPr>
    </w:p>
    <w:p w14:paraId="1B5C2C69" w14:textId="77777777" w:rsidR="00F53D9E" w:rsidRDefault="00AC555B" w:rsidP="00F53D9E">
      <w:pPr>
        <w:pStyle w:val="ListBullet"/>
        <w:ind w:left="0" w:firstLine="0"/>
      </w:pPr>
      <w:r w:rsidRPr="0072569C">
        <w:t xml:space="preserve">A study involving radio telemetry tracking of eight </w:t>
      </w:r>
      <w:r>
        <w:t>giant freshwater crayfish</w:t>
      </w:r>
      <w:r w:rsidRPr="0072569C">
        <w:t xml:space="preserve"> showed periods of inactivity lasting</w:t>
      </w:r>
      <w:r>
        <w:t xml:space="preserve"> from 1</w:t>
      </w:r>
      <w:r>
        <w:noBreakHyphen/>
        <w:t>10 </w:t>
      </w:r>
      <w:r w:rsidRPr="0072569C">
        <w:t xml:space="preserve">days, interspersed with movements involving travel over relatively large distances, including one </w:t>
      </w:r>
      <w:r>
        <w:t>giant freshwater crayfish</w:t>
      </w:r>
      <w:r w:rsidRPr="0072569C">
        <w:t xml:space="preserve"> moving over 700 m in a single night and a total distance of 2.2 km </w:t>
      </w:r>
      <w:r>
        <w:t>recorded for one giant freshwater crayfish over t</w:t>
      </w:r>
      <w:r w:rsidRPr="0072569C">
        <w:t>h</w:t>
      </w:r>
      <w:r>
        <w:t>e</w:t>
      </w:r>
      <w:r w:rsidRPr="0072569C">
        <w:t xml:space="preserve"> five month study period (Webb &amp; Richardson 2004). This species is also known to walk over land (Horwitz 1991).</w:t>
      </w:r>
    </w:p>
    <w:p w14:paraId="1B5C2C6A" w14:textId="77777777" w:rsidR="00F53D9E" w:rsidRDefault="00AC555B" w:rsidP="00F53D9E">
      <w:pPr>
        <w:rPr>
          <w:highlight w:val="yellow"/>
        </w:rPr>
      </w:pPr>
      <w:r w:rsidRPr="007D751C">
        <w:t xml:space="preserve">The main food of the giant freshwater </w:t>
      </w:r>
      <w:r>
        <w:t>crayfish</w:t>
      </w:r>
      <w:r w:rsidRPr="007D751C">
        <w:t xml:space="preserve"> is decaying wood and its associated microbes, though its diet varies with age</w:t>
      </w:r>
      <w:r>
        <w:t>, and they also eat</w:t>
      </w:r>
      <w:r w:rsidRPr="007D751C">
        <w:t xml:space="preserve"> leaves and animal flesh, including small fish, when available (</w:t>
      </w:r>
      <w:proofErr w:type="spellStart"/>
      <w:r w:rsidRPr="007D751C">
        <w:t>Forteath</w:t>
      </w:r>
      <w:proofErr w:type="spellEnd"/>
      <w:r w:rsidRPr="007D751C">
        <w:t xml:space="preserve"> 1987; </w:t>
      </w:r>
      <w:proofErr w:type="spellStart"/>
      <w:r w:rsidRPr="007D751C">
        <w:t>Hamr</w:t>
      </w:r>
      <w:proofErr w:type="spellEnd"/>
      <w:r w:rsidRPr="007D751C">
        <w:t xml:space="preserve"> 1996; Lynch 1967).</w:t>
      </w:r>
      <w:r w:rsidRPr="00BF7CDE">
        <w:rPr>
          <w:highlight w:val="yellow"/>
        </w:rPr>
        <w:t xml:space="preserve"> </w:t>
      </w:r>
    </w:p>
    <w:p w14:paraId="1B5C2C6B" w14:textId="77777777" w:rsidR="00F53D9E" w:rsidRDefault="00AC555B" w:rsidP="00F53D9E">
      <w:pPr>
        <w:rPr>
          <w:rStyle w:val="A2"/>
        </w:rPr>
      </w:pPr>
      <w:r w:rsidRPr="00C317A6">
        <w:rPr>
          <w:rStyle w:val="A2"/>
        </w:rPr>
        <w:t xml:space="preserve">Giant freshwater </w:t>
      </w:r>
      <w:r>
        <w:rPr>
          <w:rStyle w:val="A2"/>
        </w:rPr>
        <w:t>crayfish</w:t>
      </w:r>
      <w:r w:rsidRPr="00C317A6">
        <w:rPr>
          <w:rStyle w:val="A2"/>
        </w:rPr>
        <w:t xml:space="preserve"> display </w:t>
      </w:r>
      <w:r>
        <w:rPr>
          <w:rStyle w:val="A2"/>
        </w:rPr>
        <w:t xml:space="preserve">differences in habitat preferences at different life stages. A study by Davies et al. (2005) found juvenile giant freshwater crayfish in streams at elevations ranging from 18-250 m ASL, channels ranging from 1-20 m </w:t>
      </w:r>
      <w:proofErr w:type="spellStart"/>
      <w:r>
        <w:rPr>
          <w:rStyle w:val="A2"/>
        </w:rPr>
        <w:t>bankfull</w:t>
      </w:r>
      <w:proofErr w:type="spellEnd"/>
      <w:r>
        <w:rPr>
          <w:rStyle w:val="A2"/>
        </w:rPr>
        <w:t xml:space="preserve"> width and catchments areas ranging in size from 0.4-240 km</w:t>
      </w:r>
      <w:r w:rsidRPr="00F724D1">
        <w:rPr>
          <w:rStyle w:val="A2"/>
          <w:vertAlign w:val="superscript"/>
        </w:rPr>
        <w:t>2</w:t>
      </w:r>
      <w:r>
        <w:rPr>
          <w:rStyle w:val="A2"/>
        </w:rPr>
        <w:t>. However, the study noted that densities were greatest in streams in catchments of intermediate size (typically 2-30 km</w:t>
      </w:r>
      <w:r w:rsidRPr="00F724D1">
        <w:rPr>
          <w:rStyle w:val="A2"/>
          <w:vertAlign w:val="superscript"/>
        </w:rPr>
        <w:t>2</w:t>
      </w:r>
      <w:r>
        <w:rPr>
          <w:rStyle w:val="A2"/>
        </w:rPr>
        <w:t xml:space="preserve">) within channels of 1-3 m wetted widths at base flow (Davies et al. 2005). Furthermore, juvenile abundance responded positively to lower levels of silt substrate (&lt; 2 %) and higher proportions of moss cover (&gt; 10 % stream bed area) and boulder substrate (10-30 % stream bed area), while no juveniles were detected in streams with channel slopes &gt; 10 %, silt substrate levels &gt; 5 % and </w:t>
      </w:r>
      <w:proofErr w:type="spellStart"/>
      <w:r>
        <w:rPr>
          <w:rStyle w:val="A2"/>
        </w:rPr>
        <w:t>baseflow</w:t>
      </w:r>
      <w:proofErr w:type="spellEnd"/>
      <w:r>
        <w:rPr>
          <w:rStyle w:val="A2"/>
        </w:rPr>
        <w:t xml:space="preserve"> conductivities &gt; 160 </w:t>
      </w:r>
      <w:r>
        <w:rPr>
          <w:rStyle w:val="A2"/>
          <w:rFonts w:cs="Arial"/>
        </w:rPr>
        <w:t>µ</w:t>
      </w:r>
      <w:r>
        <w:rPr>
          <w:rStyle w:val="A2"/>
        </w:rPr>
        <w:t xml:space="preserve">S/cm (Davies et al. 2005). Optimal habitat for juvenile giant freshwater crayfish may be considered to include shallow areas of streams with minimal silt substrate, high proportions of moss and boulder cover, and </w:t>
      </w:r>
      <w:proofErr w:type="spellStart"/>
      <w:r>
        <w:rPr>
          <w:rStyle w:val="A2"/>
        </w:rPr>
        <w:t>meso</w:t>
      </w:r>
      <w:proofErr w:type="spellEnd"/>
      <w:r>
        <w:rPr>
          <w:rStyle w:val="A2"/>
        </w:rPr>
        <w:t xml:space="preserve">-habitat features including large rocks, cavities and in-stream logs, while class 4 streams with substantial, sustained groundwater input may also provide suitable habitat conditions (Davies et al. 2005). Class 4 streams (catchment size &lt; 50 ha) are defined within the Forest Practices Code as watercourses carrying water for part or all of the year for most years, they are differentiated from a drainage depression by: having a gravelly, pebbly, rocky or sandy bed; and/or an obvious gully; and/or a short steep section of stream bank adjacent to the watercourse bed (FPA 2015), Conversely, preferred habitat for adult giant </w:t>
      </w:r>
      <w:r>
        <w:rPr>
          <w:rStyle w:val="A2"/>
        </w:rPr>
        <w:lastRenderedPageBreak/>
        <w:t xml:space="preserve">freshwater crayfish includes larger streams with deeper pools often associated with snags (Webb 2001). </w:t>
      </w:r>
    </w:p>
    <w:p w14:paraId="1B5C2C6C" w14:textId="77777777" w:rsidR="00F53D9E" w:rsidRDefault="00AC555B" w:rsidP="00F53D9E">
      <w:pPr>
        <w:spacing w:after="120"/>
        <w:rPr>
          <w:rFonts w:cs="Arial"/>
          <w:color w:val="808080" w:themeColor="background1" w:themeShade="80"/>
          <w:sz w:val="32"/>
        </w:rPr>
      </w:pPr>
      <w:r>
        <w:rPr>
          <w:rStyle w:val="A2"/>
        </w:rPr>
        <w:t xml:space="preserve">While small headwater streams have been found to contain suitable habitat for juvenile giant freshwater crayfish, the species has typically been detected in lower densities in these streams compared to larger, higher-order streams within the same drainage (Davies et al. 2005). However, there are some examples of high densities of juveniles being found in smaller headwater streams, such as Coopers Creek which has a catchment area of 40 ha (Davies et al. 2005), and streams </w:t>
      </w:r>
      <w:r w:rsidRPr="005A551B">
        <w:rPr>
          <w:rStyle w:val="A2"/>
        </w:rPr>
        <w:t>with sources rising adjacent to basalt-sedimentary geological contacts</w:t>
      </w:r>
      <w:r>
        <w:rPr>
          <w:rStyle w:val="A2"/>
        </w:rPr>
        <w:t xml:space="preserve"> (Davies &amp; Cook, unpublished data, cited in Davies et al. 2005). Streams within the Flowerdale-Hebe River catchment provide an example of areas where juvenile giant freshwater crayfish can be found in high densities (Walsh, pers. comm. cited in Davies et al. 2005). Furthermore, densities of juvenile giant freshwater crayfish are also likely to be lower within extensively cleared and intensively managed areas typically found in the lower area of catchments compared to less modified areas within the same catchment (Davies et al. 2005).   </w:t>
      </w:r>
      <w:bookmarkStart w:id="196" w:name="_Toc429051761"/>
      <w:bookmarkStart w:id="197" w:name="_Toc432076301"/>
      <w:bookmarkStart w:id="198" w:name="_Toc440634617"/>
      <w:bookmarkStart w:id="199" w:name="_Toc458697054"/>
    </w:p>
    <w:p w14:paraId="1B5C2C6D" w14:textId="77777777" w:rsidR="00F53D9E" w:rsidRPr="00897CE0" w:rsidRDefault="00AC555B" w:rsidP="00F53D9E">
      <w:pPr>
        <w:pStyle w:val="Heading2"/>
        <w:spacing w:after="120"/>
        <w:rPr>
          <w:highlight w:val="yellow"/>
        </w:rPr>
      </w:pPr>
      <w:bookmarkStart w:id="200" w:name="_Toc256000164"/>
      <w:bookmarkStart w:id="201" w:name="_Toc256000118"/>
      <w:bookmarkStart w:id="202" w:name="_Toc256000070"/>
      <w:bookmarkStart w:id="203" w:name="_Toc256000022"/>
      <w:r>
        <w:t>3.</w:t>
      </w:r>
      <w:r w:rsidRPr="00660A32">
        <w:t>4</w:t>
      </w:r>
      <w:r w:rsidRPr="00660A32">
        <w:tab/>
        <w:t xml:space="preserve">Habitat critical to the survival of the </w:t>
      </w:r>
      <w:r>
        <w:t>giant freshwater crayfish</w:t>
      </w:r>
      <w:bookmarkEnd w:id="200"/>
      <w:bookmarkEnd w:id="201"/>
      <w:bookmarkEnd w:id="202"/>
      <w:bookmarkEnd w:id="203"/>
      <w:bookmarkEnd w:id="196"/>
      <w:bookmarkEnd w:id="197"/>
      <w:bookmarkEnd w:id="198"/>
      <w:bookmarkEnd w:id="199"/>
    </w:p>
    <w:p w14:paraId="1B5C2C6E" w14:textId="77777777" w:rsidR="00F53D9E" w:rsidRPr="002A122F" w:rsidRDefault="00AC555B" w:rsidP="00F53D9E">
      <w:pPr>
        <w:spacing w:after="120"/>
      </w:pPr>
      <w:r w:rsidRPr="002A122F">
        <w:t xml:space="preserve">Habitat critical to the survival of </w:t>
      </w:r>
      <w:r>
        <w:t>the giant freshwater crayfish</w:t>
      </w:r>
      <w:r w:rsidRPr="002A122F">
        <w:t xml:space="preserve"> is defined as:</w:t>
      </w:r>
    </w:p>
    <w:p w14:paraId="1B5C2C6F" w14:textId="77777777" w:rsidR="00F53D9E" w:rsidRDefault="00AC555B" w:rsidP="00F53D9E">
      <w:pPr>
        <w:pStyle w:val="ListBullet"/>
        <w:numPr>
          <w:ilvl w:val="0"/>
          <w:numId w:val="21"/>
        </w:numPr>
        <w:spacing w:after="120"/>
      </w:pPr>
      <w:r>
        <w:t xml:space="preserve">Habitat within the known/likely distribution of the species that: </w:t>
      </w:r>
    </w:p>
    <w:p w14:paraId="1B5C2C70" w14:textId="77777777" w:rsidR="00F53D9E" w:rsidRDefault="00AC555B" w:rsidP="00F53D9E">
      <w:pPr>
        <w:pStyle w:val="ListParagraph"/>
        <w:numPr>
          <w:ilvl w:val="1"/>
          <w:numId w:val="21"/>
        </w:numPr>
        <w:spacing w:after="120"/>
        <w:ind w:left="993" w:hanging="284"/>
      </w:pPr>
      <w:r w:rsidRPr="00176023">
        <w:t>is known to be of high priority for the maintenance of breeding populations throughout the species’ range</w:t>
      </w:r>
      <w:r>
        <w:t xml:space="preserve"> (this </w:t>
      </w:r>
      <w:r w:rsidRPr="00176023">
        <w:t>may include areas that do not currently support breeding populations of the species but that need to be maintained to ensure the long-term future of the species</w:t>
      </w:r>
      <w:r>
        <w:t>);</w:t>
      </w:r>
    </w:p>
    <w:p w14:paraId="1B5C2C71" w14:textId="77777777" w:rsidR="00F53D9E" w:rsidRDefault="00AC555B" w:rsidP="00F53D9E">
      <w:pPr>
        <w:pStyle w:val="ListBullet2"/>
        <w:numPr>
          <w:ilvl w:val="0"/>
          <w:numId w:val="0"/>
        </w:numPr>
        <w:spacing w:after="120"/>
        <w:ind w:left="993" w:hanging="284"/>
      </w:pPr>
      <w:r>
        <w:t>AND</w:t>
      </w:r>
    </w:p>
    <w:p w14:paraId="1B5C2C72" w14:textId="77777777" w:rsidR="00F53D9E" w:rsidRPr="00430363" w:rsidRDefault="00AC555B" w:rsidP="00F53D9E">
      <w:pPr>
        <w:pStyle w:val="ListParagraph"/>
        <w:numPr>
          <w:ilvl w:val="1"/>
          <w:numId w:val="21"/>
        </w:numPr>
        <w:spacing w:after="120"/>
        <w:ind w:left="993" w:hanging="284"/>
      </w:pPr>
      <w:proofErr w:type="gramStart"/>
      <w:r>
        <w:t>the</w:t>
      </w:r>
      <w:proofErr w:type="gramEnd"/>
      <w:r>
        <w:t xml:space="preserve"> conversion of which to an alternative land-use </w:t>
      </w:r>
      <w:r w:rsidRPr="00176023">
        <w:t xml:space="preserve">is considered </w:t>
      </w:r>
      <w:r>
        <w:t xml:space="preserve">likely </w:t>
      </w:r>
      <w:r w:rsidRPr="00176023">
        <w:t>to result in a long-term negative impact on breeding populations of the species</w:t>
      </w:r>
      <w:r>
        <w:t xml:space="preserve"> (this may include land-conversion activities in areas upstream of known populations that may have negative impacts on </w:t>
      </w:r>
      <w:r w:rsidRPr="00430363">
        <w:t>downstream habitat).</w:t>
      </w:r>
    </w:p>
    <w:p w14:paraId="1B5C2C73" w14:textId="77777777" w:rsidR="00F53D9E" w:rsidRPr="00430363" w:rsidRDefault="00AC555B" w:rsidP="00F53D9E">
      <w:r w:rsidRPr="00430363">
        <w:rPr>
          <w:b/>
        </w:rPr>
        <w:t>Habitat</w:t>
      </w:r>
      <w:r w:rsidRPr="00430363">
        <w:t>, as defined above, includes streams</w:t>
      </w:r>
      <w:r>
        <w:t xml:space="preserve">, </w:t>
      </w:r>
      <w:r w:rsidRPr="00430363">
        <w:t xml:space="preserve">river reaches and associated riparian vegetation. </w:t>
      </w:r>
      <w:r>
        <w:t>H</w:t>
      </w:r>
      <w:r w:rsidRPr="00430363">
        <w:t xml:space="preserve">abitat may be </w:t>
      </w:r>
      <w:r>
        <w:t xml:space="preserve">characterised by </w:t>
      </w:r>
      <w:r w:rsidRPr="001A0332">
        <w:t>a combination of well-shaded flowing and still waters, deep pools, decaying logs and undercut banks. Riparian vegetation needs to be native and predominantly intact to provide shade, nutrient, energy and structural inputs into streams. Smaller juveniles inhabit shallow fast-flowing streams favouring habitats with rocks or logs that are large enough to be stable but not embedded in finer substrates, but overlie coarser substrates and/or have a distinct cavity underneath. Perennial headwater streams have substantially higher juvenile densities than non-perennial headwater streams.</w:t>
      </w:r>
      <w:r w:rsidRPr="00430363">
        <w:t xml:space="preserve"> </w:t>
      </w:r>
    </w:p>
    <w:p w14:paraId="1B5C2C74" w14:textId="77777777" w:rsidR="00F53D9E" w:rsidRPr="00AC13B8" w:rsidRDefault="00AC555B" w:rsidP="00F53D9E">
      <w:pPr>
        <w:pStyle w:val="ListBullet"/>
        <w:ind w:left="0" w:firstLine="0"/>
      </w:pPr>
      <w:r w:rsidRPr="00876462">
        <w:rPr>
          <w:b/>
        </w:rPr>
        <w:t>Known/likely distribution</w:t>
      </w:r>
      <w:r>
        <w:t>, as defined above, can be derived from the ‘species likely to occur’ category shown in figure 1 and subsequently ground-</w:t>
      </w:r>
      <w:proofErr w:type="spellStart"/>
      <w:r>
        <w:t>truthed</w:t>
      </w:r>
      <w:proofErr w:type="spellEnd"/>
      <w:r>
        <w:t xml:space="preserve"> using appropriate methodology agreed by the Threatened Species Section of DPIPWE</w:t>
      </w:r>
      <w:r w:rsidRPr="00AC13B8">
        <w:rPr>
          <w:rFonts w:cs="Arial"/>
          <w:color w:val="000000"/>
          <w:szCs w:val="20"/>
        </w:rPr>
        <w:t xml:space="preserve"> </w:t>
      </w:r>
      <w:r w:rsidRPr="00176023">
        <w:rPr>
          <w:rFonts w:cs="Arial"/>
          <w:color w:val="000000"/>
          <w:szCs w:val="20"/>
        </w:rPr>
        <w:t>in consultation with species' specialists</w:t>
      </w:r>
      <w:r>
        <w:t>.</w:t>
      </w:r>
    </w:p>
    <w:p w14:paraId="1B5C2C75" w14:textId="77777777" w:rsidR="00F53D9E" w:rsidRDefault="00AC555B">
      <w:pPr>
        <w:pStyle w:val="Default"/>
      </w:pPr>
      <w:r w:rsidRPr="001A0332">
        <w:rPr>
          <w:i/>
          <w:sz w:val="20"/>
          <w:szCs w:val="20"/>
        </w:rPr>
        <w:t>Note: For the purpose of forestry operations</w:t>
      </w:r>
      <w:r>
        <w:rPr>
          <w:i/>
          <w:sz w:val="20"/>
          <w:szCs w:val="20"/>
        </w:rPr>
        <w:t xml:space="preserve"> that</w:t>
      </w:r>
      <w:r w:rsidRPr="001A0332">
        <w:rPr>
          <w:i/>
          <w:sz w:val="20"/>
          <w:szCs w:val="20"/>
        </w:rPr>
        <w:t xml:space="preserve"> </w:t>
      </w:r>
      <w:r>
        <w:rPr>
          <w:i/>
          <w:sz w:val="20"/>
          <w:szCs w:val="20"/>
        </w:rPr>
        <w:t>are conducted in accordance with the Forest Practices Act 1985</w:t>
      </w:r>
      <w:r w:rsidRPr="001A0332">
        <w:rPr>
          <w:i/>
          <w:sz w:val="20"/>
          <w:szCs w:val="20"/>
        </w:rPr>
        <w:t xml:space="preserve">, the above definition of ‘habitat critical </w:t>
      </w:r>
      <w:r>
        <w:rPr>
          <w:i/>
          <w:sz w:val="20"/>
          <w:szCs w:val="20"/>
        </w:rPr>
        <w:t>for</w:t>
      </w:r>
      <w:r w:rsidRPr="001A0332">
        <w:rPr>
          <w:i/>
          <w:sz w:val="20"/>
          <w:szCs w:val="20"/>
        </w:rPr>
        <w:t xml:space="preserve"> survival’ should be considered to be consistent with the generic description of ‘significant habitat’ and the definition of giant freshwater crayfish ‘potential habitat’</w:t>
      </w:r>
      <w:r>
        <w:rPr>
          <w:i/>
          <w:sz w:val="20"/>
          <w:szCs w:val="20"/>
        </w:rPr>
        <w:t>,</w:t>
      </w:r>
      <w:r w:rsidRPr="001A0332">
        <w:rPr>
          <w:i/>
          <w:sz w:val="20"/>
          <w:szCs w:val="20"/>
        </w:rPr>
        <w:t xml:space="preserve"> as outlined by the FPA in the </w:t>
      </w:r>
      <w:hyperlink r:id="rId25" w:history="1">
        <w:r w:rsidRPr="001A0332">
          <w:rPr>
            <w:rStyle w:val="Hyperlink"/>
            <w:bCs/>
            <w:i/>
            <w:sz w:val="20"/>
            <w:szCs w:val="20"/>
          </w:rPr>
          <w:t>Threatened fauna species range boundaries and habitat descriptions</w:t>
        </w:r>
      </w:hyperlink>
      <w:r>
        <w:rPr>
          <w:bCs/>
          <w:i/>
          <w:sz w:val="20"/>
          <w:szCs w:val="20"/>
        </w:rPr>
        <w:t>.</w:t>
      </w:r>
    </w:p>
    <w:p w14:paraId="1B5C2C76" w14:textId="77777777" w:rsidR="00F53D9E" w:rsidRDefault="00AC555B">
      <w:pPr>
        <w:pStyle w:val="Heading2"/>
        <w:spacing w:before="240"/>
      </w:pPr>
      <w:bookmarkStart w:id="204" w:name="_Toc256000165"/>
      <w:bookmarkStart w:id="205" w:name="_Toc256000119"/>
      <w:bookmarkStart w:id="206" w:name="_Toc256000071"/>
      <w:bookmarkStart w:id="207" w:name="_Toc256000023"/>
      <w:bookmarkStart w:id="208" w:name="_Toc458697055"/>
      <w:r>
        <w:lastRenderedPageBreak/>
        <w:t>3.5</w:t>
      </w:r>
      <w:r>
        <w:tab/>
        <w:t>Indigenous knowledge, role and interest</w:t>
      </w:r>
      <w:bookmarkEnd w:id="204"/>
      <w:bookmarkEnd w:id="205"/>
      <w:bookmarkEnd w:id="206"/>
      <w:bookmarkEnd w:id="207"/>
      <w:bookmarkEnd w:id="208"/>
    </w:p>
    <w:p w14:paraId="1B5C2C77" w14:textId="77777777" w:rsidR="00F53D9E" w:rsidRDefault="00AC555B" w:rsidP="00F53D9E">
      <w:r>
        <w:rPr>
          <w:color w:val="000000" w:themeColor="text1"/>
        </w:rPr>
        <w:t>There are multiple Indigenous Groups represented across the distribution of the giant freshwater crayfish, also known by the Indigenous name of ‘</w:t>
      </w:r>
      <w:proofErr w:type="spellStart"/>
      <w:r w:rsidRPr="002C383A">
        <w:rPr>
          <w:i/>
          <w:color w:val="000000" w:themeColor="text1"/>
        </w:rPr>
        <w:t>tayatea</w:t>
      </w:r>
      <w:proofErr w:type="spellEnd"/>
      <w:r>
        <w:rPr>
          <w:color w:val="000000" w:themeColor="text1"/>
        </w:rPr>
        <w:t xml:space="preserve">’. The Australian Government recognises that Indigenous Australians have social, cultural and economic interests for their lands that both compete with and complement biodiversity values. Opportunities may exist through Australian Government programmes to engage with Traditional Owners on biodiversity issues relating to the giant freshwater crayfish. These programmes give landowners a chance to balance economic objectives through sustainable, low impact activities with land stewardship responsibilities through managing land for conservation. </w:t>
      </w:r>
      <w:r>
        <w:t xml:space="preserve"> </w:t>
      </w:r>
    </w:p>
    <w:p w14:paraId="1B5C2C78" w14:textId="77777777" w:rsidR="00F53D9E" w:rsidRPr="00551D4B" w:rsidRDefault="00F53D9E" w:rsidP="00F53D9E">
      <w:pPr>
        <w:sectPr w:rsidR="00F53D9E" w:rsidRPr="00551D4B" w:rsidSect="00F53D9E">
          <w:pgSz w:w="11906" w:h="16838" w:code="9"/>
          <w:pgMar w:top="1440" w:right="1440" w:bottom="1440" w:left="1440" w:header="425" w:footer="425" w:gutter="0"/>
          <w:cols w:space="708"/>
          <w:titlePg/>
          <w:docGrid w:linePitch="360"/>
        </w:sectPr>
      </w:pPr>
    </w:p>
    <w:p w14:paraId="1B5C2C79" w14:textId="77777777" w:rsidR="00F53D9E" w:rsidRPr="00695B0C" w:rsidRDefault="00AC555B" w:rsidP="00F53D9E">
      <w:pPr>
        <w:pStyle w:val="Caption"/>
        <w:rPr>
          <w:b/>
        </w:rPr>
      </w:pPr>
      <w:bookmarkStart w:id="209" w:name="_Toc429043302"/>
      <w:bookmarkStart w:id="210" w:name="_Toc256000101"/>
      <w:bookmarkStart w:id="211" w:name="_Toc256000053"/>
      <w:r w:rsidRPr="002C383A">
        <w:rPr>
          <w:b/>
          <w:i w:val="0"/>
        </w:rPr>
        <w:lastRenderedPageBreak/>
        <w:t xml:space="preserve">Table </w:t>
      </w:r>
      <w:r>
        <w:rPr>
          <w:b/>
          <w:i w:val="0"/>
        </w:rPr>
        <w:t>3</w:t>
      </w:r>
      <w:r w:rsidRPr="002C383A">
        <w:rPr>
          <w:b/>
          <w:i w:val="0"/>
        </w:rPr>
        <w:t>:</w:t>
      </w:r>
      <w:r w:rsidRPr="002C383A">
        <w:rPr>
          <w:i w:val="0"/>
        </w:rPr>
        <w:t xml:space="preserve"> Current distribution of the giant freshwater crayfish, </w:t>
      </w:r>
      <w:r>
        <w:rPr>
          <w:i w:val="0"/>
        </w:rPr>
        <w:t xml:space="preserve">showing </w:t>
      </w:r>
      <w:r w:rsidRPr="002C383A">
        <w:rPr>
          <w:i w:val="0"/>
        </w:rPr>
        <w:t>major land-use tenures in each catchment/sub-catchment and any significant areas that</w:t>
      </w:r>
      <w:r>
        <w:rPr>
          <w:i w:val="0"/>
        </w:rPr>
        <w:t xml:space="preserve"> are protected under a</w:t>
      </w:r>
      <w:r w:rsidRPr="002C383A">
        <w:rPr>
          <w:i w:val="0"/>
        </w:rPr>
        <w:t xml:space="preserve"> conservation/reservation mechanism.</w:t>
      </w:r>
      <w:r>
        <w:t xml:space="preserve"> </w:t>
      </w:r>
      <w:r w:rsidRPr="00812F4C">
        <w:rPr>
          <w:sz w:val="16"/>
          <w:szCs w:val="16"/>
        </w:rPr>
        <w:t xml:space="preserve">(Note: Data has been sourced from the Lands Tasmania’s </w:t>
      </w:r>
      <w:bookmarkEnd w:id="209"/>
      <w:r w:rsidRPr="00812F4C">
        <w:rPr>
          <w:rFonts w:ascii="Verdana" w:eastAsia="Times New Roman" w:hAnsi="Verdana"/>
          <w:sz w:val="16"/>
          <w:szCs w:val="16"/>
        </w:rPr>
        <w:t>Land Tenure dataset which is generated, using an automated process, from the following LIST spatial layers: Cadastral Parcels, Public Land Classification, FPPF, Private Reserves and Local Government Act Reserves)</w:t>
      </w:r>
      <w:r w:rsidRPr="002C383A">
        <w:rPr>
          <w:rFonts w:ascii="Verdana" w:eastAsia="Times New Roman" w:hAnsi="Verdana"/>
          <w:sz w:val="18"/>
        </w:rPr>
        <w:t>.</w:t>
      </w:r>
      <w:bookmarkEnd w:id="210"/>
      <w:bookmarkEnd w:id="211"/>
    </w:p>
    <w:tbl>
      <w:tblPr>
        <w:tblW w:w="5000" w:type="pct"/>
        <w:jc w:val="center"/>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1003"/>
        <w:gridCol w:w="3292"/>
        <w:gridCol w:w="5584"/>
        <w:gridCol w:w="4079"/>
      </w:tblGrid>
      <w:tr w:rsidR="00F371AA" w14:paraId="1B5C2C7E" w14:textId="77777777" w:rsidTr="00F53D9E">
        <w:trPr>
          <w:trHeight w:val="358"/>
          <w:tblHeader/>
          <w:jc w:val="center"/>
        </w:trPr>
        <w:tc>
          <w:tcPr>
            <w:tcW w:w="359" w:type="pct"/>
            <w:tcBorders>
              <w:bottom w:val="single" w:sz="4" w:space="0" w:color="auto"/>
            </w:tcBorders>
            <w:shd w:val="clear" w:color="auto" w:fill="17365D" w:themeFill="text2" w:themeFillShade="BF"/>
            <w:vAlign w:val="center"/>
          </w:tcPr>
          <w:p w14:paraId="1B5C2C7A" w14:textId="77777777" w:rsidR="00F53D9E" w:rsidRDefault="00F53D9E" w:rsidP="00F53D9E">
            <w:pPr>
              <w:pStyle w:val="Tabletext"/>
              <w:spacing w:line="240" w:lineRule="auto"/>
              <w:rPr>
                <w:b/>
              </w:rPr>
            </w:pPr>
          </w:p>
        </w:tc>
        <w:tc>
          <w:tcPr>
            <w:tcW w:w="1179" w:type="pct"/>
            <w:shd w:val="clear" w:color="auto" w:fill="17365D" w:themeFill="text2" w:themeFillShade="BF"/>
            <w:vAlign w:val="center"/>
          </w:tcPr>
          <w:p w14:paraId="1B5C2C7B" w14:textId="77777777" w:rsidR="00F53D9E" w:rsidRDefault="00AC555B" w:rsidP="00F53D9E">
            <w:pPr>
              <w:pStyle w:val="Tabletext"/>
              <w:spacing w:line="240" w:lineRule="auto"/>
              <w:rPr>
                <w:b/>
              </w:rPr>
            </w:pPr>
            <w:r>
              <w:rPr>
                <w:b/>
              </w:rPr>
              <w:t>Catchment</w:t>
            </w:r>
          </w:p>
        </w:tc>
        <w:tc>
          <w:tcPr>
            <w:tcW w:w="2000" w:type="pct"/>
            <w:shd w:val="clear" w:color="auto" w:fill="17365D" w:themeFill="text2" w:themeFillShade="BF"/>
            <w:vAlign w:val="center"/>
          </w:tcPr>
          <w:p w14:paraId="1B5C2C7C" w14:textId="77777777" w:rsidR="00F53D9E" w:rsidRDefault="00AC555B" w:rsidP="00F53D9E">
            <w:pPr>
              <w:pStyle w:val="Tabletext"/>
              <w:spacing w:line="240" w:lineRule="auto"/>
              <w:rPr>
                <w:b/>
              </w:rPr>
            </w:pPr>
            <w:r>
              <w:rPr>
                <w:b/>
              </w:rPr>
              <w:t>Major land-use t</w:t>
            </w:r>
            <w:r w:rsidRPr="007A5262">
              <w:rPr>
                <w:b/>
              </w:rPr>
              <w:t>enure</w:t>
            </w:r>
            <w:r>
              <w:rPr>
                <w:b/>
              </w:rPr>
              <w:t>s (i.e. &gt; 10 % of catchment area)</w:t>
            </w:r>
          </w:p>
        </w:tc>
        <w:tc>
          <w:tcPr>
            <w:tcW w:w="1461" w:type="pct"/>
            <w:shd w:val="clear" w:color="auto" w:fill="17365D" w:themeFill="text2" w:themeFillShade="BF"/>
            <w:vAlign w:val="center"/>
          </w:tcPr>
          <w:p w14:paraId="1B5C2C7D" w14:textId="77777777" w:rsidR="00F53D9E" w:rsidRDefault="00AC555B" w:rsidP="00F53D9E">
            <w:pPr>
              <w:pStyle w:val="Tabletext"/>
              <w:spacing w:line="240" w:lineRule="auto"/>
              <w:rPr>
                <w:b/>
              </w:rPr>
            </w:pPr>
            <w:r>
              <w:rPr>
                <w:b/>
              </w:rPr>
              <w:t>Major areas under protection (i.e. &gt; 10 % of catchment area)</w:t>
            </w:r>
          </w:p>
        </w:tc>
      </w:tr>
      <w:tr w:rsidR="00F371AA" w14:paraId="1B5C2C8B" w14:textId="77777777" w:rsidTr="00F53D9E">
        <w:trPr>
          <w:trHeight w:val="413"/>
          <w:jc w:val="center"/>
        </w:trPr>
        <w:tc>
          <w:tcPr>
            <w:tcW w:w="359" w:type="pct"/>
            <w:vMerge w:val="restart"/>
            <w:shd w:val="clear" w:color="auto" w:fill="DBE5F1" w:themeFill="accent1" w:themeFillTint="33"/>
            <w:vAlign w:val="center"/>
          </w:tcPr>
          <w:p w14:paraId="1B5C2C7F" w14:textId="77777777" w:rsidR="00F53D9E" w:rsidRPr="00511024" w:rsidRDefault="00AC555B" w:rsidP="00F53D9E">
            <w:pPr>
              <w:pStyle w:val="Tabletext"/>
              <w:spacing w:line="240" w:lineRule="auto"/>
              <w:rPr>
                <w:b/>
                <w:snapToGrid w:val="0"/>
              </w:rPr>
            </w:pPr>
            <w:r w:rsidRPr="00511024">
              <w:rPr>
                <w:b/>
                <w:snapToGrid w:val="0"/>
              </w:rPr>
              <w:t>Known to occur</w:t>
            </w:r>
            <w:r>
              <w:rPr>
                <w:b/>
                <w:snapToGrid w:val="0"/>
              </w:rPr>
              <w:t>*</w:t>
            </w:r>
          </w:p>
          <w:p w14:paraId="1B5C2C80" w14:textId="77777777" w:rsidR="00F53D9E" w:rsidRDefault="00F53D9E" w:rsidP="00F53D9E">
            <w:pPr>
              <w:pStyle w:val="Tabletext"/>
              <w:spacing w:line="240" w:lineRule="auto"/>
              <w:rPr>
                <w:i/>
                <w:snapToGrid w:val="0"/>
              </w:rPr>
            </w:pPr>
          </w:p>
          <w:p w14:paraId="1B5C2C81" w14:textId="77777777" w:rsidR="00F53D9E" w:rsidRDefault="00F53D9E" w:rsidP="00F53D9E">
            <w:pPr>
              <w:pStyle w:val="Tabletext"/>
              <w:spacing w:line="240" w:lineRule="auto"/>
              <w:rPr>
                <w:i/>
                <w:snapToGrid w:val="0"/>
              </w:rPr>
            </w:pPr>
          </w:p>
          <w:p w14:paraId="1B5C2C82" w14:textId="77777777" w:rsidR="00F53D9E" w:rsidRDefault="00F53D9E" w:rsidP="00F53D9E">
            <w:pPr>
              <w:pStyle w:val="Tabletext"/>
              <w:spacing w:line="240" w:lineRule="auto"/>
              <w:rPr>
                <w:i/>
                <w:snapToGrid w:val="0"/>
              </w:rPr>
            </w:pPr>
          </w:p>
          <w:p w14:paraId="1B5C2C83" w14:textId="77777777" w:rsidR="00F53D9E" w:rsidRPr="001D5AF2" w:rsidRDefault="00AC555B" w:rsidP="00F53D9E">
            <w:pPr>
              <w:pStyle w:val="Tabletext"/>
              <w:spacing w:line="240" w:lineRule="auto"/>
              <w:rPr>
                <w:snapToGrid w:val="0"/>
              </w:rPr>
            </w:pPr>
            <w:r w:rsidRPr="001D5AF2">
              <w:rPr>
                <w:snapToGrid w:val="0"/>
              </w:rPr>
              <w:t>AND</w:t>
            </w:r>
          </w:p>
          <w:p w14:paraId="1B5C2C84" w14:textId="77777777" w:rsidR="00F53D9E" w:rsidRDefault="00F53D9E" w:rsidP="00F53D9E">
            <w:pPr>
              <w:pStyle w:val="Tabletext"/>
              <w:spacing w:line="240" w:lineRule="auto"/>
              <w:rPr>
                <w:i/>
                <w:snapToGrid w:val="0"/>
              </w:rPr>
            </w:pPr>
          </w:p>
          <w:p w14:paraId="1B5C2C85" w14:textId="77777777" w:rsidR="00F53D9E" w:rsidRDefault="00F53D9E" w:rsidP="00F53D9E">
            <w:pPr>
              <w:pStyle w:val="Tabletext"/>
              <w:spacing w:line="240" w:lineRule="auto"/>
              <w:rPr>
                <w:i/>
                <w:snapToGrid w:val="0"/>
              </w:rPr>
            </w:pPr>
          </w:p>
          <w:p w14:paraId="1B5C2C86" w14:textId="77777777" w:rsidR="00F53D9E" w:rsidRDefault="00F53D9E" w:rsidP="00F53D9E">
            <w:pPr>
              <w:pStyle w:val="Tabletext"/>
              <w:spacing w:line="240" w:lineRule="auto"/>
              <w:rPr>
                <w:i/>
                <w:snapToGrid w:val="0"/>
              </w:rPr>
            </w:pPr>
          </w:p>
          <w:p w14:paraId="1B5C2C87" w14:textId="77777777" w:rsidR="00F53D9E" w:rsidRDefault="00AC555B" w:rsidP="00F53D9E">
            <w:pPr>
              <w:pStyle w:val="Tabletext"/>
              <w:spacing w:line="240" w:lineRule="auto"/>
              <w:rPr>
                <w:b/>
                <w:snapToGrid w:val="0"/>
              </w:rPr>
            </w:pPr>
            <w:r w:rsidRPr="00511024">
              <w:rPr>
                <w:b/>
                <w:snapToGrid w:val="0"/>
              </w:rPr>
              <w:t>Likely to occur</w:t>
            </w:r>
            <w:r>
              <w:rPr>
                <w:b/>
                <w:snapToGrid w:val="0"/>
              </w:rPr>
              <w:t>**</w:t>
            </w:r>
          </w:p>
        </w:tc>
        <w:tc>
          <w:tcPr>
            <w:tcW w:w="1179" w:type="pct"/>
            <w:shd w:val="clear" w:color="auto" w:fill="auto"/>
            <w:vAlign w:val="center"/>
          </w:tcPr>
          <w:p w14:paraId="1B5C2C88" w14:textId="77777777" w:rsidR="00F53D9E" w:rsidRDefault="00AC555B" w:rsidP="00F53D9E">
            <w:pPr>
              <w:pStyle w:val="ListBullet"/>
              <w:spacing w:after="0" w:line="240" w:lineRule="auto"/>
              <w:ind w:left="369" w:hanging="369"/>
            </w:pPr>
            <w:r>
              <w:t>Black/Dip Sub</w:t>
            </w:r>
            <w:r>
              <w:noBreakHyphen/>
              <w:t>catchment</w:t>
            </w:r>
          </w:p>
        </w:tc>
        <w:tc>
          <w:tcPr>
            <w:tcW w:w="2000" w:type="pct"/>
            <w:shd w:val="clear" w:color="auto" w:fill="auto"/>
            <w:vAlign w:val="center"/>
          </w:tcPr>
          <w:p w14:paraId="1B5C2C89" w14:textId="77777777" w:rsidR="00F53D9E" w:rsidRDefault="00AC555B" w:rsidP="00F53D9E">
            <w:pPr>
              <w:pStyle w:val="Tabletext"/>
              <w:spacing w:line="240" w:lineRule="auto"/>
            </w:pPr>
            <w:r>
              <w:t xml:space="preserve">Permanent </w:t>
            </w:r>
            <w:r w:rsidRPr="002C1DCA">
              <w:t>Timber Production Zone</w:t>
            </w:r>
            <w:r>
              <w:t xml:space="preserve">, </w:t>
            </w:r>
            <w:r w:rsidRPr="00CA6EC4">
              <w:t xml:space="preserve">Private </w:t>
            </w:r>
            <w:r>
              <w:t>F</w:t>
            </w:r>
            <w:r w:rsidRPr="00CA6EC4">
              <w:t>reehold</w:t>
            </w:r>
            <w:r>
              <w:t>, Future Potential Production Forest (Crown)</w:t>
            </w:r>
            <w:r>
              <w:rPr>
                <w:i/>
              </w:rPr>
              <w:t xml:space="preserve"> </w:t>
            </w:r>
          </w:p>
        </w:tc>
        <w:tc>
          <w:tcPr>
            <w:tcW w:w="1461" w:type="pct"/>
            <w:vAlign w:val="center"/>
          </w:tcPr>
          <w:p w14:paraId="1B5C2C8A" w14:textId="77777777" w:rsidR="00F53D9E" w:rsidRDefault="00AC555B" w:rsidP="00F53D9E">
            <w:pPr>
              <w:pStyle w:val="Tabletext"/>
              <w:spacing w:line="240" w:lineRule="auto"/>
              <w:rPr>
                <w:i/>
              </w:rPr>
            </w:pPr>
            <w:r>
              <w:t>Regional Reserve</w:t>
            </w:r>
          </w:p>
        </w:tc>
      </w:tr>
      <w:tr w:rsidR="00F371AA" w14:paraId="1B5C2C90" w14:textId="77777777" w:rsidTr="00F53D9E">
        <w:trPr>
          <w:trHeight w:val="413"/>
          <w:jc w:val="center"/>
        </w:trPr>
        <w:tc>
          <w:tcPr>
            <w:tcW w:w="359" w:type="pct"/>
            <w:vMerge/>
            <w:shd w:val="clear" w:color="auto" w:fill="DBE5F1" w:themeFill="accent1" w:themeFillTint="33"/>
            <w:vAlign w:val="center"/>
          </w:tcPr>
          <w:p w14:paraId="1B5C2C8C" w14:textId="77777777" w:rsidR="00F53D9E" w:rsidRPr="00511024" w:rsidRDefault="00F53D9E" w:rsidP="00F53D9E">
            <w:pPr>
              <w:pStyle w:val="Tabletext"/>
              <w:spacing w:line="240" w:lineRule="auto"/>
              <w:rPr>
                <w:b/>
                <w:snapToGrid w:val="0"/>
              </w:rPr>
            </w:pPr>
          </w:p>
        </w:tc>
        <w:tc>
          <w:tcPr>
            <w:tcW w:w="1179" w:type="pct"/>
            <w:shd w:val="clear" w:color="auto" w:fill="auto"/>
            <w:vAlign w:val="center"/>
          </w:tcPr>
          <w:p w14:paraId="1B5C2C8D" w14:textId="77777777" w:rsidR="00F53D9E" w:rsidRDefault="00AC555B" w:rsidP="00F53D9E">
            <w:pPr>
              <w:pStyle w:val="ListBullet"/>
              <w:spacing w:after="0" w:line="240" w:lineRule="auto"/>
              <w:ind w:left="369" w:hanging="369"/>
            </w:pPr>
            <w:r>
              <w:t>Detention Sub-catchment</w:t>
            </w:r>
          </w:p>
        </w:tc>
        <w:tc>
          <w:tcPr>
            <w:tcW w:w="2000" w:type="pct"/>
            <w:shd w:val="clear" w:color="auto" w:fill="auto"/>
            <w:vAlign w:val="center"/>
          </w:tcPr>
          <w:p w14:paraId="1B5C2C8E" w14:textId="77777777" w:rsidR="00F53D9E" w:rsidRDefault="00AC555B" w:rsidP="00F53D9E">
            <w:pPr>
              <w:pStyle w:val="Tabletext"/>
              <w:spacing w:line="240" w:lineRule="auto"/>
            </w:pPr>
            <w:r>
              <w:t>Private Freehold, Future Potential Production Forest (Crown)</w:t>
            </w:r>
          </w:p>
        </w:tc>
        <w:tc>
          <w:tcPr>
            <w:tcW w:w="1461" w:type="pct"/>
            <w:vAlign w:val="center"/>
          </w:tcPr>
          <w:p w14:paraId="1B5C2C8F" w14:textId="77777777" w:rsidR="00F53D9E" w:rsidRDefault="00AC555B" w:rsidP="00F53D9E">
            <w:pPr>
              <w:pStyle w:val="Tabletext"/>
              <w:spacing w:line="240" w:lineRule="auto"/>
            </w:pPr>
            <w:r>
              <w:t>Regional Reserve</w:t>
            </w:r>
          </w:p>
        </w:tc>
      </w:tr>
      <w:tr w:rsidR="00F371AA" w14:paraId="1B5C2C95" w14:textId="77777777" w:rsidTr="00F53D9E">
        <w:trPr>
          <w:trHeight w:val="413"/>
          <w:jc w:val="center"/>
        </w:trPr>
        <w:tc>
          <w:tcPr>
            <w:tcW w:w="359" w:type="pct"/>
            <w:vMerge/>
            <w:shd w:val="clear" w:color="auto" w:fill="DBE5F1" w:themeFill="accent1" w:themeFillTint="33"/>
            <w:vAlign w:val="center"/>
          </w:tcPr>
          <w:p w14:paraId="1B5C2C91" w14:textId="77777777" w:rsidR="00F53D9E" w:rsidRPr="00511024" w:rsidRDefault="00F53D9E" w:rsidP="00F53D9E">
            <w:pPr>
              <w:pStyle w:val="Tabletext"/>
              <w:spacing w:line="240" w:lineRule="auto"/>
              <w:rPr>
                <w:b/>
                <w:snapToGrid w:val="0"/>
              </w:rPr>
            </w:pPr>
          </w:p>
        </w:tc>
        <w:tc>
          <w:tcPr>
            <w:tcW w:w="1179" w:type="pct"/>
            <w:shd w:val="clear" w:color="auto" w:fill="auto"/>
            <w:vAlign w:val="center"/>
          </w:tcPr>
          <w:p w14:paraId="1B5C2C92" w14:textId="77777777" w:rsidR="00F53D9E" w:rsidRDefault="00AC555B" w:rsidP="00F53D9E">
            <w:pPr>
              <w:pStyle w:val="ListBullet"/>
              <w:spacing w:after="0" w:line="240" w:lineRule="auto"/>
              <w:ind w:left="369" w:hanging="369"/>
            </w:pPr>
            <w:r w:rsidRPr="00CF21D0">
              <w:t xml:space="preserve">Arthur </w:t>
            </w:r>
            <w:r>
              <w:t xml:space="preserve">Sub-catchment </w:t>
            </w:r>
          </w:p>
        </w:tc>
        <w:tc>
          <w:tcPr>
            <w:tcW w:w="2000" w:type="pct"/>
            <w:shd w:val="clear" w:color="auto" w:fill="auto"/>
            <w:vAlign w:val="center"/>
          </w:tcPr>
          <w:p w14:paraId="1B5C2C93" w14:textId="77777777" w:rsidR="00F53D9E" w:rsidRDefault="00AC555B" w:rsidP="00F53D9E">
            <w:pPr>
              <w:pStyle w:val="Tabletext"/>
              <w:spacing w:line="240" w:lineRule="auto"/>
            </w:pPr>
            <w:r>
              <w:t>Permanent</w:t>
            </w:r>
            <w:r w:rsidRPr="002C1DCA">
              <w:t xml:space="preserve"> Timber Production Zone</w:t>
            </w:r>
            <w:r>
              <w:t>, Future Potential Production Forest (Crown)</w:t>
            </w:r>
          </w:p>
        </w:tc>
        <w:tc>
          <w:tcPr>
            <w:tcW w:w="1461" w:type="pct"/>
            <w:vAlign w:val="center"/>
          </w:tcPr>
          <w:p w14:paraId="1B5C2C94" w14:textId="77777777" w:rsidR="00F53D9E" w:rsidRDefault="00AC555B" w:rsidP="00F53D9E">
            <w:pPr>
              <w:pStyle w:val="Tabletext"/>
              <w:spacing w:line="240" w:lineRule="auto"/>
            </w:pPr>
            <w:r w:rsidRPr="00EC30AB">
              <w:t>Regional Reserve</w:t>
            </w:r>
          </w:p>
        </w:tc>
      </w:tr>
      <w:tr w:rsidR="00F371AA" w14:paraId="1B5C2C9A" w14:textId="77777777" w:rsidTr="00F53D9E">
        <w:trPr>
          <w:trHeight w:val="399"/>
          <w:jc w:val="center"/>
        </w:trPr>
        <w:tc>
          <w:tcPr>
            <w:tcW w:w="359" w:type="pct"/>
            <w:vMerge/>
            <w:shd w:val="clear" w:color="auto" w:fill="DBE5F1" w:themeFill="accent1" w:themeFillTint="33"/>
            <w:vAlign w:val="center"/>
          </w:tcPr>
          <w:p w14:paraId="1B5C2C96"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97" w14:textId="77777777" w:rsidR="00F53D9E" w:rsidRDefault="00AC555B" w:rsidP="00F53D9E">
            <w:pPr>
              <w:pStyle w:val="ListBullet"/>
              <w:spacing w:after="0" w:line="240" w:lineRule="auto"/>
              <w:ind w:left="0" w:firstLine="0"/>
            </w:pPr>
            <w:r>
              <w:t>Frankland Sub</w:t>
            </w:r>
            <w:r>
              <w:noBreakHyphen/>
              <w:t>catchment</w:t>
            </w:r>
          </w:p>
        </w:tc>
        <w:tc>
          <w:tcPr>
            <w:tcW w:w="2000" w:type="pct"/>
            <w:shd w:val="clear" w:color="auto" w:fill="auto"/>
            <w:vAlign w:val="center"/>
          </w:tcPr>
          <w:p w14:paraId="1B5C2C98" w14:textId="77777777" w:rsidR="00F53D9E" w:rsidRDefault="00AC555B" w:rsidP="00F53D9E">
            <w:pPr>
              <w:pStyle w:val="Tabletext"/>
              <w:spacing w:line="240" w:lineRule="auto"/>
            </w:pPr>
            <w:r>
              <w:t>Future Potential Production Forest (Crown)</w:t>
            </w:r>
          </w:p>
        </w:tc>
        <w:tc>
          <w:tcPr>
            <w:tcW w:w="1461" w:type="pct"/>
            <w:vAlign w:val="center"/>
          </w:tcPr>
          <w:p w14:paraId="1B5C2C99" w14:textId="77777777" w:rsidR="00F53D9E" w:rsidRDefault="00AC555B" w:rsidP="00F53D9E">
            <w:pPr>
              <w:pStyle w:val="Tabletext"/>
              <w:spacing w:line="240" w:lineRule="auto"/>
            </w:pPr>
            <w:r>
              <w:t>Conservation Area, Nature Recreation Area</w:t>
            </w:r>
          </w:p>
        </w:tc>
      </w:tr>
      <w:tr w:rsidR="00F371AA" w14:paraId="1B5C2C9F" w14:textId="77777777" w:rsidTr="00F53D9E">
        <w:trPr>
          <w:trHeight w:val="419"/>
          <w:jc w:val="center"/>
        </w:trPr>
        <w:tc>
          <w:tcPr>
            <w:tcW w:w="359" w:type="pct"/>
            <w:vMerge/>
            <w:shd w:val="clear" w:color="auto" w:fill="DBE5F1" w:themeFill="accent1" w:themeFillTint="33"/>
            <w:vAlign w:val="center"/>
          </w:tcPr>
          <w:p w14:paraId="1B5C2C9B"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9C" w14:textId="77777777" w:rsidR="00F53D9E" w:rsidRDefault="00AC555B" w:rsidP="00F53D9E">
            <w:pPr>
              <w:pStyle w:val="ListBullet"/>
              <w:spacing w:after="0" w:line="240" w:lineRule="auto"/>
              <w:ind w:left="369" w:hanging="369"/>
            </w:pPr>
            <w:proofErr w:type="spellStart"/>
            <w:r w:rsidRPr="00CF21D0">
              <w:t>Inglis</w:t>
            </w:r>
            <w:proofErr w:type="spellEnd"/>
            <w:r>
              <w:t xml:space="preserve"> Sub</w:t>
            </w:r>
            <w:r>
              <w:noBreakHyphen/>
              <w:t>catchment</w:t>
            </w:r>
          </w:p>
        </w:tc>
        <w:tc>
          <w:tcPr>
            <w:tcW w:w="2000" w:type="pct"/>
            <w:shd w:val="clear" w:color="auto" w:fill="auto"/>
            <w:vAlign w:val="center"/>
          </w:tcPr>
          <w:p w14:paraId="1B5C2C9D" w14:textId="77777777" w:rsidR="00F53D9E" w:rsidRDefault="00AC555B" w:rsidP="00F53D9E">
            <w:pPr>
              <w:pStyle w:val="Tabletext"/>
              <w:spacing w:line="240" w:lineRule="auto"/>
            </w:pPr>
            <w:r>
              <w:t xml:space="preserve">Private Freehold, Permanent </w:t>
            </w:r>
            <w:r w:rsidRPr="002C1DCA">
              <w:t>Timber Production Zone</w:t>
            </w:r>
            <w:r>
              <w:t xml:space="preserve"> </w:t>
            </w:r>
          </w:p>
        </w:tc>
        <w:tc>
          <w:tcPr>
            <w:tcW w:w="1461" w:type="pct"/>
            <w:vAlign w:val="center"/>
          </w:tcPr>
          <w:p w14:paraId="1B5C2C9E" w14:textId="77777777" w:rsidR="00F53D9E" w:rsidRDefault="00AC555B" w:rsidP="00F53D9E">
            <w:pPr>
              <w:pStyle w:val="Tabletext"/>
              <w:spacing w:line="240" w:lineRule="auto"/>
            </w:pPr>
            <w:r>
              <w:t>N/A</w:t>
            </w:r>
          </w:p>
        </w:tc>
      </w:tr>
      <w:tr w:rsidR="00F371AA" w14:paraId="1B5C2CA4" w14:textId="77777777" w:rsidTr="00F53D9E">
        <w:trPr>
          <w:trHeight w:val="567"/>
          <w:jc w:val="center"/>
        </w:trPr>
        <w:tc>
          <w:tcPr>
            <w:tcW w:w="359" w:type="pct"/>
            <w:vMerge/>
            <w:shd w:val="clear" w:color="auto" w:fill="DBE5F1" w:themeFill="accent1" w:themeFillTint="33"/>
            <w:vAlign w:val="center"/>
          </w:tcPr>
          <w:p w14:paraId="1B5C2CA0"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A1" w14:textId="77777777" w:rsidR="00F53D9E" w:rsidRDefault="00AC555B" w:rsidP="00F53D9E">
            <w:pPr>
              <w:pStyle w:val="ListBullet"/>
              <w:spacing w:after="0" w:line="240" w:lineRule="auto"/>
              <w:ind w:left="369" w:hanging="369"/>
            </w:pPr>
            <w:r>
              <w:t>Flowerdale Sub-catchment</w:t>
            </w:r>
          </w:p>
        </w:tc>
        <w:tc>
          <w:tcPr>
            <w:tcW w:w="2000" w:type="pct"/>
            <w:shd w:val="clear" w:color="auto" w:fill="auto"/>
            <w:vAlign w:val="center"/>
          </w:tcPr>
          <w:p w14:paraId="1B5C2CA2" w14:textId="77777777" w:rsidR="00F53D9E" w:rsidRDefault="00AC555B" w:rsidP="00F53D9E">
            <w:pPr>
              <w:pStyle w:val="Tabletext"/>
              <w:spacing w:line="240" w:lineRule="auto"/>
            </w:pPr>
            <w:r>
              <w:t xml:space="preserve">Private Freehold, Future Potential Production Forest (Crown), Permanent </w:t>
            </w:r>
            <w:r w:rsidRPr="002C1DCA">
              <w:t>Timber Production Zone</w:t>
            </w:r>
          </w:p>
        </w:tc>
        <w:tc>
          <w:tcPr>
            <w:tcW w:w="1461" w:type="pct"/>
            <w:vAlign w:val="center"/>
          </w:tcPr>
          <w:p w14:paraId="1B5C2CA3" w14:textId="77777777" w:rsidR="00F53D9E" w:rsidRDefault="00AC555B" w:rsidP="00F53D9E">
            <w:pPr>
              <w:pStyle w:val="Tabletext"/>
              <w:spacing w:line="240" w:lineRule="auto"/>
            </w:pPr>
            <w:r>
              <w:t>Regional Reserve</w:t>
            </w:r>
          </w:p>
        </w:tc>
      </w:tr>
      <w:tr w:rsidR="00F371AA" w14:paraId="1B5C2CA9" w14:textId="77777777" w:rsidTr="00F53D9E">
        <w:trPr>
          <w:trHeight w:val="405"/>
          <w:jc w:val="center"/>
        </w:trPr>
        <w:tc>
          <w:tcPr>
            <w:tcW w:w="359" w:type="pct"/>
            <w:vMerge/>
            <w:shd w:val="clear" w:color="auto" w:fill="DBE5F1" w:themeFill="accent1" w:themeFillTint="33"/>
            <w:vAlign w:val="center"/>
          </w:tcPr>
          <w:p w14:paraId="1B5C2CA5"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A6" w14:textId="77777777" w:rsidR="00F53D9E" w:rsidRDefault="00AC555B" w:rsidP="00F53D9E">
            <w:pPr>
              <w:pStyle w:val="ListBullet"/>
              <w:spacing w:after="0" w:line="240" w:lineRule="auto"/>
              <w:ind w:left="369" w:hanging="369"/>
            </w:pPr>
            <w:r>
              <w:t>Duck Catchment</w:t>
            </w:r>
          </w:p>
        </w:tc>
        <w:tc>
          <w:tcPr>
            <w:tcW w:w="2000" w:type="pct"/>
            <w:shd w:val="clear" w:color="auto" w:fill="auto"/>
            <w:vAlign w:val="center"/>
          </w:tcPr>
          <w:p w14:paraId="1B5C2CA7"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A8" w14:textId="77777777" w:rsidR="00F53D9E" w:rsidRDefault="00AC555B" w:rsidP="00F53D9E">
            <w:pPr>
              <w:pStyle w:val="Tabletext"/>
              <w:spacing w:line="240" w:lineRule="auto"/>
            </w:pPr>
            <w:r>
              <w:t>N/A</w:t>
            </w:r>
          </w:p>
        </w:tc>
      </w:tr>
      <w:tr w:rsidR="00F371AA" w14:paraId="1B5C2CAE" w14:textId="77777777" w:rsidTr="00F53D9E">
        <w:trPr>
          <w:trHeight w:val="410"/>
          <w:jc w:val="center"/>
        </w:trPr>
        <w:tc>
          <w:tcPr>
            <w:tcW w:w="359" w:type="pct"/>
            <w:vMerge/>
            <w:shd w:val="clear" w:color="auto" w:fill="DBE5F1" w:themeFill="accent1" w:themeFillTint="33"/>
            <w:vAlign w:val="center"/>
          </w:tcPr>
          <w:p w14:paraId="1B5C2CAA"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AB" w14:textId="77777777" w:rsidR="00F53D9E" w:rsidRDefault="00AC555B" w:rsidP="00F53D9E">
            <w:pPr>
              <w:pStyle w:val="ListBullet"/>
              <w:spacing w:after="0" w:line="240" w:lineRule="auto"/>
              <w:ind w:left="369" w:hanging="369"/>
            </w:pPr>
            <w:r w:rsidRPr="00CF21D0">
              <w:t>Cam</w:t>
            </w:r>
            <w:r>
              <w:t xml:space="preserve"> Catchment</w:t>
            </w:r>
          </w:p>
        </w:tc>
        <w:tc>
          <w:tcPr>
            <w:tcW w:w="2000" w:type="pct"/>
            <w:shd w:val="clear" w:color="auto" w:fill="auto"/>
            <w:vAlign w:val="center"/>
          </w:tcPr>
          <w:p w14:paraId="1B5C2CAC" w14:textId="77777777" w:rsidR="00F53D9E" w:rsidRDefault="00AC555B" w:rsidP="00F53D9E">
            <w:pPr>
              <w:pStyle w:val="Tabletext"/>
              <w:spacing w:line="240" w:lineRule="auto"/>
            </w:pPr>
            <w:r>
              <w:t>Private Freehold</w:t>
            </w:r>
          </w:p>
        </w:tc>
        <w:tc>
          <w:tcPr>
            <w:tcW w:w="1461" w:type="pct"/>
            <w:vAlign w:val="center"/>
          </w:tcPr>
          <w:p w14:paraId="1B5C2CAD" w14:textId="77777777" w:rsidR="00F53D9E" w:rsidRDefault="00AC555B" w:rsidP="00F53D9E">
            <w:pPr>
              <w:pStyle w:val="Tabletext"/>
              <w:spacing w:line="240" w:lineRule="auto"/>
            </w:pPr>
            <w:r>
              <w:t>N/A</w:t>
            </w:r>
          </w:p>
        </w:tc>
      </w:tr>
      <w:tr w:rsidR="00F371AA" w14:paraId="1B5C2CB3" w14:textId="77777777" w:rsidTr="00F53D9E">
        <w:trPr>
          <w:trHeight w:val="417"/>
          <w:jc w:val="center"/>
        </w:trPr>
        <w:tc>
          <w:tcPr>
            <w:tcW w:w="359" w:type="pct"/>
            <w:vMerge/>
            <w:shd w:val="clear" w:color="auto" w:fill="DBE5F1" w:themeFill="accent1" w:themeFillTint="33"/>
            <w:vAlign w:val="center"/>
          </w:tcPr>
          <w:p w14:paraId="1B5C2CAF"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B0" w14:textId="77777777" w:rsidR="00F53D9E" w:rsidRDefault="00AC555B" w:rsidP="00F53D9E">
            <w:pPr>
              <w:pStyle w:val="ListBullet"/>
              <w:spacing w:after="0" w:line="240" w:lineRule="auto"/>
              <w:ind w:left="369" w:hanging="369"/>
            </w:pPr>
            <w:r w:rsidRPr="00CF21D0">
              <w:t>Emu</w:t>
            </w:r>
            <w:r>
              <w:t xml:space="preserve"> Catchment</w:t>
            </w:r>
          </w:p>
        </w:tc>
        <w:tc>
          <w:tcPr>
            <w:tcW w:w="2000" w:type="pct"/>
            <w:shd w:val="clear" w:color="auto" w:fill="auto"/>
            <w:vAlign w:val="center"/>
          </w:tcPr>
          <w:p w14:paraId="1B5C2CB1" w14:textId="77777777" w:rsidR="00F53D9E" w:rsidRDefault="00AC555B" w:rsidP="00F53D9E">
            <w:pPr>
              <w:pStyle w:val="Tabletext"/>
              <w:spacing w:line="240" w:lineRule="auto"/>
            </w:pPr>
            <w:r>
              <w:t>Private Freehold</w:t>
            </w:r>
          </w:p>
        </w:tc>
        <w:tc>
          <w:tcPr>
            <w:tcW w:w="1461" w:type="pct"/>
            <w:vAlign w:val="center"/>
          </w:tcPr>
          <w:p w14:paraId="1B5C2CB2" w14:textId="77777777" w:rsidR="00F53D9E" w:rsidRDefault="00AC555B" w:rsidP="00F53D9E">
            <w:pPr>
              <w:pStyle w:val="Tabletext"/>
              <w:spacing w:line="240" w:lineRule="auto"/>
            </w:pPr>
            <w:r>
              <w:t>N/A</w:t>
            </w:r>
          </w:p>
        </w:tc>
      </w:tr>
      <w:tr w:rsidR="00F371AA" w14:paraId="1B5C2CB8" w14:textId="77777777" w:rsidTr="00F53D9E">
        <w:trPr>
          <w:trHeight w:val="409"/>
          <w:jc w:val="center"/>
        </w:trPr>
        <w:tc>
          <w:tcPr>
            <w:tcW w:w="359" w:type="pct"/>
            <w:vMerge/>
            <w:shd w:val="clear" w:color="auto" w:fill="DBE5F1" w:themeFill="accent1" w:themeFillTint="33"/>
            <w:vAlign w:val="center"/>
          </w:tcPr>
          <w:p w14:paraId="1B5C2CB4"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B5" w14:textId="77777777" w:rsidR="00F53D9E" w:rsidRDefault="00AC555B" w:rsidP="00F53D9E">
            <w:pPr>
              <w:pStyle w:val="ListBullet"/>
              <w:spacing w:after="0" w:line="240" w:lineRule="auto"/>
              <w:ind w:left="369" w:hanging="369"/>
            </w:pPr>
            <w:r w:rsidRPr="00CF21D0">
              <w:t>Blythe</w:t>
            </w:r>
            <w:r>
              <w:t xml:space="preserve"> Catchment</w:t>
            </w:r>
          </w:p>
        </w:tc>
        <w:tc>
          <w:tcPr>
            <w:tcW w:w="2000" w:type="pct"/>
            <w:shd w:val="clear" w:color="auto" w:fill="auto"/>
            <w:vAlign w:val="center"/>
          </w:tcPr>
          <w:p w14:paraId="1B5C2CB6"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B7" w14:textId="77777777" w:rsidR="00F53D9E" w:rsidRDefault="00AC555B" w:rsidP="00F53D9E">
            <w:pPr>
              <w:pStyle w:val="Tabletext"/>
              <w:spacing w:line="240" w:lineRule="auto"/>
            </w:pPr>
            <w:r>
              <w:t>N/A</w:t>
            </w:r>
          </w:p>
        </w:tc>
      </w:tr>
      <w:tr w:rsidR="00F371AA" w14:paraId="1B5C2CBD" w14:textId="77777777" w:rsidTr="00F53D9E">
        <w:trPr>
          <w:trHeight w:val="567"/>
          <w:jc w:val="center"/>
        </w:trPr>
        <w:tc>
          <w:tcPr>
            <w:tcW w:w="359" w:type="pct"/>
            <w:vMerge/>
            <w:shd w:val="clear" w:color="auto" w:fill="DBE5F1" w:themeFill="accent1" w:themeFillTint="33"/>
            <w:vAlign w:val="center"/>
          </w:tcPr>
          <w:p w14:paraId="1B5C2CB9"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BA" w14:textId="77777777" w:rsidR="00F53D9E" w:rsidRDefault="00AC555B" w:rsidP="00F53D9E">
            <w:pPr>
              <w:pStyle w:val="ListBullet"/>
              <w:spacing w:after="0" w:line="240" w:lineRule="auto"/>
              <w:ind w:left="369" w:hanging="369"/>
            </w:pPr>
            <w:r>
              <w:t>Leven Catchment</w:t>
            </w:r>
          </w:p>
        </w:tc>
        <w:tc>
          <w:tcPr>
            <w:tcW w:w="2000" w:type="pct"/>
            <w:shd w:val="clear" w:color="auto" w:fill="auto"/>
            <w:vAlign w:val="center"/>
          </w:tcPr>
          <w:p w14:paraId="1B5C2CBB" w14:textId="77777777" w:rsidR="00F53D9E" w:rsidRDefault="00AC555B" w:rsidP="00F53D9E">
            <w:pPr>
              <w:pStyle w:val="Tabletext"/>
              <w:spacing w:line="240" w:lineRule="auto"/>
            </w:pPr>
            <w:r>
              <w:t xml:space="preserve">Private Freehold, Future Potential Production Forest (Crown), Permanent </w:t>
            </w:r>
            <w:r w:rsidRPr="002C1DCA">
              <w:t>Timber Production Zone</w:t>
            </w:r>
            <w:r>
              <w:t xml:space="preserve"> </w:t>
            </w:r>
          </w:p>
        </w:tc>
        <w:tc>
          <w:tcPr>
            <w:tcW w:w="1461" w:type="pct"/>
            <w:vAlign w:val="center"/>
          </w:tcPr>
          <w:p w14:paraId="1B5C2CBC" w14:textId="77777777" w:rsidR="00F53D9E" w:rsidRDefault="00AC555B" w:rsidP="00F53D9E">
            <w:pPr>
              <w:pStyle w:val="Tabletext"/>
              <w:spacing w:line="240" w:lineRule="auto"/>
            </w:pPr>
            <w:r>
              <w:t>N/A</w:t>
            </w:r>
          </w:p>
        </w:tc>
      </w:tr>
      <w:tr w:rsidR="00F371AA" w14:paraId="1B5C2CC2" w14:textId="77777777" w:rsidTr="00F53D9E">
        <w:trPr>
          <w:trHeight w:val="409"/>
          <w:jc w:val="center"/>
        </w:trPr>
        <w:tc>
          <w:tcPr>
            <w:tcW w:w="359" w:type="pct"/>
            <w:vMerge/>
            <w:shd w:val="clear" w:color="auto" w:fill="DBE5F1" w:themeFill="accent1" w:themeFillTint="33"/>
            <w:vAlign w:val="center"/>
          </w:tcPr>
          <w:p w14:paraId="1B5C2CBE"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BF" w14:textId="77777777" w:rsidR="00F53D9E" w:rsidRDefault="00AC555B" w:rsidP="00F53D9E">
            <w:pPr>
              <w:pStyle w:val="ListBullet"/>
              <w:spacing w:after="0" w:line="240" w:lineRule="auto"/>
              <w:ind w:left="369" w:hanging="369"/>
            </w:pPr>
            <w:r w:rsidRPr="00C709DD">
              <w:t xml:space="preserve">Forth </w:t>
            </w:r>
            <w:r>
              <w:t>Catchment</w:t>
            </w:r>
          </w:p>
        </w:tc>
        <w:tc>
          <w:tcPr>
            <w:tcW w:w="2000" w:type="pct"/>
            <w:shd w:val="clear" w:color="auto" w:fill="auto"/>
            <w:vAlign w:val="center"/>
          </w:tcPr>
          <w:p w14:paraId="1B5C2CC0"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C1" w14:textId="77777777" w:rsidR="00F53D9E" w:rsidRDefault="00AC555B" w:rsidP="00F53D9E">
            <w:pPr>
              <w:pStyle w:val="Tabletext"/>
              <w:spacing w:line="240" w:lineRule="auto"/>
            </w:pPr>
            <w:r>
              <w:t>National Park</w:t>
            </w:r>
          </w:p>
        </w:tc>
      </w:tr>
      <w:tr w:rsidR="00F371AA" w14:paraId="1B5C2CC7" w14:textId="77777777" w:rsidTr="00F53D9E">
        <w:trPr>
          <w:trHeight w:val="414"/>
          <w:jc w:val="center"/>
        </w:trPr>
        <w:tc>
          <w:tcPr>
            <w:tcW w:w="359" w:type="pct"/>
            <w:vMerge/>
            <w:shd w:val="clear" w:color="auto" w:fill="DBE5F1" w:themeFill="accent1" w:themeFillTint="33"/>
            <w:vAlign w:val="center"/>
          </w:tcPr>
          <w:p w14:paraId="1B5C2CC3"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C4" w14:textId="77777777" w:rsidR="00F53D9E" w:rsidRDefault="00AC555B" w:rsidP="00F53D9E">
            <w:pPr>
              <w:pStyle w:val="ListBullet"/>
              <w:spacing w:after="0" w:line="240" w:lineRule="auto"/>
              <w:ind w:left="369" w:hanging="369"/>
            </w:pPr>
            <w:r w:rsidRPr="00C709DD">
              <w:t>Mersey</w:t>
            </w:r>
            <w:r>
              <w:t xml:space="preserve"> Catchment</w:t>
            </w:r>
          </w:p>
        </w:tc>
        <w:tc>
          <w:tcPr>
            <w:tcW w:w="2000" w:type="pct"/>
            <w:shd w:val="clear" w:color="auto" w:fill="auto"/>
            <w:vAlign w:val="center"/>
          </w:tcPr>
          <w:p w14:paraId="1B5C2CC5"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C6" w14:textId="77777777" w:rsidR="00F53D9E" w:rsidRDefault="00AC555B" w:rsidP="00F53D9E">
            <w:pPr>
              <w:pStyle w:val="Tabletext"/>
              <w:spacing w:line="240" w:lineRule="auto"/>
            </w:pPr>
            <w:r>
              <w:t>National Park, Conservation Area</w:t>
            </w:r>
          </w:p>
        </w:tc>
      </w:tr>
      <w:tr w:rsidR="00F371AA" w14:paraId="1B5C2CCC" w14:textId="77777777" w:rsidTr="00F53D9E">
        <w:trPr>
          <w:trHeight w:val="421"/>
          <w:jc w:val="center"/>
        </w:trPr>
        <w:tc>
          <w:tcPr>
            <w:tcW w:w="359" w:type="pct"/>
            <w:vMerge/>
            <w:shd w:val="clear" w:color="auto" w:fill="DBE5F1" w:themeFill="accent1" w:themeFillTint="33"/>
            <w:vAlign w:val="center"/>
          </w:tcPr>
          <w:p w14:paraId="1B5C2CC8" w14:textId="77777777" w:rsidR="00F53D9E" w:rsidRDefault="00F53D9E" w:rsidP="00F53D9E">
            <w:pPr>
              <w:pStyle w:val="Tabletext"/>
              <w:spacing w:line="240" w:lineRule="auto"/>
              <w:rPr>
                <w:snapToGrid w:val="0"/>
              </w:rPr>
            </w:pPr>
          </w:p>
        </w:tc>
        <w:tc>
          <w:tcPr>
            <w:tcW w:w="1179" w:type="pct"/>
            <w:shd w:val="clear" w:color="auto" w:fill="auto"/>
            <w:vAlign w:val="center"/>
          </w:tcPr>
          <w:p w14:paraId="1B5C2CC9" w14:textId="77777777" w:rsidR="00F53D9E" w:rsidRDefault="00AC555B" w:rsidP="00F53D9E">
            <w:pPr>
              <w:pStyle w:val="ListBullet"/>
              <w:spacing w:after="0" w:line="240" w:lineRule="auto"/>
              <w:ind w:left="369" w:hanging="369"/>
            </w:pPr>
            <w:r w:rsidRPr="00C709DD">
              <w:t>Rubicon</w:t>
            </w:r>
            <w:r>
              <w:t xml:space="preserve"> Catchment</w:t>
            </w:r>
          </w:p>
        </w:tc>
        <w:tc>
          <w:tcPr>
            <w:tcW w:w="2000" w:type="pct"/>
            <w:shd w:val="clear" w:color="auto" w:fill="auto"/>
            <w:vAlign w:val="center"/>
          </w:tcPr>
          <w:p w14:paraId="1B5C2CCA"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CB" w14:textId="77777777" w:rsidR="00F53D9E" w:rsidRDefault="00AC555B" w:rsidP="00F53D9E">
            <w:pPr>
              <w:pStyle w:val="Tabletext"/>
              <w:spacing w:line="240" w:lineRule="auto"/>
            </w:pPr>
            <w:r>
              <w:t>N/A</w:t>
            </w:r>
          </w:p>
        </w:tc>
      </w:tr>
      <w:tr w:rsidR="00F371AA" w14:paraId="1B5C2CD1" w14:textId="77777777" w:rsidTr="00F53D9E">
        <w:trPr>
          <w:trHeight w:val="413"/>
          <w:jc w:val="center"/>
        </w:trPr>
        <w:tc>
          <w:tcPr>
            <w:tcW w:w="359" w:type="pct"/>
            <w:vMerge/>
            <w:shd w:val="clear" w:color="auto" w:fill="DBE5F1" w:themeFill="accent1" w:themeFillTint="33"/>
            <w:vAlign w:val="center"/>
          </w:tcPr>
          <w:p w14:paraId="1B5C2CCD" w14:textId="77777777" w:rsidR="00F53D9E" w:rsidRDefault="00F53D9E" w:rsidP="00F53D9E">
            <w:pPr>
              <w:pStyle w:val="Tabletext"/>
              <w:spacing w:line="240" w:lineRule="auto"/>
              <w:rPr>
                <w:snapToGrid w:val="0"/>
              </w:rPr>
            </w:pPr>
          </w:p>
        </w:tc>
        <w:tc>
          <w:tcPr>
            <w:tcW w:w="1179" w:type="pct"/>
            <w:tcBorders>
              <w:bottom w:val="single" w:sz="4" w:space="0" w:color="auto"/>
            </w:tcBorders>
            <w:shd w:val="clear" w:color="auto" w:fill="auto"/>
            <w:vAlign w:val="center"/>
          </w:tcPr>
          <w:p w14:paraId="1B5C2CCE" w14:textId="77777777" w:rsidR="00F53D9E" w:rsidRDefault="00AC555B" w:rsidP="00F53D9E">
            <w:pPr>
              <w:pStyle w:val="ListBullet"/>
              <w:spacing w:after="0" w:line="240" w:lineRule="auto"/>
              <w:ind w:left="369" w:hanging="369"/>
            </w:pPr>
            <w:r w:rsidRPr="00C709DD">
              <w:t>Pipers</w:t>
            </w:r>
            <w:r>
              <w:t xml:space="preserve"> Catchment</w:t>
            </w:r>
          </w:p>
        </w:tc>
        <w:tc>
          <w:tcPr>
            <w:tcW w:w="2000" w:type="pct"/>
            <w:tcBorders>
              <w:bottom w:val="single" w:sz="4" w:space="0" w:color="auto"/>
            </w:tcBorders>
            <w:shd w:val="clear" w:color="auto" w:fill="auto"/>
            <w:vAlign w:val="center"/>
          </w:tcPr>
          <w:p w14:paraId="1B5C2CCF" w14:textId="77777777" w:rsidR="00F53D9E" w:rsidRDefault="00AC555B" w:rsidP="00F53D9E">
            <w:pPr>
              <w:pStyle w:val="Tabletext"/>
              <w:spacing w:line="240" w:lineRule="auto"/>
            </w:pPr>
            <w:r>
              <w:t xml:space="preserve">Private Freehold, Permanent </w:t>
            </w:r>
            <w:r w:rsidRPr="002C1DCA">
              <w:t>Timber Production Zone</w:t>
            </w:r>
          </w:p>
        </w:tc>
        <w:tc>
          <w:tcPr>
            <w:tcW w:w="1461" w:type="pct"/>
            <w:tcBorders>
              <w:bottom w:val="single" w:sz="4" w:space="0" w:color="auto"/>
            </w:tcBorders>
            <w:vAlign w:val="center"/>
          </w:tcPr>
          <w:p w14:paraId="1B5C2CD0" w14:textId="77777777" w:rsidR="00F53D9E" w:rsidRDefault="00AC555B" w:rsidP="00F53D9E">
            <w:pPr>
              <w:pStyle w:val="Tabletext"/>
              <w:spacing w:line="240" w:lineRule="auto"/>
            </w:pPr>
            <w:r>
              <w:t>N/A</w:t>
            </w:r>
          </w:p>
        </w:tc>
      </w:tr>
      <w:tr w:rsidR="00F371AA" w14:paraId="1B5C2CD6" w14:textId="77777777" w:rsidTr="00F53D9E">
        <w:trPr>
          <w:trHeight w:val="413"/>
          <w:jc w:val="center"/>
        </w:trPr>
        <w:tc>
          <w:tcPr>
            <w:tcW w:w="359" w:type="pct"/>
            <w:vMerge/>
            <w:shd w:val="clear" w:color="auto" w:fill="DBE5F1" w:themeFill="accent1" w:themeFillTint="33"/>
            <w:vAlign w:val="center"/>
          </w:tcPr>
          <w:p w14:paraId="1B5C2CD2" w14:textId="77777777" w:rsidR="00F53D9E" w:rsidRDefault="00F53D9E" w:rsidP="00F53D9E">
            <w:pPr>
              <w:pStyle w:val="Tabletext"/>
              <w:spacing w:line="240" w:lineRule="auto"/>
              <w:rPr>
                <w:snapToGrid w:val="0"/>
              </w:rPr>
            </w:pPr>
          </w:p>
        </w:tc>
        <w:tc>
          <w:tcPr>
            <w:tcW w:w="1179" w:type="pct"/>
            <w:tcBorders>
              <w:top w:val="single" w:sz="4" w:space="0" w:color="auto"/>
              <w:bottom w:val="single" w:sz="4" w:space="0" w:color="auto"/>
            </w:tcBorders>
            <w:shd w:val="clear" w:color="auto" w:fill="auto"/>
            <w:vAlign w:val="center"/>
          </w:tcPr>
          <w:p w14:paraId="1B5C2CD3" w14:textId="77777777" w:rsidR="00F53D9E" w:rsidRDefault="00AC555B" w:rsidP="00F53D9E">
            <w:pPr>
              <w:pStyle w:val="ListBullet"/>
              <w:spacing w:after="0" w:line="240" w:lineRule="auto"/>
              <w:ind w:left="369" w:hanging="369"/>
            </w:pPr>
            <w:r w:rsidRPr="00C709DD">
              <w:t>Little Forester</w:t>
            </w:r>
            <w:r>
              <w:t xml:space="preserve"> Catchment</w:t>
            </w:r>
          </w:p>
        </w:tc>
        <w:tc>
          <w:tcPr>
            <w:tcW w:w="2000" w:type="pct"/>
            <w:tcBorders>
              <w:top w:val="single" w:sz="4" w:space="0" w:color="auto"/>
              <w:bottom w:val="single" w:sz="4" w:space="0" w:color="auto"/>
            </w:tcBorders>
            <w:shd w:val="clear" w:color="auto" w:fill="auto"/>
            <w:vAlign w:val="center"/>
          </w:tcPr>
          <w:p w14:paraId="1B5C2CD4" w14:textId="77777777" w:rsidR="00F53D9E" w:rsidRDefault="00AC555B" w:rsidP="00F53D9E">
            <w:pPr>
              <w:pStyle w:val="Tabletext"/>
              <w:spacing w:line="240" w:lineRule="auto"/>
            </w:pPr>
            <w:r>
              <w:t xml:space="preserve">Private Freehold, Permanent </w:t>
            </w:r>
            <w:r w:rsidRPr="002C1DCA">
              <w:t>Timber Production Zone</w:t>
            </w:r>
          </w:p>
        </w:tc>
        <w:tc>
          <w:tcPr>
            <w:tcW w:w="1461" w:type="pct"/>
            <w:tcBorders>
              <w:top w:val="single" w:sz="4" w:space="0" w:color="auto"/>
              <w:bottom w:val="single" w:sz="4" w:space="0" w:color="auto"/>
            </w:tcBorders>
            <w:vAlign w:val="center"/>
          </w:tcPr>
          <w:p w14:paraId="1B5C2CD5" w14:textId="77777777" w:rsidR="00F53D9E" w:rsidRDefault="00AC555B" w:rsidP="00F53D9E">
            <w:pPr>
              <w:pStyle w:val="Tabletext"/>
              <w:spacing w:line="240" w:lineRule="auto"/>
            </w:pPr>
            <w:r>
              <w:t>N/A</w:t>
            </w:r>
          </w:p>
        </w:tc>
      </w:tr>
      <w:tr w:rsidR="00F371AA" w14:paraId="1B5C2CDB" w14:textId="77777777" w:rsidTr="00F53D9E">
        <w:trPr>
          <w:trHeight w:val="413"/>
          <w:jc w:val="center"/>
        </w:trPr>
        <w:tc>
          <w:tcPr>
            <w:tcW w:w="359" w:type="pct"/>
            <w:vMerge/>
            <w:shd w:val="clear" w:color="auto" w:fill="DBE5F1" w:themeFill="accent1" w:themeFillTint="33"/>
            <w:vAlign w:val="center"/>
          </w:tcPr>
          <w:p w14:paraId="1B5C2CD7" w14:textId="77777777" w:rsidR="00F53D9E" w:rsidRDefault="00F53D9E" w:rsidP="00F53D9E">
            <w:pPr>
              <w:pStyle w:val="Tabletext"/>
              <w:spacing w:line="240" w:lineRule="auto"/>
              <w:rPr>
                <w:snapToGrid w:val="0"/>
              </w:rPr>
            </w:pPr>
          </w:p>
        </w:tc>
        <w:tc>
          <w:tcPr>
            <w:tcW w:w="1179" w:type="pct"/>
            <w:tcBorders>
              <w:top w:val="single" w:sz="4" w:space="0" w:color="auto"/>
            </w:tcBorders>
            <w:shd w:val="clear" w:color="auto" w:fill="auto"/>
            <w:vAlign w:val="center"/>
          </w:tcPr>
          <w:p w14:paraId="1B5C2CD8" w14:textId="77777777" w:rsidR="00F53D9E" w:rsidRDefault="00AC555B" w:rsidP="00F53D9E">
            <w:pPr>
              <w:pStyle w:val="ListBullet"/>
              <w:spacing w:after="0" w:line="240" w:lineRule="auto"/>
              <w:ind w:left="0" w:firstLine="0"/>
            </w:pPr>
            <w:r w:rsidRPr="00C709DD">
              <w:t>Great Forester-Brid</w:t>
            </w:r>
            <w:r>
              <w:t xml:space="preserve"> Catchment</w:t>
            </w:r>
          </w:p>
        </w:tc>
        <w:tc>
          <w:tcPr>
            <w:tcW w:w="2000" w:type="pct"/>
            <w:tcBorders>
              <w:top w:val="single" w:sz="4" w:space="0" w:color="auto"/>
            </w:tcBorders>
            <w:shd w:val="clear" w:color="auto" w:fill="auto"/>
            <w:vAlign w:val="center"/>
          </w:tcPr>
          <w:p w14:paraId="1B5C2CD9" w14:textId="77777777" w:rsidR="00F53D9E" w:rsidRDefault="00AC555B" w:rsidP="00F53D9E">
            <w:pPr>
              <w:pStyle w:val="Tabletext"/>
              <w:spacing w:line="240" w:lineRule="auto"/>
            </w:pPr>
            <w:r>
              <w:t xml:space="preserve">Private Freehold, Permanent </w:t>
            </w:r>
            <w:r w:rsidRPr="002C1DCA">
              <w:t>Timber Production Zone</w:t>
            </w:r>
          </w:p>
        </w:tc>
        <w:tc>
          <w:tcPr>
            <w:tcW w:w="1461" w:type="pct"/>
            <w:tcBorders>
              <w:top w:val="single" w:sz="4" w:space="0" w:color="auto"/>
            </w:tcBorders>
            <w:vAlign w:val="center"/>
          </w:tcPr>
          <w:p w14:paraId="1B5C2CDA" w14:textId="77777777" w:rsidR="00F53D9E" w:rsidRDefault="00AC555B" w:rsidP="00F53D9E">
            <w:pPr>
              <w:pStyle w:val="Tabletext"/>
              <w:spacing w:line="240" w:lineRule="auto"/>
            </w:pPr>
            <w:r>
              <w:t>Regional Reserve</w:t>
            </w:r>
          </w:p>
        </w:tc>
      </w:tr>
      <w:tr w:rsidR="00F371AA" w14:paraId="1B5C2CE2" w14:textId="77777777" w:rsidTr="00F53D9E">
        <w:trPr>
          <w:trHeight w:val="472"/>
          <w:jc w:val="center"/>
        </w:trPr>
        <w:tc>
          <w:tcPr>
            <w:tcW w:w="359" w:type="pct"/>
            <w:vMerge w:val="restart"/>
            <w:tcBorders>
              <w:top w:val="nil"/>
              <w:bottom w:val="single" w:sz="4" w:space="0" w:color="auto"/>
            </w:tcBorders>
            <w:shd w:val="clear" w:color="auto" w:fill="DBE5F1" w:themeFill="accent1" w:themeFillTint="33"/>
            <w:vAlign w:val="center"/>
          </w:tcPr>
          <w:p w14:paraId="1B5C2CDC" w14:textId="77777777" w:rsidR="00F53D9E" w:rsidRDefault="00AC555B" w:rsidP="00F53D9E">
            <w:pPr>
              <w:pStyle w:val="Tabletext"/>
              <w:spacing w:after="240" w:line="240" w:lineRule="auto"/>
              <w:rPr>
                <w:b/>
                <w:snapToGrid w:val="0"/>
              </w:rPr>
            </w:pPr>
            <w:r w:rsidRPr="00511024">
              <w:rPr>
                <w:b/>
                <w:snapToGrid w:val="0"/>
              </w:rPr>
              <w:lastRenderedPageBreak/>
              <w:t>Known to occur</w:t>
            </w:r>
            <w:r>
              <w:rPr>
                <w:b/>
                <w:snapToGrid w:val="0"/>
              </w:rPr>
              <w:t>*</w:t>
            </w:r>
          </w:p>
          <w:p w14:paraId="1B5C2CDD" w14:textId="77777777" w:rsidR="00F53D9E" w:rsidRDefault="00AC555B" w:rsidP="00F53D9E">
            <w:pPr>
              <w:pStyle w:val="Tabletext"/>
              <w:spacing w:after="240" w:line="240" w:lineRule="auto"/>
              <w:rPr>
                <w:snapToGrid w:val="0"/>
              </w:rPr>
            </w:pPr>
            <w:r w:rsidRPr="001D5AF2">
              <w:rPr>
                <w:snapToGrid w:val="0"/>
              </w:rPr>
              <w:t>AND</w:t>
            </w:r>
          </w:p>
          <w:p w14:paraId="1B5C2CDE" w14:textId="77777777" w:rsidR="00F53D9E" w:rsidRDefault="00AC555B" w:rsidP="00F53D9E">
            <w:pPr>
              <w:pStyle w:val="Tabletext"/>
              <w:spacing w:line="240" w:lineRule="auto"/>
              <w:rPr>
                <w:b/>
                <w:snapToGrid w:val="0"/>
              </w:rPr>
            </w:pPr>
            <w:r w:rsidRPr="00511024">
              <w:rPr>
                <w:b/>
                <w:snapToGrid w:val="0"/>
              </w:rPr>
              <w:t>Likely to occur</w:t>
            </w:r>
            <w:r>
              <w:rPr>
                <w:b/>
                <w:snapToGrid w:val="0"/>
              </w:rPr>
              <w:t>**</w:t>
            </w:r>
          </w:p>
        </w:tc>
        <w:tc>
          <w:tcPr>
            <w:tcW w:w="1179" w:type="pct"/>
            <w:shd w:val="clear" w:color="auto" w:fill="auto"/>
            <w:vAlign w:val="center"/>
          </w:tcPr>
          <w:p w14:paraId="1B5C2CDF" w14:textId="77777777" w:rsidR="00F53D9E" w:rsidRDefault="00AC555B" w:rsidP="00F53D9E">
            <w:pPr>
              <w:pStyle w:val="ListBullet"/>
              <w:spacing w:after="0" w:line="240" w:lineRule="auto"/>
              <w:ind w:left="369" w:hanging="369"/>
            </w:pPr>
            <w:proofErr w:type="spellStart"/>
            <w:r w:rsidRPr="00C709DD">
              <w:t>Boobyalla</w:t>
            </w:r>
            <w:proofErr w:type="spellEnd"/>
            <w:r>
              <w:t xml:space="preserve"> Sub-catchment</w:t>
            </w:r>
          </w:p>
        </w:tc>
        <w:tc>
          <w:tcPr>
            <w:tcW w:w="2000" w:type="pct"/>
            <w:shd w:val="clear" w:color="auto" w:fill="auto"/>
            <w:vAlign w:val="center"/>
          </w:tcPr>
          <w:p w14:paraId="1B5C2CE0" w14:textId="77777777" w:rsidR="00F53D9E" w:rsidRDefault="00AC555B" w:rsidP="00F53D9E">
            <w:pPr>
              <w:pStyle w:val="Tabletext"/>
              <w:spacing w:line="240" w:lineRule="auto"/>
            </w:pPr>
            <w:r>
              <w:t xml:space="preserve">Private Freehold, Permanent </w:t>
            </w:r>
            <w:r w:rsidRPr="002C1DCA">
              <w:t>Timber Production Zone</w:t>
            </w:r>
            <w:r>
              <w:t>, Future Potential Production Forest (Crown)</w:t>
            </w:r>
          </w:p>
        </w:tc>
        <w:tc>
          <w:tcPr>
            <w:tcW w:w="1461" w:type="pct"/>
            <w:vAlign w:val="center"/>
          </w:tcPr>
          <w:p w14:paraId="1B5C2CE1" w14:textId="77777777" w:rsidR="00F53D9E" w:rsidRDefault="00AC555B" w:rsidP="00F53D9E">
            <w:pPr>
              <w:pStyle w:val="Tabletext"/>
              <w:spacing w:line="240" w:lineRule="auto"/>
            </w:pPr>
            <w:r>
              <w:t>Regional Reserve</w:t>
            </w:r>
          </w:p>
        </w:tc>
      </w:tr>
      <w:tr w:rsidR="00F371AA" w14:paraId="1B5C2CE7" w14:textId="77777777" w:rsidTr="00F53D9E">
        <w:trPr>
          <w:trHeight w:val="472"/>
          <w:jc w:val="center"/>
        </w:trPr>
        <w:tc>
          <w:tcPr>
            <w:tcW w:w="359" w:type="pct"/>
            <w:vMerge/>
            <w:tcBorders>
              <w:top w:val="nil"/>
              <w:bottom w:val="single" w:sz="4" w:space="0" w:color="auto"/>
            </w:tcBorders>
            <w:shd w:val="clear" w:color="auto" w:fill="DBE5F1" w:themeFill="accent1" w:themeFillTint="33"/>
            <w:vAlign w:val="center"/>
          </w:tcPr>
          <w:p w14:paraId="1B5C2CE3" w14:textId="77777777" w:rsidR="00F53D9E" w:rsidRPr="00511024" w:rsidRDefault="00F53D9E" w:rsidP="00F53D9E">
            <w:pPr>
              <w:pStyle w:val="Tabletext"/>
              <w:spacing w:after="240" w:line="240" w:lineRule="auto"/>
              <w:rPr>
                <w:b/>
                <w:snapToGrid w:val="0"/>
              </w:rPr>
            </w:pPr>
          </w:p>
        </w:tc>
        <w:tc>
          <w:tcPr>
            <w:tcW w:w="1179" w:type="pct"/>
            <w:shd w:val="clear" w:color="auto" w:fill="auto"/>
            <w:vAlign w:val="center"/>
          </w:tcPr>
          <w:p w14:paraId="1B5C2CE4" w14:textId="77777777" w:rsidR="00F53D9E" w:rsidRDefault="00AC555B" w:rsidP="00F53D9E">
            <w:pPr>
              <w:pStyle w:val="ListBullet"/>
              <w:spacing w:after="0" w:line="240" w:lineRule="auto"/>
              <w:ind w:left="369" w:hanging="369"/>
            </w:pPr>
            <w:r>
              <w:t>Tomahawk Sub-catchment</w:t>
            </w:r>
          </w:p>
        </w:tc>
        <w:tc>
          <w:tcPr>
            <w:tcW w:w="2000" w:type="pct"/>
            <w:shd w:val="clear" w:color="auto" w:fill="auto"/>
            <w:vAlign w:val="center"/>
          </w:tcPr>
          <w:p w14:paraId="1B5C2CE5"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E6" w14:textId="77777777" w:rsidR="00F53D9E" w:rsidRDefault="00AC555B" w:rsidP="00F53D9E">
            <w:pPr>
              <w:pStyle w:val="Tabletext"/>
              <w:spacing w:line="240" w:lineRule="auto"/>
            </w:pPr>
            <w:r>
              <w:t>Regional Reserve</w:t>
            </w:r>
          </w:p>
        </w:tc>
      </w:tr>
      <w:tr w:rsidR="00F371AA" w14:paraId="1B5C2CEC" w14:textId="77777777" w:rsidTr="00F53D9E">
        <w:trPr>
          <w:trHeight w:val="567"/>
          <w:jc w:val="center"/>
        </w:trPr>
        <w:tc>
          <w:tcPr>
            <w:tcW w:w="359" w:type="pct"/>
            <w:vMerge/>
            <w:tcBorders>
              <w:top w:val="nil"/>
              <w:bottom w:val="single" w:sz="4" w:space="0" w:color="auto"/>
            </w:tcBorders>
            <w:shd w:val="clear" w:color="auto" w:fill="DBE5F1" w:themeFill="accent1" w:themeFillTint="33"/>
            <w:vAlign w:val="center"/>
          </w:tcPr>
          <w:p w14:paraId="1B5C2CE8" w14:textId="77777777" w:rsidR="00F53D9E" w:rsidRPr="00511024" w:rsidRDefault="00F53D9E" w:rsidP="00F53D9E">
            <w:pPr>
              <w:pStyle w:val="Tabletext"/>
              <w:spacing w:line="240" w:lineRule="auto"/>
              <w:rPr>
                <w:b/>
                <w:snapToGrid w:val="0"/>
              </w:rPr>
            </w:pPr>
          </w:p>
        </w:tc>
        <w:tc>
          <w:tcPr>
            <w:tcW w:w="1179" w:type="pct"/>
            <w:shd w:val="clear" w:color="auto" w:fill="auto"/>
            <w:vAlign w:val="center"/>
          </w:tcPr>
          <w:p w14:paraId="1B5C2CE9" w14:textId="77777777" w:rsidR="00F53D9E" w:rsidRPr="00C709DD" w:rsidRDefault="00AC555B" w:rsidP="00F53D9E">
            <w:pPr>
              <w:pStyle w:val="ListBullet"/>
              <w:spacing w:after="0" w:line="240" w:lineRule="auto"/>
              <w:ind w:left="369" w:hanging="369"/>
            </w:pPr>
            <w:r w:rsidRPr="00C709DD">
              <w:t>Ringarooma</w:t>
            </w:r>
            <w:r>
              <w:t xml:space="preserve"> Catchment</w:t>
            </w:r>
          </w:p>
        </w:tc>
        <w:tc>
          <w:tcPr>
            <w:tcW w:w="2000" w:type="pct"/>
            <w:shd w:val="clear" w:color="auto" w:fill="auto"/>
            <w:vAlign w:val="center"/>
          </w:tcPr>
          <w:p w14:paraId="1B5C2CEA" w14:textId="77777777" w:rsidR="00F53D9E" w:rsidRDefault="00AC555B" w:rsidP="00F53D9E">
            <w:pPr>
              <w:pStyle w:val="Tabletext"/>
              <w:spacing w:line="240" w:lineRule="auto"/>
            </w:pPr>
            <w:r>
              <w:t xml:space="preserve">Private Freehold, Permanent </w:t>
            </w:r>
            <w:r w:rsidRPr="002C1DCA">
              <w:t>Timber Production Zone</w:t>
            </w:r>
            <w:r>
              <w:t>, Future Potential Production Forest (Crown)</w:t>
            </w:r>
          </w:p>
        </w:tc>
        <w:tc>
          <w:tcPr>
            <w:tcW w:w="1461" w:type="pct"/>
            <w:vAlign w:val="center"/>
          </w:tcPr>
          <w:p w14:paraId="1B5C2CEB" w14:textId="77777777" w:rsidR="00F53D9E" w:rsidRDefault="00AC555B" w:rsidP="00F53D9E">
            <w:pPr>
              <w:pStyle w:val="Tabletext"/>
              <w:spacing w:line="240" w:lineRule="auto"/>
            </w:pPr>
            <w:r>
              <w:t>Regional Reserve</w:t>
            </w:r>
          </w:p>
        </w:tc>
      </w:tr>
      <w:tr w:rsidR="00F371AA" w14:paraId="1B5C2CF1" w14:textId="77777777" w:rsidTr="00F53D9E">
        <w:trPr>
          <w:trHeight w:val="401"/>
          <w:jc w:val="center"/>
        </w:trPr>
        <w:tc>
          <w:tcPr>
            <w:tcW w:w="359" w:type="pct"/>
            <w:vMerge/>
            <w:tcBorders>
              <w:top w:val="nil"/>
              <w:bottom w:val="single" w:sz="4" w:space="0" w:color="auto"/>
            </w:tcBorders>
            <w:shd w:val="clear" w:color="auto" w:fill="DBE5F1" w:themeFill="accent1" w:themeFillTint="33"/>
            <w:vAlign w:val="center"/>
          </w:tcPr>
          <w:p w14:paraId="1B5C2CED" w14:textId="77777777" w:rsidR="00F53D9E" w:rsidRDefault="00F53D9E" w:rsidP="00F53D9E">
            <w:pPr>
              <w:pStyle w:val="Tabletext"/>
              <w:spacing w:line="240" w:lineRule="auto"/>
              <w:rPr>
                <w:b/>
                <w:snapToGrid w:val="0"/>
              </w:rPr>
            </w:pPr>
          </w:p>
        </w:tc>
        <w:tc>
          <w:tcPr>
            <w:tcW w:w="1179" w:type="pct"/>
            <w:shd w:val="clear" w:color="auto" w:fill="auto"/>
            <w:vAlign w:val="center"/>
          </w:tcPr>
          <w:p w14:paraId="1B5C2CEE" w14:textId="77777777" w:rsidR="00F53D9E" w:rsidRDefault="00AC555B" w:rsidP="00F53D9E">
            <w:pPr>
              <w:pStyle w:val="ListBullet"/>
              <w:spacing w:after="0" w:line="240" w:lineRule="auto"/>
              <w:ind w:left="369" w:hanging="369"/>
            </w:pPr>
            <w:r>
              <w:t>Welcome Catchment</w:t>
            </w:r>
          </w:p>
        </w:tc>
        <w:tc>
          <w:tcPr>
            <w:tcW w:w="2000" w:type="pct"/>
            <w:shd w:val="clear" w:color="auto" w:fill="auto"/>
            <w:vAlign w:val="center"/>
          </w:tcPr>
          <w:p w14:paraId="1B5C2CEF" w14:textId="77777777" w:rsidR="00F53D9E" w:rsidRDefault="00AC555B" w:rsidP="00F53D9E">
            <w:pPr>
              <w:pStyle w:val="Tabletext"/>
              <w:spacing w:line="240" w:lineRule="auto"/>
            </w:pPr>
            <w:r>
              <w:t xml:space="preserve">Private Freehold, Permanent </w:t>
            </w:r>
            <w:r w:rsidRPr="002C1DCA">
              <w:t>Timber Production Zone</w:t>
            </w:r>
          </w:p>
        </w:tc>
        <w:tc>
          <w:tcPr>
            <w:tcW w:w="1461" w:type="pct"/>
            <w:vAlign w:val="center"/>
          </w:tcPr>
          <w:p w14:paraId="1B5C2CF0" w14:textId="77777777" w:rsidR="00F53D9E" w:rsidRDefault="00AC555B" w:rsidP="00F53D9E">
            <w:pPr>
              <w:pStyle w:val="Tabletext"/>
              <w:spacing w:line="240" w:lineRule="auto"/>
            </w:pPr>
            <w:r>
              <w:t>N/A</w:t>
            </w:r>
          </w:p>
        </w:tc>
      </w:tr>
      <w:tr w:rsidR="00F371AA" w14:paraId="1B5C2CF6" w14:textId="77777777" w:rsidTr="00F53D9E">
        <w:trPr>
          <w:trHeight w:val="420"/>
          <w:jc w:val="center"/>
        </w:trPr>
        <w:tc>
          <w:tcPr>
            <w:tcW w:w="359" w:type="pct"/>
            <w:vMerge/>
            <w:tcBorders>
              <w:top w:val="nil"/>
              <w:bottom w:val="single" w:sz="4" w:space="0" w:color="auto"/>
            </w:tcBorders>
            <w:shd w:val="clear" w:color="auto" w:fill="DBE5F1" w:themeFill="accent1" w:themeFillTint="33"/>
            <w:vAlign w:val="center"/>
          </w:tcPr>
          <w:p w14:paraId="1B5C2CF2" w14:textId="77777777" w:rsidR="00F53D9E" w:rsidRDefault="00F53D9E" w:rsidP="00F53D9E">
            <w:pPr>
              <w:pStyle w:val="Tabletext"/>
              <w:spacing w:line="240" w:lineRule="auto"/>
              <w:rPr>
                <w:b/>
                <w:snapToGrid w:val="0"/>
              </w:rPr>
            </w:pPr>
          </w:p>
        </w:tc>
        <w:tc>
          <w:tcPr>
            <w:tcW w:w="1179" w:type="pct"/>
            <w:shd w:val="clear" w:color="auto" w:fill="auto"/>
            <w:vAlign w:val="center"/>
          </w:tcPr>
          <w:p w14:paraId="1B5C2CF3" w14:textId="77777777" w:rsidR="00F53D9E" w:rsidRDefault="00AC555B" w:rsidP="00F53D9E">
            <w:pPr>
              <w:pStyle w:val="ListBullet"/>
              <w:spacing w:after="0" w:line="240" w:lineRule="auto"/>
              <w:ind w:left="369" w:hanging="369"/>
            </w:pPr>
            <w:r w:rsidRPr="00C709DD">
              <w:t>Montagu</w:t>
            </w:r>
            <w:r>
              <w:t xml:space="preserve"> Catchment</w:t>
            </w:r>
          </w:p>
        </w:tc>
        <w:tc>
          <w:tcPr>
            <w:tcW w:w="2000" w:type="pct"/>
            <w:shd w:val="clear" w:color="auto" w:fill="auto"/>
            <w:vAlign w:val="center"/>
          </w:tcPr>
          <w:p w14:paraId="1B5C2CF4" w14:textId="77777777" w:rsidR="00F53D9E" w:rsidRDefault="00AC555B" w:rsidP="00F53D9E">
            <w:pPr>
              <w:pStyle w:val="Tabletext"/>
              <w:spacing w:line="240" w:lineRule="auto"/>
            </w:pPr>
            <w:r>
              <w:t xml:space="preserve">Permanent </w:t>
            </w:r>
            <w:r w:rsidRPr="002C1DCA">
              <w:t>Timber Production Zone</w:t>
            </w:r>
            <w:r>
              <w:t xml:space="preserve">, </w:t>
            </w:r>
            <w:r w:rsidRPr="00CA6EC4">
              <w:t xml:space="preserve">Private </w:t>
            </w:r>
            <w:r>
              <w:t>F</w:t>
            </w:r>
            <w:r w:rsidRPr="00CA6EC4">
              <w:t>reehold</w:t>
            </w:r>
          </w:p>
        </w:tc>
        <w:tc>
          <w:tcPr>
            <w:tcW w:w="1461" w:type="pct"/>
            <w:vAlign w:val="center"/>
          </w:tcPr>
          <w:p w14:paraId="1B5C2CF5" w14:textId="77777777" w:rsidR="00F53D9E" w:rsidRDefault="00AC555B" w:rsidP="00F53D9E">
            <w:pPr>
              <w:pStyle w:val="Tabletext"/>
              <w:spacing w:line="240" w:lineRule="auto"/>
            </w:pPr>
            <w:r>
              <w:t>Regional Reserve</w:t>
            </w:r>
          </w:p>
        </w:tc>
      </w:tr>
      <w:tr w:rsidR="00F371AA" w14:paraId="1B5C2CFB" w14:textId="77777777" w:rsidTr="00F53D9E">
        <w:trPr>
          <w:trHeight w:val="567"/>
          <w:jc w:val="center"/>
        </w:trPr>
        <w:tc>
          <w:tcPr>
            <w:tcW w:w="359" w:type="pct"/>
            <w:tcBorders>
              <w:top w:val="single" w:sz="4" w:space="0" w:color="auto"/>
            </w:tcBorders>
            <w:shd w:val="clear" w:color="auto" w:fill="DBE5F1" w:themeFill="accent1" w:themeFillTint="33"/>
            <w:vAlign w:val="center"/>
          </w:tcPr>
          <w:p w14:paraId="1B5C2CF7" w14:textId="77777777" w:rsidR="00F53D9E" w:rsidRDefault="00AC555B" w:rsidP="00F53D9E">
            <w:pPr>
              <w:pStyle w:val="Tabletext"/>
              <w:spacing w:line="240" w:lineRule="auto"/>
              <w:rPr>
                <w:i/>
              </w:rPr>
            </w:pPr>
            <w:r w:rsidRPr="00155C98">
              <w:rPr>
                <w:b/>
                <w:snapToGrid w:val="0"/>
              </w:rPr>
              <w:t>May occur</w:t>
            </w:r>
            <w:r>
              <w:rPr>
                <w:snapToGrid w:val="0"/>
              </w:rPr>
              <w:t>***</w:t>
            </w:r>
          </w:p>
        </w:tc>
        <w:tc>
          <w:tcPr>
            <w:tcW w:w="1179" w:type="pct"/>
            <w:shd w:val="clear" w:color="auto" w:fill="auto"/>
            <w:vAlign w:val="center"/>
          </w:tcPr>
          <w:p w14:paraId="1B5C2CF8" w14:textId="77777777" w:rsidR="00F53D9E" w:rsidRDefault="00AC555B" w:rsidP="00F53D9E">
            <w:pPr>
              <w:pStyle w:val="ListBullet"/>
              <w:spacing w:after="0" w:line="240" w:lineRule="auto"/>
              <w:ind w:left="369" w:hanging="369"/>
            </w:pPr>
            <w:proofErr w:type="spellStart"/>
            <w:r>
              <w:t>Musselroe</w:t>
            </w:r>
            <w:proofErr w:type="spellEnd"/>
            <w:r>
              <w:t xml:space="preserve"> Catchment</w:t>
            </w:r>
          </w:p>
        </w:tc>
        <w:tc>
          <w:tcPr>
            <w:tcW w:w="2000" w:type="pct"/>
            <w:shd w:val="clear" w:color="auto" w:fill="auto"/>
            <w:vAlign w:val="center"/>
          </w:tcPr>
          <w:p w14:paraId="1B5C2CF9" w14:textId="77777777" w:rsidR="00F53D9E" w:rsidRDefault="00AC555B" w:rsidP="00F53D9E">
            <w:pPr>
              <w:pStyle w:val="Tabletext"/>
              <w:spacing w:line="240" w:lineRule="auto"/>
            </w:pPr>
            <w:r>
              <w:t xml:space="preserve">Permanent </w:t>
            </w:r>
            <w:r w:rsidRPr="002C1DCA">
              <w:t>Timber Production Zone</w:t>
            </w:r>
            <w:r>
              <w:t xml:space="preserve">, Future Potential Production Forest (Crown) </w:t>
            </w:r>
          </w:p>
        </w:tc>
        <w:tc>
          <w:tcPr>
            <w:tcW w:w="1461" w:type="pct"/>
            <w:vAlign w:val="center"/>
          </w:tcPr>
          <w:p w14:paraId="1B5C2CFA" w14:textId="77777777" w:rsidR="00F53D9E" w:rsidRDefault="00AC555B" w:rsidP="00F53D9E">
            <w:pPr>
              <w:pStyle w:val="Tabletext"/>
              <w:spacing w:line="240" w:lineRule="auto"/>
            </w:pPr>
            <w:r>
              <w:t>Regional Reserve</w:t>
            </w:r>
          </w:p>
        </w:tc>
      </w:tr>
      <w:tr w:rsidR="00F371AA" w14:paraId="1B5C2D00" w14:textId="77777777" w:rsidTr="00F53D9E">
        <w:trPr>
          <w:trHeight w:val="567"/>
          <w:jc w:val="center"/>
        </w:trPr>
        <w:tc>
          <w:tcPr>
            <w:tcW w:w="359" w:type="pct"/>
            <w:vMerge w:val="restart"/>
            <w:shd w:val="clear" w:color="auto" w:fill="DBE5F1" w:themeFill="accent1" w:themeFillTint="33"/>
            <w:vAlign w:val="center"/>
          </w:tcPr>
          <w:p w14:paraId="1B5C2CFC" w14:textId="77777777" w:rsidR="00F53D9E" w:rsidRDefault="00AC555B" w:rsidP="00F53D9E">
            <w:pPr>
              <w:pStyle w:val="Tabletext"/>
              <w:spacing w:line="240" w:lineRule="auto"/>
              <w:rPr>
                <w:b/>
                <w:snapToGrid w:val="0"/>
              </w:rPr>
            </w:pPr>
            <w:r>
              <w:rPr>
                <w:b/>
                <w:snapToGrid w:val="0"/>
              </w:rPr>
              <w:t>Trans-located pops****</w:t>
            </w:r>
          </w:p>
        </w:tc>
        <w:tc>
          <w:tcPr>
            <w:tcW w:w="1179" w:type="pct"/>
            <w:shd w:val="clear" w:color="auto" w:fill="auto"/>
            <w:vAlign w:val="center"/>
          </w:tcPr>
          <w:p w14:paraId="1B5C2CFD" w14:textId="77777777" w:rsidR="00F53D9E" w:rsidRDefault="00AC555B" w:rsidP="00F53D9E">
            <w:pPr>
              <w:pStyle w:val="ListBullet"/>
              <w:spacing w:after="0" w:line="240" w:lineRule="auto"/>
              <w:ind w:left="369" w:hanging="369"/>
            </w:pPr>
            <w:r w:rsidRPr="00C709DD">
              <w:t>St. Patricks</w:t>
            </w:r>
            <w:r>
              <w:t xml:space="preserve"> Catchment </w:t>
            </w:r>
          </w:p>
        </w:tc>
        <w:tc>
          <w:tcPr>
            <w:tcW w:w="2000" w:type="pct"/>
            <w:shd w:val="clear" w:color="auto" w:fill="auto"/>
            <w:vAlign w:val="center"/>
          </w:tcPr>
          <w:p w14:paraId="1B5C2CFE" w14:textId="77777777" w:rsidR="00F53D9E" w:rsidRDefault="00AC555B" w:rsidP="00F53D9E">
            <w:pPr>
              <w:pStyle w:val="Tabletext"/>
              <w:spacing w:line="240" w:lineRule="auto"/>
            </w:pPr>
            <w:r>
              <w:t xml:space="preserve">Private Freehold, Permanent </w:t>
            </w:r>
            <w:r w:rsidRPr="002C1DCA">
              <w:t>Timber Production Zone</w:t>
            </w:r>
            <w:r>
              <w:t>, Future Potential Production Forest (Crown)</w:t>
            </w:r>
          </w:p>
        </w:tc>
        <w:tc>
          <w:tcPr>
            <w:tcW w:w="1461" w:type="pct"/>
            <w:vAlign w:val="center"/>
          </w:tcPr>
          <w:p w14:paraId="1B5C2CFF" w14:textId="77777777" w:rsidR="00F53D9E" w:rsidRDefault="00AC555B" w:rsidP="00F53D9E">
            <w:pPr>
              <w:pStyle w:val="Tabletext"/>
              <w:spacing w:line="240" w:lineRule="auto"/>
            </w:pPr>
            <w:r>
              <w:t>N/A</w:t>
            </w:r>
          </w:p>
        </w:tc>
      </w:tr>
      <w:tr w:rsidR="00F371AA" w14:paraId="1B5C2D05" w14:textId="77777777" w:rsidTr="00F53D9E">
        <w:trPr>
          <w:trHeight w:val="567"/>
          <w:jc w:val="center"/>
        </w:trPr>
        <w:tc>
          <w:tcPr>
            <w:tcW w:w="359" w:type="pct"/>
            <w:vMerge/>
            <w:shd w:val="clear" w:color="auto" w:fill="DBE5F1" w:themeFill="accent1" w:themeFillTint="33"/>
            <w:vAlign w:val="center"/>
          </w:tcPr>
          <w:p w14:paraId="1B5C2D01" w14:textId="77777777" w:rsidR="00F53D9E" w:rsidRDefault="00F53D9E" w:rsidP="00F53D9E">
            <w:pPr>
              <w:pStyle w:val="Tabletext"/>
              <w:spacing w:line="240" w:lineRule="auto"/>
              <w:rPr>
                <w:b/>
                <w:snapToGrid w:val="0"/>
              </w:rPr>
            </w:pPr>
          </w:p>
        </w:tc>
        <w:tc>
          <w:tcPr>
            <w:tcW w:w="1179" w:type="pct"/>
            <w:shd w:val="clear" w:color="auto" w:fill="auto"/>
            <w:vAlign w:val="center"/>
          </w:tcPr>
          <w:p w14:paraId="1B5C2D02" w14:textId="77777777" w:rsidR="00F53D9E" w:rsidRDefault="00AC555B" w:rsidP="00F53D9E">
            <w:pPr>
              <w:pStyle w:val="ListBullet"/>
              <w:spacing w:after="0" w:line="240" w:lineRule="auto"/>
              <w:ind w:left="369" w:hanging="369"/>
            </w:pPr>
            <w:r w:rsidRPr="00C709DD">
              <w:t>Clyde</w:t>
            </w:r>
            <w:r>
              <w:t xml:space="preserve"> Catchment</w:t>
            </w:r>
          </w:p>
        </w:tc>
        <w:tc>
          <w:tcPr>
            <w:tcW w:w="2000" w:type="pct"/>
            <w:shd w:val="clear" w:color="auto" w:fill="auto"/>
            <w:vAlign w:val="center"/>
          </w:tcPr>
          <w:p w14:paraId="1B5C2D03" w14:textId="77777777" w:rsidR="00F53D9E" w:rsidRDefault="00AC555B" w:rsidP="00F53D9E">
            <w:pPr>
              <w:pStyle w:val="Tabletext"/>
              <w:spacing w:line="240" w:lineRule="auto"/>
            </w:pPr>
            <w:r>
              <w:t>Private Freehold</w:t>
            </w:r>
          </w:p>
        </w:tc>
        <w:tc>
          <w:tcPr>
            <w:tcW w:w="1461" w:type="pct"/>
            <w:vAlign w:val="center"/>
          </w:tcPr>
          <w:p w14:paraId="1B5C2D04" w14:textId="77777777" w:rsidR="00F53D9E" w:rsidRDefault="00AC555B" w:rsidP="00F53D9E">
            <w:pPr>
              <w:pStyle w:val="Tabletext"/>
              <w:spacing w:line="240" w:lineRule="auto"/>
            </w:pPr>
            <w:r>
              <w:t>N/A</w:t>
            </w:r>
          </w:p>
        </w:tc>
      </w:tr>
    </w:tbl>
    <w:p w14:paraId="1B5C2D06" w14:textId="77777777" w:rsidR="00F53D9E" w:rsidRDefault="00AC555B">
      <w:pPr>
        <w:pStyle w:val="Subhead2"/>
        <w:spacing w:before="240" w:after="240"/>
      </w:pPr>
      <w:r w:rsidRPr="00105524">
        <w:t xml:space="preserve">* </w:t>
      </w:r>
      <w:r>
        <w:rPr>
          <w:b/>
        </w:rPr>
        <w:t>K</w:t>
      </w:r>
      <w:r w:rsidRPr="004E52E4">
        <w:rPr>
          <w:b/>
        </w:rPr>
        <w:t>nown to occur</w:t>
      </w:r>
      <w:r w:rsidRPr="00105524">
        <w:t xml:space="preserve"> </w:t>
      </w:r>
      <w:r>
        <w:t xml:space="preserve">= </w:t>
      </w:r>
      <w:r w:rsidRPr="00105524">
        <w:t xml:space="preserve">all locations where the </w:t>
      </w:r>
      <w:r>
        <w:t>species has</w:t>
      </w:r>
      <w:r w:rsidRPr="00105524">
        <w:t xml:space="preserve"> been sighted </w:t>
      </w:r>
      <w:r>
        <w:t>since 1990</w:t>
      </w:r>
      <w:r w:rsidRPr="00105524">
        <w:t>, includ</w:t>
      </w:r>
      <w:r>
        <w:t>ing</w:t>
      </w:r>
      <w:r w:rsidRPr="00105524">
        <w:t xml:space="preserve"> biologically important areas where the species </w:t>
      </w:r>
      <w:r>
        <w:t>is</w:t>
      </w:r>
      <w:r w:rsidRPr="00105524">
        <w:t xml:space="preserve"> known to breed, feed or forage.</w:t>
      </w:r>
      <w:r>
        <w:t xml:space="preserve"> This category is primarily associated with high quality habitat, characterized by low to no sedimentation, no flow modifications and intact riparian vegetation which can allow for recruitment of in-stream woody debris. Note: ‘known to occur’ and ‘likely to occur’ categories have been amalgamated in Figure 1 to protect the location of known sites from potential illegal fishing.</w:t>
      </w:r>
    </w:p>
    <w:p w14:paraId="1B5C2D07" w14:textId="77777777" w:rsidR="00F53D9E" w:rsidRPr="00CC690C" w:rsidRDefault="00AC555B" w:rsidP="00F53D9E">
      <w:pPr>
        <w:pStyle w:val="Subhead2"/>
        <w:spacing w:after="240"/>
      </w:pPr>
      <w:r w:rsidRPr="00105524">
        <w:t>*</w:t>
      </w:r>
      <w:r>
        <w:t>*</w:t>
      </w:r>
      <w:r w:rsidRPr="00105524">
        <w:t xml:space="preserve"> </w:t>
      </w:r>
      <w:r>
        <w:rPr>
          <w:b/>
        </w:rPr>
        <w:t>L</w:t>
      </w:r>
      <w:r w:rsidRPr="004E52E4">
        <w:rPr>
          <w:b/>
        </w:rPr>
        <w:t xml:space="preserve">ikely to occur </w:t>
      </w:r>
      <w:r>
        <w:t>=</w:t>
      </w:r>
      <w:r w:rsidRPr="00105524">
        <w:t xml:space="preserve"> areas where the species or species’ habitat is likely to occur, such as locations adjacent to known distribution polygons or locations where the species ha</w:t>
      </w:r>
      <w:r>
        <w:t>s</w:t>
      </w:r>
      <w:r w:rsidRPr="00105524">
        <w:t xml:space="preserve"> been previously sighted</w:t>
      </w:r>
      <w:r>
        <w:t xml:space="preserve"> (i.e. pre-1990)</w:t>
      </w:r>
      <w:r w:rsidRPr="00105524">
        <w:t>.</w:t>
      </w:r>
      <w:r>
        <w:t xml:space="preserve"> Habitat may exhibit a reduction in quality of riparian vegetation and an increase in sedimentation impacts, and densities </w:t>
      </w:r>
      <w:r w:rsidRPr="00CC690C">
        <w:t>are</w:t>
      </w:r>
      <w:r w:rsidRPr="004E52E4">
        <w:t xml:space="preserve"> expected to be lower.</w:t>
      </w:r>
    </w:p>
    <w:p w14:paraId="1B5C2D08" w14:textId="77777777" w:rsidR="00F53D9E" w:rsidRDefault="00AC555B" w:rsidP="00F53D9E">
      <w:pPr>
        <w:spacing w:after="240"/>
      </w:pPr>
      <w:r w:rsidRPr="00105524">
        <w:t>*</w:t>
      </w:r>
      <w:r>
        <w:t>**</w:t>
      </w:r>
      <w:r w:rsidRPr="00105524">
        <w:t xml:space="preserve"> </w:t>
      </w:r>
      <w:r>
        <w:rPr>
          <w:b/>
        </w:rPr>
        <w:t>M</w:t>
      </w:r>
      <w:r w:rsidRPr="004E52E4">
        <w:rPr>
          <w:b/>
        </w:rPr>
        <w:t>ay occur</w:t>
      </w:r>
      <w:r w:rsidRPr="00105524">
        <w:t xml:space="preserve"> </w:t>
      </w:r>
      <w:r>
        <w:t>=</w:t>
      </w:r>
      <w:r w:rsidRPr="00105524">
        <w:t xml:space="preserve"> areas where the species or species’ habitat may occur, </w:t>
      </w:r>
      <w:r>
        <w:t>including locations of anecdotal sightings</w:t>
      </w:r>
      <w:r w:rsidRPr="00105524">
        <w:t>.</w:t>
      </w:r>
      <w:r>
        <w:t xml:space="preserve"> Habitat may be significantly compromised.</w:t>
      </w:r>
    </w:p>
    <w:p w14:paraId="1B5C2D09" w14:textId="77777777" w:rsidR="00F53D9E" w:rsidRPr="00AE6DA9" w:rsidRDefault="00AC555B" w:rsidP="00F53D9E">
      <w:pPr>
        <w:spacing w:after="240"/>
        <w:sectPr w:rsidR="00F53D9E" w:rsidRPr="00AE6DA9" w:rsidSect="00F53D9E">
          <w:pgSz w:w="16838" w:h="11906" w:orient="landscape" w:code="9"/>
          <w:pgMar w:top="1440" w:right="1440" w:bottom="1440" w:left="1440" w:header="425" w:footer="425" w:gutter="0"/>
          <w:cols w:space="708"/>
          <w:titlePg/>
          <w:docGrid w:linePitch="360"/>
        </w:sectPr>
      </w:pPr>
      <w:r>
        <w:t xml:space="preserve">**** </w:t>
      </w:r>
      <w:r w:rsidRPr="004E52E4">
        <w:rPr>
          <w:b/>
        </w:rPr>
        <w:t>Translocated populations</w:t>
      </w:r>
      <w:r>
        <w:t xml:space="preserve"> = individuals have been introduced into these catchments and have subsequently established populations; these catchments are not a part of the species historic ‘natural’ range. </w:t>
      </w:r>
    </w:p>
    <w:p w14:paraId="1B5C2D0A" w14:textId="77777777" w:rsidR="00F53D9E" w:rsidRDefault="00AC555B" w:rsidP="00F53D9E">
      <w:pPr>
        <w:pStyle w:val="Subhead2"/>
        <w:jc w:val="center"/>
      </w:pPr>
      <w:r>
        <w:rPr>
          <w:noProof/>
          <w:lang w:val="en-AU"/>
        </w:rPr>
        <w:lastRenderedPageBreak/>
        <w:drawing>
          <wp:inline distT="0" distB="0" distL="0" distR="0" wp14:anchorId="1B5C2FC1" wp14:editId="1B5C2FC2">
            <wp:extent cx="8141539" cy="5520906"/>
            <wp:effectExtent l="19050" t="0" r="0" b="0"/>
            <wp:docPr id="3" name="Picture 2" descr="Mapping - revised distribution 1Aug2016 - In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 - revised distribution 1Aug2016 - InDoc.jpg"/>
                    <pic:cNvPicPr/>
                  </pic:nvPicPr>
                  <pic:blipFill>
                    <a:blip r:embed="rId26" cstate="print"/>
                    <a:srcRect t="4048"/>
                    <a:stretch>
                      <a:fillRect/>
                    </a:stretch>
                  </pic:blipFill>
                  <pic:spPr>
                    <a:xfrm>
                      <a:off x="0" y="0"/>
                      <a:ext cx="8141539" cy="5520906"/>
                    </a:xfrm>
                    <a:prstGeom prst="rect">
                      <a:avLst/>
                    </a:prstGeom>
                  </pic:spPr>
                </pic:pic>
              </a:graphicData>
            </a:graphic>
          </wp:inline>
        </w:drawing>
      </w:r>
    </w:p>
    <w:p w14:paraId="1B5C2D0B" w14:textId="77777777" w:rsidR="00F53D9E" w:rsidRPr="00A32AF6" w:rsidRDefault="00AC555B" w:rsidP="00F53D9E">
      <w:pPr>
        <w:pStyle w:val="Caption"/>
        <w:jc w:val="center"/>
        <w:rPr>
          <w:color w:val="FF0000"/>
        </w:rPr>
      </w:pPr>
      <w:bookmarkStart w:id="212" w:name="OLE_LINK4"/>
      <w:bookmarkStart w:id="213" w:name="OLE_LINK5"/>
      <w:r w:rsidRPr="007A5262">
        <w:rPr>
          <w:b/>
        </w:rPr>
        <w:t xml:space="preserve">Figure </w:t>
      </w:r>
      <w:r>
        <w:rPr>
          <w:b/>
        </w:rPr>
        <w:t>1</w:t>
      </w:r>
      <w:r w:rsidRPr="007A5262">
        <w:rPr>
          <w:b/>
        </w:rPr>
        <w:t>:</w:t>
      </w:r>
      <w:r w:rsidRPr="007A5262">
        <w:t xml:space="preserve"> Modelled distribution of the giant freshwater </w:t>
      </w:r>
      <w:r>
        <w:t>crayfish</w:t>
      </w:r>
      <w:r w:rsidRPr="007A5262">
        <w:t xml:space="preserve"> (</w:t>
      </w:r>
      <w:proofErr w:type="spellStart"/>
      <w:r w:rsidRPr="007A5262">
        <w:t>Astacopsis</w:t>
      </w:r>
      <w:proofErr w:type="spellEnd"/>
      <w:r w:rsidRPr="007A5262">
        <w:t xml:space="preserve"> </w:t>
      </w:r>
      <w:proofErr w:type="spellStart"/>
      <w:r w:rsidRPr="007A5262">
        <w:t>gouldi</w:t>
      </w:r>
      <w:proofErr w:type="spellEnd"/>
      <w:r w:rsidRPr="007A5262">
        <w:t>)</w:t>
      </w:r>
      <w:bookmarkEnd w:id="212"/>
      <w:bookmarkEnd w:id="213"/>
      <w:r>
        <w:t>.</w:t>
      </w:r>
    </w:p>
    <w:p w14:paraId="1B5C2D0C" w14:textId="77777777" w:rsidR="00F53D9E" w:rsidRDefault="00F53D9E" w:rsidP="00F53D9E">
      <w:pPr>
        <w:pStyle w:val="Subhead2"/>
        <w:spacing w:before="240"/>
        <w:sectPr w:rsidR="00F53D9E" w:rsidSect="00F53D9E">
          <w:pgSz w:w="16838" w:h="11906" w:orient="landscape" w:code="9"/>
          <w:pgMar w:top="1440" w:right="1440" w:bottom="1440" w:left="1440" w:header="425" w:footer="425" w:gutter="0"/>
          <w:cols w:space="708"/>
          <w:titlePg/>
          <w:docGrid w:linePitch="360"/>
        </w:sectPr>
      </w:pPr>
    </w:p>
    <w:p w14:paraId="1B5C2D0D" w14:textId="77777777" w:rsidR="00F53D9E" w:rsidRPr="00686D02" w:rsidRDefault="00AC555B" w:rsidP="00F53D9E">
      <w:pPr>
        <w:pStyle w:val="Heading1"/>
        <w:rPr>
          <w:highlight w:val="yellow"/>
        </w:rPr>
      </w:pPr>
      <w:bookmarkStart w:id="214" w:name="_Toc256000166"/>
      <w:bookmarkStart w:id="215" w:name="_Toc256000120"/>
      <w:bookmarkStart w:id="216" w:name="_Toc256000072"/>
      <w:bookmarkStart w:id="217" w:name="_Toc256000024"/>
      <w:bookmarkStart w:id="218" w:name="_Toc458697056"/>
      <w:r w:rsidRPr="006C3203">
        <w:lastRenderedPageBreak/>
        <w:t>4</w:t>
      </w:r>
      <w:r w:rsidRPr="006C3203">
        <w:tab/>
      </w:r>
      <w:r>
        <w:t>Threats</w:t>
      </w:r>
      <w:bookmarkEnd w:id="214"/>
      <w:bookmarkEnd w:id="215"/>
      <w:bookmarkEnd w:id="216"/>
      <w:bookmarkEnd w:id="217"/>
      <w:bookmarkEnd w:id="218"/>
      <w:r w:rsidRPr="006C3203">
        <w:t xml:space="preserve"> </w:t>
      </w:r>
    </w:p>
    <w:p w14:paraId="1B5C2D0E" w14:textId="77777777" w:rsidR="00F53D9E" w:rsidRPr="005906D6" w:rsidRDefault="00AC555B" w:rsidP="00F53D9E">
      <w:pPr>
        <w:pStyle w:val="Heading2"/>
      </w:pPr>
      <w:bookmarkStart w:id="219" w:name="_Toc256000167"/>
      <w:bookmarkStart w:id="220" w:name="_Toc256000121"/>
      <w:bookmarkStart w:id="221" w:name="_Toc256000073"/>
      <w:bookmarkStart w:id="222" w:name="_Toc256000025"/>
      <w:bookmarkStart w:id="223" w:name="OLE_LINK1"/>
      <w:bookmarkStart w:id="224" w:name="OLE_LINK2"/>
      <w:bookmarkStart w:id="225" w:name="_Toc390850804"/>
      <w:bookmarkStart w:id="226" w:name="_Toc458697057"/>
      <w:r w:rsidRPr="005906D6">
        <w:t>4.1 Historical causes of decline</w:t>
      </w:r>
      <w:bookmarkStart w:id="227" w:name="_Toc390850805"/>
      <w:bookmarkEnd w:id="219"/>
      <w:bookmarkEnd w:id="220"/>
      <w:bookmarkEnd w:id="221"/>
      <w:bookmarkEnd w:id="222"/>
      <w:bookmarkEnd w:id="223"/>
      <w:bookmarkEnd w:id="224"/>
      <w:bookmarkEnd w:id="225"/>
      <w:bookmarkEnd w:id="226"/>
    </w:p>
    <w:p w14:paraId="1B5C2D0F" w14:textId="77777777" w:rsidR="00F53D9E" w:rsidRDefault="00AC555B" w:rsidP="00F53D9E">
      <w:r w:rsidRPr="00EB248E">
        <w:t xml:space="preserve">The principal </w:t>
      </w:r>
      <w:r>
        <w:t xml:space="preserve">threats </w:t>
      </w:r>
      <w:r w:rsidRPr="00EB248E">
        <w:t xml:space="preserve">affecting giant freshwater </w:t>
      </w:r>
      <w:r>
        <w:t xml:space="preserve">crayfish in past decades were fishing pressure and habitat disturbance (Lynch 1967; </w:t>
      </w:r>
      <w:proofErr w:type="spellStart"/>
      <w:r>
        <w:t>Hamr</w:t>
      </w:r>
      <w:proofErr w:type="spellEnd"/>
      <w:r>
        <w:t xml:space="preserve"> 1990b; Horwitz 1994; </w:t>
      </w:r>
      <w:proofErr w:type="spellStart"/>
      <w:r>
        <w:t>Growns</w:t>
      </w:r>
      <w:proofErr w:type="spellEnd"/>
      <w:r>
        <w:t xml:space="preserve"> 1995; Lynch &amp; </w:t>
      </w:r>
      <w:proofErr w:type="spellStart"/>
      <w:r>
        <w:t>Blühdorn</w:t>
      </w:r>
      <w:proofErr w:type="spellEnd"/>
      <w:r>
        <w:t xml:space="preserve"> 1997), with relatively common reports of localised extinctions and large declines in numbers attributed to these</w:t>
      </w:r>
      <w:r w:rsidRPr="00EB248E">
        <w:t xml:space="preserve"> threatening processes</w:t>
      </w:r>
      <w:r>
        <w:t xml:space="preserve"> (</w:t>
      </w:r>
      <w:proofErr w:type="spellStart"/>
      <w:r>
        <w:t>Hamr</w:t>
      </w:r>
      <w:proofErr w:type="spellEnd"/>
      <w:r>
        <w:t xml:space="preserve"> 1990a; Horwitz 1991, 1994; Maxwell </w:t>
      </w:r>
      <w:r w:rsidRPr="00D75D68">
        <w:rPr>
          <w:iCs/>
        </w:rPr>
        <w:t>et al.</w:t>
      </w:r>
      <w:r>
        <w:rPr>
          <w:i/>
          <w:iCs/>
        </w:rPr>
        <w:t xml:space="preserve"> </w:t>
      </w:r>
      <w:r>
        <w:t xml:space="preserve">1997). Many of the streams inhabited by </w:t>
      </w:r>
      <w:r w:rsidRPr="00EA3A8A">
        <w:rPr>
          <w:iCs/>
        </w:rPr>
        <w:t xml:space="preserve">the </w:t>
      </w:r>
      <w:r>
        <w:t xml:space="preserve">species have been subject to disturbance from agricultural, forestry and urban activities and much of the floodplain riparian area within its range has been heavily modified (Jackson &amp; </w:t>
      </w:r>
      <w:proofErr w:type="spellStart"/>
      <w:r>
        <w:t>Blühdorn</w:t>
      </w:r>
      <w:proofErr w:type="spellEnd"/>
      <w:r>
        <w:t xml:space="preserve"> 1999). With expansion of road construction, primarily a result of forestry activities, many of the species’ upland refuges have become more easily accessed for fishing (TSS 2006). </w:t>
      </w:r>
    </w:p>
    <w:p w14:paraId="1B5C2D10" w14:textId="77777777" w:rsidR="00F53D9E" w:rsidRDefault="00AC555B" w:rsidP="00F53D9E">
      <w:bookmarkStart w:id="228" w:name="_Toc390850806"/>
      <w:bookmarkEnd w:id="227"/>
      <w:r>
        <w:t xml:space="preserve">The </w:t>
      </w:r>
      <w:proofErr w:type="spellStart"/>
      <w:r>
        <w:t>recolonisation</w:t>
      </w:r>
      <w:proofErr w:type="spellEnd"/>
      <w:r>
        <w:t xml:space="preserve"> of impacted streams appears to be very slow (e.g. Maxwell </w:t>
      </w:r>
      <w:r w:rsidRPr="00A32AF6">
        <w:rPr>
          <w:iCs/>
        </w:rPr>
        <w:t>et al.</w:t>
      </w:r>
      <w:r>
        <w:rPr>
          <w:i/>
          <w:iCs/>
        </w:rPr>
        <w:t xml:space="preserve"> </w:t>
      </w:r>
      <w:r>
        <w:t>1997), indicating that dispersal is naturally slow or that the animals available for such migrations may no longer be plentiful. The species’ slow growth and relatively low fecundity compounds the problems facing recruitment into impacted areas (TSS 2006).</w:t>
      </w:r>
    </w:p>
    <w:p w14:paraId="1B5C2D11" w14:textId="77777777" w:rsidR="00F53D9E" w:rsidRPr="005906D6" w:rsidRDefault="00AC555B" w:rsidP="00F53D9E">
      <w:pPr>
        <w:pStyle w:val="Heading2"/>
      </w:pPr>
      <w:bookmarkStart w:id="229" w:name="_Toc256000168"/>
      <w:bookmarkStart w:id="230" w:name="_Toc256000122"/>
      <w:bookmarkStart w:id="231" w:name="_Toc256000074"/>
      <w:bookmarkStart w:id="232" w:name="_Toc256000026"/>
      <w:bookmarkStart w:id="233" w:name="_Toc458697058"/>
      <w:r w:rsidRPr="005906D6">
        <w:t>4.2 Current threatening processes</w:t>
      </w:r>
      <w:bookmarkEnd w:id="229"/>
      <w:bookmarkEnd w:id="230"/>
      <w:bookmarkEnd w:id="231"/>
      <w:bookmarkEnd w:id="232"/>
      <w:bookmarkEnd w:id="228"/>
      <w:bookmarkEnd w:id="233"/>
    </w:p>
    <w:p w14:paraId="1B5C2D12" w14:textId="77777777" w:rsidR="00F53D9E" w:rsidRDefault="00AC555B" w:rsidP="00F53D9E">
      <w:r>
        <w:t xml:space="preserve">Current, ongoing threats to the species include illegal fishing pressure (the species is easily caught), and habitat disturbance, including siltation of waterways and modifications to flow regimes, as well as the effects of drought, flooding and climate change. </w:t>
      </w:r>
    </w:p>
    <w:p w14:paraId="1B5C2D13" w14:textId="77777777" w:rsidR="00F53D9E" w:rsidRPr="000B776B" w:rsidRDefault="00AC555B" w:rsidP="00F53D9E">
      <w:pPr>
        <w:pStyle w:val="Heading3"/>
      </w:pPr>
      <w:bookmarkStart w:id="234" w:name="_Toc256000169"/>
      <w:bookmarkStart w:id="235" w:name="_Toc256000123"/>
      <w:bookmarkStart w:id="236" w:name="_Toc256000075"/>
      <w:bookmarkStart w:id="237" w:name="_Toc256000027"/>
      <w:bookmarkStart w:id="238" w:name="_Toc458697059"/>
      <w:r w:rsidRPr="000B776B">
        <w:t>4.2.</w:t>
      </w:r>
      <w:r>
        <w:t>1</w:t>
      </w:r>
      <w:r w:rsidRPr="000B776B">
        <w:t xml:space="preserve"> </w:t>
      </w:r>
      <w:r>
        <w:t>Habitat loss/disturbance and sedimentation of waterways</w:t>
      </w:r>
      <w:bookmarkEnd w:id="234"/>
      <w:bookmarkEnd w:id="235"/>
      <w:bookmarkEnd w:id="236"/>
      <w:bookmarkEnd w:id="237"/>
      <w:bookmarkEnd w:id="238"/>
    </w:p>
    <w:p w14:paraId="1B5C2D14" w14:textId="77777777" w:rsidR="00F53D9E" w:rsidRDefault="00AC555B" w:rsidP="00F53D9E">
      <w:r>
        <w:t xml:space="preserve">Habitat loss/disturbance includes the removal or destruction of riparian vegetation, bank erosion, removal of snags, </w:t>
      </w:r>
      <w:proofErr w:type="spellStart"/>
      <w:r>
        <w:t>channelisation</w:t>
      </w:r>
      <w:proofErr w:type="spellEnd"/>
      <w:r>
        <w:t xml:space="preserve">, siltation, </w:t>
      </w:r>
      <w:proofErr w:type="spellStart"/>
      <w:r>
        <w:t>nutrification</w:t>
      </w:r>
      <w:proofErr w:type="spellEnd"/>
      <w:r>
        <w:t xml:space="preserve">, toxic chemical inputs, instream barriers to movement such as culverts and farm dams, and alterations to stream flow and thermal regime (TSS 2006).  </w:t>
      </w:r>
    </w:p>
    <w:p w14:paraId="1B5C2D15" w14:textId="77777777" w:rsidR="00F53D9E" w:rsidRDefault="00AC555B" w:rsidP="00F53D9E">
      <w:r w:rsidRPr="006011AC">
        <w:t xml:space="preserve">Sedimentation of waterways, particularly in the headwaters of occupied river reaches, poses a threat to the survival of giant freshwater </w:t>
      </w:r>
      <w:r>
        <w:t>crayfish</w:t>
      </w:r>
      <w:r w:rsidRPr="006011AC">
        <w:t>.</w:t>
      </w:r>
      <w:r>
        <w:t xml:space="preserve"> Headwaters have been recognised as important sources of downstream sediment, nutrient, carbon and water budgets, and, as they can constitute a significant portion of a catchment (up to 70 %), appropriate management of these areas can help to control downstream impacts (Davies et al. 2016). Channel morphology, riparian structure and in-stream macro-invertebrate community composition can all display signs of modification in response to increases in sediment transported from headwater tributaries </w:t>
      </w:r>
      <w:r w:rsidRPr="00F95D02">
        <w:t xml:space="preserve">(Gregory et al. 1991; </w:t>
      </w:r>
      <w:proofErr w:type="spellStart"/>
      <w:r w:rsidRPr="00F95D02">
        <w:t>Gomi</w:t>
      </w:r>
      <w:proofErr w:type="spellEnd"/>
      <w:r w:rsidRPr="00F95D02">
        <w:t xml:space="preserve"> et al. 2002).</w:t>
      </w:r>
      <w:r>
        <w:t xml:space="preserve"> Increased sediment levels arising from agricultural and forestry related land-uses have also been correlated with decreased abundances of giant freshwater crayfish</w:t>
      </w:r>
      <w:r w:rsidRPr="00F95D02">
        <w:t xml:space="preserve"> </w:t>
      </w:r>
      <w:r>
        <w:t>(Walsh &amp; Nash 2002).</w:t>
      </w:r>
      <w:r w:rsidRPr="001F2CD4">
        <w:rPr>
          <w:rFonts w:cs="Arial"/>
          <w:szCs w:val="20"/>
        </w:rPr>
        <w:t xml:space="preserve"> </w:t>
      </w:r>
      <w:r w:rsidRPr="003B2B66">
        <w:rPr>
          <w:rFonts w:cs="Arial"/>
          <w:szCs w:val="20"/>
        </w:rPr>
        <w:t xml:space="preserve">It is </w:t>
      </w:r>
      <w:r>
        <w:rPr>
          <w:rFonts w:cs="Arial"/>
          <w:szCs w:val="20"/>
        </w:rPr>
        <w:t>has also been found</w:t>
      </w:r>
      <w:r w:rsidRPr="003B2B66">
        <w:rPr>
          <w:rFonts w:cs="Arial"/>
          <w:szCs w:val="20"/>
        </w:rPr>
        <w:t xml:space="preserve"> that increased siltation and turbidity places increased stress on the giant freshwater </w:t>
      </w:r>
      <w:r>
        <w:rPr>
          <w:rFonts w:cs="Arial"/>
          <w:szCs w:val="20"/>
        </w:rPr>
        <w:t>crayfish</w:t>
      </w:r>
      <w:r w:rsidRPr="003B2B66">
        <w:rPr>
          <w:rFonts w:cs="Arial"/>
          <w:szCs w:val="20"/>
        </w:rPr>
        <w:t>'s ability to transpire oxygen through the gills (Eastman &amp; Eastman 2007).</w:t>
      </w:r>
      <w:r w:rsidRPr="004C0F6A">
        <w:t xml:space="preserve"> </w:t>
      </w:r>
      <w:r>
        <w:t xml:space="preserve">Conversely, observational evidence from a survey conducted by </w:t>
      </w:r>
      <w:proofErr w:type="spellStart"/>
      <w:r>
        <w:t>Pracejus</w:t>
      </w:r>
      <w:proofErr w:type="spellEnd"/>
      <w:r>
        <w:t xml:space="preserve"> (2016) suggested that adult giant freshwater crayfish may display a moderate level of tolerance to increases in sedimentation if </w:t>
      </w:r>
      <w:proofErr w:type="spellStart"/>
      <w:r>
        <w:t>refugia</w:t>
      </w:r>
      <w:proofErr w:type="spellEnd"/>
      <w:r>
        <w:t>, such as submerged logs or undercut banks, are present in the landscape. However, the ability of juvenile giant freshwater crayfish to withstand increasing levels of sedimentation could not be qualified from this study.</w:t>
      </w:r>
    </w:p>
    <w:p w14:paraId="1B5C2D16" w14:textId="77777777" w:rsidR="00F53D9E" w:rsidRDefault="00AC555B">
      <w:pPr>
        <w:spacing w:after="0" w:line="240" w:lineRule="auto"/>
        <w:rPr>
          <w:rFonts w:cs="Arial"/>
          <w:i/>
          <w:szCs w:val="20"/>
        </w:rPr>
      </w:pPr>
      <w:r>
        <w:rPr>
          <w:rFonts w:cs="Arial"/>
          <w:i/>
          <w:szCs w:val="20"/>
        </w:rPr>
        <w:br w:type="page"/>
      </w:r>
    </w:p>
    <w:p w14:paraId="1B5C2D17" w14:textId="77777777" w:rsidR="00F53D9E" w:rsidRPr="00F220C7" w:rsidRDefault="00AC555B" w:rsidP="00F53D9E">
      <w:pPr>
        <w:rPr>
          <w:rFonts w:cs="Arial"/>
          <w:i/>
          <w:szCs w:val="20"/>
        </w:rPr>
      </w:pPr>
      <w:r w:rsidRPr="00F220C7">
        <w:rPr>
          <w:rFonts w:cs="Arial"/>
          <w:i/>
          <w:szCs w:val="20"/>
        </w:rPr>
        <w:lastRenderedPageBreak/>
        <w:t>Forestry</w:t>
      </w:r>
    </w:p>
    <w:p w14:paraId="1B5C2D18" w14:textId="77777777" w:rsidR="00F53D9E" w:rsidRPr="003B2B66" w:rsidRDefault="00AC555B" w:rsidP="00F53D9E">
      <w:pPr>
        <w:rPr>
          <w:rFonts w:cs="Arial"/>
          <w:szCs w:val="20"/>
        </w:rPr>
      </w:pPr>
      <w:r w:rsidRPr="003B2B66">
        <w:rPr>
          <w:rFonts w:cs="Arial"/>
          <w:szCs w:val="20"/>
        </w:rPr>
        <w:t xml:space="preserve">In forestry areas, riparian and aquatic habitats </w:t>
      </w:r>
      <w:r>
        <w:rPr>
          <w:rFonts w:cs="Arial"/>
          <w:szCs w:val="20"/>
        </w:rPr>
        <w:t>are</w:t>
      </w:r>
      <w:r w:rsidRPr="003B2B66">
        <w:rPr>
          <w:rFonts w:cs="Arial"/>
          <w:szCs w:val="20"/>
        </w:rPr>
        <w:t xml:space="preserve"> affected by activities </w:t>
      </w:r>
      <w:r>
        <w:rPr>
          <w:rFonts w:cs="Arial"/>
          <w:szCs w:val="20"/>
        </w:rPr>
        <w:t>such as</w:t>
      </w:r>
      <w:r w:rsidRPr="003B2B66">
        <w:rPr>
          <w:rFonts w:cs="Arial"/>
          <w:szCs w:val="20"/>
        </w:rPr>
        <w:t xml:space="preserve"> road construction, logging and the establishment and subsequent harvesting of plantation timber (TSS 2006). </w:t>
      </w:r>
      <w:r>
        <w:rPr>
          <w:rFonts w:cs="Arial"/>
          <w:szCs w:val="20"/>
        </w:rPr>
        <w:t>E</w:t>
      </w:r>
      <w:r w:rsidRPr="003B2B66">
        <w:rPr>
          <w:rFonts w:cs="Arial"/>
          <w:szCs w:val="20"/>
        </w:rPr>
        <w:t>ffects include loss of canopy cover, increased runoff, sedimentation, and changes in hydrology (TSS 2006)</w:t>
      </w:r>
      <w:r>
        <w:rPr>
          <w:rFonts w:cs="Arial"/>
          <w:szCs w:val="20"/>
        </w:rPr>
        <w:t>. In situations where streamside vegetation is removed within clear-cutting forestry operations</w:t>
      </w:r>
      <w:r w:rsidRPr="003B2B66">
        <w:rPr>
          <w:rFonts w:cs="Arial"/>
          <w:szCs w:val="20"/>
        </w:rPr>
        <w:t xml:space="preserve"> impacts </w:t>
      </w:r>
      <w:r>
        <w:rPr>
          <w:rFonts w:cs="Arial"/>
          <w:szCs w:val="20"/>
        </w:rPr>
        <w:t xml:space="preserve">can include changes </w:t>
      </w:r>
      <w:r w:rsidRPr="003B2B66">
        <w:rPr>
          <w:rFonts w:cs="Arial"/>
          <w:szCs w:val="20"/>
        </w:rPr>
        <w:t>to stream flows, geomorphology, nutrient dynamics, carbon budgets and</w:t>
      </w:r>
      <w:r>
        <w:rPr>
          <w:rFonts w:cs="Arial"/>
          <w:szCs w:val="20"/>
        </w:rPr>
        <w:t xml:space="preserve"> impacts to</w:t>
      </w:r>
      <w:r w:rsidRPr="003B2B66">
        <w:rPr>
          <w:rFonts w:cs="Arial"/>
          <w:szCs w:val="20"/>
        </w:rPr>
        <w:t xml:space="preserve"> in-stream habitat (Thompson et al. 2009). These threats </w:t>
      </w:r>
      <w:r>
        <w:rPr>
          <w:rFonts w:cs="Arial"/>
          <w:szCs w:val="20"/>
        </w:rPr>
        <w:t>were</w:t>
      </w:r>
      <w:r w:rsidRPr="003B2B66">
        <w:rPr>
          <w:rFonts w:cs="Arial"/>
          <w:szCs w:val="20"/>
        </w:rPr>
        <w:t xml:space="preserve"> known to occur in </w:t>
      </w:r>
      <w:r>
        <w:rPr>
          <w:rFonts w:cs="Arial"/>
          <w:szCs w:val="20"/>
        </w:rPr>
        <w:t>Tasmanian</w:t>
      </w:r>
      <w:r w:rsidRPr="003B2B66">
        <w:rPr>
          <w:rFonts w:cs="Arial"/>
          <w:szCs w:val="20"/>
        </w:rPr>
        <w:t xml:space="preserve"> catchment</w:t>
      </w:r>
      <w:r>
        <w:rPr>
          <w:rFonts w:cs="Arial"/>
          <w:szCs w:val="20"/>
        </w:rPr>
        <w:t>s</w:t>
      </w:r>
      <w:r w:rsidRPr="003B2B66">
        <w:rPr>
          <w:rFonts w:cs="Arial"/>
          <w:szCs w:val="20"/>
        </w:rPr>
        <w:t xml:space="preserve"> (Jackson &amp; </w:t>
      </w:r>
      <w:proofErr w:type="spellStart"/>
      <w:r w:rsidRPr="003B2B66">
        <w:rPr>
          <w:rFonts w:cs="Arial"/>
          <w:szCs w:val="20"/>
        </w:rPr>
        <w:t>Blühdorn</w:t>
      </w:r>
      <w:proofErr w:type="spellEnd"/>
      <w:r>
        <w:rPr>
          <w:rFonts w:cs="Arial"/>
          <w:szCs w:val="20"/>
        </w:rPr>
        <w:t xml:space="preserve"> 1999).</w:t>
      </w:r>
      <w:r w:rsidRPr="003B2B66">
        <w:rPr>
          <w:rFonts w:cs="Arial"/>
          <w:szCs w:val="20"/>
        </w:rPr>
        <w:t xml:space="preserve"> </w:t>
      </w:r>
      <w:r>
        <w:rPr>
          <w:rFonts w:cs="Arial"/>
          <w:szCs w:val="20"/>
        </w:rPr>
        <w:t>I</w:t>
      </w:r>
      <w:r w:rsidRPr="003B2B66">
        <w:rPr>
          <w:rFonts w:cs="Arial"/>
          <w:szCs w:val="20"/>
        </w:rPr>
        <w:t>mpacts on stream condition can vary in relation to the location</w:t>
      </w:r>
      <w:r>
        <w:rPr>
          <w:rFonts w:cs="Arial"/>
          <w:szCs w:val="20"/>
        </w:rPr>
        <w:t>, extent and duration</w:t>
      </w:r>
      <w:r w:rsidRPr="003B2B66">
        <w:rPr>
          <w:rFonts w:cs="Arial"/>
          <w:szCs w:val="20"/>
        </w:rPr>
        <w:t xml:space="preserve"> of forestry operations within a catchment (</w:t>
      </w:r>
      <w:r>
        <w:rPr>
          <w:rFonts w:cs="Arial"/>
          <w:szCs w:val="20"/>
        </w:rPr>
        <w:t xml:space="preserve">Smith et al. 2009; </w:t>
      </w:r>
      <w:r w:rsidRPr="003B2B66">
        <w:rPr>
          <w:rFonts w:cs="Arial"/>
          <w:szCs w:val="20"/>
        </w:rPr>
        <w:t xml:space="preserve">Johnson </w:t>
      </w:r>
      <w:r>
        <w:rPr>
          <w:rFonts w:cs="Arial"/>
          <w:szCs w:val="20"/>
        </w:rPr>
        <w:t>&amp;</w:t>
      </w:r>
      <w:r w:rsidRPr="003B2B66">
        <w:rPr>
          <w:rFonts w:cs="Arial"/>
          <w:szCs w:val="20"/>
        </w:rPr>
        <w:t xml:space="preserve"> Host 2010)</w:t>
      </w:r>
      <w:r>
        <w:rPr>
          <w:rFonts w:cs="Arial"/>
          <w:szCs w:val="20"/>
        </w:rPr>
        <w:t>, in addition to the nature of the forestry operations being undertaken</w:t>
      </w:r>
      <w:r w:rsidRPr="003B2B66">
        <w:rPr>
          <w:rFonts w:cs="Arial"/>
          <w:szCs w:val="20"/>
        </w:rPr>
        <w:t>.</w:t>
      </w:r>
      <w:r>
        <w:rPr>
          <w:rFonts w:cs="Arial"/>
          <w:szCs w:val="20"/>
        </w:rPr>
        <w:t xml:space="preserve"> The giant freshwater crayfish</w:t>
      </w:r>
      <w:r w:rsidRPr="003B2B66">
        <w:rPr>
          <w:rFonts w:cs="Arial"/>
          <w:szCs w:val="20"/>
        </w:rPr>
        <w:t xml:space="preserve"> </w:t>
      </w:r>
      <w:r>
        <w:rPr>
          <w:rFonts w:cs="Arial"/>
          <w:szCs w:val="20"/>
        </w:rPr>
        <w:t>is known to occur in streams in both plantations and native forest areas subject to production forestry activities (</w:t>
      </w:r>
      <w:proofErr w:type="spellStart"/>
      <w:r>
        <w:rPr>
          <w:rFonts w:cs="Arial"/>
          <w:szCs w:val="20"/>
        </w:rPr>
        <w:t>Pracejus</w:t>
      </w:r>
      <w:proofErr w:type="spellEnd"/>
      <w:r>
        <w:rPr>
          <w:rFonts w:cs="Arial"/>
          <w:szCs w:val="20"/>
        </w:rPr>
        <w:t xml:space="preserve"> 2016)</w:t>
      </w:r>
    </w:p>
    <w:p w14:paraId="1B5C2D19" w14:textId="77777777" w:rsidR="00F53D9E" w:rsidRDefault="00AC555B" w:rsidP="00F53D9E">
      <w:pPr>
        <w:autoSpaceDE w:val="0"/>
        <w:autoSpaceDN w:val="0"/>
        <w:adjustRightInd w:val="0"/>
        <w:rPr>
          <w:rFonts w:cs="Arial"/>
          <w:szCs w:val="20"/>
        </w:rPr>
      </w:pPr>
      <w:r>
        <w:rPr>
          <w:rFonts w:cs="Arial"/>
          <w:szCs w:val="20"/>
        </w:rPr>
        <w:t xml:space="preserve">A recent study by </w:t>
      </w:r>
      <w:r w:rsidRPr="002C7166">
        <w:rPr>
          <w:rFonts w:cs="Arial"/>
          <w:szCs w:val="20"/>
        </w:rPr>
        <w:t xml:space="preserve">Davies et al. </w:t>
      </w:r>
      <w:r>
        <w:rPr>
          <w:rFonts w:cs="Arial"/>
          <w:szCs w:val="20"/>
        </w:rPr>
        <w:t>(</w:t>
      </w:r>
      <w:r w:rsidRPr="002C7166">
        <w:rPr>
          <w:rFonts w:cs="Arial"/>
          <w:szCs w:val="20"/>
        </w:rPr>
        <w:t xml:space="preserve">2016) </w:t>
      </w:r>
      <w:r>
        <w:rPr>
          <w:rFonts w:cs="Arial"/>
          <w:szCs w:val="20"/>
        </w:rPr>
        <w:t>examined</w:t>
      </w:r>
      <w:r w:rsidRPr="002C7166">
        <w:rPr>
          <w:rFonts w:cs="Arial"/>
          <w:szCs w:val="20"/>
        </w:rPr>
        <w:t xml:space="preserve"> </w:t>
      </w:r>
      <w:r>
        <w:t xml:space="preserve">the relationship between upstream forest management and the condition of mid-catchment streams in the north west of Tasmania. It aimed to investigate whether </w:t>
      </w:r>
      <w:r w:rsidRPr="00802999">
        <w:t>historical</w:t>
      </w:r>
      <w:r>
        <w:t xml:space="preserve"> forestry operations (native forest harvesting and plantation management) in upper catchment areas have downstream effects on stream biota, including benthic macroinvertebrates, and threatened fauna (specifically giant freshwater crayfish). </w:t>
      </w:r>
      <w:r>
        <w:rPr>
          <w:rFonts w:cs="Arial"/>
          <w:szCs w:val="20"/>
        </w:rPr>
        <w:t>The study found that when</w:t>
      </w:r>
      <w:r w:rsidRPr="00381C14">
        <w:rPr>
          <w:rFonts w:cs="Arial"/>
          <w:szCs w:val="20"/>
        </w:rPr>
        <w:t xml:space="preserve"> </w:t>
      </w:r>
      <w:r>
        <w:rPr>
          <w:rFonts w:cs="Arial"/>
          <w:szCs w:val="20"/>
        </w:rPr>
        <w:t xml:space="preserve">&gt; </w:t>
      </w:r>
      <w:r w:rsidRPr="00381C14">
        <w:rPr>
          <w:rFonts w:cs="Arial"/>
          <w:szCs w:val="20"/>
        </w:rPr>
        <w:t>40</w:t>
      </w:r>
      <w:r>
        <w:rPr>
          <w:rFonts w:cs="Arial"/>
          <w:szCs w:val="20"/>
        </w:rPr>
        <w:t xml:space="preserve"> </w:t>
      </w:r>
      <w:r w:rsidRPr="00381C14">
        <w:rPr>
          <w:rFonts w:cs="Arial"/>
          <w:szCs w:val="20"/>
        </w:rPr>
        <w:t>% of</w:t>
      </w:r>
      <w:r>
        <w:rPr>
          <w:rFonts w:cs="Arial"/>
          <w:szCs w:val="20"/>
        </w:rPr>
        <w:t xml:space="preserve"> </w:t>
      </w:r>
      <w:r w:rsidRPr="002C7166">
        <w:rPr>
          <w:rFonts w:cs="Arial"/>
          <w:szCs w:val="20"/>
        </w:rPr>
        <w:t>the upstream catchment</w:t>
      </w:r>
      <w:r>
        <w:rPr>
          <w:rFonts w:cs="Arial"/>
          <w:szCs w:val="20"/>
        </w:rPr>
        <w:t xml:space="preserve"> area had been harvested under </w:t>
      </w:r>
      <w:proofErr w:type="spellStart"/>
      <w:r w:rsidRPr="002C7166">
        <w:rPr>
          <w:rFonts w:cs="Arial"/>
          <w:szCs w:val="20"/>
        </w:rPr>
        <w:t>clearfell</w:t>
      </w:r>
      <w:proofErr w:type="spellEnd"/>
      <w:r w:rsidRPr="002C7166">
        <w:rPr>
          <w:rFonts w:cs="Arial"/>
          <w:szCs w:val="20"/>
        </w:rPr>
        <w:t>, burn and sow (CBS)</w:t>
      </w:r>
      <w:r>
        <w:rPr>
          <w:rFonts w:cs="Arial"/>
          <w:szCs w:val="20"/>
        </w:rPr>
        <w:t xml:space="preserve"> operations, levels of</w:t>
      </w:r>
      <w:r w:rsidRPr="002C7166">
        <w:rPr>
          <w:rFonts w:cs="Arial"/>
          <w:szCs w:val="20"/>
        </w:rPr>
        <w:t xml:space="preserve"> </w:t>
      </w:r>
      <w:r>
        <w:rPr>
          <w:rFonts w:cs="Arial"/>
          <w:szCs w:val="20"/>
        </w:rPr>
        <w:t xml:space="preserve">fine benthic sediments increased and </w:t>
      </w:r>
      <w:r w:rsidRPr="002C7166">
        <w:rPr>
          <w:rFonts w:cs="Arial"/>
          <w:szCs w:val="20"/>
        </w:rPr>
        <w:t>the proportion of sensitive aqua</w:t>
      </w:r>
      <w:r w:rsidRPr="00381C14">
        <w:rPr>
          <w:rFonts w:cs="Arial"/>
          <w:szCs w:val="20"/>
        </w:rPr>
        <w:t>tic insect taxa</w:t>
      </w:r>
      <w:r>
        <w:rPr>
          <w:rFonts w:cs="Arial"/>
          <w:szCs w:val="20"/>
        </w:rPr>
        <w:t xml:space="preserve"> </w:t>
      </w:r>
      <w:r w:rsidRPr="00CC23B6">
        <w:rPr>
          <w:rFonts w:cs="Arial"/>
          <w:iCs/>
          <w:szCs w:val="20"/>
        </w:rPr>
        <w:t>decreased</w:t>
      </w:r>
      <w:r>
        <w:rPr>
          <w:rFonts w:cs="Arial"/>
          <w:iCs/>
          <w:szCs w:val="20"/>
        </w:rPr>
        <w:t xml:space="preserve"> </w:t>
      </w:r>
      <w:r>
        <w:rPr>
          <w:rFonts w:cs="Arial"/>
          <w:szCs w:val="20"/>
        </w:rPr>
        <w:t>in relation to the</w:t>
      </w:r>
      <w:r w:rsidRPr="002C7166">
        <w:rPr>
          <w:rFonts w:cs="Arial"/>
          <w:szCs w:val="20"/>
        </w:rPr>
        <w:t xml:space="preserve"> proportion of upstream (he</w:t>
      </w:r>
      <w:r w:rsidRPr="00381C14">
        <w:rPr>
          <w:rFonts w:cs="Arial"/>
          <w:szCs w:val="20"/>
        </w:rPr>
        <w:t xml:space="preserve">adwater) land area </w:t>
      </w:r>
      <w:r>
        <w:rPr>
          <w:rFonts w:cs="Arial"/>
          <w:szCs w:val="20"/>
        </w:rPr>
        <w:t>under CBS</w:t>
      </w:r>
      <w:r w:rsidRPr="002C7166">
        <w:rPr>
          <w:rFonts w:cs="Arial"/>
          <w:szCs w:val="20"/>
        </w:rPr>
        <w:t xml:space="preserve">. </w:t>
      </w:r>
      <w:r>
        <w:rPr>
          <w:rFonts w:cs="Arial"/>
          <w:szCs w:val="20"/>
        </w:rPr>
        <w:t>Increases in fine sediment loads were largely attributable to historic CBS operations, though i</w:t>
      </w:r>
      <w:r w:rsidRPr="002C7166">
        <w:rPr>
          <w:rFonts w:cs="Arial"/>
          <w:szCs w:val="20"/>
        </w:rPr>
        <w:t>ncreas</w:t>
      </w:r>
      <w:r>
        <w:rPr>
          <w:rFonts w:cs="Arial"/>
          <w:szCs w:val="20"/>
        </w:rPr>
        <w:t>es in the</w:t>
      </w:r>
      <w:r w:rsidRPr="00381C14">
        <w:rPr>
          <w:rFonts w:cs="Arial"/>
          <w:szCs w:val="20"/>
        </w:rPr>
        <w:t xml:space="preserve"> area of unsealed</w:t>
      </w:r>
      <w:r>
        <w:rPr>
          <w:rFonts w:cs="Arial"/>
          <w:szCs w:val="20"/>
        </w:rPr>
        <w:t xml:space="preserve"> </w:t>
      </w:r>
      <w:r w:rsidRPr="002C7166">
        <w:rPr>
          <w:rFonts w:cs="Arial"/>
          <w:szCs w:val="20"/>
        </w:rPr>
        <w:t>roads</w:t>
      </w:r>
      <w:r>
        <w:rPr>
          <w:rFonts w:cs="Arial"/>
          <w:szCs w:val="20"/>
        </w:rPr>
        <w:t xml:space="preserve"> in upstream CBS operations were also positively correlated with increases in fine sediment loads in downstream reaches. In catchments with non-basaltic geologies these impacts could extend up to 10 km downstream to mid-catchment regions. </w:t>
      </w:r>
      <w:r w:rsidRPr="002C7166">
        <w:rPr>
          <w:rFonts w:cs="Arial"/>
          <w:szCs w:val="20"/>
        </w:rPr>
        <w:t>Fe</w:t>
      </w:r>
      <w:r w:rsidRPr="00381C14">
        <w:rPr>
          <w:rFonts w:cs="Arial"/>
          <w:szCs w:val="20"/>
        </w:rPr>
        <w:t>wer giant freshwater</w:t>
      </w:r>
      <w:r>
        <w:rPr>
          <w:rFonts w:cs="Arial"/>
          <w:szCs w:val="20"/>
        </w:rPr>
        <w:t xml:space="preserve"> crayfish </w:t>
      </w:r>
      <w:r w:rsidRPr="002C7166">
        <w:rPr>
          <w:rFonts w:cs="Arial"/>
          <w:szCs w:val="20"/>
        </w:rPr>
        <w:t>were found in catchments with a greater propo</w:t>
      </w:r>
      <w:r w:rsidRPr="00381C14">
        <w:rPr>
          <w:rFonts w:cs="Arial"/>
          <w:szCs w:val="20"/>
        </w:rPr>
        <w:t>rtion</w:t>
      </w:r>
      <w:r>
        <w:rPr>
          <w:rFonts w:cs="Arial"/>
          <w:szCs w:val="20"/>
        </w:rPr>
        <w:t xml:space="preserve"> of land harvested by CBS,</w:t>
      </w:r>
      <w:r w:rsidRPr="00EF28A8">
        <w:rPr>
          <w:rFonts w:cs="Arial"/>
          <w:szCs w:val="20"/>
        </w:rPr>
        <w:t xml:space="preserve"> </w:t>
      </w:r>
      <w:r>
        <w:rPr>
          <w:rFonts w:cs="Arial"/>
          <w:szCs w:val="20"/>
        </w:rPr>
        <w:t>however the results were only marginally statistically significant due to the small sample size (Davies et al. 2016). Furthermore, it was not possible to distinguish whether the impacts recorded were the result of current CBS operations or legacy impacts from historic CBS operations. Thus the</w:t>
      </w:r>
      <w:r w:rsidRPr="002C7166">
        <w:rPr>
          <w:rFonts w:cs="Arial"/>
          <w:szCs w:val="20"/>
        </w:rPr>
        <w:t xml:space="preserve"> extent to w</w:t>
      </w:r>
      <w:r w:rsidRPr="009C1DF2">
        <w:rPr>
          <w:rFonts w:cs="Arial"/>
          <w:szCs w:val="20"/>
        </w:rPr>
        <w:t>hich forestry operations impact</w:t>
      </w:r>
      <w:r>
        <w:rPr>
          <w:rFonts w:cs="Arial"/>
          <w:szCs w:val="20"/>
        </w:rPr>
        <w:t xml:space="preserve"> </w:t>
      </w:r>
      <w:r w:rsidRPr="002C7166">
        <w:rPr>
          <w:rFonts w:cs="Arial"/>
          <w:szCs w:val="20"/>
        </w:rPr>
        <w:t xml:space="preserve">on juvenile </w:t>
      </w:r>
      <w:r>
        <w:rPr>
          <w:rFonts w:cs="Arial"/>
          <w:szCs w:val="20"/>
        </w:rPr>
        <w:t xml:space="preserve">giant freshwater crayfish </w:t>
      </w:r>
      <w:r w:rsidRPr="002C7166">
        <w:rPr>
          <w:rFonts w:cs="Arial"/>
          <w:szCs w:val="20"/>
        </w:rPr>
        <w:t>habitat, and t</w:t>
      </w:r>
      <w:r w:rsidRPr="009C1DF2">
        <w:rPr>
          <w:rFonts w:cs="Arial"/>
          <w:szCs w:val="20"/>
        </w:rPr>
        <w:t>he effectiveness of current</w:t>
      </w:r>
      <w:r>
        <w:rPr>
          <w:rFonts w:cs="Arial"/>
          <w:szCs w:val="20"/>
        </w:rPr>
        <w:t xml:space="preserve"> </w:t>
      </w:r>
      <w:r w:rsidRPr="002C7166">
        <w:rPr>
          <w:rFonts w:cs="Arial"/>
          <w:szCs w:val="20"/>
        </w:rPr>
        <w:t>management</w:t>
      </w:r>
      <w:r>
        <w:rPr>
          <w:rFonts w:cs="Arial"/>
          <w:szCs w:val="20"/>
        </w:rPr>
        <w:t xml:space="preserve"> actions to reduce impacts</w:t>
      </w:r>
      <w:r w:rsidRPr="00EA0A0B">
        <w:rPr>
          <w:rFonts w:cs="Arial"/>
          <w:szCs w:val="20"/>
        </w:rPr>
        <w:t>, remain</w:t>
      </w:r>
      <w:r>
        <w:rPr>
          <w:rFonts w:cs="Arial"/>
          <w:szCs w:val="20"/>
        </w:rPr>
        <w:t>s</w:t>
      </w:r>
      <w:r w:rsidRPr="00EA0A0B">
        <w:rPr>
          <w:rFonts w:cs="Arial"/>
          <w:szCs w:val="20"/>
        </w:rPr>
        <w:t xml:space="preserve"> unclear</w:t>
      </w:r>
      <w:r>
        <w:rPr>
          <w:rFonts w:cs="Arial"/>
          <w:szCs w:val="20"/>
        </w:rPr>
        <w:t>.</w:t>
      </w:r>
    </w:p>
    <w:p w14:paraId="1B5C2D1A" w14:textId="77777777" w:rsidR="00F53D9E" w:rsidRPr="002D1470" w:rsidRDefault="00AC555B" w:rsidP="00F53D9E">
      <w:pPr>
        <w:autoSpaceDE w:val="0"/>
        <w:autoSpaceDN w:val="0"/>
        <w:adjustRightInd w:val="0"/>
        <w:rPr>
          <w:rFonts w:cs="Arial"/>
          <w:b/>
          <w:szCs w:val="20"/>
        </w:rPr>
      </w:pPr>
      <w:r>
        <w:rPr>
          <w:color w:val="000000"/>
        </w:rPr>
        <w:t xml:space="preserve">The work by Davies et al. (2016) also suggests that plantation forestry (hardwood </w:t>
      </w:r>
      <w:r>
        <w:rPr>
          <w:i/>
          <w:color w:val="000000"/>
        </w:rPr>
        <w:t>Eucalyptus</w:t>
      </w:r>
      <w:r>
        <w:rPr>
          <w:i/>
          <w:color w:val="008100"/>
        </w:rPr>
        <w:t xml:space="preserve"> </w:t>
      </w:r>
      <w:proofErr w:type="spellStart"/>
      <w:r>
        <w:rPr>
          <w:i/>
          <w:color w:val="000000"/>
        </w:rPr>
        <w:t>nitens</w:t>
      </w:r>
      <w:proofErr w:type="spellEnd"/>
      <w:r>
        <w:rPr>
          <w:color w:val="000000"/>
        </w:rPr>
        <w:t xml:space="preserve">) in Tasmania </w:t>
      </w:r>
      <w:r w:rsidRPr="008425BE">
        <w:rPr>
          <w:color w:val="000000"/>
        </w:rPr>
        <w:t xml:space="preserve">within </w:t>
      </w:r>
      <w:r w:rsidRPr="00802999">
        <w:rPr>
          <w:color w:val="000000"/>
        </w:rPr>
        <w:t>predominantly basaltic catchments</w:t>
      </w:r>
      <w:r w:rsidRPr="008425BE">
        <w:rPr>
          <w:color w:val="000000"/>
        </w:rPr>
        <w:t xml:space="preserve"> in</w:t>
      </w:r>
      <w:r>
        <w:rPr>
          <w:color w:val="000000"/>
        </w:rPr>
        <w:t xml:space="preserve"> north-west Tasmania appear significantly more benign in terms of downstream impacts on stream biota than CBS forestry operations and associated road construction occurring in other geological contexts. </w:t>
      </w:r>
      <w:r w:rsidRPr="002D1470">
        <w:rPr>
          <w:color w:val="000000"/>
        </w:rPr>
        <w:t>Nevertheless, harvest of plantation forests that were established on steep land prior to the implementat</w:t>
      </w:r>
      <w:r w:rsidRPr="00FC30FB">
        <w:rPr>
          <w:color w:val="000000"/>
        </w:rPr>
        <w:t>ion of the Forestry Practices Code (i.e. pre-1987), with no regard for streamside reserves, has affected the condition of Class 2 to Class 4 streams, particularly after heavy rainfall (McIntosh 2016; McIntosh et al. 2007</w:t>
      </w:r>
      <w:r>
        <w:rPr>
          <w:color w:val="000000"/>
        </w:rPr>
        <w:t>,</w:t>
      </w:r>
      <w:r w:rsidRPr="00FC30FB">
        <w:rPr>
          <w:color w:val="000000"/>
        </w:rPr>
        <w:t xml:space="preserve"> 2014). The FPA has recommended that eucalypt forest streamside reserves be established adjacent to all streams in steep plantation country to stabilise streams and riparian zones (F</w:t>
      </w:r>
      <w:r>
        <w:rPr>
          <w:color w:val="000000"/>
        </w:rPr>
        <w:t>PA</w:t>
      </w:r>
      <w:r w:rsidRPr="00FC30FB">
        <w:rPr>
          <w:color w:val="000000"/>
        </w:rPr>
        <w:t xml:space="preserve"> 2011; McIntosh 2016).</w:t>
      </w:r>
    </w:p>
    <w:p w14:paraId="1B5C2D1B" w14:textId="77777777" w:rsidR="00F53D9E" w:rsidRDefault="00AC555B" w:rsidP="00F53D9E">
      <w:pPr>
        <w:rPr>
          <w:rFonts w:cs="Arial"/>
          <w:szCs w:val="20"/>
        </w:rPr>
      </w:pPr>
      <w:r>
        <w:t xml:space="preserve">Over the past decade several </w:t>
      </w:r>
      <w:r>
        <w:rPr>
          <w:rFonts w:cs="Arial"/>
          <w:szCs w:val="20"/>
        </w:rPr>
        <w:t>improvements have been made to the Forest Practices Code</w:t>
      </w:r>
      <w:r>
        <w:t xml:space="preserve"> in order to reduce t</w:t>
      </w:r>
      <w:r w:rsidRPr="00E92B8F">
        <w:rPr>
          <w:rFonts w:cs="Arial"/>
          <w:szCs w:val="20"/>
        </w:rPr>
        <w:t xml:space="preserve">he impact </w:t>
      </w:r>
      <w:proofErr w:type="spellStart"/>
      <w:r>
        <w:rPr>
          <w:rFonts w:cs="Arial"/>
          <w:szCs w:val="20"/>
        </w:rPr>
        <w:t>clearfell</w:t>
      </w:r>
      <w:proofErr w:type="spellEnd"/>
      <w:r>
        <w:rPr>
          <w:rFonts w:cs="Arial"/>
          <w:szCs w:val="20"/>
        </w:rPr>
        <w:t xml:space="preserve"> forest operations have</w:t>
      </w:r>
      <w:r w:rsidRPr="00E92B8F">
        <w:rPr>
          <w:rFonts w:cs="Arial"/>
          <w:szCs w:val="20"/>
        </w:rPr>
        <w:t xml:space="preserve"> on streams</w:t>
      </w:r>
      <w:r>
        <w:rPr>
          <w:rFonts w:cs="Arial"/>
          <w:szCs w:val="20"/>
        </w:rPr>
        <w:t xml:space="preserve"> and stream biota, including the giant freshwater crayfish, particularly in relation to</w:t>
      </w:r>
      <w:r w:rsidRPr="00D96118">
        <w:rPr>
          <w:rFonts w:cs="Arial"/>
          <w:szCs w:val="20"/>
        </w:rPr>
        <w:t xml:space="preserve"> </w:t>
      </w:r>
      <w:r w:rsidRPr="00E92B8F">
        <w:rPr>
          <w:rFonts w:cs="Arial"/>
          <w:szCs w:val="20"/>
        </w:rPr>
        <w:t xml:space="preserve">provisions for headwater (Class </w:t>
      </w:r>
      <w:r>
        <w:rPr>
          <w:rFonts w:cs="Arial"/>
          <w:szCs w:val="20"/>
        </w:rPr>
        <w:t xml:space="preserve">3 and </w:t>
      </w:r>
      <w:r w:rsidRPr="00E92B8F">
        <w:rPr>
          <w:rFonts w:cs="Arial"/>
          <w:szCs w:val="20"/>
        </w:rPr>
        <w:t>4) streams</w:t>
      </w:r>
      <w:r>
        <w:rPr>
          <w:rFonts w:cs="Arial"/>
          <w:szCs w:val="20"/>
        </w:rPr>
        <w:t xml:space="preserve"> (see Section 9). Furthermore, land clearing and plantation conversion activities have decreased significantly in Tasmania in recent years, with these activities now</w:t>
      </w:r>
      <w:r>
        <w:rPr>
          <w:lang w:val="en-US"/>
        </w:rPr>
        <w:t xml:space="preserve"> significantly constrained by the State’s </w:t>
      </w:r>
      <w:hyperlink r:id="rId27" w:history="1">
        <w:r>
          <w:rPr>
            <w:rStyle w:val="Hyperlink"/>
            <w:lang w:val="en-US"/>
          </w:rPr>
          <w:t>Permanent Native Forest Policy</w:t>
        </w:r>
      </w:hyperlink>
      <w:r w:rsidRPr="00027C72">
        <w:rPr>
          <w:lang w:val="en-US"/>
        </w:rPr>
        <w:t>.</w:t>
      </w:r>
    </w:p>
    <w:p w14:paraId="1B5C2D1C" w14:textId="77777777" w:rsidR="00F53D9E" w:rsidRDefault="00AC555B">
      <w:pPr>
        <w:spacing w:after="0" w:line="240" w:lineRule="auto"/>
      </w:pPr>
      <w:r>
        <w:br w:type="page"/>
      </w:r>
    </w:p>
    <w:p w14:paraId="1B5C2D1D" w14:textId="77777777" w:rsidR="00F53D9E" w:rsidRDefault="00AC555B" w:rsidP="00F53D9E">
      <w:r>
        <w:lastRenderedPageBreak/>
        <w:t>Davies et al. (2016) recommend a number of further management actions that could be implemented to reduce the impacts associated with CBS forestry operations and the associated increases in fine sediment loads, including:</w:t>
      </w:r>
    </w:p>
    <w:p w14:paraId="1B5C2D1E" w14:textId="77777777" w:rsidR="00F53D9E" w:rsidRDefault="00AC555B" w:rsidP="00F53D9E">
      <w:pPr>
        <w:pStyle w:val="ListParagraph"/>
        <w:numPr>
          <w:ilvl w:val="0"/>
          <w:numId w:val="10"/>
        </w:numPr>
        <w:spacing w:after="120"/>
        <w:ind w:left="760" w:hanging="357"/>
      </w:pPr>
      <w:r>
        <w:t>Enhancing mitigation measures to reduce run-off of fine sediments associated with the construction of roads.</w:t>
      </w:r>
    </w:p>
    <w:p w14:paraId="1B5C2D1F" w14:textId="77777777" w:rsidR="00F53D9E" w:rsidRDefault="00AC555B" w:rsidP="00F53D9E">
      <w:pPr>
        <w:pStyle w:val="ListParagraph"/>
        <w:numPr>
          <w:ilvl w:val="0"/>
          <w:numId w:val="10"/>
        </w:numPr>
        <w:spacing w:after="120"/>
        <w:ind w:left="760" w:hanging="357"/>
      </w:pPr>
      <w:r>
        <w:t>Controlling the extent and intensity of hot regeneration burns implemented after harvesting.</w:t>
      </w:r>
    </w:p>
    <w:p w14:paraId="1B5C2D20" w14:textId="77777777" w:rsidR="00F53D9E" w:rsidRDefault="00AC555B" w:rsidP="00F53D9E">
      <w:pPr>
        <w:pStyle w:val="ListParagraph"/>
        <w:numPr>
          <w:ilvl w:val="0"/>
          <w:numId w:val="10"/>
        </w:numPr>
        <w:spacing w:after="120"/>
        <w:ind w:left="760" w:hanging="357"/>
      </w:pPr>
      <w:r>
        <w:t>Including upper area operational thresholds for CBS operations in catchment plans.</w:t>
      </w:r>
    </w:p>
    <w:p w14:paraId="1B5C2D21" w14:textId="77777777" w:rsidR="00F53D9E" w:rsidRPr="00DC6384" w:rsidRDefault="00AC555B" w:rsidP="00F53D9E">
      <w:pPr>
        <w:pStyle w:val="ListParagraph"/>
        <w:numPr>
          <w:ilvl w:val="0"/>
          <w:numId w:val="10"/>
        </w:numPr>
      </w:pPr>
      <w:r>
        <w:t>Expanding the focus on estate-level forest management in Tasmania.</w:t>
      </w:r>
    </w:p>
    <w:p w14:paraId="1B5C2D22" w14:textId="77777777" w:rsidR="00F53D9E" w:rsidRDefault="00AC555B" w:rsidP="00F53D9E">
      <w:pPr>
        <w:autoSpaceDE w:val="0"/>
        <w:autoSpaceDN w:val="0"/>
        <w:adjustRightInd w:val="0"/>
        <w:rPr>
          <w:rFonts w:cs="Arial"/>
          <w:szCs w:val="20"/>
        </w:rPr>
      </w:pPr>
      <w:r>
        <w:rPr>
          <w:rFonts w:cs="Arial"/>
          <w:szCs w:val="20"/>
        </w:rPr>
        <w:t xml:space="preserve">Assessing whether current forest management practices are effective at mitigating impacts to giant freshwater crayfish, or whether additional measures (such as those proposed by Davies et al. 2016) are required, should be a priority recovery action for the species. </w:t>
      </w:r>
    </w:p>
    <w:p w14:paraId="1B5C2D23" w14:textId="77777777" w:rsidR="00F53D9E" w:rsidRPr="00F220C7" w:rsidRDefault="00AC555B" w:rsidP="00F53D9E">
      <w:pPr>
        <w:rPr>
          <w:i/>
        </w:rPr>
      </w:pPr>
      <w:r w:rsidRPr="00F220C7">
        <w:rPr>
          <w:i/>
        </w:rPr>
        <w:t>Agriculture</w:t>
      </w:r>
    </w:p>
    <w:p w14:paraId="1B5C2D24" w14:textId="77777777" w:rsidR="00F53D9E" w:rsidRDefault="00AC555B" w:rsidP="00F53D9E">
      <w:r>
        <w:t xml:space="preserve">In agricultural areas, giant freshwater crayfish populations may be affected by general stream degradation caused by the clearing of riparian vegetation, removal of snags, extensive modification of stream channels (including dam construction), access by stock, water abstraction and inflows of agricultural chemicals and nutrients. The clearance of riparian vegetation can result in elevated sediment loads entering waterways as vegetation removal often causes the destabilisation of stream-banks, while bank erosion can result in the direct loss of burrowing habitat (Horwitz 1994). The clearance of riparian vegetation can also result in increased water temperatures as canopy shading is reduced allowing more light to reach the water (Horwitz 1994). Pesticide use resulting from agricultural activities, and point-source increases in effluent and nutrient discharge, may also impact water quality (Horwitz 1994).The overall result of these practices has been probable local extinctions of </w:t>
      </w:r>
      <w:r>
        <w:rPr>
          <w:iCs/>
        </w:rPr>
        <w:t>crayfish</w:t>
      </w:r>
      <w:r w:rsidRPr="00B65A55">
        <w:rPr>
          <w:iCs/>
        </w:rPr>
        <w:t xml:space="preserve"> </w:t>
      </w:r>
      <w:r>
        <w:t xml:space="preserve">from some river reaches, especially in floodplain and estuarine areas (Horwitz 1994). </w:t>
      </w:r>
    </w:p>
    <w:p w14:paraId="1B5C2D25" w14:textId="77777777" w:rsidR="00F53D9E" w:rsidRPr="00A42064" w:rsidRDefault="00AC555B" w:rsidP="00F53D9E">
      <w:pPr>
        <w:rPr>
          <w:rFonts w:cs="Arial"/>
          <w:szCs w:val="20"/>
        </w:rPr>
      </w:pPr>
      <w:r>
        <w:t xml:space="preserve">Restoration of agricultural areas in key locations for giant freshwater crayfish, particularly through rehabilitation and protection of riparian areas and reintroduction of course woody debris into streams, should be a high priority for the conservation of the species. Funding opportunities for such activities may be available through a range of </w:t>
      </w:r>
      <w:hyperlink r:id="rId28" w:history="1">
        <w:r w:rsidRPr="00A9728D">
          <w:rPr>
            <w:rStyle w:val="Hyperlink"/>
          </w:rPr>
          <w:t>Commonwealth programmes</w:t>
        </w:r>
      </w:hyperlink>
      <w:r>
        <w:t xml:space="preserve"> or local NRM grant schemes.</w:t>
      </w:r>
    </w:p>
    <w:p w14:paraId="1B5C2D26" w14:textId="77777777" w:rsidR="00F53D9E" w:rsidRPr="00C22CCA" w:rsidRDefault="00AC555B" w:rsidP="00F53D9E">
      <w:pPr>
        <w:pStyle w:val="Heading3"/>
        <w:rPr>
          <w:color w:val="FF0000"/>
        </w:rPr>
      </w:pPr>
      <w:bookmarkStart w:id="239" w:name="_Toc256000170"/>
      <w:bookmarkStart w:id="240" w:name="_Toc256000124"/>
      <w:bookmarkStart w:id="241" w:name="_Toc256000076"/>
      <w:bookmarkStart w:id="242" w:name="_Toc256000028"/>
      <w:bookmarkStart w:id="243" w:name="_Toc458697060"/>
      <w:r>
        <w:t xml:space="preserve">4.2.2 </w:t>
      </w:r>
      <w:r w:rsidRPr="00C22CCA">
        <w:t>Modifications to water flow</w:t>
      </w:r>
      <w:bookmarkEnd w:id="239"/>
      <w:bookmarkEnd w:id="240"/>
      <w:bookmarkEnd w:id="241"/>
      <w:bookmarkEnd w:id="242"/>
      <w:bookmarkEnd w:id="243"/>
    </w:p>
    <w:p w14:paraId="1B5C2D27" w14:textId="77777777" w:rsidR="00F53D9E" w:rsidRDefault="00AC555B" w:rsidP="00F53D9E">
      <w:r>
        <w:t xml:space="preserve">A study by </w:t>
      </w:r>
      <w:proofErr w:type="spellStart"/>
      <w:r>
        <w:t>Pracejus</w:t>
      </w:r>
      <w:proofErr w:type="spellEnd"/>
      <w:r>
        <w:t xml:space="preserve"> (2016) found that the presence of giant freshwater crayfish appeared to be linked to the amount of water in a river. The author theorised that while crayfish may be able to tolerate intermittent water flows to some extent, higher abundances of crayfish would be expected in permanent streams (</w:t>
      </w:r>
      <w:proofErr w:type="spellStart"/>
      <w:r>
        <w:t>Pracejus</w:t>
      </w:r>
      <w:proofErr w:type="spellEnd"/>
      <w:r>
        <w:t xml:space="preserve"> 2016). </w:t>
      </w:r>
    </w:p>
    <w:p w14:paraId="1B5C2D28" w14:textId="77777777" w:rsidR="00F53D9E" w:rsidRDefault="00AC555B" w:rsidP="00F53D9E">
      <w:r w:rsidRPr="006321E7">
        <w:t xml:space="preserve">In forestry areas, </w:t>
      </w:r>
      <w:r>
        <w:t>hydrology and flow dynamics within streams immediately downstream of forestry (</w:t>
      </w:r>
      <w:proofErr w:type="spellStart"/>
      <w:r>
        <w:t>clearfelling</w:t>
      </w:r>
      <w:proofErr w:type="spellEnd"/>
      <w:r>
        <w:t xml:space="preserve">) activities typically showed signs of modification </w:t>
      </w:r>
      <w:r w:rsidRPr="00F334CB">
        <w:t xml:space="preserve">(Davies </w:t>
      </w:r>
      <w:r>
        <w:t>&amp;</w:t>
      </w:r>
      <w:r w:rsidRPr="00F334CB">
        <w:t xml:space="preserve"> Nelson 1994; </w:t>
      </w:r>
      <w:proofErr w:type="spellStart"/>
      <w:r w:rsidRPr="00F334CB">
        <w:t>Growns</w:t>
      </w:r>
      <w:proofErr w:type="spellEnd"/>
      <w:r w:rsidRPr="00F334CB">
        <w:t xml:space="preserve"> </w:t>
      </w:r>
      <w:r>
        <w:t>&amp;</w:t>
      </w:r>
      <w:r w:rsidRPr="00F334CB">
        <w:t xml:space="preserve"> Davis 1994)</w:t>
      </w:r>
      <w:r w:rsidRPr="00F334CB">
        <w:rPr>
          <w:rFonts w:ascii="Times New Roman" w:hAnsi="Times New Roman"/>
          <w:sz w:val="24"/>
          <w:szCs w:val="24"/>
        </w:rPr>
        <w:t xml:space="preserve">. </w:t>
      </w:r>
      <w:r w:rsidRPr="003A338B">
        <w:t xml:space="preserve">Impacts of forestry operations on hydrological processes can include reductions in base flows </w:t>
      </w:r>
      <w:r>
        <w:t xml:space="preserve">and </w:t>
      </w:r>
      <w:r w:rsidRPr="003A338B">
        <w:t xml:space="preserve">increases in high flows and flow flashiness, all of which can </w:t>
      </w:r>
      <w:r>
        <w:t xml:space="preserve">affect </w:t>
      </w:r>
      <w:r w:rsidRPr="003A338B">
        <w:t>bank stability,</w:t>
      </w:r>
      <w:r>
        <w:t xml:space="preserve"> channel morphology</w:t>
      </w:r>
      <w:r w:rsidRPr="003A338B">
        <w:t xml:space="preserve"> and stream </w:t>
      </w:r>
      <w:r>
        <w:t>heterogeneity</w:t>
      </w:r>
      <w:r w:rsidRPr="00F334CB">
        <w:t xml:space="preserve"> (McIntosh 2004).</w:t>
      </w:r>
    </w:p>
    <w:p w14:paraId="1B5C2D29" w14:textId="77777777" w:rsidR="00F53D9E" w:rsidRDefault="00AC555B" w:rsidP="00F53D9E">
      <w:r>
        <w:t xml:space="preserve">In agricultural areas, land conversion and crop intensification coupled with rising temperatures have led to increased water extraction rates for irrigation purposes in some areas. Such practices exacerbate impacts already faced by aquatic species, including giant freshwater crayfish, as development may also result in a loss of connectivity between areas of suitable habitat (Richman et al. 2015). </w:t>
      </w:r>
    </w:p>
    <w:p w14:paraId="1B5C2D2A" w14:textId="77777777" w:rsidR="00F53D9E" w:rsidRDefault="00AC555B">
      <w:pPr>
        <w:spacing w:after="0" w:line="240" w:lineRule="auto"/>
      </w:pPr>
      <w:r>
        <w:br w:type="page"/>
      </w:r>
    </w:p>
    <w:p w14:paraId="1B5C2D2B" w14:textId="77777777" w:rsidR="00F53D9E" w:rsidRPr="00074CF3" w:rsidRDefault="00AC555B" w:rsidP="00F53D9E">
      <w:r w:rsidRPr="00074CF3">
        <w:lastRenderedPageBreak/>
        <w:t>A report by the National Water Commission (2012)</w:t>
      </w:r>
      <w:r>
        <w:t>,</w:t>
      </w:r>
      <w:r w:rsidRPr="00074CF3">
        <w:t xml:space="preserve"> </w:t>
      </w:r>
      <w:r>
        <w:t xml:space="preserve">which </w:t>
      </w:r>
      <w:r w:rsidRPr="00074CF3">
        <w:t>assessed water stress in Australian catchments and aquifers</w:t>
      </w:r>
      <w:r>
        <w:t>, found that w</w:t>
      </w:r>
      <w:r w:rsidRPr="00074CF3">
        <w:t>hile Tasmanian river basins are generally less impacted than other catchments across Australia, some river basins (such as the Mersey and Pipers–Ringarooma river basins) are heavily impacted by hydro-electric schemes and, to a lesser degree, by water extraction for irrigated agriculture and urban water use (NWC 2012).</w:t>
      </w:r>
    </w:p>
    <w:p w14:paraId="1B5C2D2C" w14:textId="77777777" w:rsidR="00F53D9E" w:rsidRPr="00E66CD8" w:rsidRDefault="00AC555B" w:rsidP="00F53D9E">
      <w:pPr>
        <w:pStyle w:val="Heading3"/>
        <w:rPr>
          <w:snapToGrid w:val="0"/>
          <w:szCs w:val="20"/>
        </w:rPr>
      </w:pPr>
      <w:bookmarkStart w:id="244" w:name="_Toc256000171"/>
      <w:bookmarkStart w:id="245" w:name="_Toc256000125"/>
      <w:bookmarkStart w:id="246" w:name="_Toc256000077"/>
      <w:bookmarkStart w:id="247" w:name="_Toc256000029"/>
      <w:bookmarkStart w:id="248" w:name="_Toc457469896"/>
      <w:bookmarkStart w:id="249" w:name="_Toc458697061"/>
      <w:r w:rsidRPr="00F220C7">
        <w:rPr>
          <w:b w:val="0"/>
          <w:i w:val="0"/>
        </w:rPr>
        <w:t>The giant freshwater crayfish is also threatened by reduced flows in streams and rivers associated with drought conditions (</w:t>
      </w:r>
      <w:proofErr w:type="spellStart"/>
      <w:r>
        <w:rPr>
          <w:b w:val="0"/>
          <w:i w:val="0"/>
        </w:rPr>
        <w:t>DoEE</w:t>
      </w:r>
      <w:proofErr w:type="spellEnd"/>
      <w:r w:rsidRPr="00F220C7">
        <w:rPr>
          <w:b w:val="0"/>
          <w:i w:val="0"/>
        </w:rPr>
        <w:t xml:space="preserve"> 2015)</w:t>
      </w:r>
      <w:r>
        <w:rPr>
          <w:b w:val="0"/>
          <w:i w:val="0"/>
        </w:rPr>
        <w:t>, as well as excessive flows associated with extreme weather events</w:t>
      </w:r>
      <w:r w:rsidRPr="00F220C7">
        <w:rPr>
          <w:b w:val="0"/>
          <w:i w:val="0"/>
        </w:rPr>
        <w:t>. Anecdotal reports indicate that low environmental flows caused the death of giant freshwater crayfish in several catchments in the north-west and north</w:t>
      </w:r>
      <w:r w:rsidRPr="00F220C7">
        <w:rPr>
          <w:b w:val="0"/>
          <w:i w:val="0"/>
        </w:rPr>
        <w:noBreakHyphen/>
        <w:t>east of Tasmania in 2006–2007 (</w:t>
      </w:r>
      <w:proofErr w:type="spellStart"/>
      <w:r>
        <w:rPr>
          <w:b w:val="0"/>
          <w:i w:val="0"/>
        </w:rPr>
        <w:t>DoEE</w:t>
      </w:r>
      <w:proofErr w:type="spellEnd"/>
      <w:r w:rsidRPr="00F220C7">
        <w:rPr>
          <w:b w:val="0"/>
          <w:i w:val="0"/>
        </w:rPr>
        <w:t xml:space="preserve"> 2015). Of particular concern is a lack of contingency planning by authorities in preparation for reduced environmental flows in areas utilised by land owners for irrigation of crops (Eastman &amp; Eastman 2007).</w:t>
      </w:r>
      <w:bookmarkEnd w:id="244"/>
      <w:bookmarkEnd w:id="245"/>
      <w:bookmarkEnd w:id="246"/>
      <w:bookmarkEnd w:id="247"/>
      <w:bookmarkEnd w:id="248"/>
      <w:bookmarkEnd w:id="249"/>
      <w:r>
        <w:t xml:space="preserve">  </w:t>
      </w:r>
    </w:p>
    <w:p w14:paraId="1B5C2D2D" w14:textId="77777777" w:rsidR="00F53D9E" w:rsidRDefault="00AC555B" w:rsidP="00F53D9E">
      <w:pPr>
        <w:pStyle w:val="Heading3"/>
      </w:pPr>
      <w:bookmarkStart w:id="250" w:name="_Toc256000172"/>
      <w:bookmarkStart w:id="251" w:name="_Toc256000126"/>
      <w:bookmarkStart w:id="252" w:name="_Toc256000078"/>
      <w:bookmarkStart w:id="253" w:name="_Toc256000030"/>
      <w:bookmarkStart w:id="254" w:name="_Toc458697062"/>
      <w:r w:rsidRPr="00802411">
        <w:t>4.2</w:t>
      </w:r>
      <w:r>
        <w:t>.3 Illegal fishing</w:t>
      </w:r>
      <w:bookmarkEnd w:id="250"/>
      <w:bookmarkEnd w:id="251"/>
      <w:bookmarkEnd w:id="252"/>
      <w:bookmarkEnd w:id="253"/>
      <w:bookmarkEnd w:id="254"/>
    </w:p>
    <w:p w14:paraId="1B5C2D2E" w14:textId="77777777" w:rsidR="00F53D9E" w:rsidRDefault="00AC555B" w:rsidP="00F53D9E">
      <w:r>
        <w:t xml:space="preserve">Fishing of the giant freshwater crayfish was prohibited, through an amendment to the </w:t>
      </w:r>
      <w:r>
        <w:rPr>
          <w:i/>
          <w:iCs/>
        </w:rPr>
        <w:t>Inland Fisheries Act (1995),</w:t>
      </w:r>
      <w:r>
        <w:t xml:space="preserve"> on 1 January 1998; however, the impacts of ongoing illegal fishing continue to threaten the species. The full implications of fishing on the population dynamics of the species are not well understood, although population surveys indicate that past fishing pressure has had a significant impa</w:t>
      </w:r>
      <w:r w:rsidRPr="00C75D9A">
        <w:t xml:space="preserve">ct on </w:t>
      </w:r>
      <w:r>
        <w:rPr>
          <w:iCs/>
        </w:rPr>
        <w:t>crayfish</w:t>
      </w:r>
      <w:r w:rsidRPr="00C75D9A">
        <w:rPr>
          <w:iCs/>
        </w:rPr>
        <w:t xml:space="preserve"> </w:t>
      </w:r>
      <w:r>
        <w:t xml:space="preserve">populations (TSS 2006). Fishing pressure targets mainly adult and large sub-adult members of the population. Given the slow growth rate of the species, and the significant time lags in the reappearance of full sized adults following past recreational fishing pressure, illegal fishing has the potential to significantly threaten crayfish populations,  </w:t>
      </w:r>
    </w:p>
    <w:p w14:paraId="1B5C2D2F" w14:textId="77777777" w:rsidR="00F53D9E" w:rsidRDefault="00AC555B" w:rsidP="00F53D9E">
      <w:r>
        <w:t xml:space="preserve">A degree of fishing activity is known to be continuing despite now being illegal. This is evidenced by prosecutions, the presence of bait lines and anecdotal reports. Annual reports from the Inland Fisheries Service (IFS) provide details on the compliance activities undertaken jointly by the IFS, Tasmanian Police and the Tasmanian Parks and Wildlife Service in relation to illegal fishing activities (IFS 2016). Investigations and/or prosecutions relating to offences involving giant freshwater crayfish are occurring on a regular basis, with most convictions relating to the take of a protected fish or possession of the giant freshwater crayfish, and penalties generally involving the issuing of fines (IFS 2016). Reports indicate that compliance activities often occur in remote areas and many prosecutions are associated with joint charges being laid for offences involving firearms, ammunitions, drugs and drug-related materials (IFS 2016). The amount of illegal fishing that may be going undetected is currently unknown. However, anecdotal reports suggest that illegal fishing may be having a more significant impact than suggested by the number of prosecutions occurring, with one citizen report suggesting that an entire crayfish population may have been targeted by poachers in the Lower Beulah sub catchment and several reports of bait lines having been found abandoned in many catchments containing crayfish.  </w:t>
      </w:r>
    </w:p>
    <w:p w14:paraId="1B5C2D30" w14:textId="77777777" w:rsidR="00F53D9E" w:rsidRPr="00425C89" w:rsidRDefault="00AC555B" w:rsidP="00F53D9E">
      <w:pPr>
        <w:pStyle w:val="Heading3"/>
      </w:pPr>
      <w:r>
        <w:t xml:space="preserve"> </w:t>
      </w:r>
      <w:bookmarkStart w:id="255" w:name="_Toc256000173"/>
      <w:bookmarkStart w:id="256" w:name="_Toc256000127"/>
      <w:bookmarkStart w:id="257" w:name="_Toc256000079"/>
      <w:bookmarkStart w:id="258" w:name="_Toc256000031"/>
      <w:bookmarkStart w:id="259" w:name="_Toc458697063"/>
      <w:r w:rsidRPr="00425C89">
        <w:t>4.2.</w:t>
      </w:r>
      <w:r>
        <w:t>4</w:t>
      </w:r>
      <w:r w:rsidRPr="00425C89">
        <w:t xml:space="preserve"> </w:t>
      </w:r>
      <w:r>
        <w:t>Climate change</w:t>
      </w:r>
      <w:bookmarkEnd w:id="255"/>
      <w:bookmarkEnd w:id="256"/>
      <w:bookmarkEnd w:id="257"/>
      <w:bookmarkEnd w:id="258"/>
      <w:bookmarkEnd w:id="259"/>
    </w:p>
    <w:p w14:paraId="1B5C2D31" w14:textId="77777777" w:rsidR="00F53D9E" w:rsidRDefault="00AC555B" w:rsidP="00F53D9E">
      <w:r w:rsidRPr="00425C89">
        <w:t>Climate change is a significant overarching threat that may result in altered stream flows, stream temperatures and changes to catchment vegetation</w:t>
      </w:r>
      <w:r>
        <w:t xml:space="preserve"> (</w:t>
      </w:r>
      <w:proofErr w:type="spellStart"/>
      <w:r>
        <w:t>DoEE</w:t>
      </w:r>
      <w:proofErr w:type="spellEnd"/>
      <w:r>
        <w:t xml:space="preserve"> 2015)</w:t>
      </w:r>
      <w:r w:rsidRPr="00425C89">
        <w:t xml:space="preserve">. </w:t>
      </w:r>
      <w:r w:rsidRPr="00027C72">
        <w:rPr>
          <w:lang w:val="en-US"/>
        </w:rPr>
        <w:t>Extreme weather events</w:t>
      </w:r>
      <w:r>
        <w:rPr>
          <w:lang w:val="en-US"/>
        </w:rPr>
        <w:t xml:space="preserve"> which are predicted to increase with climate change</w:t>
      </w:r>
      <w:r w:rsidRPr="00027C72">
        <w:rPr>
          <w:lang w:val="en-US"/>
        </w:rPr>
        <w:t xml:space="preserve"> may significantly impact a large proportion of the population within a catchment, or sub-catchment.</w:t>
      </w:r>
      <w:r>
        <w:rPr>
          <w:lang w:val="en-US"/>
        </w:rPr>
        <w:t xml:space="preserve"> </w:t>
      </w:r>
      <w:r w:rsidRPr="00425C89">
        <w:t xml:space="preserve">Such habitat disturbance may </w:t>
      </w:r>
      <w:r>
        <w:t>have significant effects on</w:t>
      </w:r>
      <w:r w:rsidRPr="00425C89">
        <w:t xml:space="preserve"> entire local </w:t>
      </w:r>
      <w:r>
        <w:t>crayfish</w:t>
      </w:r>
      <w:r w:rsidRPr="00425C89">
        <w:t xml:space="preserve"> population</w:t>
      </w:r>
      <w:r>
        <w:t>s</w:t>
      </w:r>
      <w:r w:rsidRPr="00425C89">
        <w:t>, not just large individuals (TSS</w:t>
      </w:r>
      <w:r>
        <w:t xml:space="preserve"> 2006</w:t>
      </w:r>
      <w:r w:rsidRPr="00425C89">
        <w:t>).</w:t>
      </w:r>
      <w:r>
        <w:t xml:space="preserve"> </w:t>
      </w:r>
      <w:r>
        <w:rPr>
          <w:lang w:val="en-US"/>
        </w:rPr>
        <w:t>For example, extensive flooding that occurred in north-west</w:t>
      </w:r>
      <w:r w:rsidRPr="00027C72">
        <w:rPr>
          <w:lang w:val="en-US"/>
        </w:rPr>
        <w:t xml:space="preserve"> Tasmania</w:t>
      </w:r>
      <w:r>
        <w:rPr>
          <w:lang w:val="en-US"/>
        </w:rPr>
        <w:t xml:space="preserve"> in June 2016 resulted in more than 100 crayfish being found dead, washed up on a single property (Gibson 2016). </w:t>
      </w:r>
      <w:r>
        <w:t>Within Australia climate-mediated threats, including impacts on water temperature and availability, are putting the conservation status of two-thirds of all freshwater crayfish species</w:t>
      </w:r>
      <w:r w:rsidRPr="00F334CB">
        <w:t xml:space="preserve"> </w:t>
      </w:r>
      <w:r>
        <w:t xml:space="preserve">at risk </w:t>
      </w:r>
      <w:r w:rsidRPr="00A0017D">
        <w:t>(Richman et al. 2015).</w:t>
      </w:r>
    </w:p>
    <w:p w14:paraId="1B5C2D32" w14:textId="77777777" w:rsidR="00F53D9E" w:rsidRDefault="00AC555B" w:rsidP="00F53D9E">
      <w:pPr>
        <w:pStyle w:val="Heading3"/>
        <w:rPr>
          <w:rStyle w:val="A2"/>
          <w:highlight w:val="yellow"/>
        </w:rPr>
      </w:pPr>
      <w:bookmarkStart w:id="260" w:name="_Toc256000174"/>
      <w:bookmarkStart w:id="261" w:name="_Toc256000128"/>
      <w:bookmarkStart w:id="262" w:name="_Toc256000080"/>
      <w:bookmarkStart w:id="263" w:name="_Toc256000032"/>
      <w:bookmarkStart w:id="264" w:name="_Toc458697064"/>
      <w:r w:rsidRPr="00425C89">
        <w:lastRenderedPageBreak/>
        <w:t>4.2.</w:t>
      </w:r>
      <w:r>
        <w:t>5</w:t>
      </w:r>
      <w:r w:rsidRPr="00425C89">
        <w:t xml:space="preserve"> </w:t>
      </w:r>
      <w:r>
        <w:t>Management approaches to managing threatening processes</w:t>
      </w:r>
      <w:bookmarkEnd w:id="260"/>
      <w:bookmarkEnd w:id="261"/>
      <w:bookmarkEnd w:id="262"/>
      <w:bookmarkEnd w:id="263"/>
      <w:bookmarkEnd w:id="264"/>
    </w:p>
    <w:p w14:paraId="1B5C2D33" w14:textId="77777777" w:rsidR="00F53D9E" w:rsidRDefault="00AC555B" w:rsidP="00F53D9E">
      <w:pPr>
        <w:rPr>
          <w:rStyle w:val="A2"/>
        </w:rPr>
      </w:pPr>
      <w:r w:rsidRPr="0080704D">
        <w:rPr>
          <w:rStyle w:val="A2"/>
        </w:rPr>
        <w:t xml:space="preserve">Given the nature of the threats that are impacting upon </w:t>
      </w:r>
      <w:r>
        <w:rPr>
          <w:rStyle w:val="A2"/>
        </w:rPr>
        <w:t>crayfish</w:t>
      </w:r>
      <w:r w:rsidRPr="0080704D">
        <w:rPr>
          <w:rStyle w:val="A2"/>
        </w:rPr>
        <w:t xml:space="preserve"> survival, researchers are increasingly </w:t>
      </w:r>
      <w:r>
        <w:rPr>
          <w:rStyle w:val="A2"/>
        </w:rPr>
        <w:t>identifying</w:t>
      </w:r>
      <w:r w:rsidRPr="0080704D">
        <w:rPr>
          <w:rStyle w:val="A2"/>
        </w:rPr>
        <w:t xml:space="preserve"> the need </w:t>
      </w:r>
      <w:r>
        <w:rPr>
          <w:rStyle w:val="A2"/>
        </w:rPr>
        <w:t>for</w:t>
      </w:r>
      <w:r w:rsidRPr="0080704D">
        <w:rPr>
          <w:rStyle w:val="A2"/>
        </w:rPr>
        <w:t xml:space="preserve"> catchment</w:t>
      </w:r>
      <w:r>
        <w:rPr>
          <w:rStyle w:val="A2"/>
        </w:rPr>
        <w:t>-</w:t>
      </w:r>
      <w:r w:rsidRPr="0080704D">
        <w:rPr>
          <w:rStyle w:val="A2"/>
        </w:rPr>
        <w:t xml:space="preserve">level management approaches to address both </w:t>
      </w:r>
      <w:r>
        <w:rPr>
          <w:rStyle w:val="A2"/>
        </w:rPr>
        <w:t>direct</w:t>
      </w:r>
      <w:r w:rsidRPr="0080704D">
        <w:rPr>
          <w:rStyle w:val="A2"/>
        </w:rPr>
        <w:t xml:space="preserve"> and </w:t>
      </w:r>
      <w:r>
        <w:rPr>
          <w:rStyle w:val="A2"/>
        </w:rPr>
        <w:t xml:space="preserve">indirect (e.g. </w:t>
      </w:r>
      <w:r w:rsidRPr="0080704D">
        <w:rPr>
          <w:rStyle w:val="A2"/>
        </w:rPr>
        <w:t>downstream</w:t>
      </w:r>
      <w:r>
        <w:rPr>
          <w:rStyle w:val="A2"/>
        </w:rPr>
        <w:t>)</w:t>
      </w:r>
      <w:r w:rsidRPr="0080704D">
        <w:rPr>
          <w:rStyle w:val="A2"/>
        </w:rPr>
        <w:t xml:space="preserve"> impacts. </w:t>
      </w:r>
      <w:r>
        <w:rPr>
          <w:rStyle w:val="A2"/>
        </w:rPr>
        <w:t xml:space="preserve">Davies et al. (2005) highlight the need to consider catchment-scale management to secure the future of the species, with an emphasis on the protection of crayfish in higher order streams to address the cumulative impacts of modified land-use (including forestry and agriculture), point source pollution and illegal fishing. Minimising the impacts of land-use activities on downstream reaches that support optimal habitat for both juvenile and adult crayfish is of particular importance (Davies et al. 2005). Research indicates that optimal habitat includes, but is not limited to, class 4 streams such as Coopers Creek, where groundwater inputs strongly supplement base flows (Davies et al. 2005). Davies et al. (2016) also recommend a holistic approach to river and catchment management to address the relationship between catchment-wide activities and localised impacts, including the potential for upper catchment disturbances to result in flow-on effect to downstream habitats. </w:t>
      </w:r>
      <w:proofErr w:type="spellStart"/>
      <w:r>
        <w:rPr>
          <w:rStyle w:val="A2"/>
        </w:rPr>
        <w:t>Barmuta</w:t>
      </w:r>
      <w:proofErr w:type="spellEnd"/>
      <w:r>
        <w:rPr>
          <w:rStyle w:val="A2"/>
        </w:rPr>
        <w:t xml:space="preserve"> (2011), in relation to forest practices in particular, also discusses the need for management of freshwater systems to incorporate both broad landscape-scale and fine-scale planning in order conserve these ecosystems and the values they support.</w:t>
      </w:r>
    </w:p>
    <w:p w14:paraId="1B5C2D34" w14:textId="77777777" w:rsidR="00F53D9E" w:rsidRDefault="00AC555B" w:rsidP="00F53D9E">
      <w:pPr>
        <w:pStyle w:val="Heading1"/>
        <w:spacing w:before="240"/>
      </w:pPr>
      <w:bookmarkStart w:id="265" w:name="_Toc256000175"/>
      <w:bookmarkStart w:id="266" w:name="_Toc256000129"/>
      <w:bookmarkStart w:id="267" w:name="_Toc256000081"/>
      <w:bookmarkStart w:id="268" w:name="_Toc256000033"/>
      <w:r>
        <w:t>5</w:t>
      </w:r>
      <w:r>
        <w:tab/>
        <w:t>Current management practices</w:t>
      </w:r>
      <w:bookmarkEnd w:id="265"/>
      <w:bookmarkEnd w:id="266"/>
      <w:bookmarkEnd w:id="267"/>
      <w:bookmarkEnd w:id="268"/>
    </w:p>
    <w:p w14:paraId="1B5C2D35" w14:textId="77777777" w:rsidR="00F53D9E" w:rsidRDefault="00AC555B" w:rsidP="00F53D9E">
      <w:pPr>
        <w:rPr>
          <w:rFonts w:cs="Arial"/>
        </w:rPr>
      </w:pPr>
      <w:r w:rsidRPr="00F306A0">
        <w:t xml:space="preserve">As the giant freshwater </w:t>
      </w:r>
      <w:r>
        <w:t>crayfish</w:t>
      </w:r>
      <w:r w:rsidRPr="00F306A0">
        <w:t xml:space="preserve"> is protected under the EPBC Act, it is an offence to kill, injure, take, trade, keep, or move any individual without a permit in Commonwealth </w:t>
      </w:r>
      <w:r>
        <w:t xml:space="preserve">areas and Commonwealth </w:t>
      </w:r>
      <w:r w:rsidRPr="00F306A0">
        <w:t>waters.</w:t>
      </w:r>
      <w:r>
        <w:t xml:space="preserve"> </w:t>
      </w:r>
      <w:r w:rsidRPr="00C03EC9">
        <w:t xml:space="preserve">In addition, all listed threatened species are considered matters of national environmental significance (MNES), and any action that may have an impact on MNES must be referred to the Minister of the Environment for approval. </w:t>
      </w:r>
      <w:r>
        <w:t>The Department of the Environment and Energy</w:t>
      </w:r>
      <w:r w:rsidRPr="00C03EC9">
        <w:t xml:space="preserve">, as the Australian Government </w:t>
      </w:r>
      <w:r>
        <w:t>D</w:t>
      </w:r>
      <w:r w:rsidRPr="00C03EC9">
        <w:t xml:space="preserve">epartment responsible for administering the EPBC Act, maintains a suite of interactive tools that allow users to search, find and generate reports on information and data describing </w:t>
      </w:r>
      <w:r>
        <w:t>MNES</w:t>
      </w:r>
      <w:r>
        <w:rPr>
          <w:color w:val="632423"/>
        </w:rPr>
        <w:t>,</w:t>
      </w:r>
      <w:r w:rsidRPr="00E813BA">
        <w:t xml:space="preserve"> </w:t>
      </w:r>
      <w:r w:rsidRPr="008578EF">
        <w:t xml:space="preserve">including </w:t>
      </w:r>
      <w:r>
        <w:t>the giant freshwater crayfish</w:t>
      </w:r>
      <w:r w:rsidRPr="008578EF">
        <w:t>.</w:t>
      </w:r>
    </w:p>
    <w:p w14:paraId="1B5C2D36" w14:textId="77777777" w:rsidR="00F53D9E" w:rsidRDefault="00AC555B" w:rsidP="00F53D9E">
      <w:r>
        <w:t>The giant freshwater crayfish is</w:t>
      </w:r>
      <w:r w:rsidRPr="00C03EC9">
        <w:t xml:space="preserve"> also protected across </w:t>
      </w:r>
      <w:r>
        <w:t>its</w:t>
      </w:r>
      <w:r w:rsidRPr="00C03EC9">
        <w:t xml:space="preserve"> range in </w:t>
      </w:r>
      <w:r>
        <w:t xml:space="preserve">Tasmania. Under the Tasmanian </w:t>
      </w:r>
      <w:r>
        <w:rPr>
          <w:i/>
          <w:iCs/>
        </w:rPr>
        <w:t xml:space="preserve">Threatened Species Protection Act 1995 </w:t>
      </w:r>
      <w:r>
        <w:t xml:space="preserve">it is an offence to knowingly take, trade in, keep or process any listed species without a permit. Management of the </w:t>
      </w:r>
      <w:r w:rsidRPr="005B25DC">
        <w:rPr>
          <w:iCs/>
        </w:rPr>
        <w:t xml:space="preserve">giant freshwater </w:t>
      </w:r>
      <w:r>
        <w:rPr>
          <w:iCs/>
        </w:rPr>
        <w:t>crayfish</w:t>
      </w:r>
      <w:r>
        <w:rPr>
          <w:i/>
          <w:iCs/>
        </w:rPr>
        <w:t xml:space="preserve"> </w:t>
      </w:r>
      <w:r>
        <w:t xml:space="preserve">is primarily the responsibility of the Inland Fisheries Service (Tasmania) under the provisions of the </w:t>
      </w:r>
      <w:r>
        <w:rPr>
          <w:i/>
          <w:iCs/>
        </w:rPr>
        <w:t>Inland Fisheries Act 1995</w:t>
      </w:r>
      <w:r>
        <w:t xml:space="preserve">, and the Department of Primary Industries, Parks, Water and Environment (Tasmania) under the </w:t>
      </w:r>
      <w:r>
        <w:rPr>
          <w:i/>
          <w:iCs/>
        </w:rPr>
        <w:t>Threatened Species Protection Act 1995</w:t>
      </w:r>
      <w:r>
        <w:t xml:space="preserve">. Since January 1998 </w:t>
      </w:r>
      <w:r w:rsidRPr="005B25DC">
        <w:rPr>
          <w:iCs/>
        </w:rPr>
        <w:t xml:space="preserve">giant freshwater </w:t>
      </w:r>
      <w:r>
        <w:rPr>
          <w:iCs/>
        </w:rPr>
        <w:t>crayfish</w:t>
      </w:r>
      <w:r w:rsidRPr="005B25DC">
        <w:rPr>
          <w:iCs/>
        </w:rPr>
        <w:t xml:space="preserve"> have</w:t>
      </w:r>
      <w:r>
        <w:t xml:space="preserve"> been a 'protected fish' under the </w:t>
      </w:r>
      <w:r>
        <w:rPr>
          <w:i/>
          <w:iCs/>
        </w:rPr>
        <w:t>Inland Fisheries Act 1995</w:t>
      </w:r>
      <w:r>
        <w:t>, prohibiting fishing for the species. Previous fisheries regulations allowed a recreational fishery for the giant freshwater crayfish during the angling season, with original regulation allowing a bag limit of 12 giant freshwater crayfish a day, a minimum size of 130 mm carapace length, and no taking of females in berry (</w:t>
      </w:r>
      <w:proofErr w:type="spellStart"/>
      <w:r>
        <w:t>Hamr</w:t>
      </w:r>
      <w:proofErr w:type="spellEnd"/>
      <w:r>
        <w:t xml:space="preserve"> 1990b). From the 1993-94 season, the taking of all females was prohibited and a bag limit of three males per day applied. Six catchments, including the </w:t>
      </w:r>
      <w:proofErr w:type="spellStart"/>
      <w:r>
        <w:t>Hellyer</w:t>
      </w:r>
      <w:proofErr w:type="spellEnd"/>
      <w:r>
        <w:t xml:space="preserve">, </w:t>
      </w:r>
      <w:proofErr w:type="spellStart"/>
      <w:r>
        <w:t>Inglis</w:t>
      </w:r>
      <w:proofErr w:type="spellEnd"/>
      <w:r>
        <w:t xml:space="preserve">, Duck, Emu, Mersey and Great Forester were closed to the taking of freshwater crayfish (Inland Fisheries Commission 1993a, b). In addition, taking of any giant freshwater crayfish (i.e. including the two other species of </w:t>
      </w:r>
      <w:proofErr w:type="spellStart"/>
      <w:r>
        <w:rPr>
          <w:i/>
          <w:iCs/>
        </w:rPr>
        <w:t>Astacopsis</w:t>
      </w:r>
      <w:proofErr w:type="spellEnd"/>
      <w:r>
        <w:t>) was prohibited under Inland Fisheries regulations in 2000.</w:t>
      </w:r>
    </w:p>
    <w:p w14:paraId="1B5C2D37" w14:textId="77777777" w:rsidR="00F53D9E" w:rsidRDefault="00AC555B" w:rsidP="00F53D9E">
      <w:pPr>
        <w:rPr>
          <w:rFonts w:cs="Arial"/>
        </w:rPr>
      </w:pPr>
      <w:r>
        <w:t xml:space="preserve">Management of the species in relation to forest practices is also subject to a number of provisions under the Forest Practices Code (FPA 2015). The giant freshwater crayfish is a ‘priority species requiring consideration’ under the Tasmanian Regional Forest Agreement 1997 (RFA). The RFA requires that priority species be protected through the Comprehensive, Adequate Representative (CAR) Reserve System, and/or by applying relevant management prescriptions (Clause 68) which are adequate for the species protection and have a sound scientific basis (Clause 96). </w:t>
      </w:r>
      <w:r w:rsidRPr="00FD78D3">
        <w:rPr>
          <w:rFonts w:ascii="Times New Roman" w:hAnsi="Times New Roman"/>
        </w:rPr>
        <w:t>T</w:t>
      </w:r>
      <w:r w:rsidRPr="006D3DD4">
        <w:rPr>
          <w:rFonts w:cs="Arial"/>
        </w:rPr>
        <w:t xml:space="preserve">he RFA states </w:t>
      </w:r>
      <w:r w:rsidRPr="006D3DD4">
        <w:rPr>
          <w:rFonts w:cs="Arial"/>
        </w:rPr>
        <w:lastRenderedPageBreak/>
        <w:t>that management prescriptions and actions identified in jointly prepared and agreed recovery plans are to be implemented as a matter of priority (Clause 70).</w:t>
      </w:r>
      <w:r>
        <w:rPr>
          <w:rFonts w:cs="Arial"/>
        </w:rPr>
        <w:t xml:space="preserve"> </w:t>
      </w:r>
    </w:p>
    <w:p w14:paraId="1B5C2D38" w14:textId="77777777" w:rsidR="00F53D9E" w:rsidRDefault="00AC555B" w:rsidP="00F53D9E">
      <w:r>
        <w:rPr>
          <w:bCs/>
        </w:rPr>
        <w:t xml:space="preserve">The Tasmanian Forest Practices Code (2015) requires that threatened species listed under both the Tasmanian </w:t>
      </w:r>
      <w:r>
        <w:rPr>
          <w:bCs/>
          <w:i/>
          <w:iCs/>
        </w:rPr>
        <w:t>Threatened Species Protection Act 1995</w:t>
      </w:r>
      <w:r>
        <w:rPr>
          <w:bCs/>
        </w:rPr>
        <w:t xml:space="preserve"> and the Commonwealth </w:t>
      </w:r>
      <w:r w:rsidRPr="00FD78D3">
        <w:rPr>
          <w:bCs/>
          <w:i/>
          <w:iCs/>
        </w:rPr>
        <w:t>Environment Protection and Biodiversity Conservation Act 1999</w:t>
      </w:r>
      <w:r>
        <w:rPr>
          <w:bCs/>
          <w:i/>
          <w:iCs/>
        </w:rPr>
        <w:t xml:space="preserve"> </w:t>
      </w:r>
      <w:r>
        <w:rPr>
          <w:bCs/>
        </w:rPr>
        <w:t xml:space="preserve">be taken into account in the preparation of Forest Practices Plans (FPPs) both on Crown land and on private land. </w:t>
      </w:r>
      <w:r>
        <w:t xml:space="preserve">Mechanisms for mitigating impacts include the establishment of streamside reserves in moderate and high suitability habitat, determined from mapping and on ground habitat surveys, and restoration of streamside reserves in previously cleared agricultural/plantation areas now utilised for wood production. </w:t>
      </w:r>
      <w:r w:rsidRPr="00983843">
        <w:t>A Forest</w:t>
      </w:r>
      <w:r>
        <w:t xml:space="preserve"> Practices Plan (FPP) must be prepared for any forest practices (as defined under the Forest Practices Act, 1985) on non-vulnerable land that is in excess of one hectare or 100 tonnes of timber per year upon any one property, even if no commercial wood is produced (FPB 2002). On vulnerable land, a FPP is required for any forest practice, unless it meets specific circumstances outlined in the </w:t>
      </w:r>
      <w:hyperlink r:id="rId29" w:history="1">
        <w:r w:rsidRPr="008A3A71">
          <w:rPr>
            <w:rStyle w:val="Hyperlink"/>
          </w:rPr>
          <w:t>Forest Practices Regulations</w:t>
        </w:r>
      </w:hyperlink>
      <w:r>
        <w:t xml:space="preserve">. </w:t>
      </w:r>
    </w:p>
    <w:p w14:paraId="1B5C2D39" w14:textId="77777777" w:rsidR="00F53D9E" w:rsidRDefault="00AC555B" w:rsidP="00F53D9E">
      <w:pPr>
        <w:rPr>
          <w:rFonts w:cs="Arial"/>
          <w:szCs w:val="20"/>
        </w:rPr>
      </w:pPr>
      <w:r>
        <w:t xml:space="preserve">FPPs are subject to specific management prescriptions for threatened species, which are delivered via the </w:t>
      </w:r>
      <w:r>
        <w:rPr>
          <w:i/>
          <w:iCs/>
        </w:rPr>
        <w:t xml:space="preserve">Threatened Fauna Adviser </w:t>
      </w:r>
      <w:r>
        <w:t xml:space="preserve">decision support system (FPA 2014). The management prescriptions developed for the giant freshwater crayfish are based on recommended actions delivered through the </w:t>
      </w:r>
      <w:r>
        <w:rPr>
          <w:i/>
          <w:iCs/>
        </w:rPr>
        <w:t>Threatened Fauna Adviser,</w:t>
      </w:r>
      <w:r>
        <w:t xml:space="preserve"> and any supplementary specialist advice, and are in addition to the general requirements of the soil and water provisions of the Forest Practices Code. Areas reserved for threatened species purposes become vulnerable land upon expiry of the FPP. Any proposed future clearing or harvesting on such vulnerable land retained for the conservation of threatened species, such as </w:t>
      </w:r>
      <w:r w:rsidRPr="00F306A0">
        <w:rPr>
          <w:iCs/>
        </w:rPr>
        <w:t xml:space="preserve">the giant freshwater </w:t>
      </w:r>
      <w:r>
        <w:rPr>
          <w:iCs/>
        </w:rPr>
        <w:t>crayfish, requires a Forest Practices Plan, and is therefore provided a measure of security into the future</w:t>
      </w:r>
      <w:r w:rsidRPr="00F306A0">
        <w:rPr>
          <w:iCs/>
        </w:rPr>
        <w:t xml:space="preserve"> </w:t>
      </w:r>
      <w:r>
        <w:t>(</w:t>
      </w:r>
      <w:r>
        <w:rPr>
          <w:i/>
          <w:iCs/>
        </w:rPr>
        <w:t>Forest Practices</w:t>
      </w:r>
      <w:r>
        <w:t xml:space="preserve"> </w:t>
      </w:r>
      <w:r>
        <w:rPr>
          <w:i/>
          <w:iCs/>
        </w:rPr>
        <w:t>Act 1985</w:t>
      </w:r>
      <w:r>
        <w:t>).</w:t>
      </w:r>
    </w:p>
    <w:p w14:paraId="1B5C2D3A" w14:textId="77777777" w:rsidR="00F53D9E" w:rsidRDefault="00AC555B" w:rsidP="00F53D9E">
      <w:r>
        <w:t xml:space="preserve">Over the past decade a number of </w:t>
      </w:r>
      <w:r>
        <w:rPr>
          <w:rFonts w:cs="Arial"/>
          <w:szCs w:val="20"/>
        </w:rPr>
        <w:t>improvements have been made to the Forest Practices Code</w:t>
      </w:r>
      <w:r>
        <w:t xml:space="preserve"> in response to the outcomes of research into t</w:t>
      </w:r>
      <w:r w:rsidRPr="00E92B8F">
        <w:rPr>
          <w:rFonts w:cs="Arial"/>
          <w:szCs w:val="20"/>
        </w:rPr>
        <w:t>he impact of forestry on streams</w:t>
      </w:r>
      <w:r>
        <w:rPr>
          <w:rFonts w:cs="Arial"/>
          <w:szCs w:val="20"/>
        </w:rPr>
        <w:t xml:space="preserve"> and stream biota, particularly in relation to</w:t>
      </w:r>
      <w:r w:rsidRPr="00D96118">
        <w:rPr>
          <w:rFonts w:cs="Arial"/>
          <w:szCs w:val="20"/>
        </w:rPr>
        <w:t xml:space="preserve"> </w:t>
      </w:r>
      <w:r w:rsidRPr="00E92B8F">
        <w:rPr>
          <w:rFonts w:cs="Arial"/>
          <w:szCs w:val="20"/>
        </w:rPr>
        <w:t xml:space="preserve">provisions for headwater (Class </w:t>
      </w:r>
      <w:r>
        <w:rPr>
          <w:rFonts w:cs="Arial"/>
          <w:szCs w:val="20"/>
        </w:rPr>
        <w:t xml:space="preserve">3 and </w:t>
      </w:r>
      <w:r w:rsidRPr="00E92B8F">
        <w:rPr>
          <w:rFonts w:cs="Arial"/>
          <w:szCs w:val="20"/>
        </w:rPr>
        <w:t>4) streams</w:t>
      </w:r>
      <w:r>
        <w:rPr>
          <w:rFonts w:cs="Arial"/>
          <w:szCs w:val="20"/>
        </w:rPr>
        <w:t>.</w:t>
      </w:r>
      <w:r>
        <w:t xml:space="preserve"> </w:t>
      </w:r>
      <w:r>
        <w:rPr>
          <w:rFonts w:cs="Arial"/>
          <w:szCs w:val="20"/>
        </w:rPr>
        <w:t>The general provisions of the Forest Practices Code</w:t>
      </w:r>
      <w:r w:rsidRPr="00E92B8F">
        <w:rPr>
          <w:rFonts w:cs="Arial"/>
          <w:szCs w:val="20"/>
        </w:rPr>
        <w:t xml:space="preserve"> for </w:t>
      </w:r>
      <w:r>
        <w:rPr>
          <w:rFonts w:cs="Arial"/>
          <w:szCs w:val="20"/>
        </w:rPr>
        <w:t>the management of soil and water also contribute to the mitigation of forestry impacts to the habitat of threatened species.</w:t>
      </w:r>
      <w:r w:rsidRPr="00B11CE5">
        <w:rPr>
          <w:rFonts w:cs="Arial"/>
          <w:szCs w:val="20"/>
        </w:rPr>
        <w:t xml:space="preserve"> </w:t>
      </w:r>
      <w:r w:rsidRPr="00E92B8F">
        <w:rPr>
          <w:rFonts w:cs="Arial"/>
          <w:szCs w:val="20"/>
        </w:rPr>
        <w:t xml:space="preserve">Improvements </w:t>
      </w:r>
      <w:r>
        <w:rPr>
          <w:rFonts w:cs="Arial"/>
          <w:szCs w:val="20"/>
        </w:rPr>
        <w:t>designed</w:t>
      </w:r>
      <w:r w:rsidRPr="00E92B8F">
        <w:rPr>
          <w:rFonts w:cs="Arial"/>
          <w:szCs w:val="20"/>
        </w:rPr>
        <w:t xml:space="preserve"> to mitigate impacts of forestry operations on streams and associated biota include</w:t>
      </w:r>
      <w:r>
        <w:rPr>
          <w:rFonts w:cs="Arial"/>
          <w:szCs w:val="20"/>
        </w:rPr>
        <w:t>:</w:t>
      </w:r>
    </w:p>
    <w:p w14:paraId="1B5C2D3B" w14:textId="77777777" w:rsidR="00F53D9E" w:rsidRPr="00BD4F01" w:rsidRDefault="00AC555B" w:rsidP="00F53D9E">
      <w:pPr>
        <w:pStyle w:val="ListParagraph"/>
        <w:numPr>
          <w:ilvl w:val="0"/>
          <w:numId w:val="9"/>
        </w:numPr>
        <w:autoSpaceDE w:val="0"/>
        <w:autoSpaceDN w:val="0"/>
        <w:adjustRightInd w:val="0"/>
        <w:spacing w:after="120"/>
        <w:ind w:left="850" w:hanging="425"/>
        <w:rPr>
          <w:rFonts w:cs="Arial"/>
          <w:szCs w:val="20"/>
        </w:rPr>
      </w:pPr>
      <w:r>
        <w:rPr>
          <w:lang w:val="en-US"/>
        </w:rPr>
        <w:t>I</w:t>
      </w:r>
      <w:r w:rsidRPr="001260CE">
        <w:rPr>
          <w:lang w:val="en-US"/>
        </w:rPr>
        <w:t xml:space="preserve">ntroduction </w:t>
      </w:r>
      <w:r>
        <w:rPr>
          <w:lang w:val="en-US"/>
        </w:rPr>
        <w:t xml:space="preserve">of </w:t>
      </w:r>
      <w:r w:rsidRPr="001260CE">
        <w:rPr>
          <w:lang w:val="en-US"/>
        </w:rPr>
        <w:t xml:space="preserve">statewide headwater stream protection (Class 4 stream guidelines) </w:t>
      </w:r>
      <w:r>
        <w:rPr>
          <w:lang w:val="en-US"/>
        </w:rPr>
        <w:t>i</w:t>
      </w:r>
      <w:r w:rsidRPr="001260CE">
        <w:rPr>
          <w:lang w:val="en-US"/>
        </w:rPr>
        <w:t>n 2004,</w:t>
      </w:r>
      <w:r>
        <w:rPr>
          <w:lang w:val="en-US"/>
        </w:rPr>
        <w:t xml:space="preserve"> </w:t>
      </w:r>
      <w:r w:rsidRPr="001260CE">
        <w:rPr>
          <w:lang w:val="en-US"/>
        </w:rPr>
        <w:t>to manage erosion risk and sedimentation (McIntosh 200</w:t>
      </w:r>
      <w:r>
        <w:rPr>
          <w:lang w:val="en-US"/>
        </w:rPr>
        <w:t>4;</w:t>
      </w:r>
      <w:r w:rsidRPr="001260CE">
        <w:rPr>
          <w:lang w:val="en-US"/>
        </w:rPr>
        <w:t xml:space="preserve"> McIntosh et al.</w:t>
      </w:r>
      <w:r w:rsidRPr="001260CE">
        <w:rPr>
          <w:i/>
          <w:lang w:val="en-US"/>
        </w:rPr>
        <w:t xml:space="preserve"> </w:t>
      </w:r>
      <w:r w:rsidRPr="002C383A">
        <w:rPr>
          <w:lang w:val="en-US"/>
        </w:rPr>
        <w:t>2005)</w:t>
      </w:r>
      <w:r>
        <w:rPr>
          <w:lang w:val="en-US"/>
        </w:rPr>
        <w:t>.</w:t>
      </w:r>
    </w:p>
    <w:p w14:paraId="1B5C2D3C" w14:textId="77777777" w:rsidR="00F53D9E" w:rsidRPr="00952C8A" w:rsidRDefault="00AC555B" w:rsidP="00F53D9E">
      <w:pPr>
        <w:pStyle w:val="ListParagraph"/>
        <w:numPr>
          <w:ilvl w:val="0"/>
          <w:numId w:val="9"/>
        </w:numPr>
        <w:autoSpaceDE w:val="0"/>
        <w:autoSpaceDN w:val="0"/>
        <w:adjustRightInd w:val="0"/>
        <w:spacing w:after="120"/>
        <w:ind w:left="850" w:hanging="425"/>
        <w:rPr>
          <w:rFonts w:cs="Arial"/>
          <w:szCs w:val="20"/>
        </w:rPr>
      </w:pPr>
      <w:r>
        <w:rPr>
          <w:lang w:val="en-US"/>
        </w:rPr>
        <w:t xml:space="preserve">Introduction of </w:t>
      </w:r>
      <w:r w:rsidRPr="001260CE">
        <w:rPr>
          <w:lang w:val="en-US"/>
        </w:rPr>
        <w:t>minimum 10</w:t>
      </w:r>
      <w:r>
        <w:rPr>
          <w:lang w:val="en-US"/>
        </w:rPr>
        <w:t xml:space="preserve"> </w:t>
      </w:r>
      <w:r w:rsidRPr="001260CE">
        <w:rPr>
          <w:lang w:val="en-US"/>
        </w:rPr>
        <w:t xml:space="preserve">m reserves (on either side of stream) </w:t>
      </w:r>
      <w:r>
        <w:rPr>
          <w:lang w:val="en-US"/>
        </w:rPr>
        <w:t>i</w:t>
      </w:r>
      <w:r w:rsidRPr="001260CE">
        <w:rPr>
          <w:lang w:val="en-US"/>
        </w:rPr>
        <w:t>n 2002,</w:t>
      </w:r>
      <w:r>
        <w:rPr>
          <w:lang w:val="en-US"/>
        </w:rPr>
        <w:t xml:space="preserve"> </w:t>
      </w:r>
      <w:r w:rsidRPr="001260CE">
        <w:rPr>
          <w:lang w:val="en-US"/>
        </w:rPr>
        <w:t xml:space="preserve">for headwater streams </w:t>
      </w:r>
      <w:r>
        <w:rPr>
          <w:lang w:val="en-US"/>
        </w:rPr>
        <w:t>with suitable habitat for</w:t>
      </w:r>
      <w:r w:rsidRPr="001260CE">
        <w:rPr>
          <w:lang w:val="en-US"/>
        </w:rPr>
        <w:t xml:space="preserve"> </w:t>
      </w:r>
      <w:r>
        <w:rPr>
          <w:lang w:val="en-US"/>
        </w:rPr>
        <w:t>giant freshwater crayfish (FPB</w:t>
      </w:r>
      <w:r w:rsidRPr="001260CE">
        <w:rPr>
          <w:lang w:val="en-US"/>
        </w:rPr>
        <w:t xml:space="preserve"> 2002)</w:t>
      </w:r>
      <w:r>
        <w:rPr>
          <w:lang w:val="en-US"/>
        </w:rPr>
        <w:t>.</w:t>
      </w:r>
    </w:p>
    <w:p w14:paraId="1B5C2D3D" w14:textId="77777777" w:rsidR="00F53D9E" w:rsidRPr="00BD4F01" w:rsidRDefault="00AC555B" w:rsidP="00F53D9E">
      <w:pPr>
        <w:pStyle w:val="ListParagraph"/>
        <w:numPr>
          <w:ilvl w:val="0"/>
          <w:numId w:val="9"/>
        </w:numPr>
        <w:autoSpaceDE w:val="0"/>
        <w:autoSpaceDN w:val="0"/>
        <w:adjustRightInd w:val="0"/>
        <w:spacing w:after="120"/>
        <w:ind w:left="850" w:hanging="425"/>
        <w:rPr>
          <w:rFonts w:cs="Arial"/>
          <w:szCs w:val="20"/>
        </w:rPr>
      </w:pPr>
      <w:r w:rsidRPr="00271679">
        <w:rPr>
          <w:lang w:val="en-US"/>
        </w:rPr>
        <w:t xml:space="preserve">Introduction of 30 m stream-side reserves (on either side of stream) in 2002, for headwater streams with a known locality for giant freshwater crayfish within </w:t>
      </w:r>
      <w:r>
        <w:rPr>
          <w:lang w:val="en-US"/>
        </w:rPr>
        <w:t>two</w:t>
      </w:r>
      <w:r w:rsidRPr="00271679">
        <w:rPr>
          <w:lang w:val="en-US"/>
        </w:rPr>
        <w:t xml:space="preserve"> </w:t>
      </w:r>
      <w:proofErr w:type="spellStart"/>
      <w:r w:rsidRPr="00271679">
        <w:rPr>
          <w:lang w:val="en-US"/>
        </w:rPr>
        <w:t>kilometres</w:t>
      </w:r>
      <w:proofErr w:type="spellEnd"/>
      <w:r w:rsidRPr="00271679">
        <w:rPr>
          <w:lang w:val="en-US"/>
        </w:rPr>
        <w:t xml:space="preserve"> downstream (FPB 2002).</w:t>
      </w:r>
    </w:p>
    <w:p w14:paraId="1B5C2D3E" w14:textId="77777777" w:rsidR="00F53D9E" w:rsidRDefault="00AC555B" w:rsidP="00F53D9E">
      <w:pPr>
        <w:pStyle w:val="ListParagraph"/>
        <w:numPr>
          <w:ilvl w:val="0"/>
          <w:numId w:val="9"/>
        </w:numPr>
        <w:autoSpaceDE w:val="0"/>
        <w:autoSpaceDN w:val="0"/>
        <w:adjustRightInd w:val="0"/>
        <w:spacing w:after="120"/>
        <w:ind w:left="850" w:hanging="425"/>
        <w:rPr>
          <w:rFonts w:cs="Arial"/>
          <w:szCs w:val="20"/>
        </w:rPr>
      </w:pPr>
      <w:r>
        <w:rPr>
          <w:lang w:val="en-US"/>
        </w:rPr>
        <w:t xml:space="preserve">Introduction of </w:t>
      </w:r>
      <w:r w:rsidRPr="00BD4F01">
        <w:rPr>
          <w:lang w:val="en-US"/>
        </w:rPr>
        <w:t>minimum</w:t>
      </w:r>
      <w:r>
        <w:rPr>
          <w:lang w:val="en-US"/>
        </w:rPr>
        <w:t xml:space="preserve"> </w:t>
      </w:r>
      <w:r w:rsidRPr="00BD4F01">
        <w:rPr>
          <w:lang w:val="en-US"/>
        </w:rPr>
        <w:t>30</w:t>
      </w:r>
      <w:r>
        <w:rPr>
          <w:lang w:val="en-US"/>
        </w:rPr>
        <w:t xml:space="preserve"> </w:t>
      </w:r>
      <w:r w:rsidRPr="00BD4F01">
        <w:rPr>
          <w:lang w:val="en-US"/>
        </w:rPr>
        <w:t>m reserves (on either side of stream) in 2010</w:t>
      </w:r>
      <w:r>
        <w:rPr>
          <w:lang w:val="en-US"/>
        </w:rPr>
        <w:t xml:space="preserve">, </w:t>
      </w:r>
      <w:r w:rsidRPr="00BD4F01">
        <w:rPr>
          <w:lang w:val="en-US"/>
        </w:rPr>
        <w:t>for headwater streams with high suitable potential habitat of juvenile</w:t>
      </w:r>
      <w:r>
        <w:rPr>
          <w:lang w:val="en-US"/>
        </w:rPr>
        <w:t xml:space="preserve"> giant freshwater crayfish</w:t>
      </w:r>
      <w:r w:rsidRPr="00BD4F01">
        <w:rPr>
          <w:lang w:val="en-US"/>
        </w:rPr>
        <w:t xml:space="preserve"> irrespective of a known locality being present (Davies</w:t>
      </w:r>
      <w:r w:rsidRPr="00BD4F01">
        <w:rPr>
          <w:i/>
          <w:lang w:val="en-US"/>
        </w:rPr>
        <w:t xml:space="preserve"> </w:t>
      </w:r>
      <w:r w:rsidRPr="00BD4F01">
        <w:rPr>
          <w:lang w:val="en-US"/>
        </w:rPr>
        <w:t>et al.</w:t>
      </w:r>
      <w:r>
        <w:rPr>
          <w:lang w:val="en-US"/>
        </w:rPr>
        <w:t xml:space="preserve"> 2005, 2007; FPA 2013,</w:t>
      </w:r>
      <w:r w:rsidRPr="00BD4F01">
        <w:rPr>
          <w:lang w:val="en-US"/>
        </w:rPr>
        <w:t xml:space="preserve"> 2014).</w:t>
      </w:r>
    </w:p>
    <w:p w14:paraId="1B5C2D3F" w14:textId="77777777" w:rsidR="00F53D9E" w:rsidRPr="00F74738" w:rsidRDefault="00AC555B" w:rsidP="00F53D9E">
      <w:pPr>
        <w:pStyle w:val="ListParagraph"/>
        <w:numPr>
          <w:ilvl w:val="0"/>
          <w:numId w:val="8"/>
        </w:numPr>
        <w:autoSpaceDE w:val="0"/>
        <w:autoSpaceDN w:val="0"/>
        <w:adjustRightInd w:val="0"/>
        <w:spacing w:after="120"/>
        <w:ind w:left="850" w:hanging="425"/>
        <w:rPr>
          <w:rFonts w:cs="Arial"/>
          <w:szCs w:val="20"/>
        </w:rPr>
      </w:pPr>
      <w:r>
        <w:rPr>
          <w:lang w:val="en-US"/>
        </w:rPr>
        <w:t xml:space="preserve">Introduction of </w:t>
      </w:r>
      <w:r w:rsidRPr="00F74738">
        <w:rPr>
          <w:rFonts w:cs="Arial"/>
          <w:szCs w:val="20"/>
        </w:rPr>
        <w:t>constrai</w:t>
      </w:r>
      <w:r>
        <w:rPr>
          <w:rFonts w:cs="Arial"/>
          <w:szCs w:val="20"/>
        </w:rPr>
        <w:t>nts on</w:t>
      </w:r>
      <w:r w:rsidRPr="00F74738">
        <w:rPr>
          <w:rFonts w:cs="Arial"/>
          <w:szCs w:val="20"/>
        </w:rPr>
        <w:t xml:space="preserve"> the maximum size of coupes o</w:t>
      </w:r>
      <w:r>
        <w:rPr>
          <w:rFonts w:cs="Arial"/>
          <w:szCs w:val="20"/>
        </w:rPr>
        <w:t>n steep land to less than 51 ha.</w:t>
      </w:r>
    </w:p>
    <w:p w14:paraId="1B5C2D40" w14:textId="77777777" w:rsidR="00F53D9E" w:rsidRDefault="00AC555B" w:rsidP="00F53D9E">
      <w:pPr>
        <w:pStyle w:val="ListParagraph"/>
        <w:numPr>
          <w:ilvl w:val="0"/>
          <w:numId w:val="8"/>
        </w:numPr>
        <w:autoSpaceDE w:val="0"/>
        <w:autoSpaceDN w:val="0"/>
        <w:adjustRightInd w:val="0"/>
        <w:spacing w:after="120"/>
        <w:ind w:left="850" w:hanging="425"/>
        <w:rPr>
          <w:rFonts w:cs="Arial"/>
          <w:szCs w:val="20"/>
        </w:rPr>
      </w:pPr>
      <w:r>
        <w:rPr>
          <w:rFonts w:cs="Arial"/>
          <w:szCs w:val="20"/>
        </w:rPr>
        <w:t>The d</w:t>
      </w:r>
      <w:r w:rsidRPr="00F74738">
        <w:rPr>
          <w:rFonts w:cs="Arial"/>
          <w:szCs w:val="20"/>
        </w:rPr>
        <w:t>ispersal of individual coupes (</w:t>
      </w:r>
      <w:r w:rsidRPr="00F74738">
        <w:rPr>
          <w:rFonts w:cs="Arial"/>
          <w:i/>
          <w:iCs/>
          <w:szCs w:val="20"/>
        </w:rPr>
        <w:t>Forest Practices Code 2000</w:t>
      </w:r>
      <w:r w:rsidRPr="00F74738">
        <w:rPr>
          <w:rFonts w:cs="Arial"/>
          <w:szCs w:val="20"/>
        </w:rPr>
        <w:t>), rather than dispersal of</w:t>
      </w:r>
      <w:r>
        <w:rPr>
          <w:rFonts w:cs="Arial"/>
          <w:szCs w:val="20"/>
        </w:rPr>
        <w:t xml:space="preserve"> </w:t>
      </w:r>
      <w:r w:rsidRPr="00D96118">
        <w:rPr>
          <w:rFonts w:cs="Arial"/>
          <w:szCs w:val="20"/>
        </w:rPr>
        <w:t>aggregates of coupes (</w:t>
      </w:r>
      <w:r w:rsidRPr="00D96118">
        <w:rPr>
          <w:rFonts w:cs="Arial"/>
          <w:i/>
          <w:iCs/>
          <w:szCs w:val="20"/>
        </w:rPr>
        <w:t>Forest Practices Code 1993</w:t>
      </w:r>
      <w:r>
        <w:rPr>
          <w:rFonts w:cs="Arial"/>
          <w:szCs w:val="20"/>
        </w:rPr>
        <w:t xml:space="preserve">). </w:t>
      </w:r>
    </w:p>
    <w:p w14:paraId="1B5C2D41" w14:textId="77777777" w:rsidR="00F53D9E" w:rsidRPr="00B11CE5" w:rsidRDefault="00AC555B" w:rsidP="00F53D9E">
      <w:pPr>
        <w:pStyle w:val="ListParagraph"/>
        <w:numPr>
          <w:ilvl w:val="0"/>
          <w:numId w:val="8"/>
        </w:numPr>
        <w:autoSpaceDE w:val="0"/>
        <w:autoSpaceDN w:val="0"/>
        <w:adjustRightInd w:val="0"/>
        <w:ind w:left="851" w:hanging="425"/>
        <w:rPr>
          <w:rFonts w:cs="Arial"/>
          <w:szCs w:val="20"/>
        </w:rPr>
      </w:pPr>
      <w:r>
        <w:rPr>
          <w:lang w:val="en-US"/>
        </w:rPr>
        <w:t xml:space="preserve">Introduction of </w:t>
      </w:r>
      <w:r w:rsidRPr="00F74738">
        <w:rPr>
          <w:rFonts w:cs="Arial"/>
          <w:szCs w:val="20"/>
        </w:rPr>
        <w:t>constrai</w:t>
      </w:r>
      <w:r>
        <w:rPr>
          <w:rFonts w:cs="Arial"/>
          <w:szCs w:val="20"/>
        </w:rPr>
        <w:t>nts</w:t>
      </w:r>
      <w:r w:rsidRPr="00B11CE5">
        <w:rPr>
          <w:rFonts w:cs="Arial"/>
          <w:szCs w:val="20"/>
        </w:rPr>
        <w:t xml:space="preserve"> on harvest area in sensitive catchments.</w:t>
      </w:r>
      <w:r>
        <w:t xml:space="preserve"> </w:t>
      </w:r>
    </w:p>
    <w:p w14:paraId="1B5C2D42" w14:textId="77777777" w:rsidR="00F53D9E" w:rsidRPr="00B11CE5" w:rsidRDefault="00AC555B" w:rsidP="00F53D9E">
      <w:pPr>
        <w:autoSpaceDE w:val="0"/>
        <w:autoSpaceDN w:val="0"/>
        <w:adjustRightInd w:val="0"/>
        <w:rPr>
          <w:rFonts w:cs="Arial"/>
          <w:szCs w:val="20"/>
        </w:rPr>
      </w:pPr>
      <w:r>
        <w:t>Guidelines are also available with recommended management practices for works in waterways (Gallagher 2003) and to protect and rehabilitate riparian zones on agricultural land (</w:t>
      </w:r>
      <w:proofErr w:type="spellStart"/>
      <w:r>
        <w:t>Munks</w:t>
      </w:r>
      <w:proofErr w:type="spellEnd"/>
      <w:r>
        <w:t xml:space="preserve"> 1996; Hamlet 2002). </w:t>
      </w:r>
    </w:p>
    <w:p w14:paraId="1B5C2D43" w14:textId="77777777" w:rsidR="00F53D9E" w:rsidRPr="002670F8" w:rsidRDefault="00AC555B" w:rsidP="00F53D9E">
      <w:pPr>
        <w:pStyle w:val="Heading1"/>
        <w:spacing w:after="120"/>
        <w:rPr>
          <w:highlight w:val="yellow"/>
        </w:rPr>
      </w:pPr>
      <w:bookmarkStart w:id="269" w:name="_Toc256000176"/>
      <w:bookmarkStart w:id="270" w:name="_Toc256000130"/>
      <w:bookmarkStart w:id="271" w:name="_Toc256000082"/>
      <w:bookmarkStart w:id="272" w:name="_Toc256000034"/>
      <w:bookmarkStart w:id="273" w:name="_Toc458697065"/>
      <w:r>
        <w:lastRenderedPageBreak/>
        <w:t>6</w:t>
      </w:r>
      <w:r w:rsidRPr="00425C89">
        <w:tab/>
        <w:t>Populations under particular</w:t>
      </w:r>
      <w:r>
        <w:t xml:space="preserve"> pressure</w:t>
      </w:r>
      <w:bookmarkEnd w:id="269"/>
      <w:bookmarkEnd w:id="270"/>
      <w:bookmarkEnd w:id="271"/>
      <w:bookmarkEnd w:id="272"/>
      <w:bookmarkEnd w:id="273"/>
      <w:r w:rsidRPr="009346BB">
        <w:t xml:space="preserve"> </w:t>
      </w:r>
    </w:p>
    <w:p w14:paraId="1B5C2D44" w14:textId="77777777" w:rsidR="00F53D9E" w:rsidRDefault="00AC555B" w:rsidP="00F53D9E">
      <w:bookmarkStart w:id="274" w:name="_Toc390850807"/>
      <w:r w:rsidRPr="008A08B0">
        <w:t xml:space="preserve">The actions described in this recovery plan are designed to provide ongoing protection for </w:t>
      </w:r>
      <w:r>
        <w:t>the giant freshwater crayfish</w:t>
      </w:r>
      <w:r w:rsidRPr="008A08B0">
        <w:t xml:space="preserve"> throughout </w:t>
      </w:r>
      <w:r>
        <w:t>its</w:t>
      </w:r>
      <w:r w:rsidRPr="008A08B0">
        <w:t xml:space="preserve"> range.</w:t>
      </w:r>
      <w:bookmarkEnd w:id="274"/>
      <w:r>
        <w:t xml:space="preserve"> </w:t>
      </w:r>
    </w:p>
    <w:p w14:paraId="1B5C2D45" w14:textId="77777777" w:rsidR="00F53D9E" w:rsidRDefault="00AC555B">
      <w:pPr>
        <w:spacing w:after="0" w:line="240" w:lineRule="auto"/>
        <w:rPr>
          <w:rFonts w:ascii="Arial Bold" w:hAnsi="Arial Bold" w:cs="Arial"/>
          <w:b/>
          <w:color w:val="17365D" w:themeColor="text2" w:themeShade="BF"/>
          <w:sz w:val="44"/>
        </w:rPr>
      </w:pPr>
      <w:r w:rsidRPr="00425C89">
        <w:t xml:space="preserve">Giant freshwater </w:t>
      </w:r>
      <w:r>
        <w:t>crayfish</w:t>
      </w:r>
      <w:r w:rsidRPr="00425C89">
        <w:t xml:space="preserve"> </w:t>
      </w:r>
      <w:r>
        <w:t xml:space="preserve">populations </w:t>
      </w:r>
      <w:r w:rsidRPr="00425C89">
        <w:t>have a restricted distribution and have experienced reductions in the number of mature individuals</w:t>
      </w:r>
      <w:r>
        <w:t xml:space="preserve"> within a three generation period</w:t>
      </w:r>
      <w:r w:rsidRPr="00425C89">
        <w:t xml:space="preserve">, </w:t>
      </w:r>
      <w:r>
        <w:t xml:space="preserve">and also decreases in the </w:t>
      </w:r>
      <w:r w:rsidRPr="00425C89">
        <w:t>extent of occurrence and area and quality of habitat</w:t>
      </w:r>
      <w:r>
        <w:t xml:space="preserve"> (TSS 2006)</w:t>
      </w:r>
      <w:r w:rsidRPr="00425C89">
        <w:t xml:space="preserve">, all of which present significant challenges for their recovery and exert strong pressures on their survival in the wild. </w:t>
      </w:r>
      <w:r>
        <w:t xml:space="preserve">Giant freshwater crayfish may also be at increased survival risk as a result of future climate change scenarios. </w:t>
      </w:r>
      <w:r w:rsidRPr="00425C89">
        <w:t xml:space="preserve">Given these challenges all populations of giant freshwater </w:t>
      </w:r>
      <w:r>
        <w:t>crayfish (as identified in the known/likely to occur distribution categories in Table 2 and Figure 1)</w:t>
      </w:r>
      <w:r w:rsidRPr="00425C89">
        <w:t xml:space="preserve"> require protective measures.</w:t>
      </w:r>
      <w:r>
        <w:t xml:space="preserve"> These measures should be targeted to the local landscape context and the specific needs of the given population. </w:t>
      </w:r>
      <w:bookmarkStart w:id="275" w:name="_Toc458697066"/>
    </w:p>
    <w:p w14:paraId="1B5C2D46" w14:textId="77777777" w:rsidR="00F53D9E" w:rsidRDefault="00AC555B" w:rsidP="00F53D9E">
      <w:pPr>
        <w:pStyle w:val="Heading1"/>
        <w:spacing w:before="120" w:after="120"/>
        <w:rPr>
          <w:highlight w:val="yellow"/>
        </w:rPr>
      </w:pPr>
      <w:bookmarkStart w:id="276" w:name="_Toc256000177"/>
      <w:bookmarkStart w:id="277" w:name="_Toc256000131"/>
      <w:bookmarkStart w:id="278" w:name="_Toc256000083"/>
      <w:bookmarkStart w:id="279" w:name="_Toc256000035"/>
      <w:r>
        <w:t>7</w:t>
      </w:r>
      <w:r>
        <w:tab/>
        <w:t>Objectives and strategies</w:t>
      </w:r>
      <w:bookmarkEnd w:id="276"/>
      <w:bookmarkEnd w:id="277"/>
      <w:bookmarkEnd w:id="278"/>
      <w:bookmarkEnd w:id="279"/>
      <w:bookmarkEnd w:id="275"/>
    </w:p>
    <w:p w14:paraId="1B5C2D47" w14:textId="77777777" w:rsidR="00F53D9E" w:rsidRPr="00FA3E68" w:rsidRDefault="00AC555B" w:rsidP="00F53D9E">
      <w:r w:rsidRPr="00FA3E68">
        <w:t>The objectives of this recovery plan are to:</w:t>
      </w:r>
    </w:p>
    <w:p w14:paraId="1B5C2D48" w14:textId="77777777" w:rsidR="00F53D9E" w:rsidRDefault="00AC555B" w:rsidP="00F53D9E">
      <w:pPr>
        <w:pStyle w:val="ListBullet"/>
        <w:numPr>
          <w:ilvl w:val="0"/>
          <w:numId w:val="22"/>
        </w:numPr>
        <w:spacing w:after="120"/>
      </w:pPr>
      <w:r>
        <w:t>Identify, conserve and manage key locations to support increasing populations of the giant freshwater crayfish, with a healthy demographic structure.</w:t>
      </w:r>
    </w:p>
    <w:p w14:paraId="1B5C2D49" w14:textId="77777777" w:rsidR="00F53D9E" w:rsidRDefault="00AC555B" w:rsidP="00F53D9E">
      <w:pPr>
        <w:pStyle w:val="ListBullet"/>
        <w:numPr>
          <w:ilvl w:val="0"/>
          <w:numId w:val="22"/>
        </w:numPr>
        <w:spacing w:after="120"/>
      </w:pPr>
      <w:r>
        <w:t>Address threats and improve habitat quality across the species’ range.</w:t>
      </w:r>
      <w:r w:rsidRPr="0011026A">
        <w:t xml:space="preserve"> </w:t>
      </w:r>
    </w:p>
    <w:p w14:paraId="1B5C2D4A" w14:textId="77777777" w:rsidR="00F53D9E" w:rsidRPr="0011026A" w:rsidRDefault="00AC555B" w:rsidP="00F53D9E">
      <w:pPr>
        <w:pStyle w:val="ListBullet"/>
        <w:ind w:left="0" w:firstLine="0"/>
      </w:pPr>
      <w:r w:rsidRPr="0011026A">
        <w:t xml:space="preserve">The strategies to achieve the plans’ objectives are to: </w:t>
      </w:r>
    </w:p>
    <w:p w14:paraId="1B5C2D4B" w14:textId="77777777" w:rsidR="00F53D9E" w:rsidRDefault="00AC555B" w:rsidP="00F53D9E">
      <w:pPr>
        <w:pStyle w:val="ListBullet"/>
        <w:numPr>
          <w:ilvl w:val="0"/>
          <w:numId w:val="22"/>
        </w:numPr>
        <w:spacing w:after="120"/>
      </w:pPr>
      <w:r>
        <w:t>Conduct population trend monitoring and research to assess the current status of the species and evaluate the effectiveness of recovery actions.</w:t>
      </w:r>
    </w:p>
    <w:p w14:paraId="1B5C2D4C" w14:textId="77777777" w:rsidR="00F53D9E" w:rsidRDefault="00AC555B" w:rsidP="00F53D9E">
      <w:pPr>
        <w:pStyle w:val="ListBullet"/>
        <w:numPr>
          <w:ilvl w:val="0"/>
          <w:numId w:val="22"/>
        </w:numPr>
        <w:spacing w:after="120"/>
      </w:pPr>
      <w:r>
        <w:t>Mitigate key threats impacting upon giant freshwater crayfish habitat.</w:t>
      </w:r>
    </w:p>
    <w:p w14:paraId="1B5C2D4D" w14:textId="77777777" w:rsidR="00F53D9E" w:rsidRDefault="00AC555B" w:rsidP="00F53D9E">
      <w:pPr>
        <w:pStyle w:val="ListBullet"/>
        <w:numPr>
          <w:ilvl w:val="0"/>
          <w:numId w:val="22"/>
        </w:numPr>
        <w:spacing w:after="120"/>
      </w:pPr>
      <w:r w:rsidRPr="00D34645">
        <w:t xml:space="preserve">Increase the reservation status </w:t>
      </w:r>
      <w:r>
        <w:t xml:space="preserve">and improve the quality of identified </w:t>
      </w:r>
      <w:r w:rsidRPr="00D34645">
        <w:t xml:space="preserve">key </w:t>
      </w:r>
      <w:r>
        <w:t>locations</w:t>
      </w:r>
      <w:r w:rsidRPr="00D34645">
        <w:t xml:space="preserve"> </w:t>
      </w:r>
      <w:r>
        <w:t xml:space="preserve">for the </w:t>
      </w:r>
      <w:r w:rsidRPr="00D34645">
        <w:t xml:space="preserve">giant freshwater </w:t>
      </w:r>
      <w:r>
        <w:t>crayfish.</w:t>
      </w:r>
      <w:r w:rsidRPr="00D34645">
        <w:t xml:space="preserve"> </w:t>
      </w:r>
    </w:p>
    <w:p w14:paraId="1B5C2D4E" w14:textId="77777777" w:rsidR="00F53D9E" w:rsidRDefault="00AC555B" w:rsidP="00F53D9E">
      <w:pPr>
        <w:pStyle w:val="ListBullet"/>
        <w:numPr>
          <w:ilvl w:val="0"/>
          <w:numId w:val="22"/>
        </w:numPr>
        <w:spacing w:after="120"/>
      </w:pPr>
      <w:r>
        <w:t>Reduce the impacts of illegal fishing on the giant freshwater crayfish.</w:t>
      </w:r>
    </w:p>
    <w:p w14:paraId="1B5C2D4F" w14:textId="77777777" w:rsidR="00F53D9E" w:rsidRDefault="00AC555B" w:rsidP="00F53D9E">
      <w:pPr>
        <w:pStyle w:val="ListBullet"/>
        <w:numPr>
          <w:ilvl w:val="0"/>
          <w:numId w:val="22"/>
        </w:numPr>
        <w:spacing w:after="120"/>
      </w:pPr>
      <w:r>
        <w:t xml:space="preserve">Engage with the general public, local government and NGOs in developing and delivering conservation measures. </w:t>
      </w:r>
    </w:p>
    <w:p w14:paraId="1B5C2D50" w14:textId="77777777" w:rsidR="00F53D9E" w:rsidRPr="00235A0D" w:rsidRDefault="00AC555B" w:rsidP="00F53D9E">
      <w:pPr>
        <w:pStyle w:val="Heading1"/>
      </w:pPr>
      <w:bookmarkStart w:id="280" w:name="_Toc256000178"/>
      <w:bookmarkStart w:id="281" w:name="_Toc256000132"/>
      <w:bookmarkStart w:id="282" w:name="_Toc256000084"/>
      <w:bookmarkStart w:id="283" w:name="_Toc256000036"/>
      <w:bookmarkStart w:id="284" w:name="_Toc458697067"/>
      <w:r>
        <w:t>8</w:t>
      </w:r>
      <w:r w:rsidRPr="00235A0D">
        <w:tab/>
      </w:r>
      <w:r>
        <w:t>Actions to achieve the specific objectives</w:t>
      </w:r>
      <w:bookmarkEnd w:id="280"/>
      <w:bookmarkEnd w:id="281"/>
      <w:bookmarkEnd w:id="282"/>
      <w:bookmarkEnd w:id="283"/>
      <w:bookmarkEnd w:id="284"/>
    </w:p>
    <w:p w14:paraId="1B5C2D51" w14:textId="77777777" w:rsidR="00F53D9E" w:rsidRPr="00686D02" w:rsidRDefault="00AC555B" w:rsidP="00F53D9E">
      <w:pPr>
        <w:rPr>
          <w:highlight w:val="yellow"/>
        </w:rPr>
      </w:pPr>
      <w:r w:rsidRPr="00E873EC">
        <w:t>Actions ide</w:t>
      </w:r>
      <w:r>
        <w:t xml:space="preserve">ntified for the recovery of </w:t>
      </w:r>
      <w:bookmarkStart w:id="285" w:name="OLE_LINK3"/>
      <w:r>
        <w:t>the giant freshwater crayfish</w:t>
      </w:r>
      <w:r w:rsidRPr="00E873EC">
        <w:t xml:space="preserve"> </w:t>
      </w:r>
      <w:bookmarkEnd w:id="285"/>
      <w:r w:rsidRPr="00E873EC">
        <w:t>are described bel</w:t>
      </w:r>
      <w:r>
        <w:t xml:space="preserve">ow. </w:t>
      </w:r>
      <w:r w:rsidRPr="00E873EC">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top w:val="single" w:sz="6" w:space="0" w:color="auto"/>
          <w:bottom w:val="single" w:sz="6" w:space="0" w:color="auto"/>
          <w:insideH w:val="single" w:sz="6" w:space="0" w:color="auto"/>
        </w:tblBorders>
        <w:shd w:val="clear" w:color="E4F3F0" w:fill="auto"/>
        <w:tblLayout w:type="fixed"/>
        <w:tblCellMar>
          <w:top w:w="57" w:type="dxa"/>
          <w:left w:w="0" w:type="dxa"/>
          <w:bottom w:w="57" w:type="dxa"/>
          <w:right w:w="0" w:type="dxa"/>
        </w:tblCellMar>
        <w:tblLook w:val="0000" w:firstRow="0" w:lastRow="0" w:firstColumn="0" w:lastColumn="0" w:noHBand="0" w:noVBand="0"/>
      </w:tblPr>
      <w:tblGrid>
        <w:gridCol w:w="1195"/>
        <w:gridCol w:w="7082"/>
      </w:tblGrid>
      <w:tr w:rsidR="00F371AA" w14:paraId="1B5C2D54" w14:textId="77777777" w:rsidTr="00F53D9E">
        <w:trPr>
          <w:trHeight w:val="60"/>
        </w:trPr>
        <w:tc>
          <w:tcPr>
            <w:tcW w:w="1195" w:type="dxa"/>
            <w:shd w:val="clear" w:color="E4F3F0" w:fill="auto"/>
            <w:tcMar>
              <w:top w:w="80" w:type="dxa"/>
              <w:left w:w="80" w:type="dxa"/>
              <w:bottom w:w="113" w:type="dxa"/>
              <w:right w:w="80" w:type="dxa"/>
            </w:tcMar>
          </w:tcPr>
          <w:p w14:paraId="1B5C2D52" w14:textId="77777777" w:rsidR="00F53D9E" w:rsidRPr="0045667D" w:rsidRDefault="00AC555B" w:rsidP="00F53D9E">
            <w:pPr>
              <w:spacing w:after="0"/>
            </w:pPr>
            <w:r w:rsidRPr="0045667D">
              <w:rPr>
                <w:rStyle w:val="TextBold"/>
              </w:rPr>
              <w:t>Priority 1:</w:t>
            </w:r>
          </w:p>
        </w:tc>
        <w:tc>
          <w:tcPr>
            <w:tcW w:w="7082" w:type="dxa"/>
            <w:shd w:val="clear" w:color="E4F3F0" w:fill="auto"/>
            <w:tcMar>
              <w:top w:w="80" w:type="dxa"/>
              <w:left w:w="80" w:type="dxa"/>
              <w:bottom w:w="113" w:type="dxa"/>
              <w:right w:w="80" w:type="dxa"/>
            </w:tcMar>
          </w:tcPr>
          <w:p w14:paraId="1B5C2D53" w14:textId="77777777" w:rsidR="00F53D9E" w:rsidRPr="0045667D" w:rsidRDefault="00AC555B" w:rsidP="00F53D9E">
            <w:pPr>
              <w:spacing w:after="0"/>
            </w:pPr>
            <w:r w:rsidRPr="0045667D">
              <w:t xml:space="preserve">Taking prompt action is necessary </w:t>
            </w:r>
            <w:r>
              <w:t>to mitigate the key threats to</w:t>
            </w:r>
            <w:r w:rsidRPr="0045667D">
              <w:t xml:space="preserve"> </w:t>
            </w:r>
            <w:r>
              <w:t>the giant freshwater crayfish</w:t>
            </w:r>
            <w:r w:rsidRPr="00E873EC">
              <w:t xml:space="preserve"> </w:t>
            </w:r>
            <w:r w:rsidRPr="0045667D">
              <w:t>and also provide valuable information to help identify long-term population trends.</w:t>
            </w:r>
          </w:p>
        </w:tc>
      </w:tr>
      <w:tr w:rsidR="00F371AA" w14:paraId="1B5C2D57" w14:textId="77777777" w:rsidTr="00F53D9E">
        <w:trPr>
          <w:trHeight w:val="60"/>
        </w:trPr>
        <w:tc>
          <w:tcPr>
            <w:tcW w:w="1195" w:type="dxa"/>
            <w:shd w:val="clear" w:color="E4F3F0" w:fill="auto"/>
            <w:tcMar>
              <w:top w:w="80" w:type="dxa"/>
              <w:left w:w="80" w:type="dxa"/>
              <w:bottom w:w="113" w:type="dxa"/>
              <w:right w:w="80" w:type="dxa"/>
            </w:tcMar>
          </w:tcPr>
          <w:p w14:paraId="1B5C2D55" w14:textId="77777777" w:rsidR="00F53D9E" w:rsidRPr="0045667D" w:rsidRDefault="00AC555B" w:rsidP="00F53D9E">
            <w:pPr>
              <w:spacing w:after="0"/>
            </w:pPr>
            <w:r w:rsidRPr="0045667D">
              <w:rPr>
                <w:rStyle w:val="TextBold"/>
              </w:rPr>
              <w:t>Priority 2:</w:t>
            </w:r>
          </w:p>
        </w:tc>
        <w:tc>
          <w:tcPr>
            <w:tcW w:w="7082" w:type="dxa"/>
            <w:shd w:val="clear" w:color="E4F3F0" w:fill="auto"/>
            <w:tcMar>
              <w:top w:w="80" w:type="dxa"/>
              <w:left w:w="80" w:type="dxa"/>
              <w:bottom w:w="113" w:type="dxa"/>
              <w:right w:w="80" w:type="dxa"/>
            </w:tcMar>
          </w:tcPr>
          <w:p w14:paraId="1B5C2D56" w14:textId="77777777" w:rsidR="00F53D9E" w:rsidRPr="0045667D" w:rsidRDefault="00AC555B" w:rsidP="00F53D9E">
            <w:pPr>
              <w:spacing w:after="0"/>
            </w:pPr>
            <w:r w:rsidRPr="0045667D">
              <w:t xml:space="preserve">Action would provide a more informed basis for the long-term management and recovery of </w:t>
            </w:r>
            <w:r>
              <w:t>the giant freshwater crayfish</w:t>
            </w:r>
            <w:r w:rsidRPr="0045667D">
              <w:t>.</w:t>
            </w:r>
          </w:p>
        </w:tc>
      </w:tr>
      <w:tr w:rsidR="00F371AA" w14:paraId="1B5C2D5A" w14:textId="77777777" w:rsidTr="00F53D9E">
        <w:trPr>
          <w:trHeight w:val="60"/>
        </w:trPr>
        <w:tc>
          <w:tcPr>
            <w:tcW w:w="1195" w:type="dxa"/>
            <w:shd w:val="clear" w:color="E4F3F0" w:fill="auto"/>
            <w:tcMar>
              <w:top w:w="80" w:type="dxa"/>
              <w:left w:w="80" w:type="dxa"/>
              <w:bottom w:w="113" w:type="dxa"/>
              <w:right w:w="80" w:type="dxa"/>
            </w:tcMar>
          </w:tcPr>
          <w:p w14:paraId="1B5C2D58" w14:textId="77777777" w:rsidR="00F53D9E" w:rsidRPr="0045667D" w:rsidRDefault="00AC555B" w:rsidP="00F53D9E">
            <w:pPr>
              <w:spacing w:after="0"/>
            </w:pPr>
            <w:r w:rsidRPr="0045667D">
              <w:rPr>
                <w:rStyle w:val="TextBold"/>
              </w:rPr>
              <w:t>Priority 3:</w:t>
            </w:r>
          </w:p>
        </w:tc>
        <w:tc>
          <w:tcPr>
            <w:tcW w:w="7082" w:type="dxa"/>
            <w:shd w:val="clear" w:color="E4F3F0" w:fill="auto"/>
            <w:tcMar>
              <w:top w:w="80" w:type="dxa"/>
              <w:left w:w="80" w:type="dxa"/>
              <w:bottom w:w="113" w:type="dxa"/>
              <w:right w:w="80" w:type="dxa"/>
            </w:tcMar>
          </w:tcPr>
          <w:p w14:paraId="1B5C2D59" w14:textId="77777777" w:rsidR="00F53D9E" w:rsidRPr="0045667D" w:rsidRDefault="00AC555B" w:rsidP="00F53D9E">
            <w:pPr>
              <w:spacing w:after="0"/>
            </w:pPr>
            <w:r w:rsidRPr="0045667D">
              <w:t xml:space="preserve">Action is desirable, but not critical to the recovery of </w:t>
            </w:r>
            <w:r>
              <w:t>the giant freshwater crayfish</w:t>
            </w:r>
            <w:r w:rsidRPr="00E873EC">
              <w:t xml:space="preserve"> </w:t>
            </w:r>
            <w:r w:rsidRPr="0045667D">
              <w:t xml:space="preserve">or assessment of trends in that recovery. </w:t>
            </w:r>
          </w:p>
        </w:tc>
      </w:tr>
    </w:tbl>
    <w:p w14:paraId="1B5C2D5B" w14:textId="77777777" w:rsidR="00F53D9E" w:rsidRDefault="00F53D9E" w:rsidP="00F53D9E">
      <w:pPr>
        <w:pStyle w:val="Caption"/>
        <w:sectPr w:rsidR="00F53D9E" w:rsidSect="00F53D9E">
          <w:pgSz w:w="11906" w:h="16838" w:code="9"/>
          <w:pgMar w:top="1440" w:right="1440" w:bottom="1440" w:left="1440" w:header="425" w:footer="425" w:gutter="0"/>
          <w:cols w:space="708"/>
          <w:titlePg/>
          <w:docGrid w:linePitch="360"/>
        </w:sectPr>
      </w:pPr>
    </w:p>
    <w:p w14:paraId="1B5C2D5C" w14:textId="77777777" w:rsidR="00F53D9E" w:rsidRPr="00C1377E" w:rsidRDefault="00AC555B" w:rsidP="00F53D9E">
      <w:pPr>
        <w:pStyle w:val="Heading2"/>
        <w:rPr>
          <w:color w:val="17365D" w:themeColor="text2" w:themeShade="BF"/>
        </w:rPr>
      </w:pPr>
      <w:bookmarkStart w:id="286" w:name="_Toc256000179"/>
      <w:bookmarkStart w:id="287" w:name="_Toc256000133"/>
      <w:bookmarkStart w:id="288" w:name="_Toc256000085"/>
      <w:bookmarkStart w:id="289" w:name="_Toc256000037"/>
      <w:bookmarkStart w:id="290" w:name="_Toc458697068"/>
      <w:r w:rsidRPr="00C1377E">
        <w:rPr>
          <w:color w:val="17365D" w:themeColor="text2" w:themeShade="BF"/>
        </w:rPr>
        <w:lastRenderedPageBreak/>
        <w:t xml:space="preserve">Strategy </w:t>
      </w:r>
      <w:r>
        <w:rPr>
          <w:color w:val="17365D" w:themeColor="text2" w:themeShade="BF"/>
        </w:rPr>
        <w:t>1</w:t>
      </w:r>
      <w:r w:rsidRPr="00C1377E">
        <w:rPr>
          <w:color w:val="17365D" w:themeColor="text2" w:themeShade="BF"/>
        </w:rPr>
        <w:t xml:space="preserve"> – Conduct </w:t>
      </w:r>
      <w:r>
        <w:rPr>
          <w:color w:val="17365D" w:themeColor="text2" w:themeShade="BF"/>
        </w:rPr>
        <w:t>population trend monitoring and research to assess the current status of the species and evaluate the effectiveness of recovery actions</w:t>
      </w:r>
      <w:r w:rsidRPr="00C1377E">
        <w:rPr>
          <w:color w:val="17365D" w:themeColor="text2" w:themeShade="BF"/>
        </w:rPr>
        <w:t>.</w:t>
      </w:r>
      <w:bookmarkEnd w:id="286"/>
      <w:bookmarkEnd w:id="287"/>
      <w:bookmarkEnd w:id="288"/>
      <w:bookmarkEnd w:id="289"/>
      <w:bookmarkEnd w:id="290"/>
    </w:p>
    <w:p w14:paraId="1B5C2D5D" w14:textId="77777777" w:rsidR="00F53D9E" w:rsidRPr="00C1377E" w:rsidRDefault="00AC555B" w:rsidP="00F53D9E">
      <w:pPr>
        <w:pStyle w:val="ListBullet"/>
        <w:ind w:left="369" w:hanging="369"/>
        <w:rPr>
          <w:color w:val="808080" w:themeColor="background1" w:themeShade="80"/>
          <w:sz w:val="24"/>
          <w:szCs w:val="24"/>
        </w:rPr>
      </w:pPr>
      <w:r w:rsidRPr="00C1377E">
        <w:rPr>
          <w:color w:val="808080" w:themeColor="background1" w:themeShade="80"/>
          <w:sz w:val="24"/>
          <w:szCs w:val="24"/>
        </w:rPr>
        <w:t>Research/information actions</w:t>
      </w:r>
    </w:p>
    <w:tbl>
      <w:tblPr>
        <w:tblStyle w:val="LightGrid-Accent11"/>
        <w:tblW w:w="10348" w:type="dxa"/>
        <w:jc w:val="center"/>
        <w:tblBorders>
          <w:top w:val="single" w:sz="8" w:space="0" w:color="17365D" w:themeColor="text2" w:themeShade="BF"/>
          <w:left w:val="nil"/>
          <w:bottom w:val="single" w:sz="8" w:space="0" w:color="17365D" w:themeColor="text2" w:themeShade="BF"/>
          <w:right w:val="nil"/>
          <w:insideH w:val="single" w:sz="8" w:space="0" w:color="17365D" w:themeColor="text2" w:themeShade="BF"/>
          <w:insideV w:val="nil"/>
        </w:tblBorders>
        <w:shd w:val="clear" w:color="auto" w:fill="DBE5F1" w:themeFill="accent1" w:themeFillTint="33"/>
        <w:tblLayout w:type="fixed"/>
        <w:tblLook w:val="04A0" w:firstRow="1" w:lastRow="0" w:firstColumn="1" w:lastColumn="0" w:noHBand="0" w:noVBand="1"/>
      </w:tblPr>
      <w:tblGrid>
        <w:gridCol w:w="851"/>
        <w:gridCol w:w="1559"/>
        <w:gridCol w:w="993"/>
        <w:gridCol w:w="4076"/>
        <w:gridCol w:w="1418"/>
        <w:gridCol w:w="1451"/>
      </w:tblGrid>
      <w:tr w:rsidR="00F371AA" w14:paraId="1B5C2D65"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17365D" w:themeFill="text2" w:themeFillShade="BF"/>
          </w:tcPr>
          <w:p w14:paraId="1B5C2D5E"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nil"/>
              <w:right w:val="nil"/>
            </w:tcBorders>
            <w:shd w:val="clear" w:color="auto" w:fill="17365D" w:themeFill="text2" w:themeFillShade="BF"/>
          </w:tcPr>
          <w:p w14:paraId="1B5C2D5F"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nil"/>
              <w:right w:val="nil"/>
            </w:tcBorders>
            <w:shd w:val="clear" w:color="auto" w:fill="17365D" w:themeFill="text2" w:themeFillShade="BF"/>
          </w:tcPr>
          <w:p w14:paraId="1B5C2D60"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nil"/>
              <w:right w:val="nil"/>
            </w:tcBorders>
            <w:shd w:val="clear" w:color="auto" w:fill="17365D" w:themeFill="text2" w:themeFillShade="BF"/>
          </w:tcPr>
          <w:p w14:paraId="1B5C2D61"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nil"/>
              <w:right w:val="nil"/>
            </w:tcBorders>
            <w:shd w:val="clear" w:color="auto" w:fill="17365D" w:themeFill="text2" w:themeFillShade="BF"/>
          </w:tcPr>
          <w:p w14:paraId="1B5C2D62"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nil"/>
              <w:right w:val="nil"/>
            </w:tcBorders>
            <w:shd w:val="clear" w:color="auto" w:fill="17365D" w:themeFill="text2" w:themeFillShade="BF"/>
          </w:tcPr>
          <w:p w14:paraId="1B5C2D63"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D64"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D70"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DBE5F1" w:themeFill="accent1" w:themeFillTint="33"/>
          </w:tcPr>
          <w:p w14:paraId="1B5C2D66" w14:textId="77777777" w:rsidR="00F53D9E" w:rsidRDefault="00AC555B">
            <w:pPr>
              <w:pStyle w:val="Tabletext"/>
              <w:spacing w:line="240" w:lineRule="auto"/>
              <w:rPr>
                <w:rFonts w:cs="Arial"/>
              </w:rPr>
            </w:pPr>
            <w:r>
              <w:rPr>
                <w:rFonts w:ascii="Arial" w:hAnsi="Arial" w:cs="Arial"/>
              </w:rPr>
              <w:t>1</w:t>
            </w:r>
            <w:r w:rsidRPr="003C06E5">
              <w:rPr>
                <w:rFonts w:ascii="Arial" w:hAnsi="Arial" w:cs="Arial"/>
              </w:rPr>
              <w:t>a</w:t>
            </w:r>
          </w:p>
        </w:tc>
        <w:tc>
          <w:tcPr>
            <w:tcW w:w="1559" w:type="dxa"/>
            <w:tcBorders>
              <w:top w:val="nil"/>
              <w:left w:val="nil"/>
              <w:bottom w:val="single" w:sz="4" w:space="0" w:color="auto"/>
              <w:right w:val="nil"/>
            </w:tcBorders>
            <w:shd w:val="clear" w:color="auto" w:fill="DBE5F1" w:themeFill="accent1" w:themeFillTint="33"/>
          </w:tcPr>
          <w:p w14:paraId="1B5C2D67"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195831">
              <w:t xml:space="preserve">Increase understanding of genetic connectivity </w:t>
            </w:r>
            <w:r>
              <w:t xml:space="preserve">between giant freshwater crayfish populations </w:t>
            </w:r>
            <w:r w:rsidRPr="00195831">
              <w:t>and de</w:t>
            </w:r>
            <w:r>
              <w:t>velop</w:t>
            </w:r>
            <w:r w:rsidRPr="00195831">
              <w:t xml:space="preserve"> effective population estimates</w:t>
            </w:r>
            <w:r>
              <w:t>.</w:t>
            </w:r>
          </w:p>
        </w:tc>
        <w:tc>
          <w:tcPr>
            <w:tcW w:w="993" w:type="dxa"/>
            <w:tcBorders>
              <w:top w:val="nil"/>
              <w:left w:val="nil"/>
              <w:bottom w:val="single" w:sz="4" w:space="0" w:color="auto"/>
              <w:right w:val="nil"/>
            </w:tcBorders>
            <w:shd w:val="clear" w:color="auto" w:fill="DBE5F1" w:themeFill="accent1" w:themeFillTint="33"/>
          </w:tcPr>
          <w:p w14:paraId="1B5C2D68"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nil"/>
              <w:left w:val="nil"/>
              <w:bottom w:val="single" w:sz="4" w:space="0" w:color="auto"/>
              <w:right w:val="nil"/>
            </w:tcBorders>
            <w:shd w:val="clear" w:color="auto" w:fill="DBE5F1" w:themeFill="accent1" w:themeFillTint="33"/>
          </w:tcPr>
          <w:p w14:paraId="1B5C2D69" w14:textId="77777777" w:rsidR="00F53D9E" w:rsidRDefault="00AC555B" w:rsidP="00F53D9E">
            <w:pPr>
              <w:pStyle w:val="ListBulle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pPr>
            <w:r>
              <w:t>G</w:t>
            </w:r>
            <w:r w:rsidRPr="00195831">
              <w:t>enomic research to assess population structure and genetic relationships within and between populations, and increase understanding of movements within the meta-population</w:t>
            </w:r>
            <w:r>
              <w:t xml:space="preserve"> is undertaken.</w:t>
            </w:r>
          </w:p>
          <w:p w14:paraId="1B5C2D6A" w14:textId="77777777" w:rsidR="00F53D9E" w:rsidRDefault="00AC555B" w:rsidP="00F53D9E">
            <w:pPr>
              <w:pStyle w:val="ListBulle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pPr>
            <w:r>
              <w:t>R</w:t>
            </w:r>
            <w:r w:rsidRPr="00195831">
              <w:t xml:space="preserve">esults </w:t>
            </w:r>
            <w:r>
              <w:t xml:space="preserve">are analysed </w:t>
            </w:r>
            <w:r w:rsidRPr="00195831">
              <w:t xml:space="preserve">to estimate </w:t>
            </w:r>
            <w:r>
              <w:t xml:space="preserve">effective </w:t>
            </w:r>
            <w:r w:rsidRPr="00195831">
              <w:t>population</w:t>
            </w:r>
            <w:r>
              <w:t xml:space="preserve"> size and survivorship of young.</w:t>
            </w:r>
          </w:p>
          <w:p w14:paraId="1B5C2D6B" w14:textId="77777777" w:rsidR="00F53D9E" w:rsidRDefault="00AC555B" w:rsidP="00F53D9E">
            <w:pPr>
              <w:pStyle w:val="ListBulle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pPr>
            <w:r>
              <w:t xml:space="preserve">Research is linked to the </w:t>
            </w:r>
            <w:r w:rsidRPr="00195831">
              <w:t>ongoing surveys of tagged individual</w:t>
            </w:r>
            <w:r>
              <w:t>s (as undertaken in Action 1c).</w:t>
            </w:r>
          </w:p>
          <w:p w14:paraId="1B5C2D6C" w14:textId="77777777" w:rsidR="00F53D9E" w:rsidRDefault="00AC555B" w:rsidP="00F53D9E">
            <w:pPr>
              <w:pStyle w:val="ListBullet"/>
              <w:numPr>
                <w:ilvl w:val="0"/>
                <w:numId w:val="23"/>
              </w:numPr>
              <w:spacing w:line="240" w:lineRule="auto"/>
              <w:cnfStyle w:val="000000100000" w:firstRow="0" w:lastRow="0" w:firstColumn="0" w:lastColumn="0" w:oddVBand="0" w:evenVBand="0" w:oddHBand="1" w:evenHBand="0" w:firstRowFirstColumn="0" w:firstRowLastColumn="0" w:lastRowFirstColumn="0" w:lastRowLastColumn="0"/>
            </w:pPr>
            <w:r>
              <w:t>Genetic studies are undertaken to determine whether or not the two known colour morphs for the species represent different subspecies.</w:t>
            </w:r>
          </w:p>
        </w:tc>
        <w:tc>
          <w:tcPr>
            <w:tcW w:w="1418" w:type="dxa"/>
            <w:tcBorders>
              <w:top w:val="nil"/>
              <w:left w:val="nil"/>
              <w:bottom w:val="single" w:sz="4" w:space="0" w:color="auto"/>
              <w:right w:val="nil"/>
            </w:tcBorders>
            <w:shd w:val="clear" w:color="auto" w:fill="DBE5F1" w:themeFill="accent1" w:themeFillTint="33"/>
          </w:tcPr>
          <w:p w14:paraId="1B5C2D6D"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CSIRO</w:t>
            </w:r>
          </w:p>
          <w:p w14:paraId="1B5C2D6E"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p>
        </w:tc>
        <w:tc>
          <w:tcPr>
            <w:tcW w:w="1451" w:type="dxa"/>
            <w:tcBorders>
              <w:top w:val="nil"/>
              <w:left w:val="nil"/>
              <w:bottom w:val="single" w:sz="4" w:space="0" w:color="auto"/>
              <w:right w:val="nil"/>
            </w:tcBorders>
            <w:shd w:val="clear" w:color="auto" w:fill="DBE5F1" w:themeFill="accent1" w:themeFillTint="33"/>
          </w:tcPr>
          <w:p w14:paraId="1B5C2D6F"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$75,000</w:t>
            </w:r>
          </w:p>
        </w:tc>
      </w:tr>
      <w:tr w:rsidR="00F371AA" w14:paraId="1B5C2D7A"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BE5F1" w:themeFill="accent1" w:themeFillTint="33"/>
          </w:tcPr>
          <w:p w14:paraId="1B5C2D71" w14:textId="77777777" w:rsidR="00F53D9E" w:rsidRDefault="00AC555B">
            <w:pPr>
              <w:pStyle w:val="Tabletext"/>
              <w:spacing w:after="240" w:line="240" w:lineRule="auto"/>
              <w:rPr>
                <w:rFonts w:cs="Arial"/>
              </w:rPr>
            </w:pPr>
            <w:r>
              <w:rPr>
                <w:rFonts w:ascii="Arial" w:hAnsi="Arial" w:cs="Arial"/>
              </w:rPr>
              <w:t>1b</w:t>
            </w:r>
          </w:p>
        </w:tc>
        <w:tc>
          <w:tcPr>
            <w:tcW w:w="1559" w:type="dxa"/>
            <w:tcBorders>
              <w:top w:val="single" w:sz="4" w:space="0" w:color="auto"/>
              <w:left w:val="nil"/>
              <w:bottom w:val="single" w:sz="4" w:space="0" w:color="auto"/>
              <w:right w:val="nil"/>
            </w:tcBorders>
            <w:shd w:val="clear" w:color="auto" w:fill="DBE5F1" w:themeFill="accent1" w:themeFillTint="33"/>
          </w:tcPr>
          <w:p w14:paraId="1B5C2D72" w14:textId="77777777" w:rsidR="00F53D9E" w:rsidRDefault="00AC555B">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Collate and analyse existing population data to inform ongoing monitoring strategy.</w:t>
            </w:r>
          </w:p>
        </w:tc>
        <w:tc>
          <w:tcPr>
            <w:tcW w:w="993" w:type="dxa"/>
            <w:tcBorders>
              <w:top w:val="single" w:sz="4" w:space="0" w:color="auto"/>
              <w:left w:val="nil"/>
              <w:bottom w:val="single" w:sz="4" w:space="0" w:color="auto"/>
              <w:right w:val="nil"/>
            </w:tcBorders>
            <w:shd w:val="clear" w:color="auto" w:fill="DBE5F1" w:themeFill="accent1" w:themeFillTint="33"/>
          </w:tcPr>
          <w:p w14:paraId="1B5C2D73" w14:textId="77777777" w:rsidR="00F53D9E" w:rsidRDefault="00AC555B">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4076" w:type="dxa"/>
            <w:tcBorders>
              <w:top w:val="single" w:sz="4" w:space="0" w:color="auto"/>
              <w:left w:val="nil"/>
              <w:bottom w:val="single" w:sz="4" w:space="0" w:color="auto"/>
              <w:right w:val="nil"/>
            </w:tcBorders>
            <w:shd w:val="clear" w:color="auto" w:fill="DBE5F1" w:themeFill="accent1" w:themeFillTint="33"/>
          </w:tcPr>
          <w:p w14:paraId="1B5C2D74" w14:textId="77777777" w:rsidR="00F53D9E" w:rsidRDefault="00AC555B" w:rsidP="00F53D9E">
            <w:pPr>
              <w:pStyle w:val="ListBullet"/>
              <w:numPr>
                <w:ilvl w:val="0"/>
                <w:numId w:val="24"/>
              </w:numPr>
              <w:spacing w:line="240" w:lineRule="auto"/>
              <w:cnfStyle w:val="000000010000" w:firstRow="0" w:lastRow="0" w:firstColumn="0" w:lastColumn="0" w:oddVBand="0" w:evenVBand="0" w:oddHBand="0" w:evenHBand="1" w:firstRowFirstColumn="0" w:firstRowLastColumn="0" w:lastRowFirstColumn="0" w:lastRowLastColumn="0"/>
            </w:pPr>
            <w:r>
              <w:t>All existing population data is collated, standardised and analysed to assess population trends, where possible.</w:t>
            </w:r>
          </w:p>
          <w:p w14:paraId="1B5C2D75" w14:textId="77777777" w:rsidR="00F53D9E" w:rsidRDefault="00AC555B" w:rsidP="00F53D9E">
            <w:pPr>
              <w:pStyle w:val="ListBullet"/>
              <w:numPr>
                <w:ilvl w:val="0"/>
                <w:numId w:val="24"/>
              </w:numPr>
              <w:spacing w:line="240" w:lineRule="auto"/>
              <w:cnfStyle w:val="000000010000" w:firstRow="0" w:lastRow="0" w:firstColumn="0" w:lastColumn="0" w:oddVBand="0" w:evenVBand="0" w:oddHBand="0" w:evenHBand="1" w:firstRowFirstColumn="0" w:firstRowLastColumn="0" w:lastRowFirstColumn="0" w:lastRowLastColumn="0"/>
            </w:pPr>
            <w:r>
              <w:t>Population demographics (e.g. age and size class structure, sex ratio etc.) representative of healthy populations are identified.</w:t>
            </w:r>
          </w:p>
          <w:p w14:paraId="1B5C2D76" w14:textId="77777777" w:rsidR="00F53D9E" w:rsidRDefault="00AC555B" w:rsidP="00F53D9E">
            <w:pPr>
              <w:pStyle w:val="ListBullet"/>
              <w:numPr>
                <w:ilvl w:val="0"/>
                <w:numId w:val="24"/>
              </w:numPr>
              <w:spacing w:line="240" w:lineRule="auto"/>
              <w:cnfStyle w:val="000000010000" w:firstRow="0" w:lastRow="0" w:firstColumn="0" w:lastColumn="0" w:oddVBand="0" w:evenVBand="0" w:oddHBand="0" w:evenHBand="1" w:firstRowFirstColumn="0" w:firstRowLastColumn="0" w:lastRowFirstColumn="0" w:lastRowLastColumn="0"/>
            </w:pPr>
            <w:r>
              <w:t>Results of the data analysis are used to inform monitoring of the giant freshwater crayfish.</w:t>
            </w:r>
          </w:p>
        </w:tc>
        <w:tc>
          <w:tcPr>
            <w:tcW w:w="1418" w:type="dxa"/>
            <w:tcBorders>
              <w:top w:val="single" w:sz="4" w:space="0" w:color="auto"/>
              <w:left w:val="nil"/>
              <w:bottom w:val="single" w:sz="4" w:space="0" w:color="auto"/>
              <w:right w:val="nil"/>
            </w:tcBorders>
            <w:shd w:val="clear" w:color="auto" w:fill="DBE5F1" w:themeFill="accent1" w:themeFillTint="33"/>
          </w:tcPr>
          <w:p w14:paraId="1B5C2D77"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1F50D2">
              <w:rPr>
                <w:rFonts w:cs="Arial"/>
                <w:b/>
              </w:rPr>
              <w:t>DPIPWE</w:t>
            </w:r>
          </w:p>
          <w:p w14:paraId="1B5C2D78" w14:textId="77777777" w:rsidR="00F53D9E" w:rsidRDefault="00AC555B">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Research community</w:t>
            </w:r>
          </w:p>
        </w:tc>
        <w:tc>
          <w:tcPr>
            <w:tcW w:w="1451" w:type="dxa"/>
            <w:tcBorders>
              <w:top w:val="single" w:sz="4" w:space="0" w:color="auto"/>
              <w:left w:val="nil"/>
              <w:bottom w:val="single" w:sz="4" w:space="0" w:color="auto"/>
              <w:right w:val="nil"/>
            </w:tcBorders>
            <w:shd w:val="clear" w:color="auto" w:fill="DBE5F1" w:themeFill="accent1" w:themeFillTint="33"/>
          </w:tcPr>
          <w:p w14:paraId="1B5C2D79" w14:textId="77777777" w:rsidR="00F53D9E" w:rsidRDefault="00AC555B">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$20,000</w:t>
            </w:r>
          </w:p>
        </w:tc>
      </w:tr>
    </w:tbl>
    <w:p w14:paraId="1B5C2D7B" w14:textId="77777777" w:rsidR="00F53D9E" w:rsidRDefault="00AC555B" w:rsidP="00F53D9E">
      <w:pPr>
        <w:spacing w:after="0" w:line="240" w:lineRule="auto"/>
        <w:rPr>
          <w:color w:val="808080" w:themeColor="background1" w:themeShade="80"/>
          <w:sz w:val="24"/>
          <w:szCs w:val="24"/>
        </w:rPr>
      </w:pPr>
      <w:r>
        <w:rPr>
          <w:color w:val="808080" w:themeColor="background1" w:themeShade="80"/>
          <w:sz w:val="24"/>
          <w:szCs w:val="24"/>
        </w:rPr>
        <w:br w:type="page"/>
      </w:r>
    </w:p>
    <w:p w14:paraId="1B5C2D7C" w14:textId="77777777" w:rsidR="00F53D9E" w:rsidRPr="00C1377E" w:rsidRDefault="00AC555B" w:rsidP="00F53D9E">
      <w:pPr>
        <w:spacing w:before="240" w:after="0"/>
        <w:rPr>
          <w:color w:val="808080" w:themeColor="background1" w:themeShade="80"/>
          <w:sz w:val="24"/>
          <w:szCs w:val="24"/>
        </w:rPr>
      </w:pPr>
      <w:r w:rsidRPr="00C1377E">
        <w:rPr>
          <w:color w:val="808080" w:themeColor="background1" w:themeShade="80"/>
          <w:sz w:val="24"/>
          <w:szCs w:val="24"/>
        </w:rPr>
        <w:lastRenderedPageBreak/>
        <w:t>On-ground actions</w:t>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418"/>
        <w:gridCol w:w="993"/>
        <w:gridCol w:w="4217"/>
        <w:gridCol w:w="1418"/>
        <w:gridCol w:w="1451"/>
      </w:tblGrid>
      <w:tr w:rsidR="00F371AA" w14:paraId="1B5C2D84"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808080" w:themeFill="background1" w:themeFillShade="80"/>
          </w:tcPr>
          <w:p w14:paraId="1B5C2D7D" w14:textId="77777777" w:rsidR="00F53D9E" w:rsidRDefault="00AC555B">
            <w:pPr>
              <w:pStyle w:val="Tabletext"/>
              <w:spacing w:line="240" w:lineRule="auto"/>
              <w:rPr>
                <w:rFonts w:cs="Arial"/>
              </w:rPr>
            </w:pPr>
            <w:r w:rsidRPr="003C06E5">
              <w:rPr>
                <w:rFonts w:ascii="Arial" w:hAnsi="Arial" w:cs="Arial"/>
              </w:rPr>
              <w:t>Action</w:t>
            </w:r>
          </w:p>
        </w:tc>
        <w:tc>
          <w:tcPr>
            <w:tcW w:w="1418" w:type="dxa"/>
            <w:tcBorders>
              <w:top w:val="nil"/>
              <w:left w:val="nil"/>
              <w:bottom w:val="single" w:sz="4" w:space="0" w:color="auto"/>
              <w:right w:val="nil"/>
            </w:tcBorders>
            <w:shd w:val="clear" w:color="auto" w:fill="808080" w:themeFill="background1" w:themeFillShade="80"/>
          </w:tcPr>
          <w:p w14:paraId="1B5C2D7E"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808080" w:themeFill="background1" w:themeFillShade="80"/>
          </w:tcPr>
          <w:p w14:paraId="1B5C2D7F"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217" w:type="dxa"/>
            <w:tcBorders>
              <w:top w:val="nil"/>
              <w:left w:val="nil"/>
              <w:bottom w:val="single" w:sz="4" w:space="0" w:color="auto"/>
              <w:right w:val="nil"/>
            </w:tcBorders>
            <w:shd w:val="clear" w:color="auto" w:fill="808080" w:themeFill="background1" w:themeFillShade="80"/>
          </w:tcPr>
          <w:p w14:paraId="1B5C2D80"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808080" w:themeFill="background1" w:themeFillShade="80"/>
          </w:tcPr>
          <w:p w14:paraId="1B5C2D81"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808080" w:themeFill="background1" w:themeFillShade="80"/>
          </w:tcPr>
          <w:p w14:paraId="1B5C2D82"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D83"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D97"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D85" w14:textId="77777777" w:rsidR="00F53D9E" w:rsidRDefault="00AC555B">
            <w:pPr>
              <w:pStyle w:val="Tabletext"/>
              <w:spacing w:line="240" w:lineRule="auto"/>
              <w:rPr>
                <w:rFonts w:cs="Arial"/>
              </w:rPr>
            </w:pPr>
            <w:r>
              <w:rPr>
                <w:rFonts w:ascii="Arial" w:hAnsi="Arial" w:cs="Arial"/>
              </w:rPr>
              <w:t>1c</w:t>
            </w:r>
          </w:p>
        </w:tc>
        <w:tc>
          <w:tcPr>
            <w:tcW w:w="1418" w:type="dxa"/>
            <w:tcBorders>
              <w:top w:val="single" w:sz="4" w:space="0" w:color="auto"/>
              <w:left w:val="nil"/>
              <w:bottom w:val="single" w:sz="4" w:space="0" w:color="auto"/>
              <w:right w:val="nil"/>
            </w:tcBorders>
            <w:shd w:val="clear" w:color="auto" w:fill="D9D9D9" w:themeFill="background1" w:themeFillShade="D9"/>
          </w:tcPr>
          <w:p w14:paraId="1B5C2D86"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8E0AA2">
              <w:rPr>
                <w:rFonts w:cs="Arial"/>
              </w:rPr>
              <w:t>Conduct regular, ongoing monitoring to assess population trends</w:t>
            </w:r>
            <w:r>
              <w:rPr>
                <w:rFonts w:cs="Arial"/>
              </w:rPr>
              <w:t>, including in response to extreme weather events and/or climate change,</w:t>
            </w:r>
            <w:r w:rsidRPr="008E0AA2">
              <w:rPr>
                <w:rFonts w:cs="Arial"/>
              </w:rPr>
              <w:t xml:space="preserve"> and determine the reproductive ecology and habitat use of recovering crayfish populations.</w:t>
            </w:r>
          </w:p>
        </w:tc>
        <w:tc>
          <w:tcPr>
            <w:tcW w:w="993" w:type="dxa"/>
            <w:tcBorders>
              <w:top w:val="single" w:sz="4" w:space="0" w:color="auto"/>
              <w:left w:val="nil"/>
              <w:bottom w:val="single" w:sz="4" w:space="0" w:color="auto"/>
              <w:right w:val="nil"/>
            </w:tcBorders>
            <w:shd w:val="clear" w:color="auto" w:fill="D9D9D9" w:themeFill="background1" w:themeFillShade="D9"/>
          </w:tcPr>
          <w:p w14:paraId="1B5C2D87"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217" w:type="dxa"/>
            <w:tcBorders>
              <w:top w:val="single" w:sz="4" w:space="0" w:color="auto"/>
              <w:left w:val="nil"/>
              <w:bottom w:val="single" w:sz="4" w:space="0" w:color="auto"/>
              <w:right w:val="nil"/>
            </w:tcBorders>
            <w:shd w:val="clear" w:color="auto" w:fill="D9D9D9" w:themeFill="background1" w:themeFillShade="D9"/>
          </w:tcPr>
          <w:p w14:paraId="1B5C2D88"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rsidRPr="001F50D2">
              <w:t>Regular monitoring of long-term study populations occurs</w:t>
            </w:r>
            <w:r>
              <w:t xml:space="preserve"> annually at key locations (identified under Action 3a) and a minimum of every three years at other locations, </w:t>
            </w:r>
            <w:r w:rsidRPr="008E0AA2">
              <w:t>using a standardised surveying protocol and survey effort</w:t>
            </w:r>
            <w:r>
              <w:t>.</w:t>
            </w:r>
          </w:p>
          <w:p w14:paraId="1B5C2D89"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rsidRPr="008E0AA2">
              <w:t>A representative selection of additional sites are nominated for ongoing monitoring, minimum three yearly, with a focus on the inclusion of major catchments in the north-east.</w:t>
            </w:r>
          </w:p>
          <w:p w14:paraId="1B5C2D8A"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rsidRPr="003574B7">
              <w:t>Population trends are monitored annually for key locations and, where possible, extrapolated from long-term data for other locations.</w:t>
            </w:r>
          </w:p>
          <w:p w14:paraId="1B5C2D8B"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574B7">
              <w:t>Emergency response monitoring is conducted following extreme</w:t>
            </w:r>
            <w:r>
              <w:rPr>
                <w:rFonts w:cs="Arial"/>
              </w:rPr>
              <w:t xml:space="preserve"> weather events that may impact upon crayfish, and population trend assessment investigates the impacts of events. </w:t>
            </w:r>
          </w:p>
          <w:p w14:paraId="1B5C2D8C"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t>A</w:t>
            </w:r>
            <w:r w:rsidRPr="00756232">
              <w:t>ge</w:t>
            </w:r>
            <w:r>
              <w:t xml:space="preserve"> and size classes</w:t>
            </w:r>
            <w:r w:rsidRPr="00756232">
              <w:t>, moult</w:t>
            </w:r>
            <w:r>
              <w:t xml:space="preserve"> patterns</w:t>
            </w:r>
            <w:r w:rsidRPr="00756232">
              <w:t>, reproduction and growth dynamics</w:t>
            </w:r>
            <w:r>
              <w:t xml:space="preserve"> are identified for all monitored populations.</w:t>
            </w:r>
          </w:p>
          <w:p w14:paraId="1B5C2D8D"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t>Understanding of the recovery trajectory of monitored populations, and responses to management interventions, is increased.</w:t>
            </w:r>
          </w:p>
          <w:p w14:paraId="1B5C2D8E"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rsidRPr="003574B7">
              <w:t xml:space="preserve">The </w:t>
            </w:r>
            <w:r w:rsidRPr="00756232">
              <w:t xml:space="preserve">behaviour and ecological role, </w:t>
            </w:r>
            <w:r>
              <w:t xml:space="preserve">of crayfish </w:t>
            </w:r>
            <w:r w:rsidRPr="00756232">
              <w:t>in an un-fished population</w:t>
            </w:r>
            <w:r>
              <w:t xml:space="preserve"> is assessed.</w:t>
            </w:r>
          </w:p>
          <w:p w14:paraId="1B5C2D8F"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pPr>
            <w:r>
              <w:t xml:space="preserve">The </w:t>
            </w:r>
            <w:r w:rsidRPr="00672E1D">
              <w:t>&gt;</w:t>
            </w:r>
            <w:r>
              <w:t xml:space="preserve"> </w:t>
            </w:r>
            <w:r w:rsidRPr="00672E1D">
              <w:t>500</w:t>
            </w:r>
            <w:r w:rsidRPr="008A08CC">
              <w:t xml:space="preserve"> </w:t>
            </w:r>
            <w:r>
              <w:t xml:space="preserve">presently tagged </w:t>
            </w:r>
            <w:r w:rsidRPr="008A08CC">
              <w:t xml:space="preserve">animals </w:t>
            </w:r>
            <w:r>
              <w:t>are used to increase</w:t>
            </w:r>
            <w:r w:rsidRPr="008A08CC">
              <w:t xml:space="preserve"> understanding of </w:t>
            </w:r>
            <w:r>
              <w:t xml:space="preserve">local </w:t>
            </w:r>
            <w:r w:rsidRPr="008A08CC">
              <w:t xml:space="preserve">population </w:t>
            </w:r>
            <w:r>
              <w:t xml:space="preserve">dynamics. </w:t>
            </w:r>
          </w:p>
          <w:p w14:paraId="1B5C2D90" w14:textId="77777777" w:rsidR="00F53D9E" w:rsidRDefault="00AC555B" w:rsidP="00F53D9E">
            <w:pPr>
              <w:pStyle w:val="ListBullet"/>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t xml:space="preserve">Surveys are designed, and permits are obtained, to allow for the collection of samples to be used in genetic analysis. </w:t>
            </w:r>
          </w:p>
          <w:p w14:paraId="1B5C2D91" w14:textId="77777777" w:rsidR="00F53D9E" w:rsidRDefault="00AC555B" w:rsidP="00F53D9E">
            <w:pPr>
              <w:pStyle w:val="ListBullet"/>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t>Citizen scientists are engaged to assist with monitoring efforts where possible.</w:t>
            </w:r>
          </w:p>
        </w:tc>
        <w:tc>
          <w:tcPr>
            <w:tcW w:w="1418" w:type="dxa"/>
            <w:tcBorders>
              <w:top w:val="single" w:sz="4" w:space="0" w:color="auto"/>
              <w:left w:val="nil"/>
              <w:bottom w:val="single" w:sz="4" w:space="0" w:color="auto"/>
              <w:right w:val="nil"/>
            </w:tcBorders>
            <w:shd w:val="clear" w:color="auto" w:fill="D9D9D9" w:themeFill="background1" w:themeFillShade="D9"/>
          </w:tcPr>
          <w:p w14:paraId="1B5C2D92"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DPIPWE</w:t>
            </w:r>
          </w:p>
          <w:p w14:paraId="1B5C2D93"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NRM bodies</w:t>
            </w:r>
          </w:p>
          <w:p w14:paraId="1B5C2D94"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p>
        </w:tc>
        <w:tc>
          <w:tcPr>
            <w:tcW w:w="1451" w:type="dxa"/>
            <w:tcBorders>
              <w:top w:val="single" w:sz="4" w:space="0" w:color="auto"/>
              <w:left w:val="nil"/>
              <w:bottom w:val="single" w:sz="4" w:space="0" w:color="auto"/>
              <w:right w:val="nil"/>
            </w:tcBorders>
            <w:shd w:val="clear" w:color="auto" w:fill="D9D9D9" w:themeFill="background1" w:themeFillShade="D9"/>
          </w:tcPr>
          <w:p w14:paraId="1B5C2D95"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$50,000 pa</w:t>
            </w:r>
          </w:p>
          <w:p w14:paraId="1B5C2D96"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(for a minimum of five years)</w:t>
            </w:r>
          </w:p>
        </w:tc>
      </w:tr>
      <w:tr w:rsidR="00F371AA" w14:paraId="1B5C2DA0"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9D9D9" w:themeFill="background1" w:themeFillShade="D9"/>
          </w:tcPr>
          <w:p w14:paraId="1B5C2D98" w14:textId="77777777" w:rsidR="00F53D9E" w:rsidRDefault="00AC555B">
            <w:pPr>
              <w:pStyle w:val="Tabletext"/>
              <w:spacing w:line="240" w:lineRule="auto"/>
              <w:rPr>
                <w:rFonts w:cs="Arial"/>
              </w:rPr>
            </w:pPr>
            <w:r>
              <w:rPr>
                <w:rFonts w:ascii="Arial" w:hAnsi="Arial" w:cs="Arial"/>
              </w:rPr>
              <w:t>1d</w:t>
            </w:r>
          </w:p>
        </w:tc>
        <w:tc>
          <w:tcPr>
            <w:tcW w:w="1418" w:type="dxa"/>
            <w:tcBorders>
              <w:top w:val="single" w:sz="4" w:space="0" w:color="auto"/>
              <w:left w:val="nil"/>
              <w:bottom w:val="nil"/>
              <w:right w:val="nil"/>
            </w:tcBorders>
            <w:shd w:val="clear" w:color="auto" w:fill="D9D9D9" w:themeFill="background1" w:themeFillShade="D9"/>
          </w:tcPr>
          <w:p w14:paraId="1B5C2D99"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t>M</w:t>
            </w:r>
            <w:r w:rsidRPr="008A08CC">
              <w:t>aintain a database for population, habitat and distributional data</w:t>
            </w:r>
            <w:r>
              <w:t>.</w:t>
            </w:r>
          </w:p>
        </w:tc>
        <w:tc>
          <w:tcPr>
            <w:tcW w:w="993" w:type="dxa"/>
            <w:tcBorders>
              <w:top w:val="single" w:sz="4" w:space="0" w:color="auto"/>
              <w:left w:val="nil"/>
              <w:bottom w:val="nil"/>
              <w:right w:val="nil"/>
            </w:tcBorders>
            <w:shd w:val="clear" w:color="auto" w:fill="D9D9D9" w:themeFill="background1" w:themeFillShade="D9"/>
          </w:tcPr>
          <w:p w14:paraId="1B5C2D9A"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4217" w:type="dxa"/>
            <w:tcBorders>
              <w:top w:val="single" w:sz="4" w:space="0" w:color="auto"/>
              <w:left w:val="nil"/>
              <w:bottom w:val="nil"/>
              <w:right w:val="nil"/>
            </w:tcBorders>
            <w:shd w:val="clear" w:color="auto" w:fill="D9D9D9" w:themeFill="background1" w:themeFillShade="D9"/>
          </w:tcPr>
          <w:p w14:paraId="1B5C2D9B" w14:textId="77777777" w:rsidR="00F53D9E" w:rsidRDefault="00AC555B" w:rsidP="00F53D9E">
            <w:pPr>
              <w:pStyle w:val="ListBullet"/>
              <w:numPr>
                <w:ilvl w:val="0"/>
                <w:numId w:val="26"/>
              </w:numPr>
              <w:spacing w:line="240" w:lineRule="auto"/>
              <w:cnfStyle w:val="000000010000" w:firstRow="0" w:lastRow="0" w:firstColumn="0" w:lastColumn="0" w:oddVBand="0" w:evenVBand="0" w:oddHBand="0" w:evenHBand="1" w:firstRowFirstColumn="0" w:firstRowLastColumn="0" w:lastRowFirstColumn="0" w:lastRowLastColumn="0"/>
            </w:pPr>
            <w:r w:rsidRPr="008A08CC">
              <w:t>N</w:t>
            </w:r>
            <w:r>
              <w:t>ational Values Atlas (</w:t>
            </w:r>
            <w:proofErr w:type="spellStart"/>
            <w:proofErr w:type="gramStart"/>
            <w:r>
              <w:t>Tas</w:t>
            </w:r>
            <w:proofErr w:type="spellEnd"/>
            <w:proofErr w:type="gramEnd"/>
            <w:r>
              <w:t xml:space="preserve">) </w:t>
            </w:r>
            <w:r w:rsidRPr="008A08CC">
              <w:t>and P</w:t>
            </w:r>
            <w:r>
              <w:t xml:space="preserve">rotected </w:t>
            </w:r>
            <w:r w:rsidRPr="008A08CC">
              <w:t>M</w:t>
            </w:r>
            <w:r>
              <w:t xml:space="preserve">atters </w:t>
            </w:r>
            <w:r w:rsidRPr="008A08CC">
              <w:t>S</w:t>
            </w:r>
            <w:r>
              <w:t xml:space="preserve">earch </w:t>
            </w:r>
            <w:r w:rsidRPr="008A08CC">
              <w:t>T</w:t>
            </w:r>
            <w:r>
              <w:t>ool (</w:t>
            </w:r>
            <w:proofErr w:type="spellStart"/>
            <w:r>
              <w:t>C’th</w:t>
            </w:r>
            <w:proofErr w:type="spellEnd"/>
            <w:r>
              <w:t>)</w:t>
            </w:r>
            <w:r w:rsidRPr="008A08CC">
              <w:t xml:space="preserve"> databases </w:t>
            </w:r>
            <w:r>
              <w:t>are</w:t>
            </w:r>
            <w:r w:rsidRPr="008A08CC">
              <w:t xml:space="preserve"> maintained and updated on a regular basis</w:t>
            </w:r>
            <w:r>
              <w:t xml:space="preserve">. </w:t>
            </w:r>
          </w:p>
          <w:p w14:paraId="1B5C2D9C" w14:textId="77777777" w:rsidR="00F53D9E" w:rsidRDefault="00AC555B" w:rsidP="00F53D9E">
            <w:pPr>
              <w:pStyle w:val="ListBullet"/>
              <w:numPr>
                <w:ilvl w:val="0"/>
                <w:numId w:val="26"/>
              </w:numPr>
              <w:spacing w:after="0" w:line="240" w:lineRule="auto"/>
              <w:cnfStyle w:val="000000010000" w:firstRow="0" w:lastRow="0" w:firstColumn="0" w:lastColumn="0" w:oddVBand="0" w:evenVBand="0" w:oddHBand="0" w:evenHBand="1" w:firstRowFirstColumn="0" w:firstRowLastColumn="0" w:lastRowFirstColumn="0" w:lastRowLastColumn="0"/>
            </w:pPr>
            <w:r>
              <w:t>Databases effectively capture population, habitat and distributional information for the species.</w:t>
            </w:r>
          </w:p>
        </w:tc>
        <w:tc>
          <w:tcPr>
            <w:tcW w:w="1418" w:type="dxa"/>
            <w:tcBorders>
              <w:top w:val="single" w:sz="4" w:space="0" w:color="auto"/>
              <w:left w:val="nil"/>
              <w:bottom w:val="nil"/>
              <w:right w:val="nil"/>
            </w:tcBorders>
            <w:shd w:val="clear" w:color="auto" w:fill="D9D9D9" w:themeFill="background1" w:themeFillShade="D9"/>
          </w:tcPr>
          <w:p w14:paraId="1B5C2D9D"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1F50D2">
              <w:rPr>
                <w:rFonts w:cs="Arial"/>
                <w:b/>
              </w:rPr>
              <w:t>DPIPWE</w:t>
            </w:r>
          </w:p>
          <w:p w14:paraId="1B5C2D9E"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roofErr w:type="spellStart"/>
            <w:r>
              <w:rPr>
                <w:rFonts w:cs="Arial"/>
                <w:b/>
              </w:rPr>
              <w:t>DoEE</w:t>
            </w:r>
            <w:proofErr w:type="spellEnd"/>
          </w:p>
        </w:tc>
        <w:tc>
          <w:tcPr>
            <w:tcW w:w="1451" w:type="dxa"/>
            <w:tcBorders>
              <w:top w:val="single" w:sz="4" w:space="0" w:color="auto"/>
              <w:left w:val="nil"/>
              <w:bottom w:val="nil"/>
              <w:right w:val="nil"/>
            </w:tcBorders>
            <w:shd w:val="clear" w:color="auto" w:fill="D9D9D9" w:themeFill="background1" w:themeFillShade="D9"/>
          </w:tcPr>
          <w:p w14:paraId="1B5C2D9F"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Core government business</w:t>
            </w:r>
          </w:p>
        </w:tc>
      </w:tr>
    </w:tbl>
    <w:p w14:paraId="1B5C2DA1" w14:textId="77777777" w:rsidR="00F53D9E" w:rsidRDefault="00AC555B" w:rsidP="00F53D9E">
      <w:pPr>
        <w:pStyle w:val="Heading2"/>
        <w:spacing w:before="240" w:after="0"/>
        <w:rPr>
          <w:color w:val="17365D" w:themeColor="text2" w:themeShade="BF"/>
        </w:rPr>
      </w:pPr>
      <w:bookmarkStart w:id="291" w:name="_Toc256000180"/>
      <w:bookmarkStart w:id="292" w:name="_Toc256000134"/>
      <w:bookmarkStart w:id="293" w:name="_Toc256000086"/>
      <w:bookmarkStart w:id="294" w:name="_Toc256000038"/>
      <w:bookmarkStart w:id="295" w:name="_Toc458697069"/>
      <w:r w:rsidRPr="00C1377E">
        <w:rPr>
          <w:color w:val="17365D" w:themeColor="text2" w:themeShade="BF"/>
        </w:rPr>
        <w:lastRenderedPageBreak/>
        <w:t xml:space="preserve">Strategy </w:t>
      </w:r>
      <w:r>
        <w:rPr>
          <w:color w:val="17365D" w:themeColor="text2" w:themeShade="BF"/>
        </w:rPr>
        <w:t>2</w:t>
      </w:r>
      <w:r w:rsidRPr="00C1377E">
        <w:rPr>
          <w:color w:val="17365D" w:themeColor="text2" w:themeShade="BF"/>
        </w:rPr>
        <w:t xml:space="preserve"> – </w:t>
      </w:r>
      <w:r w:rsidRPr="002C383A">
        <w:rPr>
          <w:color w:val="17365D" w:themeColor="text2" w:themeShade="BF"/>
        </w:rPr>
        <w:t>Mitigate key threats impacting upon giant freshwater crayfish habitat.</w:t>
      </w:r>
      <w:bookmarkEnd w:id="291"/>
      <w:bookmarkEnd w:id="292"/>
      <w:bookmarkEnd w:id="293"/>
      <w:bookmarkEnd w:id="294"/>
      <w:bookmarkEnd w:id="295"/>
    </w:p>
    <w:p w14:paraId="1B5C2DA2" w14:textId="77777777" w:rsidR="00F53D9E" w:rsidRPr="00C1377E" w:rsidRDefault="00AC555B" w:rsidP="00F53D9E">
      <w:pPr>
        <w:pStyle w:val="ListBullet"/>
        <w:spacing w:after="0"/>
        <w:ind w:left="369" w:hanging="369"/>
        <w:rPr>
          <w:color w:val="808080" w:themeColor="background1" w:themeShade="80"/>
          <w:sz w:val="24"/>
          <w:szCs w:val="24"/>
        </w:rPr>
      </w:pPr>
      <w:r w:rsidRPr="00C1377E">
        <w:rPr>
          <w:color w:val="808080" w:themeColor="background1" w:themeShade="80"/>
          <w:sz w:val="24"/>
          <w:szCs w:val="24"/>
        </w:rPr>
        <w:t>Research/information actions</w:t>
      </w:r>
    </w:p>
    <w:tbl>
      <w:tblPr>
        <w:tblStyle w:val="LightGrid-Accent11"/>
        <w:tblW w:w="10348" w:type="dxa"/>
        <w:jc w:val="center"/>
        <w:tblBorders>
          <w:top w:val="single" w:sz="8" w:space="0" w:color="17365D" w:themeColor="text2" w:themeShade="BF"/>
          <w:left w:val="nil"/>
          <w:bottom w:val="single" w:sz="8" w:space="0" w:color="17365D" w:themeColor="text2" w:themeShade="BF"/>
          <w:right w:val="nil"/>
          <w:insideH w:val="single" w:sz="8" w:space="0" w:color="17365D" w:themeColor="text2" w:themeShade="BF"/>
          <w:insideV w:val="nil"/>
        </w:tblBorders>
        <w:shd w:val="clear" w:color="auto" w:fill="DBE5F1" w:themeFill="accent1" w:themeFillTint="33"/>
        <w:tblLayout w:type="fixed"/>
        <w:tblLook w:val="04A0" w:firstRow="1" w:lastRow="0" w:firstColumn="1" w:lastColumn="0" w:noHBand="0" w:noVBand="1"/>
      </w:tblPr>
      <w:tblGrid>
        <w:gridCol w:w="851"/>
        <w:gridCol w:w="1559"/>
        <w:gridCol w:w="993"/>
        <w:gridCol w:w="4076"/>
        <w:gridCol w:w="1418"/>
        <w:gridCol w:w="1451"/>
      </w:tblGrid>
      <w:tr w:rsidR="00F371AA" w14:paraId="1B5C2DAA"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17365D" w:themeFill="text2" w:themeFillShade="BF"/>
          </w:tcPr>
          <w:p w14:paraId="1B5C2DA3"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nil"/>
              <w:right w:val="nil"/>
            </w:tcBorders>
            <w:shd w:val="clear" w:color="auto" w:fill="17365D" w:themeFill="text2" w:themeFillShade="BF"/>
          </w:tcPr>
          <w:p w14:paraId="1B5C2DA4"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nil"/>
              <w:right w:val="nil"/>
            </w:tcBorders>
            <w:shd w:val="clear" w:color="auto" w:fill="17365D" w:themeFill="text2" w:themeFillShade="BF"/>
          </w:tcPr>
          <w:p w14:paraId="1B5C2DA5"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nil"/>
              <w:right w:val="nil"/>
            </w:tcBorders>
            <w:shd w:val="clear" w:color="auto" w:fill="17365D" w:themeFill="text2" w:themeFillShade="BF"/>
          </w:tcPr>
          <w:p w14:paraId="1B5C2DA6"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nil"/>
              <w:right w:val="nil"/>
            </w:tcBorders>
            <w:shd w:val="clear" w:color="auto" w:fill="17365D" w:themeFill="text2" w:themeFillShade="BF"/>
          </w:tcPr>
          <w:p w14:paraId="1B5C2DA7"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nil"/>
              <w:right w:val="nil"/>
            </w:tcBorders>
            <w:shd w:val="clear" w:color="auto" w:fill="17365D" w:themeFill="text2" w:themeFillShade="BF"/>
          </w:tcPr>
          <w:p w14:paraId="1B5C2DA8"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DA9"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DBA"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DBE5F1" w:themeFill="accent1" w:themeFillTint="33"/>
          </w:tcPr>
          <w:p w14:paraId="1B5C2DAB" w14:textId="77777777" w:rsidR="00F53D9E" w:rsidRDefault="00AC555B">
            <w:pPr>
              <w:pStyle w:val="Tabletext"/>
              <w:spacing w:line="240" w:lineRule="auto"/>
              <w:rPr>
                <w:rFonts w:cs="Arial"/>
              </w:rPr>
            </w:pPr>
            <w:r w:rsidRPr="00844498">
              <w:rPr>
                <w:rFonts w:ascii="Arial" w:hAnsi="Arial" w:cs="Arial"/>
              </w:rPr>
              <w:t>2a</w:t>
            </w:r>
          </w:p>
        </w:tc>
        <w:tc>
          <w:tcPr>
            <w:tcW w:w="1559" w:type="dxa"/>
            <w:tcBorders>
              <w:top w:val="nil"/>
              <w:left w:val="nil"/>
              <w:bottom w:val="single" w:sz="4" w:space="0" w:color="auto"/>
              <w:right w:val="nil"/>
            </w:tcBorders>
            <w:shd w:val="clear" w:color="auto" w:fill="DBE5F1" w:themeFill="accent1" w:themeFillTint="33"/>
          </w:tcPr>
          <w:p w14:paraId="1B5C2DAC" w14:textId="77777777" w:rsidR="00F53D9E" w:rsidRDefault="00AC555B" w:rsidP="00F53D9E">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t>Assess the effectiveness of current management provisions for giant freshwater crayfish conservation</w:t>
            </w:r>
            <w:r>
              <w:rPr>
                <w:rFonts w:cs="Arial"/>
              </w:rPr>
              <w:t xml:space="preserve"> and use the outcomes to inform the development of catchment management plans that cover all land-uses across the species range. </w:t>
            </w:r>
          </w:p>
        </w:tc>
        <w:tc>
          <w:tcPr>
            <w:tcW w:w="993" w:type="dxa"/>
            <w:tcBorders>
              <w:top w:val="nil"/>
              <w:left w:val="nil"/>
              <w:bottom w:val="single" w:sz="4" w:space="0" w:color="auto"/>
              <w:right w:val="nil"/>
            </w:tcBorders>
            <w:shd w:val="clear" w:color="auto" w:fill="DBE5F1" w:themeFill="accent1" w:themeFillTint="33"/>
          </w:tcPr>
          <w:p w14:paraId="1B5C2DAD"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nil"/>
              <w:left w:val="nil"/>
              <w:bottom w:val="single" w:sz="4" w:space="0" w:color="auto"/>
              <w:right w:val="nil"/>
            </w:tcBorders>
            <w:shd w:val="clear" w:color="auto" w:fill="DBE5F1" w:themeFill="accent1" w:themeFillTint="33"/>
          </w:tcPr>
          <w:p w14:paraId="1B5C2DAE" w14:textId="77777777" w:rsidR="00F53D9E" w:rsidRDefault="00AC555B" w:rsidP="00F53D9E">
            <w:pPr>
              <w:pStyle w:val="ListBullet"/>
              <w:numPr>
                <w:ilvl w:val="0"/>
                <w:numId w:val="2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pPr>
            <w:r w:rsidRPr="000E729A">
              <w:t xml:space="preserve">Current management provisions for the conservation of the giant freshwater </w:t>
            </w:r>
            <w:r>
              <w:t>crayfish</w:t>
            </w:r>
            <w:r w:rsidRPr="000E729A">
              <w:t xml:space="preserve"> are assessed to evaluate their effectiveness, including management relating to:</w:t>
            </w:r>
          </w:p>
          <w:p w14:paraId="1B5C2DAF" w14:textId="77777777" w:rsidR="00F53D9E" w:rsidRDefault="00AC555B" w:rsidP="00F53D9E">
            <w:pPr>
              <w:pStyle w:val="ListBullet"/>
              <w:numPr>
                <w:ilvl w:val="0"/>
                <w:numId w:val="12"/>
              </w:numPr>
              <w:spacing w:after="0" w:line="240" w:lineRule="auto"/>
              <w:cnfStyle w:val="000000100000" w:firstRow="0" w:lastRow="0" w:firstColumn="0" w:lastColumn="0" w:oddVBand="0" w:evenVBand="0" w:oddHBand="1" w:evenHBand="0" w:firstRowFirstColumn="0" w:firstRowLastColumn="0" w:lastRowFirstColumn="0" w:lastRowLastColumn="0"/>
            </w:pPr>
            <w:r>
              <w:t>Water planning</w:t>
            </w:r>
          </w:p>
          <w:p w14:paraId="1B5C2DB0" w14:textId="77777777" w:rsidR="00F53D9E" w:rsidRDefault="00AC555B" w:rsidP="00F53D9E">
            <w:pPr>
              <w:pStyle w:val="ListBullet"/>
              <w:numPr>
                <w:ilvl w:val="0"/>
                <w:numId w:val="12"/>
              </w:numPr>
              <w:spacing w:after="0" w:line="240" w:lineRule="auto"/>
              <w:cnfStyle w:val="000000100000" w:firstRow="0" w:lastRow="0" w:firstColumn="0" w:lastColumn="0" w:oddVBand="0" w:evenVBand="0" w:oddHBand="1" w:evenHBand="0" w:firstRowFirstColumn="0" w:firstRowLastColumn="0" w:lastRowFirstColumn="0" w:lastRowLastColumn="0"/>
            </w:pPr>
            <w:r>
              <w:t>Agricultural development</w:t>
            </w:r>
          </w:p>
          <w:p w14:paraId="1B5C2DB1" w14:textId="77777777" w:rsidR="00F53D9E" w:rsidRDefault="00AC555B" w:rsidP="00F53D9E">
            <w:pPr>
              <w:pStyle w:val="ListBullet"/>
              <w:numPr>
                <w:ilvl w:val="0"/>
                <w:numId w:val="12"/>
              </w:numPr>
              <w:spacing w:after="0" w:line="240" w:lineRule="auto"/>
              <w:cnfStyle w:val="000000100000" w:firstRow="0" w:lastRow="0" w:firstColumn="0" w:lastColumn="0" w:oddVBand="0" w:evenVBand="0" w:oddHBand="1" w:evenHBand="0" w:firstRowFirstColumn="0" w:firstRowLastColumn="0" w:lastRowFirstColumn="0" w:lastRowLastColumn="0"/>
            </w:pPr>
            <w:r>
              <w:t>Forestry operations</w:t>
            </w:r>
          </w:p>
          <w:p w14:paraId="1B5C2DB2" w14:textId="77777777" w:rsidR="00F53D9E" w:rsidRDefault="00AC555B" w:rsidP="00F53D9E">
            <w:pPr>
              <w:pStyle w:val="ListBullet"/>
              <w:numPr>
                <w:ilvl w:val="0"/>
                <w:numId w:val="12"/>
              </w:numPr>
              <w:spacing w:after="120" w:line="240" w:lineRule="auto"/>
              <w:cnfStyle w:val="000000100000" w:firstRow="0" w:lastRow="0" w:firstColumn="0" w:lastColumn="0" w:oddVBand="0" w:evenVBand="0" w:oddHBand="1" w:evenHBand="0" w:firstRowFirstColumn="0" w:firstRowLastColumn="0" w:lastRowFirstColumn="0" w:lastRowLastColumn="0"/>
            </w:pPr>
            <w:r w:rsidRPr="00036412">
              <w:t>Conservation covenants.</w:t>
            </w:r>
          </w:p>
          <w:p w14:paraId="1B5C2DB3"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Catchment management plans that incorporate all land-uses, including plantation and native forestry and agricultural areas, are developed for catchments across the species range.</w:t>
            </w:r>
          </w:p>
          <w:p w14:paraId="1B5C2DB4"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Catchment management plans are designed to provide a framework for the consistent management of crayfish habitat across sectors. </w:t>
            </w:r>
          </w:p>
          <w:p w14:paraId="1B5C2DB5"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Key habitat regulators and local government planning schemes implement catchment management plans across the species range.  </w:t>
            </w:r>
          </w:p>
        </w:tc>
        <w:tc>
          <w:tcPr>
            <w:tcW w:w="1418" w:type="dxa"/>
            <w:tcBorders>
              <w:top w:val="nil"/>
              <w:left w:val="nil"/>
              <w:bottom w:val="single" w:sz="4" w:space="0" w:color="auto"/>
              <w:right w:val="nil"/>
            </w:tcBorders>
            <w:shd w:val="clear" w:color="auto" w:fill="DBE5F1" w:themeFill="accent1" w:themeFillTint="33"/>
          </w:tcPr>
          <w:p w14:paraId="1B5C2DB6"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383A">
              <w:rPr>
                <w:rFonts w:cs="Arial"/>
                <w:b/>
              </w:rPr>
              <w:t>DPIPWE</w:t>
            </w:r>
            <w:r w:rsidRPr="00AE3605">
              <w:rPr>
                <w:rFonts w:cs="Arial"/>
              </w:rPr>
              <w:t xml:space="preserve"> </w:t>
            </w:r>
            <w:r w:rsidRPr="002C383A">
              <w:rPr>
                <w:rFonts w:cs="Arial"/>
              </w:rPr>
              <w:t>NRM bodies</w:t>
            </w:r>
            <w:r>
              <w:rPr>
                <w:rFonts w:cs="Arial"/>
              </w:rPr>
              <w:t xml:space="preserve"> FPA </w:t>
            </w:r>
          </w:p>
          <w:p w14:paraId="1B5C2DB7"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Tasmanian Irrigation</w:t>
            </w:r>
          </w:p>
          <w:p w14:paraId="1B5C2DB8"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rPr>
              <w:t>TFGA</w:t>
            </w:r>
          </w:p>
        </w:tc>
        <w:tc>
          <w:tcPr>
            <w:tcW w:w="1451" w:type="dxa"/>
            <w:tcBorders>
              <w:top w:val="nil"/>
              <w:left w:val="nil"/>
              <w:bottom w:val="single" w:sz="4" w:space="0" w:color="auto"/>
              <w:right w:val="nil"/>
            </w:tcBorders>
            <w:shd w:val="clear" w:color="auto" w:fill="DBE5F1" w:themeFill="accent1" w:themeFillTint="33"/>
          </w:tcPr>
          <w:p w14:paraId="1B5C2DB9"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$30,000</w:t>
            </w:r>
          </w:p>
        </w:tc>
      </w:tr>
      <w:tr w:rsidR="00F371AA" w14:paraId="1B5C2DC7"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BE5F1" w:themeFill="accent1" w:themeFillTint="33"/>
          </w:tcPr>
          <w:p w14:paraId="1B5C2DBB" w14:textId="77777777" w:rsidR="00F53D9E" w:rsidRDefault="00AC555B">
            <w:pPr>
              <w:pStyle w:val="Tabletext"/>
              <w:spacing w:line="240" w:lineRule="auto"/>
              <w:rPr>
                <w:rFonts w:cs="Arial"/>
              </w:rPr>
            </w:pPr>
            <w:r>
              <w:rPr>
                <w:rFonts w:ascii="Arial" w:hAnsi="Arial" w:cs="Arial"/>
              </w:rPr>
              <w:t>2b</w:t>
            </w:r>
          </w:p>
        </w:tc>
        <w:tc>
          <w:tcPr>
            <w:tcW w:w="1559" w:type="dxa"/>
            <w:tcBorders>
              <w:top w:val="single" w:sz="4" w:space="0" w:color="auto"/>
              <w:left w:val="nil"/>
              <w:bottom w:val="single" w:sz="4" w:space="0" w:color="auto"/>
              <w:right w:val="nil"/>
            </w:tcBorders>
            <w:shd w:val="clear" w:color="auto" w:fill="DBE5F1" w:themeFill="accent1" w:themeFillTint="33"/>
          </w:tcPr>
          <w:p w14:paraId="1B5C2DBC" w14:textId="77777777" w:rsidR="00F53D9E" w:rsidRDefault="00AC555B" w:rsidP="00F53D9E">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Develop information products, including voluntary Codes of Practice, to promote and encourage the conservation of giant freshwater crayfish habitat in agricultural communities.</w:t>
            </w:r>
          </w:p>
        </w:tc>
        <w:tc>
          <w:tcPr>
            <w:tcW w:w="993" w:type="dxa"/>
            <w:tcBorders>
              <w:top w:val="single" w:sz="4" w:space="0" w:color="auto"/>
              <w:left w:val="nil"/>
              <w:bottom w:val="single" w:sz="4" w:space="0" w:color="auto"/>
              <w:right w:val="nil"/>
            </w:tcBorders>
            <w:shd w:val="clear" w:color="auto" w:fill="DBE5F1" w:themeFill="accent1" w:themeFillTint="33"/>
          </w:tcPr>
          <w:p w14:paraId="1B5C2DBD"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4076" w:type="dxa"/>
            <w:tcBorders>
              <w:top w:val="single" w:sz="4" w:space="0" w:color="auto"/>
              <w:left w:val="nil"/>
              <w:bottom w:val="single" w:sz="4" w:space="0" w:color="auto"/>
              <w:right w:val="nil"/>
            </w:tcBorders>
            <w:shd w:val="clear" w:color="auto" w:fill="DBE5F1" w:themeFill="accent1" w:themeFillTint="33"/>
          </w:tcPr>
          <w:p w14:paraId="1B5C2DBE" w14:textId="77777777" w:rsidR="00F53D9E" w:rsidRDefault="00AC555B" w:rsidP="00F53D9E">
            <w:pPr>
              <w:pStyle w:val="Tabletext"/>
              <w:numPr>
                <w:ilvl w:val="0"/>
                <w:numId w:val="11"/>
              </w:numPr>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Voluntary Codes of Practice, such as that used by the dairy industry, are reviewed and, where appropriate, updated to incorporate best practice management of giant freshwater crayfish habitat across all agricultural sectors.</w:t>
            </w:r>
          </w:p>
          <w:p w14:paraId="1B5C2DBF" w14:textId="77777777" w:rsidR="00F53D9E" w:rsidRDefault="00AC555B" w:rsidP="00F53D9E">
            <w:pPr>
              <w:pStyle w:val="Tabletext"/>
              <w:numPr>
                <w:ilvl w:val="0"/>
                <w:numId w:val="11"/>
              </w:numPr>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Opportunities to link voluntary Codes of Practice to certification requirements are investigated.  </w:t>
            </w:r>
          </w:p>
          <w:p w14:paraId="1B5C2DC0" w14:textId="77777777" w:rsidR="00F53D9E" w:rsidRDefault="00AC555B" w:rsidP="00F53D9E">
            <w:pPr>
              <w:pStyle w:val="Tabletext"/>
              <w:numPr>
                <w:ilvl w:val="0"/>
                <w:numId w:val="11"/>
              </w:numPr>
              <w:spacing w:after="120" w:line="240" w:lineRule="auto"/>
              <w:cnfStyle w:val="000000010000" w:firstRow="0" w:lastRow="0" w:firstColumn="0" w:lastColumn="0" w:oddVBand="0" w:evenVBand="0" w:oddHBand="0" w:evenHBand="1" w:firstRowFirstColumn="0" w:firstRowLastColumn="0" w:lastRowFirstColumn="0" w:lastRowLastColumn="0"/>
              <w:rPr>
                <w:rFonts w:cs="Arial"/>
                <w:szCs w:val="20"/>
              </w:rPr>
            </w:pPr>
            <w:r>
              <w:rPr>
                <w:rFonts w:cs="Arial"/>
              </w:rPr>
              <w:t xml:space="preserve">Informative material on giant freshwater crayfish, best practice management for their conservation and voluntary Codes of Practice is provided to agricultural communities within the species distribution. </w:t>
            </w:r>
          </w:p>
          <w:p w14:paraId="1B5C2DC1"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szCs w:val="20"/>
              </w:rPr>
            </w:pPr>
            <w:r w:rsidRPr="00AC0ED4">
              <w:rPr>
                <w:rFonts w:cs="Arial"/>
              </w:rPr>
              <w:t xml:space="preserve">Efforts are focussed on promoting restoration of agricultural areas that historically contained high quality </w:t>
            </w:r>
            <w:r>
              <w:rPr>
                <w:rFonts w:cs="Arial"/>
              </w:rPr>
              <w:t>giant freshwater crayfish</w:t>
            </w:r>
            <w:r w:rsidRPr="00AC0ED4">
              <w:rPr>
                <w:rFonts w:cs="Arial"/>
              </w:rPr>
              <w:t xml:space="preserve"> habitat, including such actions as the addition of course woody debris to streams, and avoiding further clearance of riparian vegetation </w:t>
            </w:r>
            <w:r w:rsidRPr="00AC0ED4">
              <w:rPr>
                <w:rFonts w:cs="Arial"/>
              </w:rPr>
              <w:lastRenderedPageBreak/>
              <w:t>in areas with potentially suitable habitat.</w:t>
            </w:r>
          </w:p>
          <w:p w14:paraId="1B5C2DC2" w14:textId="77777777" w:rsidR="00F53D9E" w:rsidRDefault="00AC555B" w:rsidP="00F53D9E">
            <w:pPr>
              <w:pStyle w:val="Tabletext"/>
              <w:numPr>
                <w:ilvl w:val="0"/>
                <w:numId w:val="11"/>
              </w:numPr>
              <w:spacing w:line="240" w:lineRule="auto"/>
              <w:cnfStyle w:val="000000010000" w:firstRow="0" w:lastRow="0" w:firstColumn="0" w:lastColumn="0" w:oddVBand="0" w:evenVBand="0" w:oddHBand="0" w:evenHBand="1" w:firstRowFirstColumn="0" w:firstRowLastColumn="0" w:lastRowFirstColumn="0" w:lastRowLastColumn="0"/>
              <w:rPr>
                <w:rFonts w:cs="Arial"/>
                <w:szCs w:val="20"/>
              </w:rPr>
            </w:pPr>
            <w:r w:rsidRPr="00AC0ED4">
              <w:rPr>
                <w:rFonts w:cs="Arial"/>
              </w:rPr>
              <w:t>Positive engagement with local landholders results in improved management of giant freshwater crayfish habitat in key locations (as identified under Action 3a).</w:t>
            </w:r>
          </w:p>
        </w:tc>
        <w:tc>
          <w:tcPr>
            <w:tcW w:w="1418" w:type="dxa"/>
            <w:tcBorders>
              <w:top w:val="single" w:sz="4" w:space="0" w:color="auto"/>
              <w:left w:val="nil"/>
              <w:bottom w:val="single" w:sz="4" w:space="0" w:color="auto"/>
              <w:right w:val="nil"/>
            </w:tcBorders>
            <w:shd w:val="clear" w:color="auto" w:fill="DBE5F1" w:themeFill="accent1" w:themeFillTint="33"/>
          </w:tcPr>
          <w:p w14:paraId="1B5C2DC3"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1F50D2">
              <w:rPr>
                <w:rFonts w:cs="Arial"/>
                <w:b/>
              </w:rPr>
              <w:lastRenderedPageBreak/>
              <w:t>DPIPWE</w:t>
            </w:r>
          </w:p>
          <w:p w14:paraId="1B5C2DC4"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TFGA</w:t>
            </w:r>
          </w:p>
          <w:p w14:paraId="1B5C2DC5"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NRM bodies</w:t>
            </w:r>
          </w:p>
        </w:tc>
        <w:tc>
          <w:tcPr>
            <w:tcW w:w="1451" w:type="dxa"/>
            <w:tcBorders>
              <w:top w:val="single" w:sz="4" w:space="0" w:color="auto"/>
              <w:left w:val="nil"/>
              <w:bottom w:val="single" w:sz="4" w:space="0" w:color="auto"/>
              <w:right w:val="nil"/>
            </w:tcBorders>
            <w:shd w:val="clear" w:color="auto" w:fill="DBE5F1" w:themeFill="accent1" w:themeFillTint="33"/>
          </w:tcPr>
          <w:p w14:paraId="1B5C2DC6"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$50,000</w:t>
            </w:r>
          </w:p>
        </w:tc>
      </w:tr>
      <w:tr w:rsidR="00F371AA" w14:paraId="1B5C2DD4"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BE5F1" w:themeFill="accent1" w:themeFillTint="33"/>
          </w:tcPr>
          <w:p w14:paraId="1B5C2DC8" w14:textId="77777777" w:rsidR="00F53D9E" w:rsidRPr="00F83AE1" w:rsidRDefault="00AC555B">
            <w:pPr>
              <w:pStyle w:val="Tabletext"/>
              <w:spacing w:line="240" w:lineRule="auto"/>
              <w:rPr>
                <w:rFonts w:cs="Arial"/>
              </w:rPr>
            </w:pPr>
            <w:r w:rsidRPr="00F83AE1">
              <w:rPr>
                <w:rFonts w:ascii="Arial" w:hAnsi="Arial" w:cs="Arial"/>
                <w:b w:val="0"/>
              </w:rPr>
              <w:t>2c</w:t>
            </w:r>
          </w:p>
        </w:tc>
        <w:tc>
          <w:tcPr>
            <w:tcW w:w="1559" w:type="dxa"/>
            <w:tcBorders>
              <w:top w:val="single" w:sz="4" w:space="0" w:color="auto"/>
              <w:left w:val="nil"/>
              <w:bottom w:val="nil"/>
              <w:right w:val="nil"/>
            </w:tcBorders>
            <w:shd w:val="clear" w:color="auto" w:fill="DBE5F1" w:themeFill="accent1" w:themeFillTint="33"/>
          </w:tcPr>
          <w:p w14:paraId="1B5C2DC9" w14:textId="77777777" w:rsidR="00F53D9E" w:rsidRPr="00F83AE1"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Cs/>
              </w:rPr>
            </w:pPr>
            <w:r w:rsidRPr="00F83AE1">
              <w:rPr>
                <w:rFonts w:eastAsia="Times New Roman" w:cs="Arial"/>
                <w:szCs w:val="20"/>
                <w:lang w:eastAsia="en-GB"/>
              </w:rPr>
              <w:t xml:space="preserve">Conduct research to assess the impacts of increased sedimentation on giant freshwater crayfish and </w:t>
            </w:r>
            <w:r w:rsidRPr="00F83AE1">
              <w:rPr>
                <w:rFonts w:cs="Arial"/>
              </w:rPr>
              <w:t xml:space="preserve">the effectiveness of current management provisions for mitigating these impacts, and, if necessary, </w:t>
            </w:r>
            <w:r w:rsidRPr="00F83AE1">
              <w:rPr>
                <w:rFonts w:eastAsia="Times New Roman" w:cs="Arial"/>
                <w:szCs w:val="20"/>
                <w:lang w:eastAsia="en-GB"/>
              </w:rPr>
              <w:t>update management provisions.</w:t>
            </w:r>
            <w:r w:rsidRPr="00F83AE1">
              <w:rPr>
                <w:rFonts w:cs="Arial"/>
              </w:rPr>
              <w:t xml:space="preserve"> </w:t>
            </w:r>
          </w:p>
        </w:tc>
        <w:tc>
          <w:tcPr>
            <w:tcW w:w="993" w:type="dxa"/>
            <w:tcBorders>
              <w:top w:val="single" w:sz="4" w:space="0" w:color="auto"/>
              <w:left w:val="nil"/>
              <w:bottom w:val="nil"/>
              <w:right w:val="nil"/>
            </w:tcBorders>
            <w:shd w:val="clear" w:color="auto" w:fill="DBE5F1" w:themeFill="accent1" w:themeFillTint="33"/>
          </w:tcPr>
          <w:p w14:paraId="1B5C2DCA" w14:textId="77777777" w:rsidR="00F53D9E" w:rsidRPr="00F83AE1"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1</w:t>
            </w:r>
          </w:p>
        </w:tc>
        <w:tc>
          <w:tcPr>
            <w:tcW w:w="4076" w:type="dxa"/>
            <w:tcBorders>
              <w:top w:val="single" w:sz="4" w:space="0" w:color="auto"/>
              <w:left w:val="nil"/>
              <w:bottom w:val="nil"/>
              <w:right w:val="nil"/>
            </w:tcBorders>
            <w:shd w:val="clear" w:color="auto" w:fill="DBE5F1" w:themeFill="accent1" w:themeFillTint="33"/>
          </w:tcPr>
          <w:p w14:paraId="1B5C2DCB" w14:textId="77777777" w:rsidR="00F53D9E" w:rsidRPr="00F83AE1"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 xml:space="preserve">Research is undertaken to assess the impacts of increased sedimentation on giant freshwater crayfish and determine whether current management of Class 4 streams is effective at minimising sediment input into lower stream reaches. </w:t>
            </w:r>
          </w:p>
          <w:p w14:paraId="1B5C2DCC" w14:textId="77777777" w:rsidR="00F53D9E" w:rsidRPr="00F83AE1"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Methods for categorising the suitability of giant freshwater crayfish habitat are analysed to determine their effectiveness at protecting habitat upstream of key locations (identified under Action 3a).</w:t>
            </w:r>
          </w:p>
          <w:p w14:paraId="1B5C2DCD" w14:textId="77777777" w:rsidR="00F53D9E" w:rsidRPr="00F83AE1"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Options are investigated for increasing the habitat suitability rating in headwaters above key locations (as identified under Action 3a), including potential refinement of watercourse definitions, and a suitable method for conferring increased protection is identified.</w:t>
            </w:r>
          </w:p>
          <w:p w14:paraId="1B5C2DCE" w14:textId="77777777" w:rsidR="00F53D9E" w:rsidRPr="00F83AE1"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The FPA’s Threatened Fauna Adviser and Giant Freshwater Crayfish Habitat Suitability Map are updated to include the chosen method for improving upstream habitat management.</w:t>
            </w:r>
          </w:p>
          <w:p w14:paraId="1B5C2DCF" w14:textId="77777777" w:rsidR="00F53D9E" w:rsidRPr="00F83AE1"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 xml:space="preserve">DPIPWE’s formal advice on the management and maintenance of giant freshwater crayfish habitat is updated as required. </w:t>
            </w:r>
          </w:p>
        </w:tc>
        <w:tc>
          <w:tcPr>
            <w:tcW w:w="1418" w:type="dxa"/>
            <w:tcBorders>
              <w:top w:val="single" w:sz="4" w:space="0" w:color="auto"/>
              <w:left w:val="nil"/>
              <w:bottom w:val="nil"/>
              <w:right w:val="nil"/>
            </w:tcBorders>
            <w:shd w:val="clear" w:color="auto" w:fill="DBE5F1" w:themeFill="accent1" w:themeFillTint="33"/>
          </w:tcPr>
          <w:p w14:paraId="1B5C2DD0" w14:textId="77777777" w:rsidR="00F53D9E" w:rsidRPr="00F83AE1"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FPA</w:t>
            </w:r>
          </w:p>
          <w:p w14:paraId="1B5C2DD1" w14:textId="77777777" w:rsidR="00F53D9E" w:rsidRPr="00F83AE1"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DPIPWE</w:t>
            </w:r>
          </w:p>
          <w:p w14:paraId="1B5C2DD2" w14:textId="77777777" w:rsidR="00F53D9E" w:rsidRPr="00F83AE1"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F83AE1">
              <w:rPr>
                <w:rFonts w:cs="Arial"/>
              </w:rPr>
              <w:t>Research community</w:t>
            </w:r>
          </w:p>
        </w:tc>
        <w:tc>
          <w:tcPr>
            <w:tcW w:w="1451" w:type="dxa"/>
            <w:tcBorders>
              <w:top w:val="single" w:sz="4" w:space="0" w:color="auto"/>
              <w:left w:val="nil"/>
              <w:bottom w:val="nil"/>
              <w:right w:val="nil"/>
            </w:tcBorders>
            <w:shd w:val="clear" w:color="auto" w:fill="DBE5F1" w:themeFill="accent1" w:themeFillTint="33"/>
          </w:tcPr>
          <w:p w14:paraId="1B5C2DD3" w14:textId="77777777" w:rsidR="00F53D9E" w:rsidRPr="00F83AE1" w:rsidRDefault="00AC555B" w:rsidP="00F53D9E">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F83AE1">
              <w:rPr>
                <w:rFonts w:cs="Arial"/>
              </w:rPr>
              <w:t>$100,000</w:t>
            </w:r>
          </w:p>
        </w:tc>
      </w:tr>
    </w:tbl>
    <w:p w14:paraId="1B5C2DD5" w14:textId="77777777" w:rsidR="00F53D9E" w:rsidRDefault="00AC555B">
      <w:pPr>
        <w:spacing w:after="0" w:line="240" w:lineRule="auto"/>
        <w:rPr>
          <w:color w:val="808080" w:themeColor="background1" w:themeShade="80"/>
          <w:sz w:val="24"/>
          <w:szCs w:val="24"/>
        </w:rPr>
      </w:pPr>
      <w:r>
        <w:rPr>
          <w:color w:val="808080" w:themeColor="background1" w:themeShade="80"/>
          <w:sz w:val="24"/>
          <w:szCs w:val="24"/>
        </w:rPr>
        <w:br w:type="page"/>
      </w:r>
    </w:p>
    <w:p w14:paraId="1B5C2DD6" w14:textId="77777777" w:rsidR="00F53D9E" w:rsidRPr="00C1377E" w:rsidRDefault="00AC555B" w:rsidP="00F53D9E">
      <w:pPr>
        <w:spacing w:before="240"/>
        <w:rPr>
          <w:color w:val="808080" w:themeColor="background1" w:themeShade="80"/>
          <w:sz w:val="24"/>
          <w:szCs w:val="24"/>
        </w:rPr>
      </w:pPr>
      <w:r w:rsidRPr="00C1377E">
        <w:rPr>
          <w:color w:val="808080" w:themeColor="background1" w:themeShade="80"/>
          <w:sz w:val="24"/>
          <w:szCs w:val="24"/>
        </w:rPr>
        <w:lastRenderedPageBreak/>
        <w:t>On-ground actions</w:t>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51"/>
      </w:tblGrid>
      <w:tr w:rsidR="00F371AA" w14:paraId="1B5C2DDE"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808080" w:themeFill="background1" w:themeFillShade="80"/>
          </w:tcPr>
          <w:p w14:paraId="1B5C2DD7"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single" w:sz="4" w:space="0" w:color="auto"/>
              <w:right w:val="nil"/>
            </w:tcBorders>
            <w:shd w:val="clear" w:color="auto" w:fill="808080" w:themeFill="background1" w:themeFillShade="80"/>
          </w:tcPr>
          <w:p w14:paraId="1B5C2DD8"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808080" w:themeFill="background1" w:themeFillShade="80"/>
          </w:tcPr>
          <w:p w14:paraId="1B5C2DD9"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single" w:sz="4" w:space="0" w:color="auto"/>
              <w:right w:val="nil"/>
            </w:tcBorders>
            <w:shd w:val="clear" w:color="auto" w:fill="808080" w:themeFill="background1" w:themeFillShade="80"/>
          </w:tcPr>
          <w:p w14:paraId="1B5C2DDA"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808080" w:themeFill="background1" w:themeFillShade="80"/>
          </w:tcPr>
          <w:p w14:paraId="1B5C2DDB"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808080" w:themeFill="background1" w:themeFillShade="80"/>
          </w:tcPr>
          <w:p w14:paraId="1B5C2DDC"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DDD"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DEF"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DDF" w14:textId="77777777" w:rsidR="00F53D9E" w:rsidRDefault="00AC555B">
            <w:pPr>
              <w:pStyle w:val="Tabletext"/>
              <w:spacing w:line="240" w:lineRule="auto"/>
              <w:rPr>
                <w:rFonts w:cs="Arial"/>
              </w:rPr>
            </w:pPr>
            <w:r>
              <w:rPr>
                <w:rFonts w:ascii="Arial" w:hAnsi="Arial" w:cs="Arial"/>
              </w:rPr>
              <w:t>2d</w:t>
            </w:r>
          </w:p>
        </w:tc>
        <w:tc>
          <w:tcPr>
            <w:tcW w:w="1559" w:type="dxa"/>
            <w:tcBorders>
              <w:top w:val="single" w:sz="4" w:space="0" w:color="auto"/>
              <w:left w:val="nil"/>
              <w:bottom w:val="single" w:sz="4" w:space="0" w:color="auto"/>
              <w:right w:val="nil"/>
            </w:tcBorders>
            <w:shd w:val="clear" w:color="auto" w:fill="D9D9D9" w:themeFill="background1" w:themeFillShade="D9"/>
          </w:tcPr>
          <w:p w14:paraId="1B5C2DE0"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highlight w:val="yellow"/>
              </w:rPr>
            </w:pPr>
            <w:r>
              <w:rPr>
                <w:rFonts w:eastAsia="Times New Roman" w:cs="Arial"/>
                <w:szCs w:val="20"/>
                <w:lang w:eastAsia="en-GB"/>
              </w:rPr>
              <w:t xml:space="preserve">Habitat managers and regulators work cooperatively </w:t>
            </w:r>
            <w:r w:rsidRPr="00A506B7">
              <w:rPr>
                <w:rFonts w:eastAsia="Times New Roman" w:cs="Arial"/>
                <w:szCs w:val="20"/>
                <w:lang w:eastAsia="en-GB"/>
              </w:rPr>
              <w:t>to identify and implement methods for strengthening habitat protections, or reducing forestry</w:t>
            </w:r>
            <w:r>
              <w:rPr>
                <w:rFonts w:eastAsia="Times New Roman" w:cs="Arial"/>
                <w:szCs w:val="20"/>
                <w:lang w:eastAsia="en-GB"/>
              </w:rPr>
              <w:t xml:space="preserve"> impacts</w:t>
            </w:r>
            <w:r>
              <w:rPr>
                <w:rFonts w:cs="Arial"/>
              </w:rPr>
              <w:t>,</w:t>
            </w:r>
            <w:r w:rsidRPr="001F50D2">
              <w:rPr>
                <w:rFonts w:cs="Arial"/>
              </w:rPr>
              <w:t xml:space="preserve"> in upstream reaches of </w:t>
            </w:r>
            <w:r>
              <w:rPr>
                <w:rFonts w:cs="Arial"/>
              </w:rPr>
              <w:t>key locations.</w:t>
            </w:r>
            <w:r w:rsidRPr="00C61470">
              <w:rPr>
                <w:rFonts w:cs="Arial"/>
                <w:highlight w:val="yellow"/>
              </w:rPr>
              <w:t xml:space="preserve"> </w:t>
            </w:r>
          </w:p>
          <w:p w14:paraId="1B5C2DE1" w14:textId="77777777" w:rsidR="00F53D9E" w:rsidRDefault="00F53D9E">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highlight w:val="yellow"/>
              </w:rPr>
            </w:pPr>
          </w:p>
        </w:tc>
        <w:tc>
          <w:tcPr>
            <w:tcW w:w="993" w:type="dxa"/>
            <w:tcBorders>
              <w:top w:val="single" w:sz="4" w:space="0" w:color="auto"/>
              <w:left w:val="nil"/>
              <w:bottom w:val="single" w:sz="4" w:space="0" w:color="auto"/>
              <w:right w:val="nil"/>
            </w:tcBorders>
            <w:shd w:val="clear" w:color="auto" w:fill="D9D9D9" w:themeFill="background1" w:themeFillShade="D9"/>
          </w:tcPr>
          <w:p w14:paraId="1B5C2DE2"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1F50D2">
              <w:rPr>
                <w:rFonts w:cs="Arial"/>
              </w:rPr>
              <w:t>1</w:t>
            </w:r>
          </w:p>
        </w:tc>
        <w:tc>
          <w:tcPr>
            <w:tcW w:w="4076" w:type="dxa"/>
            <w:tcBorders>
              <w:top w:val="single" w:sz="4" w:space="0" w:color="auto"/>
              <w:left w:val="nil"/>
              <w:bottom w:val="single" w:sz="4" w:space="0" w:color="auto"/>
              <w:right w:val="nil"/>
            </w:tcBorders>
            <w:shd w:val="clear" w:color="auto" w:fill="D9D9D9" w:themeFill="background1" w:themeFillShade="D9"/>
          </w:tcPr>
          <w:p w14:paraId="1B5C2DE3"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F</w:t>
            </w:r>
            <w:r w:rsidRPr="004A393B">
              <w:rPr>
                <w:rFonts w:cs="Arial"/>
              </w:rPr>
              <w:t xml:space="preserve">orestry management </w:t>
            </w:r>
            <w:r>
              <w:rPr>
                <w:rFonts w:cs="Arial"/>
              </w:rPr>
              <w:t xml:space="preserve">and </w:t>
            </w:r>
            <w:r w:rsidRPr="004A393B">
              <w:rPr>
                <w:rFonts w:cs="Arial"/>
              </w:rPr>
              <w:t xml:space="preserve">practices continue to undergo a process of adaptive management to improve and refine measures designed to minimise downstream impacts in areas that support optimal habitat for both juvenile and adult </w:t>
            </w:r>
            <w:r>
              <w:rPr>
                <w:rFonts w:cs="Arial"/>
              </w:rPr>
              <w:t>giant freshwater crayfish</w:t>
            </w:r>
            <w:r w:rsidRPr="004A393B">
              <w:rPr>
                <w:rFonts w:cs="Arial"/>
              </w:rPr>
              <w:t>.</w:t>
            </w:r>
          </w:p>
          <w:p w14:paraId="1B5C2DE4"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Options for increasing habitat protection, or reducing adverse impacts, in upstream reaches of key locations (as identified under Action 3a) are investigated.</w:t>
            </w:r>
          </w:p>
          <w:p w14:paraId="1B5C2DE5"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Habitat managers and regulators</w:t>
            </w:r>
            <w:r w:rsidRPr="00FF66B5">
              <w:rPr>
                <w:rFonts w:cs="Arial"/>
              </w:rPr>
              <w:t xml:space="preserve"> work together to identify</w:t>
            </w:r>
            <w:r w:rsidRPr="0014630C">
              <w:rPr>
                <w:rFonts w:cs="Arial"/>
              </w:rPr>
              <w:t xml:space="preserve"> the most </w:t>
            </w:r>
            <w:r>
              <w:rPr>
                <w:rFonts w:cs="Arial"/>
              </w:rPr>
              <w:t>effective</w:t>
            </w:r>
            <w:r w:rsidRPr="0014630C">
              <w:rPr>
                <w:rFonts w:cs="Arial"/>
              </w:rPr>
              <w:t xml:space="preserve"> </w:t>
            </w:r>
            <w:r>
              <w:rPr>
                <w:rFonts w:cs="Arial"/>
              </w:rPr>
              <w:t>method</w:t>
            </w:r>
            <w:r w:rsidRPr="00FF66B5">
              <w:rPr>
                <w:rFonts w:cs="Arial"/>
              </w:rPr>
              <w:t xml:space="preserve"> for increasing</w:t>
            </w:r>
            <w:r w:rsidRPr="0014630C">
              <w:rPr>
                <w:rFonts w:cs="Arial"/>
              </w:rPr>
              <w:t xml:space="preserve"> protections, or improving management, in </w:t>
            </w:r>
            <w:r w:rsidRPr="001F50D2">
              <w:rPr>
                <w:rFonts w:cs="Arial"/>
              </w:rPr>
              <w:t>upstream reaches of</w:t>
            </w:r>
            <w:r>
              <w:rPr>
                <w:rFonts w:cs="Arial"/>
              </w:rPr>
              <w:t xml:space="preserve"> key locations </w:t>
            </w:r>
            <w:r w:rsidRPr="004A393B">
              <w:rPr>
                <w:rFonts w:cs="Arial"/>
              </w:rPr>
              <w:t>(as identified under Action 3a)</w:t>
            </w:r>
            <w:r>
              <w:rPr>
                <w:rFonts w:cs="Arial"/>
              </w:rPr>
              <w:t>.</w:t>
            </w:r>
          </w:p>
          <w:p w14:paraId="1B5C2DE6"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The identified method for increasing protections is incorporated into catchment by catchment strategic plans.</w:t>
            </w:r>
          </w:p>
          <w:p w14:paraId="1B5C2DE7"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The chosen method is implemented by regulators.</w:t>
            </w:r>
          </w:p>
        </w:tc>
        <w:tc>
          <w:tcPr>
            <w:tcW w:w="1418" w:type="dxa"/>
            <w:tcBorders>
              <w:top w:val="single" w:sz="4" w:space="0" w:color="auto"/>
              <w:left w:val="nil"/>
              <w:bottom w:val="single" w:sz="4" w:space="0" w:color="auto"/>
              <w:right w:val="nil"/>
            </w:tcBorders>
            <w:shd w:val="clear" w:color="auto" w:fill="D9D9D9" w:themeFill="background1" w:themeFillShade="D9"/>
          </w:tcPr>
          <w:p w14:paraId="1B5C2DE8" w14:textId="77777777" w:rsidR="00F53D9E" w:rsidRDefault="00AC555B">
            <w:pPr>
              <w:spacing w:after="0" w:line="240" w:lineRule="auto"/>
              <w:cnfStyle w:val="000000100000" w:firstRow="0" w:lastRow="0" w:firstColumn="0" w:lastColumn="0" w:oddVBand="0" w:evenVBand="0" w:oddHBand="1" w:evenHBand="0" w:firstRowFirstColumn="0" w:firstRowLastColumn="0" w:lastRowFirstColumn="0" w:lastRowLastColumn="0"/>
              <w:rPr>
                <w:b/>
              </w:rPr>
            </w:pPr>
            <w:proofErr w:type="spellStart"/>
            <w:r>
              <w:rPr>
                <w:b/>
              </w:rPr>
              <w:t>DoEE</w:t>
            </w:r>
            <w:proofErr w:type="spellEnd"/>
          </w:p>
          <w:p w14:paraId="1B5C2DE9" w14:textId="77777777" w:rsidR="00F53D9E" w:rsidRDefault="00AC555B">
            <w:pPr>
              <w:spacing w:after="0" w:line="240" w:lineRule="auto"/>
              <w:cnfStyle w:val="000000100000" w:firstRow="0" w:lastRow="0" w:firstColumn="0" w:lastColumn="0" w:oddVBand="0" w:evenVBand="0" w:oddHBand="1" w:evenHBand="0" w:firstRowFirstColumn="0" w:firstRowLastColumn="0" w:lastRowFirstColumn="0" w:lastRowLastColumn="0"/>
              <w:rPr>
                <w:b/>
              </w:rPr>
            </w:pPr>
            <w:bookmarkStart w:id="296" w:name="_Toc440634633"/>
            <w:r w:rsidRPr="008C2DF3">
              <w:rPr>
                <w:b/>
              </w:rPr>
              <w:t>DPIPWE</w:t>
            </w:r>
            <w:bookmarkEnd w:id="296"/>
          </w:p>
          <w:p w14:paraId="1B5C2DEA"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1F50D2">
              <w:rPr>
                <w:rFonts w:cs="Arial"/>
                <w:b/>
              </w:rPr>
              <w:t>FPA</w:t>
            </w:r>
          </w:p>
          <w:p w14:paraId="1B5C2DEB"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383A">
              <w:t>FT</w:t>
            </w:r>
            <w:r w:rsidRPr="002B2221">
              <w:rPr>
                <w:rFonts w:cs="Arial"/>
              </w:rPr>
              <w:t xml:space="preserve"> </w:t>
            </w:r>
          </w:p>
          <w:p w14:paraId="1B5C2DEC"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highlight w:val="yellow"/>
              </w:rPr>
            </w:pPr>
            <w:r w:rsidRPr="001F50D2">
              <w:rPr>
                <w:rFonts w:cs="Arial"/>
              </w:rPr>
              <w:t>Research community</w:t>
            </w:r>
          </w:p>
        </w:tc>
        <w:tc>
          <w:tcPr>
            <w:tcW w:w="1451" w:type="dxa"/>
            <w:tcBorders>
              <w:top w:val="single" w:sz="4" w:space="0" w:color="auto"/>
              <w:left w:val="nil"/>
              <w:bottom w:val="single" w:sz="4" w:space="0" w:color="auto"/>
              <w:right w:val="nil"/>
            </w:tcBorders>
            <w:shd w:val="clear" w:color="auto" w:fill="D9D9D9" w:themeFill="background1" w:themeFillShade="D9"/>
          </w:tcPr>
          <w:p w14:paraId="1B5C2DED"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$30,000 pa</w:t>
            </w:r>
          </w:p>
          <w:p w14:paraId="1B5C2DEE"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Pr>
                <w:rFonts w:cs="Arial"/>
              </w:rPr>
              <w:t>(for a minimum of five years)</w:t>
            </w:r>
          </w:p>
        </w:tc>
      </w:tr>
      <w:tr w:rsidR="00F371AA" w14:paraId="1B5C2DF9"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DF0" w14:textId="77777777" w:rsidR="00F53D9E" w:rsidRDefault="00AC555B">
            <w:pPr>
              <w:pStyle w:val="Tabletext"/>
              <w:spacing w:line="240" w:lineRule="auto"/>
              <w:rPr>
                <w:rFonts w:cs="Arial"/>
              </w:rPr>
            </w:pPr>
            <w:r w:rsidRPr="00B90092">
              <w:rPr>
                <w:rFonts w:ascii="Arial" w:hAnsi="Arial" w:cs="Arial"/>
              </w:rPr>
              <w:t>2e</w:t>
            </w:r>
          </w:p>
        </w:tc>
        <w:tc>
          <w:tcPr>
            <w:tcW w:w="1559" w:type="dxa"/>
            <w:tcBorders>
              <w:top w:val="single" w:sz="4" w:space="0" w:color="auto"/>
              <w:left w:val="nil"/>
              <w:bottom w:val="single" w:sz="4" w:space="0" w:color="auto"/>
              <w:right w:val="nil"/>
            </w:tcBorders>
            <w:shd w:val="clear" w:color="auto" w:fill="D9D9D9" w:themeFill="background1" w:themeFillShade="D9"/>
          </w:tcPr>
          <w:p w14:paraId="1B5C2DF1"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 xml:space="preserve">Undertake monitoring of forestry industry compliance with </w:t>
            </w:r>
            <w:r>
              <w:rPr>
                <w:rFonts w:cs="Arial"/>
              </w:rPr>
              <w:t>giant freshwater crayfish</w:t>
            </w:r>
            <w:r w:rsidRPr="002C383A">
              <w:rPr>
                <w:rFonts w:cs="Arial"/>
              </w:rPr>
              <w:t xml:space="preserve"> management prescriptions.</w:t>
            </w:r>
          </w:p>
        </w:tc>
        <w:tc>
          <w:tcPr>
            <w:tcW w:w="993" w:type="dxa"/>
            <w:tcBorders>
              <w:top w:val="single" w:sz="4" w:space="0" w:color="auto"/>
              <w:left w:val="nil"/>
              <w:bottom w:val="single" w:sz="4" w:space="0" w:color="auto"/>
              <w:right w:val="nil"/>
            </w:tcBorders>
            <w:shd w:val="clear" w:color="auto" w:fill="D9D9D9" w:themeFill="background1" w:themeFillShade="D9"/>
          </w:tcPr>
          <w:p w14:paraId="1B5C2DF2"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1</w:t>
            </w:r>
          </w:p>
        </w:tc>
        <w:tc>
          <w:tcPr>
            <w:tcW w:w="4076" w:type="dxa"/>
            <w:tcBorders>
              <w:top w:val="single" w:sz="4" w:space="0" w:color="auto"/>
              <w:left w:val="nil"/>
              <w:bottom w:val="single" w:sz="4" w:space="0" w:color="auto"/>
              <w:right w:val="nil"/>
            </w:tcBorders>
            <w:shd w:val="clear" w:color="auto" w:fill="D9D9D9" w:themeFill="background1" w:themeFillShade="D9"/>
          </w:tcPr>
          <w:p w14:paraId="1B5C2DF3"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Regular monitoring is continued to ensure management prescriptions for the protection of giant freshwater crayfish habitat are being correctly and effectively implemented.</w:t>
            </w:r>
          </w:p>
          <w:p w14:paraId="1B5C2DF4"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Compliance with management prescriptions is evaluated.</w:t>
            </w:r>
          </w:p>
          <w:p w14:paraId="1B5C2DF5"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Monitoring results are used to inform adaptive management of the prescriptions to improve implementation and incorporate any new recommendations/prescriptions.</w:t>
            </w:r>
          </w:p>
        </w:tc>
        <w:tc>
          <w:tcPr>
            <w:tcW w:w="1418" w:type="dxa"/>
            <w:tcBorders>
              <w:top w:val="single" w:sz="4" w:space="0" w:color="auto"/>
              <w:left w:val="nil"/>
              <w:bottom w:val="single" w:sz="4" w:space="0" w:color="auto"/>
              <w:right w:val="nil"/>
            </w:tcBorders>
            <w:shd w:val="clear" w:color="auto" w:fill="D9D9D9" w:themeFill="background1" w:themeFillShade="D9"/>
          </w:tcPr>
          <w:p w14:paraId="1B5C2DF6"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383A">
              <w:rPr>
                <w:rFonts w:cs="Arial"/>
                <w:b/>
              </w:rPr>
              <w:t>FPA</w:t>
            </w:r>
            <w:r w:rsidRPr="00E0061F">
              <w:rPr>
                <w:rFonts w:cs="Arial"/>
                <w:b/>
              </w:rPr>
              <w:t xml:space="preserve"> </w:t>
            </w:r>
          </w:p>
          <w:p w14:paraId="1B5C2DF7"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FT</w:t>
            </w:r>
          </w:p>
        </w:tc>
        <w:tc>
          <w:tcPr>
            <w:tcW w:w="1451" w:type="dxa"/>
            <w:tcBorders>
              <w:top w:val="single" w:sz="4" w:space="0" w:color="auto"/>
              <w:left w:val="nil"/>
              <w:bottom w:val="single" w:sz="4" w:space="0" w:color="auto"/>
              <w:right w:val="nil"/>
            </w:tcBorders>
            <w:shd w:val="clear" w:color="auto" w:fill="D9D9D9" w:themeFill="background1" w:themeFillShade="D9"/>
          </w:tcPr>
          <w:p w14:paraId="1B5C2DF8"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2C383A">
              <w:rPr>
                <w:rFonts w:cs="Arial"/>
              </w:rPr>
              <w:t>Core government business</w:t>
            </w:r>
          </w:p>
        </w:tc>
      </w:tr>
      <w:tr w:rsidR="00F371AA" w14:paraId="1B5C2E04" w14:textId="77777777" w:rsidTr="00F371A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9D9D9" w:themeFill="background1" w:themeFillShade="D9"/>
          </w:tcPr>
          <w:p w14:paraId="1B5C2DFA" w14:textId="77777777" w:rsidR="00F53D9E" w:rsidRDefault="00AC555B">
            <w:pPr>
              <w:pStyle w:val="Tabletext"/>
              <w:spacing w:line="240" w:lineRule="auto"/>
              <w:rPr>
                <w:rFonts w:cs="Arial"/>
              </w:rPr>
            </w:pPr>
            <w:r w:rsidRPr="00F6524E">
              <w:rPr>
                <w:rFonts w:ascii="Arial" w:hAnsi="Arial" w:cs="Arial"/>
              </w:rPr>
              <w:t>2</w:t>
            </w:r>
            <w:r w:rsidRPr="00E0061F">
              <w:rPr>
                <w:rFonts w:ascii="Arial" w:hAnsi="Arial" w:cs="Arial"/>
              </w:rPr>
              <w:t>f</w:t>
            </w:r>
          </w:p>
        </w:tc>
        <w:tc>
          <w:tcPr>
            <w:tcW w:w="1559" w:type="dxa"/>
            <w:tcBorders>
              <w:top w:val="single" w:sz="4" w:space="0" w:color="auto"/>
              <w:left w:val="nil"/>
              <w:bottom w:val="nil"/>
              <w:right w:val="nil"/>
            </w:tcBorders>
            <w:shd w:val="clear" w:color="auto" w:fill="D9D9D9" w:themeFill="background1" w:themeFillShade="D9"/>
          </w:tcPr>
          <w:p w14:paraId="1B5C2DFB"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Investigate options for sediment control.</w:t>
            </w:r>
          </w:p>
        </w:tc>
        <w:tc>
          <w:tcPr>
            <w:tcW w:w="993" w:type="dxa"/>
            <w:tcBorders>
              <w:top w:val="single" w:sz="4" w:space="0" w:color="auto"/>
              <w:left w:val="nil"/>
              <w:bottom w:val="nil"/>
              <w:right w:val="nil"/>
            </w:tcBorders>
            <w:shd w:val="clear" w:color="auto" w:fill="D9D9D9" w:themeFill="background1" w:themeFillShade="D9"/>
          </w:tcPr>
          <w:p w14:paraId="1B5C2DFC"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single" w:sz="4" w:space="0" w:color="auto"/>
              <w:left w:val="nil"/>
              <w:bottom w:val="nil"/>
              <w:right w:val="nil"/>
            </w:tcBorders>
            <w:shd w:val="clear" w:color="auto" w:fill="D9D9D9" w:themeFill="background1" w:themeFillShade="D9"/>
          </w:tcPr>
          <w:p w14:paraId="1B5C2DFD"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43584D">
              <w:rPr>
                <w:rFonts w:cs="Arial"/>
              </w:rPr>
              <w:t>The effectiveness of various methods of controlling erosion and reducing sediment inputs into streams are investigated for different habitat types.</w:t>
            </w:r>
          </w:p>
          <w:p w14:paraId="1B5C2DFE"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43584D">
              <w:rPr>
                <w:rFonts w:cs="Arial"/>
              </w:rPr>
              <w:t xml:space="preserve">Appropriate erosion and sediment controls measures are implemented in priority sub-catchments.  </w:t>
            </w:r>
          </w:p>
        </w:tc>
        <w:tc>
          <w:tcPr>
            <w:tcW w:w="1418" w:type="dxa"/>
            <w:tcBorders>
              <w:top w:val="single" w:sz="4" w:space="0" w:color="auto"/>
              <w:left w:val="nil"/>
              <w:bottom w:val="nil"/>
              <w:right w:val="nil"/>
            </w:tcBorders>
            <w:shd w:val="clear" w:color="auto" w:fill="D9D9D9" w:themeFill="background1" w:themeFillShade="D9"/>
          </w:tcPr>
          <w:p w14:paraId="1B5C2DFF"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b/>
              </w:rPr>
              <w:t>FPA</w:t>
            </w:r>
          </w:p>
          <w:p w14:paraId="1B5C2E00"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9F5F67">
              <w:rPr>
                <w:rFonts w:cs="Arial"/>
                <w:b/>
              </w:rPr>
              <w:t>DPIPWE</w:t>
            </w:r>
          </w:p>
          <w:p w14:paraId="1B5C2E01"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383A">
              <w:rPr>
                <w:rFonts w:cs="Arial"/>
              </w:rPr>
              <w:t>FT</w:t>
            </w:r>
            <w:r w:rsidRPr="002B2221">
              <w:rPr>
                <w:rFonts w:cs="Arial"/>
              </w:rPr>
              <w:t xml:space="preserve"> </w:t>
            </w:r>
          </w:p>
          <w:p w14:paraId="1B5C2E02"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p>
        </w:tc>
        <w:tc>
          <w:tcPr>
            <w:tcW w:w="1451" w:type="dxa"/>
            <w:tcBorders>
              <w:top w:val="single" w:sz="4" w:space="0" w:color="auto"/>
              <w:left w:val="nil"/>
              <w:bottom w:val="nil"/>
              <w:right w:val="nil"/>
            </w:tcBorders>
            <w:shd w:val="clear" w:color="auto" w:fill="D9D9D9" w:themeFill="background1" w:themeFillShade="D9"/>
          </w:tcPr>
          <w:p w14:paraId="1B5C2E03"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$50,000</w:t>
            </w:r>
          </w:p>
        </w:tc>
      </w:tr>
    </w:tbl>
    <w:p w14:paraId="1B5C2E05" w14:textId="77777777" w:rsidR="00F53D9E" w:rsidRDefault="00AC555B">
      <w:pPr>
        <w:rPr>
          <w:b/>
          <w:bCs/>
        </w:rPr>
      </w:pPr>
      <w:r>
        <w:rPr>
          <w:b/>
          <w:bCs/>
        </w:rPr>
        <w:br w:type="page"/>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17"/>
        <w:gridCol w:w="34"/>
      </w:tblGrid>
      <w:tr w:rsidR="00F371AA" w14:paraId="1B5C2E12" w14:textId="77777777" w:rsidTr="00F371AA">
        <w:trPr>
          <w:gridAfter w:val="1"/>
          <w:cnfStyle w:val="100000000000" w:firstRow="1" w:lastRow="0" w:firstColumn="0" w:lastColumn="0" w:oddVBand="0" w:evenVBand="0" w:oddHBand="0" w:evenHBand="0" w:firstRowFirstColumn="0" w:firstRowLastColumn="0" w:lastRowFirstColumn="0" w:lastRowLastColumn="0"/>
          <w:wAfter w:w="34" w:type="dxa"/>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E06" w14:textId="77777777" w:rsidR="00F53D9E" w:rsidRPr="004F7037" w:rsidRDefault="00AC555B">
            <w:pPr>
              <w:pStyle w:val="Tabletext"/>
              <w:spacing w:line="240" w:lineRule="auto"/>
              <w:rPr>
                <w:rFonts w:cs="Arial"/>
                <w:szCs w:val="20"/>
              </w:rPr>
            </w:pPr>
            <w:r w:rsidRPr="004F7037">
              <w:rPr>
                <w:rFonts w:ascii="Arial" w:hAnsi="Arial" w:cs="Arial"/>
                <w:szCs w:val="20"/>
              </w:rPr>
              <w:lastRenderedPageBreak/>
              <w:t>2g</w:t>
            </w:r>
          </w:p>
        </w:tc>
        <w:tc>
          <w:tcPr>
            <w:tcW w:w="1559" w:type="dxa"/>
            <w:tcBorders>
              <w:top w:val="single" w:sz="4" w:space="0" w:color="auto"/>
              <w:left w:val="nil"/>
              <w:bottom w:val="single" w:sz="4" w:space="0" w:color="auto"/>
              <w:right w:val="nil"/>
            </w:tcBorders>
            <w:shd w:val="clear" w:color="auto" w:fill="D9D9D9" w:themeFill="background1" w:themeFillShade="D9"/>
          </w:tcPr>
          <w:p w14:paraId="1B5C2E07" w14:textId="77777777" w:rsidR="00F53D9E" w:rsidRPr="004F7037"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rPr>
              <w:t>Ensure water management planning incorporates requirements of the giant freshwater crayfish.</w:t>
            </w:r>
          </w:p>
        </w:tc>
        <w:tc>
          <w:tcPr>
            <w:tcW w:w="993" w:type="dxa"/>
            <w:tcBorders>
              <w:top w:val="single" w:sz="4" w:space="0" w:color="auto"/>
              <w:left w:val="nil"/>
              <w:bottom w:val="single" w:sz="4" w:space="0" w:color="auto"/>
              <w:right w:val="nil"/>
            </w:tcBorders>
            <w:shd w:val="clear" w:color="auto" w:fill="D9D9D9" w:themeFill="background1" w:themeFillShade="D9"/>
          </w:tcPr>
          <w:p w14:paraId="1B5C2E08" w14:textId="77777777" w:rsidR="00F53D9E" w:rsidRPr="004F7037"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szCs w:val="20"/>
              </w:rPr>
              <w:t>1</w:t>
            </w:r>
          </w:p>
        </w:tc>
        <w:tc>
          <w:tcPr>
            <w:tcW w:w="4076" w:type="dxa"/>
            <w:tcBorders>
              <w:top w:val="single" w:sz="4" w:space="0" w:color="auto"/>
              <w:left w:val="nil"/>
              <w:bottom w:val="single" w:sz="4" w:space="0" w:color="auto"/>
              <w:right w:val="nil"/>
            </w:tcBorders>
            <w:shd w:val="clear" w:color="auto" w:fill="D9D9D9" w:themeFill="background1" w:themeFillShade="D9"/>
          </w:tcPr>
          <w:p w14:paraId="1B5C2E09" w14:textId="77777777" w:rsidR="00F53D9E" w:rsidRPr="004F7037"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4F7037">
              <w:rPr>
                <w:rFonts w:ascii="Arial" w:hAnsi="Arial" w:cs="Arial"/>
                <w:b w:val="0"/>
              </w:rPr>
              <w:t xml:space="preserve">Water managers in catchments housing </w:t>
            </w:r>
            <w:r>
              <w:rPr>
                <w:rFonts w:ascii="Arial" w:hAnsi="Arial" w:cs="Arial"/>
                <w:b w:val="0"/>
              </w:rPr>
              <w:t>giant freshwater crayfish</w:t>
            </w:r>
            <w:r w:rsidRPr="004F7037">
              <w:rPr>
                <w:rFonts w:ascii="Arial" w:hAnsi="Arial" w:cs="Arial"/>
                <w:b w:val="0"/>
              </w:rPr>
              <w:t xml:space="preserve"> are aware of the water requirements of the species.</w:t>
            </w:r>
          </w:p>
          <w:p w14:paraId="1B5C2E0A" w14:textId="77777777" w:rsidR="00F53D9E" w:rsidRPr="004F7037"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4F7037">
              <w:rPr>
                <w:rFonts w:ascii="Arial" w:hAnsi="Arial" w:cs="Arial"/>
                <w:b w:val="0"/>
              </w:rPr>
              <w:t xml:space="preserve">The water requirements of </w:t>
            </w:r>
            <w:r>
              <w:rPr>
                <w:rFonts w:ascii="Arial" w:hAnsi="Arial" w:cs="Arial"/>
                <w:b w:val="0"/>
              </w:rPr>
              <w:t>giant freshwater crayfish</w:t>
            </w:r>
            <w:r w:rsidRPr="004F7037">
              <w:rPr>
                <w:rFonts w:ascii="Arial" w:hAnsi="Arial" w:cs="Arial"/>
                <w:b w:val="0"/>
              </w:rPr>
              <w:t xml:space="preserve"> are incorporated in water management planning processes and environmental flow assessments.</w:t>
            </w:r>
          </w:p>
          <w:p w14:paraId="1B5C2E0B" w14:textId="77777777" w:rsidR="00F53D9E" w:rsidRPr="004F7037"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4F7037">
              <w:rPr>
                <w:rFonts w:ascii="Arial" w:hAnsi="Arial" w:cs="Arial"/>
                <w:b w:val="0"/>
              </w:rPr>
              <w:t>Appropriate mechanisms are in place to control illegal water extraction across the species range.</w:t>
            </w:r>
          </w:p>
          <w:p w14:paraId="1B5C2E0C" w14:textId="77777777" w:rsidR="00F53D9E" w:rsidRPr="004F7037"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4F7037">
              <w:rPr>
                <w:rFonts w:ascii="Arial" w:hAnsi="Arial" w:cs="Arial"/>
                <w:b w:val="0"/>
              </w:rPr>
              <w:t xml:space="preserve">Appropriate mechanisms are in place to ensure that the impacts of dam construction on </w:t>
            </w:r>
            <w:r>
              <w:rPr>
                <w:rFonts w:ascii="Arial" w:hAnsi="Arial" w:cs="Arial"/>
                <w:b w:val="0"/>
              </w:rPr>
              <w:t>giant freshwater crayfish</w:t>
            </w:r>
            <w:r w:rsidRPr="004F7037">
              <w:rPr>
                <w:rFonts w:ascii="Arial" w:hAnsi="Arial" w:cs="Arial"/>
                <w:b w:val="0"/>
              </w:rPr>
              <w:t xml:space="preserve"> are minimised.</w:t>
            </w:r>
          </w:p>
          <w:p w14:paraId="1B5C2E0D" w14:textId="77777777" w:rsidR="00F53D9E" w:rsidRPr="004F7037"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rPr>
              <w:t>Positive engagement with water regulators results in improved management of giant freshwater crayfish habitat in key locations (as identified under Action 3a).</w:t>
            </w:r>
          </w:p>
        </w:tc>
        <w:tc>
          <w:tcPr>
            <w:tcW w:w="1418" w:type="dxa"/>
            <w:tcBorders>
              <w:top w:val="single" w:sz="4" w:space="0" w:color="auto"/>
              <w:left w:val="nil"/>
              <w:bottom w:val="single" w:sz="4" w:space="0" w:color="auto"/>
              <w:right w:val="nil"/>
            </w:tcBorders>
            <w:shd w:val="clear" w:color="auto" w:fill="D9D9D9" w:themeFill="background1" w:themeFillShade="D9"/>
          </w:tcPr>
          <w:p w14:paraId="1B5C2E0E" w14:textId="77777777" w:rsidR="00F53D9E" w:rsidRPr="004F7037"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szCs w:val="20"/>
              </w:rPr>
              <w:t>DPIPWE</w:t>
            </w:r>
          </w:p>
          <w:p w14:paraId="1B5C2E0F" w14:textId="77777777" w:rsidR="00F53D9E" w:rsidRPr="004F7037"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szCs w:val="20"/>
              </w:rPr>
              <w:t>Tasmanian Irrigation</w:t>
            </w:r>
          </w:p>
        </w:tc>
        <w:tc>
          <w:tcPr>
            <w:tcW w:w="1417" w:type="dxa"/>
            <w:tcBorders>
              <w:top w:val="single" w:sz="4" w:space="0" w:color="auto"/>
              <w:left w:val="nil"/>
              <w:bottom w:val="single" w:sz="4" w:space="0" w:color="auto"/>
              <w:right w:val="nil"/>
            </w:tcBorders>
            <w:shd w:val="clear" w:color="auto" w:fill="D9D9D9" w:themeFill="background1" w:themeFillShade="D9"/>
          </w:tcPr>
          <w:p w14:paraId="1B5C2E10" w14:textId="77777777" w:rsidR="00F53D9E" w:rsidRPr="004F7037"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szCs w:val="20"/>
              </w:rPr>
              <w:t>$10,000 pa</w:t>
            </w:r>
          </w:p>
          <w:p w14:paraId="1B5C2E11" w14:textId="77777777" w:rsidR="00F53D9E" w:rsidRPr="004F7037"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sidRPr="004F7037">
              <w:rPr>
                <w:rFonts w:ascii="Arial" w:hAnsi="Arial" w:cs="Arial"/>
                <w:b w:val="0"/>
                <w:szCs w:val="20"/>
              </w:rPr>
              <w:t>(for a minimum of five years)</w:t>
            </w:r>
          </w:p>
        </w:tc>
      </w:tr>
      <w:tr w:rsidR="00F371AA" w14:paraId="1B5C2E1E" w14:textId="77777777" w:rsidTr="00F371AA">
        <w:trPr>
          <w:gridAfter w:val="1"/>
          <w:cnfStyle w:val="000000100000" w:firstRow="0" w:lastRow="0" w:firstColumn="0" w:lastColumn="0" w:oddVBand="0" w:evenVBand="0" w:oddHBand="1" w:evenHBand="0" w:firstRowFirstColumn="0" w:firstRowLastColumn="0" w:lastRowFirstColumn="0" w:lastRowLastColumn="0"/>
          <w:wAfter w:w="34" w:type="dxa"/>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9D9D9" w:themeFill="background1" w:themeFillShade="D9"/>
          </w:tcPr>
          <w:p w14:paraId="1B5C2E13" w14:textId="77777777" w:rsidR="00F53D9E" w:rsidRDefault="00AC555B">
            <w:pPr>
              <w:pStyle w:val="Tabletext"/>
              <w:spacing w:line="240" w:lineRule="auto"/>
              <w:rPr>
                <w:rFonts w:cs="Arial"/>
                <w:szCs w:val="20"/>
              </w:rPr>
            </w:pPr>
            <w:r>
              <w:rPr>
                <w:rFonts w:ascii="Arial" w:hAnsi="Arial" w:cs="Arial"/>
                <w:szCs w:val="20"/>
              </w:rPr>
              <w:t>2h</w:t>
            </w:r>
          </w:p>
        </w:tc>
        <w:tc>
          <w:tcPr>
            <w:tcW w:w="1559" w:type="dxa"/>
            <w:tcBorders>
              <w:top w:val="single" w:sz="4" w:space="0" w:color="auto"/>
              <w:left w:val="nil"/>
              <w:bottom w:val="nil"/>
              <w:right w:val="nil"/>
            </w:tcBorders>
            <w:shd w:val="clear" w:color="auto" w:fill="D9D9D9" w:themeFill="background1" w:themeFillShade="D9"/>
          </w:tcPr>
          <w:p w14:paraId="1B5C2E14"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F50D2">
              <w:rPr>
                <w:rFonts w:cs="Arial"/>
                <w:szCs w:val="20"/>
              </w:rPr>
              <w:t xml:space="preserve">Ensure culvert designs allow for movement of giant freshwater </w:t>
            </w:r>
            <w:r>
              <w:rPr>
                <w:rFonts w:cs="Arial"/>
                <w:szCs w:val="20"/>
              </w:rPr>
              <w:t>crayfish</w:t>
            </w:r>
            <w:r w:rsidRPr="001F50D2">
              <w:rPr>
                <w:rFonts w:cs="Arial"/>
                <w:szCs w:val="20"/>
              </w:rPr>
              <w:t xml:space="preserve"> </w:t>
            </w:r>
          </w:p>
        </w:tc>
        <w:tc>
          <w:tcPr>
            <w:tcW w:w="993" w:type="dxa"/>
            <w:tcBorders>
              <w:top w:val="single" w:sz="4" w:space="0" w:color="auto"/>
              <w:left w:val="nil"/>
              <w:bottom w:val="nil"/>
              <w:right w:val="nil"/>
            </w:tcBorders>
            <w:shd w:val="clear" w:color="auto" w:fill="D9D9D9" w:themeFill="background1" w:themeFillShade="D9"/>
          </w:tcPr>
          <w:p w14:paraId="1B5C2E15"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50D2">
              <w:rPr>
                <w:rFonts w:cs="Arial"/>
                <w:szCs w:val="20"/>
              </w:rPr>
              <w:t>3</w:t>
            </w:r>
          </w:p>
        </w:tc>
        <w:tc>
          <w:tcPr>
            <w:tcW w:w="4076" w:type="dxa"/>
            <w:tcBorders>
              <w:top w:val="single" w:sz="4" w:space="0" w:color="auto"/>
              <w:left w:val="nil"/>
              <w:bottom w:val="nil"/>
              <w:right w:val="nil"/>
            </w:tcBorders>
            <w:shd w:val="clear" w:color="auto" w:fill="D9D9D9" w:themeFill="background1" w:themeFillShade="D9"/>
          </w:tcPr>
          <w:p w14:paraId="1B5C2E16"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 xml:space="preserve">Information on minimal-impact culvert designs, as described in the FPA Fauna Technical Note No.15, is disseminated to local councils, landholders and other relevant stakeholders within the giant freshwater crayfish’s distribution. </w:t>
            </w:r>
          </w:p>
          <w:p w14:paraId="1B5C2E17"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szCs w:val="20"/>
              </w:rPr>
            </w:pPr>
            <w:r w:rsidRPr="004A393B">
              <w:rPr>
                <w:rFonts w:cs="Arial"/>
              </w:rPr>
              <w:t>Culvert designs which allow for the movement of giant freshwater crayfish are used for stream crossings within the species range.</w:t>
            </w:r>
          </w:p>
        </w:tc>
        <w:tc>
          <w:tcPr>
            <w:tcW w:w="1418" w:type="dxa"/>
            <w:tcBorders>
              <w:top w:val="single" w:sz="4" w:space="0" w:color="auto"/>
              <w:left w:val="nil"/>
              <w:bottom w:val="nil"/>
              <w:right w:val="nil"/>
            </w:tcBorders>
            <w:shd w:val="clear" w:color="auto" w:fill="D9D9D9" w:themeFill="background1" w:themeFillShade="D9"/>
          </w:tcPr>
          <w:p w14:paraId="1B5C2E18"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DPIPWE</w:t>
            </w:r>
          </w:p>
          <w:p w14:paraId="1B5C2E19"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1F50D2">
              <w:rPr>
                <w:rFonts w:cs="Arial"/>
              </w:rPr>
              <w:t>FPA</w:t>
            </w:r>
          </w:p>
          <w:p w14:paraId="1B5C2E1A"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NRM bodies</w:t>
            </w:r>
          </w:p>
          <w:p w14:paraId="1B5C2E1B"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1F50D2">
              <w:rPr>
                <w:rFonts w:cs="Arial"/>
              </w:rPr>
              <w:t>Local councils</w:t>
            </w:r>
          </w:p>
          <w:p w14:paraId="1B5C2E1C"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F50D2">
              <w:rPr>
                <w:rFonts w:cs="Arial"/>
              </w:rPr>
              <w:t>Private landholders</w:t>
            </w:r>
          </w:p>
        </w:tc>
        <w:tc>
          <w:tcPr>
            <w:tcW w:w="1417" w:type="dxa"/>
            <w:tcBorders>
              <w:top w:val="single" w:sz="4" w:space="0" w:color="auto"/>
              <w:left w:val="nil"/>
              <w:bottom w:val="nil"/>
              <w:right w:val="nil"/>
            </w:tcBorders>
            <w:shd w:val="clear" w:color="auto" w:fill="D9D9D9" w:themeFill="background1" w:themeFillShade="D9"/>
          </w:tcPr>
          <w:p w14:paraId="1B5C2E1D"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t>
            </w:r>
          </w:p>
        </w:tc>
      </w:tr>
      <w:tr w:rsidR="00F371AA" w14:paraId="1B5C2E27"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E1F" w14:textId="77777777" w:rsidR="00F53D9E" w:rsidRDefault="00AC555B">
            <w:pPr>
              <w:pStyle w:val="Tabletext"/>
              <w:spacing w:line="240" w:lineRule="auto"/>
              <w:rPr>
                <w:rFonts w:cs="Arial"/>
              </w:rPr>
            </w:pPr>
            <w:r>
              <w:rPr>
                <w:rFonts w:ascii="Arial" w:hAnsi="Arial" w:cs="Arial"/>
              </w:rPr>
              <w:t>2i</w:t>
            </w:r>
          </w:p>
        </w:tc>
        <w:tc>
          <w:tcPr>
            <w:tcW w:w="1559" w:type="dxa"/>
            <w:tcBorders>
              <w:top w:val="single" w:sz="4" w:space="0" w:color="auto"/>
              <w:left w:val="nil"/>
              <w:bottom w:val="single" w:sz="4" w:space="0" w:color="auto"/>
              <w:right w:val="nil"/>
            </w:tcBorders>
            <w:shd w:val="clear" w:color="auto" w:fill="D9D9D9" w:themeFill="background1" w:themeFillShade="D9"/>
          </w:tcPr>
          <w:p w14:paraId="1B5C2E20"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b/>
                <w:bCs/>
              </w:rPr>
            </w:pPr>
            <w:r>
              <w:rPr>
                <w:rFonts w:cs="Arial"/>
              </w:rPr>
              <w:t xml:space="preserve">Reduce the impacts of acid mine drainage on giant freshwater crayfish habitat. </w:t>
            </w:r>
          </w:p>
        </w:tc>
        <w:tc>
          <w:tcPr>
            <w:tcW w:w="993" w:type="dxa"/>
            <w:tcBorders>
              <w:top w:val="single" w:sz="4" w:space="0" w:color="auto"/>
              <w:left w:val="nil"/>
              <w:bottom w:val="single" w:sz="4" w:space="0" w:color="auto"/>
              <w:right w:val="nil"/>
            </w:tcBorders>
            <w:shd w:val="clear" w:color="auto" w:fill="D9D9D9" w:themeFill="background1" w:themeFillShade="D9"/>
          </w:tcPr>
          <w:p w14:paraId="1B5C2E21"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eastAsiaTheme="majorEastAsia" w:cs="Arial"/>
                <w:b/>
                <w:bCs/>
              </w:rPr>
            </w:pPr>
            <w:r>
              <w:rPr>
                <w:rFonts w:cs="Arial"/>
              </w:rPr>
              <w:t>2</w:t>
            </w:r>
          </w:p>
        </w:tc>
        <w:tc>
          <w:tcPr>
            <w:tcW w:w="4076" w:type="dxa"/>
            <w:tcBorders>
              <w:top w:val="single" w:sz="4" w:space="0" w:color="auto"/>
              <w:left w:val="nil"/>
              <w:bottom w:val="single" w:sz="4" w:space="0" w:color="auto"/>
              <w:right w:val="nil"/>
            </w:tcBorders>
            <w:shd w:val="clear" w:color="auto" w:fill="D9D9D9" w:themeFill="background1" w:themeFillShade="D9"/>
          </w:tcPr>
          <w:p w14:paraId="1B5C2E22"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43584D">
              <w:rPr>
                <w:rFonts w:cs="Arial"/>
              </w:rPr>
              <w:t xml:space="preserve">Areas where acid mine drainage, arising as a legacy impact from disused mine sites, overlaps with </w:t>
            </w:r>
            <w:r>
              <w:rPr>
                <w:rFonts w:cs="Arial"/>
              </w:rPr>
              <w:t>giant freshwater crayfish</w:t>
            </w:r>
            <w:r w:rsidRPr="0043584D">
              <w:rPr>
                <w:rFonts w:cs="Arial"/>
              </w:rPr>
              <w:t xml:space="preserve"> habitat are identified.</w:t>
            </w:r>
          </w:p>
          <w:p w14:paraId="1B5C2E23"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eastAsiaTheme="majorEastAsia" w:cs="Arial"/>
                <w:b/>
                <w:bCs/>
              </w:rPr>
            </w:pPr>
            <w:r w:rsidRPr="0043584D">
              <w:rPr>
                <w:rFonts w:cs="Arial"/>
              </w:rPr>
              <w:t xml:space="preserve">Technologies under development for the amelioration of acid mine drainage are investigated for potential use in habitat rehabilitation.  </w:t>
            </w:r>
          </w:p>
        </w:tc>
        <w:tc>
          <w:tcPr>
            <w:tcW w:w="1418" w:type="dxa"/>
            <w:tcBorders>
              <w:top w:val="single" w:sz="4" w:space="0" w:color="auto"/>
              <w:left w:val="nil"/>
              <w:bottom w:val="single" w:sz="4" w:space="0" w:color="auto"/>
              <w:right w:val="nil"/>
            </w:tcBorders>
            <w:shd w:val="clear" w:color="auto" w:fill="D9D9D9" w:themeFill="background1" w:themeFillShade="D9"/>
          </w:tcPr>
          <w:p w14:paraId="1B5C2E24" w14:textId="77777777" w:rsidR="00F53D9E" w:rsidRPr="00264817"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b/>
                <w:bCs/>
              </w:rPr>
            </w:pPr>
            <w:r w:rsidRPr="00264817">
              <w:rPr>
                <w:rFonts w:cs="Arial"/>
                <w:b/>
              </w:rPr>
              <w:t>DPIPWE</w:t>
            </w:r>
          </w:p>
          <w:p w14:paraId="1B5C2E25"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b/>
                <w:bCs/>
              </w:rPr>
            </w:pPr>
            <w:r>
              <w:rPr>
                <w:rFonts w:cs="Arial"/>
              </w:rPr>
              <w:t>Research community</w:t>
            </w:r>
          </w:p>
        </w:tc>
        <w:tc>
          <w:tcPr>
            <w:tcW w:w="1451" w:type="dxa"/>
            <w:gridSpan w:val="2"/>
            <w:tcBorders>
              <w:top w:val="single" w:sz="4" w:space="0" w:color="auto"/>
              <w:left w:val="nil"/>
              <w:bottom w:val="single" w:sz="4" w:space="0" w:color="auto"/>
              <w:right w:val="nil"/>
            </w:tcBorders>
            <w:shd w:val="clear" w:color="auto" w:fill="D9D9D9" w:themeFill="background1" w:themeFillShade="D9"/>
          </w:tcPr>
          <w:p w14:paraId="1B5C2E26" w14:textId="77777777" w:rsidR="00F53D9E" w:rsidRPr="00D0292C"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eastAsiaTheme="majorEastAsia" w:cs="Arial"/>
                <w:bCs/>
              </w:rPr>
            </w:pPr>
            <w:r w:rsidRPr="00D0292C">
              <w:rPr>
                <w:rFonts w:eastAsiaTheme="majorEastAsia" w:cs="Arial"/>
                <w:bCs/>
              </w:rPr>
              <w:t>-</w:t>
            </w:r>
          </w:p>
        </w:tc>
      </w:tr>
    </w:tbl>
    <w:p w14:paraId="1B5C2E28" w14:textId="77777777" w:rsidR="00F53D9E" w:rsidRDefault="00F53D9E" w:rsidP="00F53D9E">
      <w:pPr>
        <w:pStyle w:val="Heading2"/>
        <w:sectPr w:rsidR="00F53D9E" w:rsidSect="00F53D9E">
          <w:pgSz w:w="11906" w:h="16838" w:code="9"/>
          <w:pgMar w:top="1440" w:right="1440" w:bottom="1440" w:left="1440" w:header="425" w:footer="425" w:gutter="0"/>
          <w:cols w:space="708"/>
          <w:titlePg/>
          <w:docGrid w:linePitch="360"/>
        </w:sectPr>
      </w:pPr>
    </w:p>
    <w:p w14:paraId="1B5C2E29" w14:textId="77777777" w:rsidR="00F53D9E" w:rsidRDefault="00AC555B" w:rsidP="00F53D9E">
      <w:pPr>
        <w:pStyle w:val="Heading2"/>
        <w:spacing w:before="240" w:after="120"/>
        <w:rPr>
          <w:color w:val="17365D" w:themeColor="text2" w:themeShade="BF"/>
        </w:rPr>
      </w:pPr>
      <w:bookmarkStart w:id="297" w:name="_Toc256000182"/>
      <w:bookmarkStart w:id="298" w:name="_Toc256000136"/>
      <w:bookmarkStart w:id="299" w:name="_Toc256000088"/>
      <w:bookmarkStart w:id="300" w:name="_Toc256000040"/>
      <w:bookmarkStart w:id="301" w:name="_Toc458697070"/>
      <w:r w:rsidRPr="001D65FA">
        <w:rPr>
          <w:color w:val="17365D" w:themeColor="text2" w:themeShade="BF"/>
        </w:rPr>
        <w:lastRenderedPageBreak/>
        <w:t xml:space="preserve">Strategy </w:t>
      </w:r>
      <w:r>
        <w:rPr>
          <w:color w:val="17365D" w:themeColor="text2" w:themeShade="BF"/>
        </w:rPr>
        <w:t>3</w:t>
      </w:r>
      <w:r w:rsidRPr="001D65FA">
        <w:rPr>
          <w:color w:val="17365D" w:themeColor="text2" w:themeShade="BF"/>
        </w:rPr>
        <w:t xml:space="preserve"> – Increase the reservation status and improve the quality of key habitat for the giant freshwater </w:t>
      </w:r>
      <w:r>
        <w:rPr>
          <w:color w:val="17365D" w:themeColor="text2" w:themeShade="BF"/>
        </w:rPr>
        <w:t>crayfish</w:t>
      </w:r>
      <w:r w:rsidRPr="001D65FA">
        <w:rPr>
          <w:color w:val="17365D" w:themeColor="text2" w:themeShade="BF"/>
        </w:rPr>
        <w:t>.</w:t>
      </w:r>
      <w:bookmarkEnd w:id="297"/>
      <w:bookmarkEnd w:id="298"/>
      <w:bookmarkEnd w:id="299"/>
      <w:bookmarkEnd w:id="300"/>
      <w:bookmarkEnd w:id="301"/>
      <w:r w:rsidRPr="001D65FA">
        <w:rPr>
          <w:color w:val="17365D" w:themeColor="text2" w:themeShade="BF"/>
        </w:rPr>
        <w:t xml:space="preserve"> </w:t>
      </w:r>
    </w:p>
    <w:p w14:paraId="1B5C2E2A" w14:textId="77777777" w:rsidR="00F53D9E" w:rsidRPr="001D65FA" w:rsidRDefault="00AC555B" w:rsidP="00F53D9E">
      <w:pPr>
        <w:pStyle w:val="ListBullet"/>
        <w:spacing w:after="0"/>
        <w:ind w:left="369" w:hanging="369"/>
        <w:rPr>
          <w:color w:val="808080" w:themeColor="background1" w:themeShade="80"/>
          <w:sz w:val="24"/>
          <w:szCs w:val="24"/>
        </w:rPr>
      </w:pPr>
      <w:r w:rsidRPr="001D65FA">
        <w:rPr>
          <w:color w:val="808080" w:themeColor="background1" w:themeShade="80"/>
          <w:sz w:val="24"/>
          <w:szCs w:val="24"/>
        </w:rPr>
        <w:t>Research/information actions</w:t>
      </w:r>
    </w:p>
    <w:tbl>
      <w:tblPr>
        <w:tblStyle w:val="LightGrid-Accent11"/>
        <w:tblW w:w="10348" w:type="dxa"/>
        <w:jc w:val="center"/>
        <w:tblBorders>
          <w:top w:val="single" w:sz="8" w:space="0" w:color="17365D" w:themeColor="text2" w:themeShade="BF"/>
          <w:left w:val="nil"/>
          <w:bottom w:val="single" w:sz="8" w:space="0" w:color="17365D" w:themeColor="text2" w:themeShade="BF"/>
          <w:right w:val="nil"/>
          <w:insideH w:val="single" w:sz="8" w:space="0" w:color="17365D" w:themeColor="text2" w:themeShade="BF"/>
          <w:insideV w:val="nil"/>
        </w:tblBorders>
        <w:shd w:val="clear" w:color="auto" w:fill="DBE5F1" w:themeFill="accent1" w:themeFillTint="33"/>
        <w:tblLayout w:type="fixed"/>
        <w:tblLook w:val="04A0" w:firstRow="1" w:lastRow="0" w:firstColumn="1" w:lastColumn="0" w:noHBand="0" w:noVBand="1"/>
      </w:tblPr>
      <w:tblGrid>
        <w:gridCol w:w="851"/>
        <w:gridCol w:w="1559"/>
        <w:gridCol w:w="993"/>
        <w:gridCol w:w="4076"/>
        <w:gridCol w:w="1418"/>
        <w:gridCol w:w="1451"/>
      </w:tblGrid>
      <w:tr w:rsidR="00F371AA" w14:paraId="1B5C2E32"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17365D" w:themeFill="text2" w:themeFillShade="BF"/>
          </w:tcPr>
          <w:p w14:paraId="1B5C2E2B"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single" w:sz="4" w:space="0" w:color="auto"/>
              <w:right w:val="nil"/>
            </w:tcBorders>
            <w:shd w:val="clear" w:color="auto" w:fill="17365D" w:themeFill="text2" w:themeFillShade="BF"/>
          </w:tcPr>
          <w:p w14:paraId="1B5C2E2C"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17365D" w:themeFill="text2" w:themeFillShade="BF"/>
          </w:tcPr>
          <w:p w14:paraId="1B5C2E2D"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single" w:sz="4" w:space="0" w:color="auto"/>
              <w:right w:val="nil"/>
            </w:tcBorders>
            <w:shd w:val="clear" w:color="auto" w:fill="17365D" w:themeFill="text2" w:themeFillShade="BF"/>
          </w:tcPr>
          <w:p w14:paraId="1B5C2E2E"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17365D" w:themeFill="text2" w:themeFillShade="BF"/>
          </w:tcPr>
          <w:p w14:paraId="1B5C2E2F"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BD2D1A">
              <w:rPr>
                <w:rFonts w:ascii="Arial" w:hAnsi="Arial" w:cs="Arial"/>
                <w:b w:val="0"/>
                <w:i/>
              </w:rPr>
              <w:t>and potential partners</w:t>
            </w:r>
          </w:p>
        </w:tc>
        <w:tc>
          <w:tcPr>
            <w:tcW w:w="1451" w:type="dxa"/>
            <w:tcBorders>
              <w:top w:val="nil"/>
              <w:left w:val="nil"/>
              <w:bottom w:val="single" w:sz="4" w:space="0" w:color="auto"/>
              <w:right w:val="nil"/>
            </w:tcBorders>
            <w:shd w:val="clear" w:color="auto" w:fill="17365D" w:themeFill="text2" w:themeFillShade="BF"/>
          </w:tcPr>
          <w:p w14:paraId="1B5C2E30"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31"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i/>
              </w:rPr>
            </w:pPr>
            <w:r w:rsidRPr="00BD2D1A">
              <w:rPr>
                <w:rFonts w:ascii="Arial" w:hAnsi="Arial" w:cs="Arial"/>
                <w:b w:val="0"/>
                <w:i/>
              </w:rPr>
              <w:t>*priority 1 only</w:t>
            </w:r>
          </w:p>
        </w:tc>
      </w:tr>
      <w:tr w:rsidR="00F371AA" w14:paraId="1B5C2E3D"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BE5F1" w:themeFill="accent1" w:themeFillTint="33"/>
          </w:tcPr>
          <w:p w14:paraId="1B5C2E33" w14:textId="77777777" w:rsidR="00F53D9E" w:rsidRDefault="00AC555B">
            <w:pPr>
              <w:pStyle w:val="Tabletext"/>
              <w:spacing w:after="240" w:line="240" w:lineRule="auto"/>
              <w:jc w:val="center"/>
              <w:rPr>
                <w:rFonts w:cs="Arial"/>
              </w:rPr>
            </w:pPr>
            <w:r>
              <w:rPr>
                <w:rFonts w:ascii="Arial" w:hAnsi="Arial" w:cs="Arial"/>
              </w:rPr>
              <w:t>3a</w:t>
            </w:r>
          </w:p>
        </w:tc>
        <w:tc>
          <w:tcPr>
            <w:tcW w:w="1559" w:type="dxa"/>
            <w:tcBorders>
              <w:top w:val="single" w:sz="4" w:space="0" w:color="auto"/>
              <w:left w:val="nil"/>
              <w:bottom w:val="single" w:sz="4" w:space="0" w:color="auto"/>
              <w:right w:val="nil"/>
            </w:tcBorders>
            <w:shd w:val="clear" w:color="auto" w:fill="DBE5F1" w:themeFill="accent1" w:themeFillTint="33"/>
          </w:tcPr>
          <w:p w14:paraId="1B5C2E34" w14:textId="77777777" w:rsidR="00F53D9E" w:rsidRDefault="00AC555B">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7B3A61">
              <w:rPr>
                <w:rFonts w:cs="Arial"/>
              </w:rPr>
              <w:t xml:space="preserve">Identify </w:t>
            </w:r>
            <w:r>
              <w:rPr>
                <w:rFonts w:cs="Arial"/>
              </w:rPr>
              <w:t>key locations that are a priority</w:t>
            </w:r>
            <w:r w:rsidRPr="007B3A61">
              <w:rPr>
                <w:rFonts w:cs="Arial"/>
              </w:rPr>
              <w:t xml:space="preserve"> for </w:t>
            </w:r>
            <w:r>
              <w:rPr>
                <w:rFonts w:cs="Arial"/>
              </w:rPr>
              <w:t>improved</w:t>
            </w:r>
            <w:r w:rsidRPr="007B3A61">
              <w:rPr>
                <w:rFonts w:cs="Arial"/>
              </w:rPr>
              <w:t xml:space="preserve"> habitat protection </w:t>
            </w:r>
            <w:r>
              <w:rPr>
                <w:rFonts w:cs="Arial"/>
              </w:rPr>
              <w:t xml:space="preserve">in order </w:t>
            </w:r>
            <w:r w:rsidRPr="007B3A61">
              <w:rPr>
                <w:rFonts w:cs="Arial"/>
              </w:rPr>
              <w:t xml:space="preserve">to support and maintain healthy </w:t>
            </w:r>
            <w:r>
              <w:rPr>
                <w:rFonts w:cs="Arial"/>
              </w:rPr>
              <w:t>giant freshwater crayfish</w:t>
            </w:r>
            <w:r w:rsidRPr="007B3A61">
              <w:rPr>
                <w:rFonts w:cs="Arial"/>
              </w:rPr>
              <w:t xml:space="preserve"> populations</w:t>
            </w:r>
            <w:r>
              <w:rPr>
                <w:rFonts w:cs="Arial"/>
              </w:rPr>
              <w:t>.</w:t>
            </w:r>
          </w:p>
        </w:tc>
        <w:tc>
          <w:tcPr>
            <w:tcW w:w="993" w:type="dxa"/>
            <w:tcBorders>
              <w:top w:val="single" w:sz="4" w:space="0" w:color="auto"/>
              <w:left w:val="nil"/>
              <w:bottom w:val="single" w:sz="4" w:space="0" w:color="auto"/>
              <w:right w:val="nil"/>
            </w:tcBorders>
            <w:shd w:val="clear" w:color="auto" w:fill="DBE5F1" w:themeFill="accent1" w:themeFillTint="33"/>
          </w:tcPr>
          <w:p w14:paraId="1B5C2E35" w14:textId="77777777" w:rsidR="00F53D9E" w:rsidRDefault="00AC555B">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single" w:sz="4" w:space="0" w:color="auto"/>
              <w:left w:val="nil"/>
              <w:bottom w:val="single" w:sz="4" w:space="0" w:color="auto"/>
              <w:right w:val="nil"/>
            </w:tcBorders>
            <w:shd w:val="clear" w:color="auto" w:fill="DBE5F1" w:themeFill="accent1" w:themeFillTint="33"/>
          </w:tcPr>
          <w:p w14:paraId="1B5C2E36"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 xml:space="preserve">A scientifically-robust process is undertaken to </w:t>
            </w:r>
            <w:r>
              <w:rPr>
                <w:rFonts w:cs="Arial"/>
              </w:rPr>
              <w:t>identify specific sub-catchments which function as ‘key locations’ for the support and maintenance of healthy giant freshwater crayfish populations</w:t>
            </w:r>
            <w:r w:rsidRPr="004A393B">
              <w:rPr>
                <w:rFonts w:cs="Arial"/>
              </w:rPr>
              <w:t xml:space="preserve"> (i.e. areas of high-quality habitat with high </w:t>
            </w:r>
            <w:r>
              <w:rPr>
                <w:rFonts w:cs="Arial"/>
              </w:rPr>
              <w:t>giant freshwater crayfish</w:t>
            </w:r>
            <w:r w:rsidRPr="004A393B">
              <w:rPr>
                <w:rFonts w:cs="Arial"/>
              </w:rPr>
              <w:t xml:space="preserve"> densities)</w:t>
            </w:r>
            <w:r>
              <w:rPr>
                <w:rFonts w:cs="Arial"/>
              </w:rPr>
              <w:t xml:space="preserve">. </w:t>
            </w:r>
          </w:p>
          <w:p w14:paraId="1B5C2E37"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 xml:space="preserve">The process includes assessment and consideration of sub-catchments within the </w:t>
            </w:r>
            <w:r w:rsidRPr="002C383A">
              <w:rPr>
                <w:rFonts w:cs="Arial"/>
              </w:rPr>
              <w:t>Arthur, Frankland, Black, Dip, Flowerdale and Leven River catchments</w:t>
            </w:r>
            <w:r w:rsidRPr="004A393B">
              <w:rPr>
                <w:rFonts w:cs="Arial"/>
              </w:rPr>
              <w:t>, which have previously been nominated for protection.</w:t>
            </w:r>
          </w:p>
          <w:p w14:paraId="1B5C2E38"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Sub-catchments are ranked in terms of population and habitat health, and key locations are prioritised for potential increased habitat protections.</w:t>
            </w:r>
          </w:p>
          <w:p w14:paraId="1B5C2E39" w14:textId="77777777" w:rsidR="00F53D9E" w:rsidRDefault="00AC555B" w:rsidP="00F53D9E">
            <w:pPr>
              <w:pStyle w:val="Tabletext"/>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A393B">
              <w:rPr>
                <w:rFonts w:cs="Arial"/>
              </w:rPr>
              <w:t>Where possible, key locations are selected to maximise genetic diversity.</w:t>
            </w:r>
          </w:p>
        </w:tc>
        <w:tc>
          <w:tcPr>
            <w:tcW w:w="1418" w:type="dxa"/>
            <w:tcBorders>
              <w:top w:val="single" w:sz="4" w:space="0" w:color="auto"/>
              <w:left w:val="nil"/>
              <w:bottom w:val="single" w:sz="4" w:space="0" w:color="auto"/>
              <w:right w:val="nil"/>
            </w:tcBorders>
            <w:shd w:val="clear" w:color="auto" w:fill="DBE5F1" w:themeFill="accent1" w:themeFillTint="33"/>
          </w:tcPr>
          <w:p w14:paraId="1B5C2E3A"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proofErr w:type="spellStart"/>
            <w:r>
              <w:rPr>
                <w:rFonts w:cs="Arial"/>
                <w:b/>
              </w:rPr>
              <w:t>DoEE</w:t>
            </w:r>
            <w:proofErr w:type="spellEnd"/>
          </w:p>
          <w:p w14:paraId="1B5C2E3B" w14:textId="77777777" w:rsidR="00F53D9E" w:rsidRDefault="00AC555B">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1F50D2">
              <w:rPr>
                <w:rFonts w:cs="Arial"/>
                <w:b/>
              </w:rPr>
              <w:t xml:space="preserve">DPIPWE </w:t>
            </w:r>
            <w:r w:rsidRPr="007B3A61">
              <w:rPr>
                <w:rFonts w:cs="Arial"/>
              </w:rPr>
              <w:t>Research community</w:t>
            </w:r>
          </w:p>
        </w:tc>
        <w:tc>
          <w:tcPr>
            <w:tcW w:w="1451" w:type="dxa"/>
            <w:tcBorders>
              <w:top w:val="single" w:sz="4" w:space="0" w:color="auto"/>
              <w:left w:val="nil"/>
              <w:bottom w:val="single" w:sz="4" w:space="0" w:color="auto"/>
              <w:right w:val="nil"/>
            </w:tcBorders>
            <w:shd w:val="clear" w:color="auto" w:fill="DBE5F1" w:themeFill="accent1" w:themeFillTint="33"/>
          </w:tcPr>
          <w:p w14:paraId="1B5C2E3C" w14:textId="77777777" w:rsidR="00F53D9E" w:rsidRDefault="00AC555B">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$20,000</w:t>
            </w:r>
          </w:p>
        </w:tc>
      </w:tr>
    </w:tbl>
    <w:p w14:paraId="1B5C2E3E" w14:textId="77777777" w:rsidR="00F53D9E" w:rsidRDefault="00F53D9E">
      <w:pPr>
        <w:spacing w:after="0"/>
        <w:rPr>
          <w:color w:val="808080" w:themeColor="background1" w:themeShade="80"/>
          <w:sz w:val="12"/>
          <w:szCs w:val="12"/>
        </w:rPr>
      </w:pPr>
    </w:p>
    <w:p w14:paraId="1B5C2E3F" w14:textId="77777777" w:rsidR="00F53D9E" w:rsidRPr="00C1377E" w:rsidRDefault="00AC555B" w:rsidP="00F53D9E">
      <w:pPr>
        <w:spacing w:after="0"/>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51"/>
      </w:tblGrid>
      <w:tr w:rsidR="00F371AA" w14:paraId="1B5C2E47"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808080" w:themeFill="background1" w:themeFillShade="80"/>
          </w:tcPr>
          <w:p w14:paraId="1B5C2E40" w14:textId="77777777" w:rsidR="00F53D9E" w:rsidRDefault="00AC555B">
            <w:pPr>
              <w:pStyle w:val="Tabletext"/>
              <w:spacing w:line="240" w:lineRule="auto"/>
              <w:rPr>
                <w:rFonts w:cs="Arial"/>
              </w:rPr>
            </w:pPr>
            <w:r w:rsidRPr="00F5525B">
              <w:rPr>
                <w:rFonts w:ascii="Arial" w:hAnsi="Arial" w:cs="Arial"/>
              </w:rPr>
              <w:t>Action</w:t>
            </w:r>
          </w:p>
        </w:tc>
        <w:tc>
          <w:tcPr>
            <w:tcW w:w="1559" w:type="dxa"/>
            <w:tcBorders>
              <w:top w:val="nil"/>
              <w:left w:val="nil"/>
              <w:bottom w:val="single" w:sz="4" w:space="0" w:color="auto"/>
              <w:right w:val="nil"/>
            </w:tcBorders>
            <w:shd w:val="clear" w:color="auto" w:fill="808080" w:themeFill="background1" w:themeFillShade="80"/>
          </w:tcPr>
          <w:p w14:paraId="1B5C2E41"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808080" w:themeFill="background1" w:themeFillShade="80"/>
          </w:tcPr>
          <w:p w14:paraId="1B5C2E42"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single" w:sz="4" w:space="0" w:color="auto"/>
              <w:right w:val="nil"/>
            </w:tcBorders>
            <w:shd w:val="clear" w:color="auto" w:fill="808080" w:themeFill="background1" w:themeFillShade="80"/>
          </w:tcPr>
          <w:p w14:paraId="1B5C2E43"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808080" w:themeFill="background1" w:themeFillShade="80"/>
          </w:tcPr>
          <w:p w14:paraId="1B5C2E44"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808080" w:themeFill="background1" w:themeFillShade="80"/>
          </w:tcPr>
          <w:p w14:paraId="1B5C2E45"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46"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E52"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E48" w14:textId="77777777" w:rsidR="00F53D9E" w:rsidRDefault="00AC555B">
            <w:pPr>
              <w:pStyle w:val="Tabletext"/>
              <w:spacing w:line="240" w:lineRule="auto"/>
              <w:rPr>
                <w:rFonts w:cs="Arial"/>
              </w:rPr>
            </w:pPr>
            <w:r>
              <w:rPr>
                <w:rFonts w:ascii="Arial" w:hAnsi="Arial" w:cs="Arial"/>
              </w:rPr>
              <w:t>3b</w:t>
            </w:r>
          </w:p>
        </w:tc>
        <w:tc>
          <w:tcPr>
            <w:tcW w:w="1559" w:type="dxa"/>
            <w:tcBorders>
              <w:top w:val="single" w:sz="4" w:space="0" w:color="auto"/>
              <w:left w:val="nil"/>
              <w:bottom w:val="single" w:sz="4" w:space="0" w:color="auto"/>
              <w:right w:val="nil"/>
            </w:tcBorders>
            <w:shd w:val="clear" w:color="auto" w:fill="D9D9D9" w:themeFill="background1" w:themeFillShade="D9"/>
          </w:tcPr>
          <w:p w14:paraId="1B5C2E49"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Increase the total area of giant freshwater crayfish habitat that is reserved.</w:t>
            </w:r>
          </w:p>
        </w:tc>
        <w:tc>
          <w:tcPr>
            <w:tcW w:w="993" w:type="dxa"/>
            <w:tcBorders>
              <w:top w:val="single" w:sz="4" w:space="0" w:color="auto"/>
              <w:left w:val="nil"/>
              <w:bottom w:val="single" w:sz="4" w:space="0" w:color="auto"/>
              <w:right w:val="nil"/>
            </w:tcBorders>
            <w:shd w:val="clear" w:color="auto" w:fill="D9D9D9" w:themeFill="background1" w:themeFillShade="D9"/>
          </w:tcPr>
          <w:p w14:paraId="1B5C2E4A"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single" w:sz="4" w:space="0" w:color="auto"/>
              <w:left w:val="nil"/>
              <w:bottom w:val="single" w:sz="4" w:space="0" w:color="auto"/>
              <w:right w:val="nil"/>
            </w:tcBorders>
            <w:shd w:val="clear" w:color="auto" w:fill="D9D9D9" w:themeFill="background1" w:themeFillShade="D9"/>
          </w:tcPr>
          <w:p w14:paraId="1B5C2E4B"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All opportunities to incorporate key locations (identified under Action 3a), or portions thereof, into public or private reserve systems are explored.</w:t>
            </w:r>
          </w:p>
          <w:p w14:paraId="1B5C2E4C" w14:textId="77777777" w:rsidR="00F53D9E" w:rsidRDefault="00AC555B" w:rsidP="00F53D9E">
            <w:pPr>
              <w:pStyle w:val="Tabletext"/>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The total area of giant freshwater crayfish habitat that is protected under regional, State, National or private reserves systems increases (including in both formal and informal reserves).</w:t>
            </w:r>
          </w:p>
        </w:tc>
        <w:tc>
          <w:tcPr>
            <w:tcW w:w="1418" w:type="dxa"/>
            <w:tcBorders>
              <w:top w:val="single" w:sz="4" w:space="0" w:color="auto"/>
              <w:left w:val="nil"/>
              <w:bottom w:val="single" w:sz="4" w:space="0" w:color="auto"/>
              <w:right w:val="nil"/>
            </w:tcBorders>
            <w:shd w:val="clear" w:color="auto" w:fill="D9D9D9" w:themeFill="background1" w:themeFillShade="D9"/>
          </w:tcPr>
          <w:p w14:paraId="1B5C2E4D"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DPIPWE</w:t>
            </w:r>
          </w:p>
          <w:p w14:paraId="1B5C2E4E"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DoEE</w:t>
            </w:r>
            <w:proofErr w:type="spellEnd"/>
          </w:p>
          <w:p w14:paraId="1B5C2E4F" w14:textId="77777777" w:rsidR="00F53D9E" w:rsidRDefault="00F53D9E">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451" w:type="dxa"/>
            <w:tcBorders>
              <w:top w:val="single" w:sz="4" w:space="0" w:color="auto"/>
              <w:left w:val="nil"/>
              <w:bottom w:val="single" w:sz="4" w:space="0" w:color="auto"/>
              <w:right w:val="nil"/>
            </w:tcBorders>
            <w:shd w:val="clear" w:color="auto" w:fill="D9D9D9" w:themeFill="background1" w:themeFillShade="D9"/>
          </w:tcPr>
          <w:p w14:paraId="1B5C2E50"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$300,000</w:t>
            </w:r>
          </w:p>
          <w:p w14:paraId="1B5C2E51"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(split over  two annual investments of $150,000)</w:t>
            </w:r>
          </w:p>
        </w:tc>
      </w:tr>
    </w:tbl>
    <w:p w14:paraId="1B5C2E53" w14:textId="77777777" w:rsidR="00F53D9E" w:rsidRDefault="00AC555B">
      <w:r>
        <w:rPr>
          <w:b/>
          <w:bCs/>
        </w:rPr>
        <w:br w:type="page"/>
      </w:r>
    </w:p>
    <w:tbl>
      <w:tblPr>
        <w:tblStyle w:val="LightGrid-Accent3"/>
        <w:tblW w:w="10348" w:type="dxa"/>
        <w:jc w:val="center"/>
        <w:tblBorders>
          <w:top w:val="single" w:sz="4" w:space="0" w:color="auto"/>
          <w:left w:val="nil"/>
          <w:bottom w:val="single" w:sz="4" w:space="0" w:color="auto"/>
          <w:right w:val="nil"/>
          <w:insideH w:val="nil"/>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51"/>
      </w:tblGrid>
      <w:tr w:rsidR="00F371AA" w14:paraId="1B5C2E5D"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D9D9D9" w:themeFill="background1" w:themeFillShade="D9"/>
          </w:tcPr>
          <w:p w14:paraId="1B5C2E54" w14:textId="77777777" w:rsidR="00F53D9E" w:rsidRPr="00BB4F92" w:rsidRDefault="00AC555B">
            <w:pPr>
              <w:pStyle w:val="Tabletext"/>
              <w:spacing w:line="240" w:lineRule="auto"/>
              <w:rPr>
                <w:rFonts w:cs="Arial"/>
              </w:rPr>
            </w:pPr>
            <w:r w:rsidRPr="00BB4F92">
              <w:rPr>
                <w:rFonts w:ascii="Arial" w:hAnsi="Arial" w:cs="Arial"/>
              </w:rPr>
              <w:lastRenderedPageBreak/>
              <w:t>3c</w:t>
            </w:r>
          </w:p>
        </w:tc>
        <w:tc>
          <w:tcPr>
            <w:tcW w:w="1559" w:type="dxa"/>
            <w:tcBorders>
              <w:top w:val="nil"/>
              <w:left w:val="nil"/>
              <w:bottom w:val="nil"/>
              <w:right w:val="nil"/>
            </w:tcBorders>
            <w:shd w:val="clear" w:color="auto" w:fill="D9D9D9" w:themeFill="background1" w:themeFillShade="D9"/>
          </w:tcPr>
          <w:p w14:paraId="1B5C2E55" w14:textId="77777777" w:rsidR="00F53D9E" w:rsidRPr="00BB4F92"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Implement mechanisms for protecting giant freshwater crayfish habitat on private land.</w:t>
            </w:r>
          </w:p>
        </w:tc>
        <w:tc>
          <w:tcPr>
            <w:tcW w:w="993" w:type="dxa"/>
            <w:tcBorders>
              <w:top w:val="nil"/>
              <w:left w:val="nil"/>
              <w:bottom w:val="nil"/>
              <w:right w:val="nil"/>
            </w:tcBorders>
            <w:shd w:val="clear" w:color="auto" w:fill="D9D9D9" w:themeFill="background1" w:themeFillShade="D9"/>
          </w:tcPr>
          <w:p w14:paraId="1B5C2E56" w14:textId="77777777" w:rsidR="00F53D9E" w:rsidRPr="00BB4F92"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1</w:t>
            </w:r>
          </w:p>
        </w:tc>
        <w:tc>
          <w:tcPr>
            <w:tcW w:w="4076" w:type="dxa"/>
            <w:tcBorders>
              <w:top w:val="nil"/>
              <w:left w:val="nil"/>
              <w:bottom w:val="nil"/>
              <w:right w:val="nil"/>
            </w:tcBorders>
            <w:shd w:val="clear" w:color="auto" w:fill="D9D9D9" w:themeFill="background1" w:themeFillShade="D9"/>
          </w:tcPr>
          <w:p w14:paraId="1B5C2E57" w14:textId="77777777" w:rsidR="00F53D9E" w:rsidRPr="00BB4F92" w:rsidRDefault="00AC555B" w:rsidP="00F53D9E">
            <w:pPr>
              <w:pStyle w:val="Tabletext"/>
              <w:numPr>
                <w:ilvl w:val="0"/>
                <w:numId w:val="11"/>
              </w:numPr>
              <w:spacing w:after="120"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Mechanisms for protecting giant freshwater crayfish habitat and enhancing riparian restoration on private land, such as conservation covenants or other landholder incentives, are identified and promoted, particularly in key locations (identified under action 3a).</w:t>
            </w:r>
          </w:p>
          <w:p w14:paraId="1B5C2E58" w14:textId="77777777" w:rsidR="00F53D9E" w:rsidRPr="00BB4F92" w:rsidRDefault="00AC555B" w:rsidP="00F53D9E">
            <w:pPr>
              <w:pStyle w:val="Tabletext"/>
              <w:numPr>
                <w:ilvl w:val="0"/>
                <w:numId w:val="11"/>
              </w:numPr>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 xml:space="preserve">The establishment of streamside reserves, similar to those applied in forest terrain, is encouraged in agricultural areas. </w:t>
            </w:r>
          </w:p>
          <w:p w14:paraId="1B5C2E59" w14:textId="77777777" w:rsidR="00F53D9E" w:rsidRPr="00BB4F92" w:rsidRDefault="00AC555B" w:rsidP="00F53D9E">
            <w:pPr>
              <w:pStyle w:val="Tabletext"/>
              <w:numPr>
                <w:ilvl w:val="0"/>
                <w:numId w:val="11"/>
              </w:numPr>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 xml:space="preserve">Implementation of identified mechanisms focuses on increasing participation in the north-east. </w:t>
            </w:r>
          </w:p>
        </w:tc>
        <w:tc>
          <w:tcPr>
            <w:tcW w:w="1418" w:type="dxa"/>
            <w:tcBorders>
              <w:top w:val="nil"/>
              <w:left w:val="nil"/>
              <w:bottom w:val="nil"/>
              <w:right w:val="nil"/>
            </w:tcBorders>
            <w:shd w:val="clear" w:color="auto" w:fill="D9D9D9" w:themeFill="background1" w:themeFillShade="D9"/>
          </w:tcPr>
          <w:p w14:paraId="1B5C2E5A" w14:textId="77777777" w:rsidR="00F53D9E" w:rsidRPr="00BB4F92"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rPr>
              <w:t>DPIPWE</w:t>
            </w:r>
          </w:p>
          <w:p w14:paraId="1B5C2E5B" w14:textId="77777777" w:rsidR="00F53D9E" w:rsidRPr="00BB4F92"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NRM bodies</w:t>
            </w:r>
          </w:p>
        </w:tc>
        <w:tc>
          <w:tcPr>
            <w:tcW w:w="1451" w:type="dxa"/>
            <w:tcBorders>
              <w:top w:val="nil"/>
              <w:left w:val="nil"/>
              <w:bottom w:val="nil"/>
              <w:right w:val="nil"/>
            </w:tcBorders>
            <w:shd w:val="clear" w:color="auto" w:fill="D9D9D9" w:themeFill="background1" w:themeFillShade="D9"/>
          </w:tcPr>
          <w:p w14:paraId="1B5C2E5C" w14:textId="77777777" w:rsidR="00F53D9E" w:rsidRPr="00BB4F92"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$300,000 (split over three annual investments of $100,000)</w:t>
            </w:r>
          </w:p>
        </w:tc>
      </w:tr>
    </w:tbl>
    <w:p w14:paraId="1B5C2E5E" w14:textId="77777777" w:rsidR="00F53D9E" w:rsidRDefault="00AC555B">
      <w:pPr>
        <w:pStyle w:val="Heading2"/>
        <w:spacing w:before="240"/>
        <w:rPr>
          <w:color w:val="17365D" w:themeColor="text2" w:themeShade="BF"/>
        </w:rPr>
      </w:pPr>
      <w:bookmarkStart w:id="302" w:name="_Toc256000183"/>
      <w:bookmarkStart w:id="303" w:name="_Toc256000137"/>
      <w:bookmarkStart w:id="304" w:name="_Toc256000089"/>
      <w:bookmarkStart w:id="305" w:name="_Toc256000041"/>
      <w:bookmarkStart w:id="306" w:name="_Toc458697071"/>
      <w:r w:rsidRPr="00C1377E">
        <w:rPr>
          <w:color w:val="17365D" w:themeColor="text2" w:themeShade="BF"/>
        </w:rPr>
        <w:t xml:space="preserve">Strategy </w:t>
      </w:r>
      <w:r>
        <w:rPr>
          <w:color w:val="17365D" w:themeColor="text2" w:themeShade="BF"/>
        </w:rPr>
        <w:t>4</w:t>
      </w:r>
      <w:r w:rsidRPr="00C1377E">
        <w:rPr>
          <w:color w:val="17365D" w:themeColor="text2" w:themeShade="BF"/>
        </w:rPr>
        <w:t xml:space="preserve"> – </w:t>
      </w:r>
      <w:r>
        <w:rPr>
          <w:color w:val="17365D" w:themeColor="text2" w:themeShade="BF"/>
        </w:rPr>
        <w:t>Prevent</w:t>
      </w:r>
      <w:r w:rsidRPr="00C1377E">
        <w:rPr>
          <w:color w:val="17365D" w:themeColor="text2" w:themeShade="BF"/>
        </w:rPr>
        <w:t xml:space="preserve"> illegal fishing o</w:t>
      </w:r>
      <w:r>
        <w:rPr>
          <w:color w:val="17365D" w:themeColor="text2" w:themeShade="BF"/>
        </w:rPr>
        <w:t>f</w:t>
      </w:r>
      <w:r w:rsidRPr="00C1377E">
        <w:rPr>
          <w:color w:val="17365D" w:themeColor="text2" w:themeShade="BF"/>
        </w:rPr>
        <w:t xml:space="preserve"> the giant freshwater </w:t>
      </w:r>
      <w:r>
        <w:rPr>
          <w:color w:val="17365D" w:themeColor="text2" w:themeShade="BF"/>
        </w:rPr>
        <w:t>crayfish</w:t>
      </w:r>
      <w:r w:rsidRPr="00C1377E">
        <w:rPr>
          <w:color w:val="17365D" w:themeColor="text2" w:themeShade="BF"/>
        </w:rPr>
        <w:t>.</w:t>
      </w:r>
      <w:bookmarkEnd w:id="302"/>
      <w:bookmarkEnd w:id="303"/>
      <w:bookmarkEnd w:id="304"/>
      <w:bookmarkEnd w:id="305"/>
      <w:bookmarkEnd w:id="306"/>
    </w:p>
    <w:p w14:paraId="1B5C2E5F" w14:textId="77777777" w:rsidR="00F53D9E" w:rsidRPr="00C1377E" w:rsidRDefault="00AC555B" w:rsidP="00F53D9E">
      <w:pPr>
        <w:spacing w:after="0"/>
        <w:rPr>
          <w:color w:val="808080" w:themeColor="background1" w:themeShade="80"/>
          <w:sz w:val="24"/>
          <w:szCs w:val="24"/>
        </w:rPr>
      </w:pPr>
      <w:r w:rsidRPr="00C1377E">
        <w:rPr>
          <w:color w:val="808080" w:themeColor="background1" w:themeShade="80"/>
          <w:sz w:val="24"/>
          <w:szCs w:val="24"/>
        </w:rPr>
        <w:t>Research/administration actions</w:t>
      </w:r>
    </w:p>
    <w:tbl>
      <w:tblPr>
        <w:tblStyle w:val="LightGrid-Accent11"/>
        <w:tblW w:w="10348" w:type="dxa"/>
        <w:jc w:val="center"/>
        <w:tblBorders>
          <w:top w:val="single" w:sz="8" w:space="0" w:color="17365D" w:themeColor="text2" w:themeShade="BF"/>
          <w:left w:val="nil"/>
          <w:bottom w:val="single" w:sz="8" w:space="0" w:color="17365D" w:themeColor="text2" w:themeShade="BF"/>
          <w:right w:val="nil"/>
          <w:insideH w:val="single" w:sz="8" w:space="0" w:color="17365D" w:themeColor="text2" w:themeShade="BF"/>
          <w:insideV w:val="nil"/>
        </w:tblBorders>
        <w:shd w:val="clear" w:color="auto" w:fill="DBE5F1" w:themeFill="accent1" w:themeFillTint="33"/>
        <w:tblLayout w:type="fixed"/>
        <w:tblLook w:val="04A0" w:firstRow="1" w:lastRow="0" w:firstColumn="1" w:lastColumn="0" w:noHBand="0" w:noVBand="1"/>
      </w:tblPr>
      <w:tblGrid>
        <w:gridCol w:w="851"/>
        <w:gridCol w:w="1559"/>
        <w:gridCol w:w="993"/>
        <w:gridCol w:w="4076"/>
        <w:gridCol w:w="1418"/>
        <w:gridCol w:w="1451"/>
      </w:tblGrid>
      <w:tr w:rsidR="00F371AA" w14:paraId="1B5C2E67"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17365D" w:themeFill="text2" w:themeFillShade="BF"/>
          </w:tcPr>
          <w:p w14:paraId="1B5C2E60"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single" w:sz="4" w:space="0" w:color="auto"/>
              <w:right w:val="nil"/>
            </w:tcBorders>
            <w:shd w:val="clear" w:color="auto" w:fill="17365D" w:themeFill="text2" w:themeFillShade="BF"/>
          </w:tcPr>
          <w:p w14:paraId="1B5C2E61"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17365D" w:themeFill="text2" w:themeFillShade="BF"/>
          </w:tcPr>
          <w:p w14:paraId="1B5C2E62"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single" w:sz="4" w:space="0" w:color="auto"/>
              <w:right w:val="nil"/>
            </w:tcBorders>
            <w:shd w:val="clear" w:color="auto" w:fill="17365D" w:themeFill="text2" w:themeFillShade="BF"/>
          </w:tcPr>
          <w:p w14:paraId="1B5C2E63"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17365D" w:themeFill="text2" w:themeFillShade="BF"/>
          </w:tcPr>
          <w:p w14:paraId="1B5C2E64"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17365D" w:themeFill="text2" w:themeFillShade="BF"/>
          </w:tcPr>
          <w:p w14:paraId="1B5C2E65"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66"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E76"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BE5F1" w:themeFill="accent1" w:themeFillTint="33"/>
          </w:tcPr>
          <w:p w14:paraId="1B5C2E68" w14:textId="77777777" w:rsidR="00F53D9E" w:rsidRDefault="00AC555B">
            <w:pPr>
              <w:pStyle w:val="Tabletext"/>
              <w:spacing w:line="240" w:lineRule="auto"/>
              <w:rPr>
                <w:rFonts w:cs="Arial"/>
              </w:rPr>
            </w:pPr>
            <w:r>
              <w:rPr>
                <w:rFonts w:ascii="Arial" w:hAnsi="Arial" w:cs="Arial"/>
              </w:rPr>
              <w:t>4</w:t>
            </w:r>
            <w:r w:rsidRPr="003C06E5">
              <w:rPr>
                <w:rFonts w:ascii="Arial" w:hAnsi="Arial" w:cs="Arial"/>
              </w:rPr>
              <w:t>a</w:t>
            </w:r>
          </w:p>
        </w:tc>
        <w:tc>
          <w:tcPr>
            <w:tcW w:w="1559" w:type="dxa"/>
            <w:tcBorders>
              <w:top w:val="single" w:sz="4" w:space="0" w:color="auto"/>
              <w:left w:val="nil"/>
              <w:bottom w:val="single" w:sz="4" w:space="0" w:color="auto"/>
              <w:right w:val="nil"/>
            </w:tcBorders>
            <w:shd w:val="clear" w:color="auto" w:fill="DBE5F1" w:themeFill="accent1" w:themeFillTint="33"/>
          </w:tcPr>
          <w:p w14:paraId="1B5C2E69"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Increase awareness of the fishing ban, methods for identifying giant freshwater crayfish, and avenues for reporting breaches of the ban.</w:t>
            </w:r>
          </w:p>
        </w:tc>
        <w:tc>
          <w:tcPr>
            <w:tcW w:w="993" w:type="dxa"/>
            <w:tcBorders>
              <w:top w:val="single" w:sz="4" w:space="0" w:color="auto"/>
              <w:left w:val="nil"/>
              <w:bottom w:val="single" w:sz="4" w:space="0" w:color="auto"/>
              <w:right w:val="nil"/>
            </w:tcBorders>
            <w:shd w:val="clear" w:color="auto" w:fill="DBE5F1" w:themeFill="accent1" w:themeFillTint="33"/>
          </w:tcPr>
          <w:p w14:paraId="1B5C2E6A"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4076" w:type="dxa"/>
            <w:tcBorders>
              <w:top w:val="single" w:sz="4" w:space="0" w:color="auto"/>
              <w:left w:val="nil"/>
              <w:bottom w:val="single" w:sz="4" w:space="0" w:color="auto"/>
              <w:right w:val="nil"/>
            </w:tcBorders>
            <w:shd w:val="clear" w:color="auto" w:fill="DBE5F1" w:themeFill="accent1" w:themeFillTint="33"/>
          </w:tcPr>
          <w:p w14:paraId="1B5C2E6B"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The IFS website is updated to incorporate new information on the giant freshwater crayfish and provide links to other relevant websites.</w:t>
            </w:r>
          </w:p>
          <w:p w14:paraId="1B5C2E6C"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 education and awareness program is undertaken to inform the public about the fishing ban and encourage reporting of any fishing breaches to IFS or </w:t>
            </w:r>
            <w:proofErr w:type="spellStart"/>
            <w:r>
              <w:rPr>
                <w:rFonts w:cs="Arial"/>
              </w:rPr>
              <w:t>Bushwatch</w:t>
            </w:r>
            <w:proofErr w:type="spellEnd"/>
            <w:r>
              <w:rPr>
                <w:rFonts w:cs="Arial"/>
              </w:rPr>
              <w:t>.</w:t>
            </w:r>
          </w:p>
          <w:p w14:paraId="1B5C2E6D"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Existing brochures detailing how to recognise giant freshwater crayfish and gain the evidence required to prosecute illegal fishers/poachers are reprinted and distributed to all staff involved with compliance and enforcement activities. </w:t>
            </w:r>
          </w:p>
          <w:p w14:paraId="1B5C2E6E"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Enforcement staff are informed of the benefits the fishing ban is having on giant freshwater crayfish populations to highlight the importance of enforcement.</w:t>
            </w:r>
          </w:p>
        </w:tc>
        <w:tc>
          <w:tcPr>
            <w:tcW w:w="1418" w:type="dxa"/>
            <w:tcBorders>
              <w:top w:val="single" w:sz="4" w:space="0" w:color="auto"/>
              <w:left w:val="nil"/>
              <w:bottom w:val="single" w:sz="4" w:space="0" w:color="auto"/>
              <w:right w:val="nil"/>
            </w:tcBorders>
            <w:shd w:val="clear" w:color="auto" w:fill="DBE5F1" w:themeFill="accent1" w:themeFillTint="33"/>
          </w:tcPr>
          <w:p w14:paraId="1B5C2E6F"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IFS</w:t>
            </w:r>
          </w:p>
          <w:p w14:paraId="1B5C2E70"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DPIPWE</w:t>
            </w:r>
          </w:p>
          <w:p w14:paraId="1B5C2E71"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PWS</w:t>
            </w:r>
          </w:p>
          <w:p w14:paraId="1B5C2E72"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Tasmania Police</w:t>
            </w:r>
          </w:p>
          <w:p w14:paraId="1B5C2E73"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Bushwatch</w:t>
            </w:r>
            <w:proofErr w:type="spellEnd"/>
          </w:p>
          <w:p w14:paraId="1B5C2E74" w14:textId="77777777" w:rsidR="00F53D9E" w:rsidRDefault="00F53D9E">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451" w:type="dxa"/>
            <w:tcBorders>
              <w:top w:val="single" w:sz="4" w:space="0" w:color="auto"/>
              <w:left w:val="nil"/>
              <w:bottom w:val="single" w:sz="4" w:space="0" w:color="auto"/>
              <w:right w:val="nil"/>
            </w:tcBorders>
            <w:shd w:val="clear" w:color="auto" w:fill="DBE5F1" w:themeFill="accent1" w:themeFillTint="33"/>
          </w:tcPr>
          <w:p w14:paraId="1B5C2E75"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r>
    </w:tbl>
    <w:p w14:paraId="1B5C2E77" w14:textId="77777777" w:rsidR="00F53D9E" w:rsidRDefault="00AC555B">
      <w:pPr>
        <w:spacing w:after="0" w:line="240" w:lineRule="auto"/>
        <w:rPr>
          <w:color w:val="808080" w:themeColor="background1" w:themeShade="80"/>
          <w:sz w:val="24"/>
          <w:szCs w:val="24"/>
        </w:rPr>
      </w:pPr>
      <w:r>
        <w:rPr>
          <w:color w:val="808080" w:themeColor="background1" w:themeShade="80"/>
          <w:sz w:val="24"/>
          <w:szCs w:val="24"/>
        </w:rPr>
        <w:br w:type="page"/>
      </w:r>
    </w:p>
    <w:p w14:paraId="1B5C2E78" w14:textId="77777777" w:rsidR="00F53D9E" w:rsidRPr="00C1377E" w:rsidRDefault="00AC555B" w:rsidP="00F53D9E">
      <w:pPr>
        <w:spacing w:before="240"/>
        <w:rPr>
          <w:color w:val="808080" w:themeColor="background1" w:themeShade="80"/>
          <w:sz w:val="24"/>
          <w:szCs w:val="24"/>
        </w:rPr>
      </w:pPr>
      <w:r w:rsidRPr="00C1377E">
        <w:rPr>
          <w:color w:val="808080" w:themeColor="background1" w:themeShade="80"/>
          <w:sz w:val="24"/>
          <w:szCs w:val="24"/>
        </w:rPr>
        <w:lastRenderedPageBreak/>
        <w:t>On-ground actions</w:t>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51"/>
      </w:tblGrid>
      <w:tr w:rsidR="00F371AA" w14:paraId="1B5C2E80"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808080" w:themeFill="background1" w:themeFillShade="80"/>
          </w:tcPr>
          <w:p w14:paraId="1B5C2E79" w14:textId="77777777" w:rsidR="00F53D9E" w:rsidRDefault="00AC555B">
            <w:pPr>
              <w:pStyle w:val="Tabletext"/>
              <w:spacing w:line="240" w:lineRule="auto"/>
              <w:rPr>
                <w:rFonts w:cs="Arial"/>
              </w:rPr>
            </w:pPr>
            <w:r w:rsidRPr="003C06E5">
              <w:rPr>
                <w:rFonts w:ascii="Arial" w:hAnsi="Arial" w:cs="Arial"/>
              </w:rPr>
              <w:t>Action</w:t>
            </w:r>
          </w:p>
        </w:tc>
        <w:tc>
          <w:tcPr>
            <w:tcW w:w="1559" w:type="dxa"/>
            <w:tcBorders>
              <w:top w:val="nil"/>
              <w:left w:val="nil"/>
              <w:bottom w:val="single" w:sz="4" w:space="0" w:color="auto"/>
              <w:right w:val="nil"/>
            </w:tcBorders>
            <w:shd w:val="clear" w:color="auto" w:fill="808080" w:themeFill="background1" w:themeFillShade="80"/>
          </w:tcPr>
          <w:p w14:paraId="1B5C2E7A"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808080" w:themeFill="background1" w:themeFillShade="80"/>
          </w:tcPr>
          <w:p w14:paraId="1B5C2E7B"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Priority</w:t>
            </w:r>
          </w:p>
        </w:tc>
        <w:tc>
          <w:tcPr>
            <w:tcW w:w="4076" w:type="dxa"/>
            <w:tcBorders>
              <w:top w:val="nil"/>
              <w:left w:val="nil"/>
              <w:bottom w:val="single" w:sz="4" w:space="0" w:color="auto"/>
              <w:right w:val="nil"/>
            </w:tcBorders>
            <w:shd w:val="clear" w:color="auto" w:fill="808080" w:themeFill="background1" w:themeFillShade="80"/>
          </w:tcPr>
          <w:p w14:paraId="1B5C2E7C"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808080" w:themeFill="background1" w:themeFillShade="80"/>
          </w:tcPr>
          <w:p w14:paraId="1B5C2E7D"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808080" w:themeFill="background1" w:themeFillShade="80"/>
          </w:tcPr>
          <w:p w14:paraId="1B5C2E7E"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7F"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E91"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E81" w14:textId="77777777" w:rsidR="00F53D9E" w:rsidRDefault="00AC555B">
            <w:pPr>
              <w:pStyle w:val="Tabletext"/>
              <w:spacing w:line="240" w:lineRule="auto"/>
              <w:rPr>
                <w:rFonts w:cs="Arial"/>
              </w:rPr>
            </w:pPr>
            <w:r>
              <w:rPr>
                <w:rFonts w:ascii="Arial" w:hAnsi="Arial" w:cs="Arial"/>
              </w:rPr>
              <w:t>4b</w:t>
            </w:r>
          </w:p>
        </w:tc>
        <w:tc>
          <w:tcPr>
            <w:tcW w:w="1559" w:type="dxa"/>
            <w:tcBorders>
              <w:top w:val="single" w:sz="4" w:space="0" w:color="auto"/>
              <w:left w:val="nil"/>
              <w:bottom w:val="single" w:sz="4" w:space="0" w:color="auto"/>
              <w:right w:val="nil"/>
            </w:tcBorders>
            <w:shd w:val="clear" w:color="auto" w:fill="D9D9D9" w:themeFill="background1" w:themeFillShade="D9"/>
          </w:tcPr>
          <w:p w14:paraId="1B5C2E82"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Enforce the full ban on fishing of giant freshwater crayfish.</w:t>
            </w:r>
          </w:p>
        </w:tc>
        <w:tc>
          <w:tcPr>
            <w:tcW w:w="993" w:type="dxa"/>
            <w:tcBorders>
              <w:top w:val="single" w:sz="4" w:space="0" w:color="auto"/>
              <w:left w:val="nil"/>
              <w:bottom w:val="single" w:sz="4" w:space="0" w:color="auto"/>
              <w:right w:val="nil"/>
            </w:tcBorders>
            <w:shd w:val="clear" w:color="auto" w:fill="D9D9D9" w:themeFill="background1" w:themeFillShade="D9"/>
          </w:tcPr>
          <w:p w14:paraId="1B5C2E83"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4076" w:type="dxa"/>
            <w:tcBorders>
              <w:top w:val="single" w:sz="4" w:space="0" w:color="auto"/>
              <w:left w:val="nil"/>
              <w:bottom w:val="single" w:sz="4" w:space="0" w:color="auto"/>
              <w:right w:val="nil"/>
            </w:tcBorders>
            <w:shd w:val="clear" w:color="auto" w:fill="D9D9D9" w:themeFill="background1" w:themeFillShade="D9"/>
          </w:tcPr>
          <w:p w14:paraId="1B5C2E84"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An appropriate level of enf</w:t>
            </w:r>
            <w:r w:rsidRPr="00B43D89">
              <w:rPr>
                <w:rFonts w:cs="Arial"/>
              </w:rPr>
              <w:t>orc</w:t>
            </w:r>
            <w:r>
              <w:rPr>
                <w:rFonts w:cs="Arial"/>
              </w:rPr>
              <w:t>e</w:t>
            </w:r>
            <w:r w:rsidRPr="00B43D89">
              <w:rPr>
                <w:rFonts w:cs="Arial"/>
              </w:rPr>
              <w:t xml:space="preserve">ment </w:t>
            </w:r>
            <w:r>
              <w:rPr>
                <w:rFonts w:cs="Arial"/>
              </w:rPr>
              <w:t xml:space="preserve">of the fishing ban </w:t>
            </w:r>
            <w:r w:rsidRPr="00B43D89">
              <w:rPr>
                <w:rFonts w:cs="Arial"/>
              </w:rPr>
              <w:t>is undertaken</w:t>
            </w:r>
            <w:r>
              <w:rPr>
                <w:rFonts w:cs="Arial"/>
              </w:rPr>
              <w:t>, with a focus on:</w:t>
            </w:r>
          </w:p>
          <w:p w14:paraId="1B5C2E85" w14:textId="77777777" w:rsidR="00F53D9E" w:rsidRDefault="00AC555B" w:rsidP="00F53D9E">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pPr>
            <w:r>
              <w:t>Joint collaboration between IFS and PWS compliance officers and Tasmanian police;</w:t>
            </w:r>
          </w:p>
          <w:p w14:paraId="1B5C2E86" w14:textId="77777777" w:rsidR="00F53D9E" w:rsidRDefault="00AC555B" w:rsidP="00F53D9E">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pPr>
            <w:r>
              <w:t>Targeting poachers;</w:t>
            </w:r>
          </w:p>
          <w:p w14:paraId="1B5C2E87" w14:textId="77777777" w:rsidR="00F53D9E" w:rsidRDefault="00AC555B" w:rsidP="00F53D9E">
            <w:pPr>
              <w:pStyle w:val="ListParagraph"/>
              <w:numPr>
                <w:ilvl w:val="0"/>
                <w:numId w:val="13"/>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pPr>
            <w:r>
              <w:t>Preventing illegal trade.</w:t>
            </w:r>
          </w:p>
          <w:p w14:paraId="1B5C2E88"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06762B">
              <w:rPr>
                <w:rFonts w:cs="Arial"/>
              </w:rPr>
              <w:t xml:space="preserve">Consideration is given to activities that would restrict, or deter, access to key locations for </w:t>
            </w:r>
            <w:r>
              <w:rPr>
                <w:rFonts w:cs="Arial"/>
              </w:rPr>
              <w:t>the giant freshwater crayfish</w:t>
            </w:r>
            <w:r w:rsidRPr="0006762B">
              <w:rPr>
                <w:rFonts w:cs="Arial"/>
              </w:rPr>
              <w:t>, such as:</w:t>
            </w:r>
          </w:p>
          <w:p w14:paraId="1B5C2E89" w14:textId="77777777" w:rsidR="00F53D9E" w:rsidRDefault="00AC555B" w:rsidP="00F53D9E">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pPr>
            <w:r w:rsidRPr="009F5F67">
              <w:t>The use of cameras at known</w:t>
            </w:r>
            <w:r>
              <w:t xml:space="preserve"> sites or roads leading to them;</w:t>
            </w:r>
          </w:p>
          <w:p w14:paraId="1B5C2E8A" w14:textId="77777777" w:rsidR="00F53D9E" w:rsidRDefault="00AC555B" w:rsidP="00F53D9E">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pPr>
            <w:r>
              <w:t>Implementation of bo</w:t>
            </w:r>
            <w:r w:rsidRPr="009F5F67">
              <w:t>om gates on roads</w:t>
            </w:r>
            <w:r>
              <w:t xml:space="preserve"> leading to known sites;</w:t>
            </w:r>
          </w:p>
          <w:p w14:paraId="1B5C2E8B" w14:textId="77777777" w:rsidR="00F53D9E" w:rsidRDefault="00AC555B" w:rsidP="00F53D9E">
            <w:pPr>
              <w:pStyle w:val="ListParagraph"/>
              <w:numPr>
                <w:ilvl w:val="0"/>
                <w:numId w:val="13"/>
              </w:numPr>
              <w:spacing w:line="240" w:lineRule="auto"/>
              <w:cnfStyle w:val="000000100000" w:firstRow="0" w:lastRow="0" w:firstColumn="0" w:lastColumn="0" w:oddVBand="0" w:evenVBand="0" w:oddHBand="1" w:evenHBand="0" w:firstRowFirstColumn="0" w:firstRowLastColumn="0" w:lastRowFirstColumn="0" w:lastRowLastColumn="0"/>
            </w:pPr>
            <w:r w:rsidRPr="00026F48">
              <w:t>Identification of roads that can be closed and rehabilitated.</w:t>
            </w:r>
          </w:p>
        </w:tc>
        <w:tc>
          <w:tcPr>
            <w:tcW w:w="1418" w:type="dxa"/>
            <w:tcBorders>
              <w:top w:val="single" w:sz="4" w:space="0" w:color="auto"/>
              <w:left w:val="nil"/>
              <w:bottom w:val="single" w:sz="4" w:space="0" w:color="auto"/>
              <w:right w:val="nil"/>
            </w:tcBorders>
            <w:shd w:val="clear" w:color="auto" w:fill="D9D9D9" w:themeFill="background1" w:themeFillShade="D9"/>
          </w:tcPr>
          <w:p w14:paraId="1B5C2E8C"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854E53">
              <w:rPr>
                <w:rFonts w:cs="Arial"/>
                <w:b/>
              </w:rPr>
              <w:t>IFS</w:t>
            </w:r>
          </w:p>
          <w:p w14:paraId="1B5C2E8D"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PWS</w:t>
            </w:r>
          </w:p>
          <w:p w14:paraId="1B5C2E8E"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1F50D2">
              <w:rPr>
                <w:rFonts w:cs="Arial"/>
              </w:rPr>
              <w:t>DPIPWE</w:t>
            </w:r>
          </w:p>
          <w:p w14:paraId="1B5C2E8F"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Tasmania Police</w:t>
            </w:r>
          </w:p>
        </w:tc>
        <w:tc>
          <w:tcPr>
            <w:tcW w:w="1451" w:type="dxa"/>
            <w:tcBorders>
              <w:top w:val="single" w:sz="4" w:space="0" w:color="auto"/>
              <w:left w:val="nil"/>
              <w:bottom w:val="single" w:sz="4" w:space="0" w:color="auto"/>
              <w:right w:val="nil"/>
            </w:tcBorders>
            <w:shd w:val="clear" w:color="auto" w:fill="D9D9D9" w:themeFill="background1" w:themeFillShade="D9"/>
          </w:tcPr>
          <w:p w14:paraId="1B5C2E90"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r>
    </w:tbl>
    <w:p w14:paraId="1B5C2E92" w14:textId="77777777" w:rsidR="00F53D9E" w:rsidRPr="00C1377E" w:rsidRDefault="00AC555B" w:rsidP="00F53D9E">
      <w:pPr>
        <w:pStyle w:val="Heading2"/>
        <w:tabs>
          <w:tab w:val="left" w:pos="1820"/>
        </w:tabs>
        <w:spacing w:before="240"/>
        <w:rPr>
          <w:color w:val="17365D" w:themeColor="text2" w:themeShade="BF"/>
        </w:rPr>
      </w:pPr>
      <w:bookmarkStart w:id="307" w:name="_Toc256000184"/>
      <w:bookmarkStart w:id="308" w:name="_Toc256000138"/>
      <w:bookmarkStart w:id="309" w:name="_Toc256000090"/>
      <w:bookmarkStart w:id="310" w:name="_Toc256000042"/>
      <w:bookmarkStart w:id="311" w:name="_Toc458697072"/>
      <w:r w:rsidRPr="00C1377E">
        <w:rPr>
          <w:color w:val="17365D" w:themeColor="text2" w:themeShade="BF"/>
        </w:rPr>
        <w:t xml:space="preserve">Strategy 5 – Engage with the general public, local government and NGOs in developing </w:t>
      </w:r>
      <w:r>
        <w:rPr>
          <w:color w:val="17365D" w:themeColor="text2" w:themeShade="BF"/>
        </w:rPr>
        <w:t>/</w:t>
      </w:r>
      <w:r w:rsidRPr="00C1377E">
        <w:rPr>
          <w:color w:val="17365D" w:themeColor="text2" w:themeShade="BF"/>
        </w:rPr>
        <w:t xml:space="preserve"> delivering con</w:t>
      </w:r>
      <w:r>
        <w:rPr>
          <w:color w:val="17365D" w:themeColor="text2" w:themeShade="BF"/>
        </w:rPr>
        <w:t>s</w:t>
      </w:r>
      <w:r w:rsidRPr="00C1377E">
        <w:rPr>
          <w:color w:val="17365D" w:themeColor="text2" w:themeShade="BF"/>
        </w:rPr>
        <w:t>er</w:t>
      </w:r>
      <w:r>
        <w:rPr>
          <w:color w:val="17365D" w:themeColor="text2" w:themeShade="BF"/>
        </w:rPr>
        <w:t>v</w:t>
      </w:r>
      <w:r w:rsidRPr="00C1377E">
        <w:rPr>
          <w:color w:val="17365D" w:themeColor="text2" w:themeShade="BF"/>
        </w:rPr>
        <w:t>ation measures.</w:t>
      </w:r>
      <w:bookmarkEnd w:id="307"/>
      <w:bookmarkEnd w:id="308"/>
      <w:bookmarkEnd w:id="309"/>
      <w:bookmarkEnd w:id="310"/>
      <w:bookmarkEnd w:id="311"/>
    </w:p>
    <w:p w14:paraId="1B5C2E93" w14:textId="77777777" w:rsidR="00F53D9E" w:rsidRPr="00C1377E" w:rsidRDefault="00AC555B" w:rsidP="00F53D9E">
      <w:pPr>
        <w:pStyle w:val="ListBullet"/>
        <w:ind w:left="369" w:hanging="369"/>
        <w:rPr>
          <w:color w:val="808080" w:themeColor="background1" w:themeShade="80"/>
          <w:sz w:val="24"/>
          <w:szCs w:val="24"/>
        </w:rPr>
      </w:pPr>
      <w:r w:rsidRPr="00C1377E">
        <w:rPr>
          <w:color w:val="808080" w:themeColor="background1" w:themeShade="80"/>
          <w:sz w:val="24"/>
          <w:szCs w:val="24"/>
        </w:rPr>
        <w:t>Research/information actions</w:t>
      </w:r>
    </w:p>
    <w:tbl>
      <w:tblPr>
        <w:tblStyle w:val="LightGrid-Accent11"/>
        <w:tblW w:w="10382" w:type="dxa"/>
        <w:jc w:val="center"/>
        <w:tblBorders>
          <w:top w:val="single" w:sz="8" w:space="0" w:color="17365D" w:themeColor="text2" w:themeShade="BF"/>
          <w:left w:val="nil"/>
          <w:bottom w:val="single" w:sz="8" w:space="0" w:color="17365D" w:themeColor="text2" w:themeShade="BF"/>
          <w:right w:val="nil"/>
          <w:insideH w:val="single" w:sz="8" w:space="0" w:color="17365D" w:themeColor="text2" w:themeShade="BF"/>
          <w:insideV w:val="nil"/>
        </w:tblBorders>
        <w:shd w:val="clear" w:color="auto" w:fill="DBE5F1" w:themeFill="accent1" w:themeFillTint="33"/>
        <w:tblLayout w:type="fixed"/>
        <w:tblLook w:val="04A0" w:firstRow="1" w:lastRow="0" w:firstColumn="1" w:lastColumn="0" w:noHBand="0" w:noVBand="1"/>
      </w:tblPr>
      <w:tblGrid>
        <w:gridCol w:w="851"/>
        <w:gridCol w:w="1593"/>
        <w:gridCol w:w="993"/>
        <w:gridCol w:w="4076"/>
        <w:gridCol w:w="1418"/>
        <w:gridCol w:w="1451"/>
      </w:tblGrid>
      <w:tr w:rsidR="00F371AA" w14:paraId="1B5C2E9B"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17365D" w:themeFill="text2" w:themeFillShade="BF"/>
          </w:tcPr>
          <w:p w14:paraId="1B5C2E94" w14:textId="77777777" w:rsidR="00F53D9E" w:rsidRDefault="00AC555B">
            <w:pPr>
              <w:pStyle w:val="Tabletext"/>
              <w:spacing w:line="240" w:lineRule="auto"/>
              <w:rPr>
                <w:rFonts w:cs="Arial"/>
              </w:rPr>
            </w:pPr>
            <w:r w:rsidRPr="003C06E5">
              <w:rPr>
                <w:rFonts w:ascii="Arial" w:hAnsi="Arial" w:cs="Arial"/>
              </w:rPr>
              <w:t>Action</w:t>
            </w:r>
          </w:p>
        </w:tc>
        <w:tc>
          <w:tcPr>
            <w:tcW w:w="1593" w:type="dxa"/>
            <w:tcBorders>
              <w:top w:val="nil"/>
              <w:left w:val="nil"/>
              <w:bottom w:val="single" w:sz="4" w:space="0" w:color="auto"/>
              <w:right w:val="nil"/>
            </w:tcBorders>
            <w:shd w:val="clear" w:color="auto" w:fill="17365D" w:themeFill="text2" w:themeFillShade="BF"/>
          </w:tcPr>
          <w:p w14:paraId="1B5C2E95"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Description</w:t>
            </w:r>
          </w:p>
        </w:tc>
        <w:tc>
          <w:tcPr>
            <w:tcW w:w="993" w:type="dxa"/>
            <w:tcBorders>
              <w:top w:val="nil"/>
              <w:left w:val="nil"/>
              <w:bottom w:val="single" w:sz="4" w:space="0" w:color="auto"/>
              <w:right w:val="nil"/>
            </w:tcBorders>
            <w:shd w:val="clear" w:color="auto" w:fill="17365D" w:themeFill="text2" w:themeFillShade="BF"/>
          </w:tcPr>
          <w:p w14:paraId="1B5C2E96"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811F29">
              <w:rPr>
                <w:rFonts w:ascii="Arial" w:hAnsi="Arial" w:cs="Arial"/>
              </w:rPr>
              <w:t>Priority</w:t>
            </w:r>
          </w:p>
        </w:tc>
        <w:tc>
          <w:tcPr>
            <w:tcW w:w="4076" w:type="dxa"/>
            <w:tcBorders>
              <w:top w:val="nil"/>
              <w:left w:val="nil"/>
              <w:bottom w:val="single" w:sz="4" w:space="0" w:color="auto"/>
              <w:right w:val="nil"/>
            </w:tcBorders>
            <w:shd w:val="clear" w:color="auto" w:fill="17365D" w:themeFill="text2" w:themeFillShade="BF"/>
          </w:tcPr>
          <w:p w14:paraId="1B5C2E97"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Performance Criteria</w:t>
            </w:r>
          </w:p>
        </w:tc>
        <w:tc>
          <w:tcPr>
            <w:tcW w:w="1418" w:type="dxa"/>
            <w:tcBorders>
              <w:top w:val="nil"/>
              <w:left w:val="nil"/>
              <w:bottom w:val="single" w:sz="4" w:space="0" w:color="auto"/>
              <w:right w:val="nil"/>
            </w:tcBorders>
            <w:shd w:val="clear" w:color="auto" w:fill="17365D" w:themeFill="text2" w:themeFillShade="BF"/>
          </w:tcPr>
          <w:p w14:paraId="1B5C2E98"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il"/>
              <w:left w:val="nil"/>
              <w:bottom w:val="single" w:sz="4" w:space="0" w:color="auto"/>
              <w:right w:val="nil"/>
            </w:tcBorders>
            <w:shd w:val="clear" w:color="auto" w:fill="17365D" w:themeFill="text2" w:themeFillShade="BF"/>
          </w:tcPr>
          <w:p w14:paraId="1B5C2E99"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9A"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154775">
              <w:rPr>
                <w:rFonts w:ascii="Arial" w:hAnsi="Arial" w:cs="Arial"/>
                <w:b w:val="0"/>
                <w:i/>
              </w:rPr>
              <w:t>*priority 1 only</w:t>
            </w:r>
          </w:p>
        </w:tc>
      </w:tr>
      <w:tr w:rsidR="00F371AA" w14:paraId="1B5C2EA3"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BE5F1" w:themeFill="accent1" w:themeFillTint="33"/>
          </w:tcPr>
          <w:p w14:paraId="1B5C2E9C" w14:textId="77777777" w:rsidR="00F53D9E" w:rsidRDefault="00AC555B">
            <w:pPr>
              <w:pStyle w:val="Tabletext"/>
              <w:spacing w:line="240" w:lineRule="auto"/>
              <w:rPr>
                <w:rFonts w:cs="Arial"/>
              </w:rPr>
            </w:pPr>
            <w:r>
              <w:rPr>
                <w:rFonts w:ascii="Arial" w:hAnsi="Arial" w:cs="Arial"/>
              </w:rPr>
              <w:t>5</w:t>
            </w:r>
            <w:r w:rsidRPr="003C06E5">
              <w:rPr>
                <w:rFonts w:ascii="Arial" w:hAnsi="Arial" w:cs="Arial"/>
              </w:rPr>
              <w:t>a</w:t>
            </w:r>
          </w:p>
        </w:tc>
        <w:tc>
          <w:tcPr>
            <w:tcW w:w="1593" w:type="dxa"/>
            <w:tcBorders>
              <w:top w:val="single" w:sz="4" w:space="0" w:color="auto"/>
              <w:left w:val="nil"/>
              <w:bottom w:val="single" w:sz="4" w:space="0" w:color="auto"/>
              <w:right w:val="nil"/>
            </w:tcBorders>
            <w:shd w:val="clear" w:color="auto" w:fill="DBE5F1" w:themeFill="accent1" w:themeFillTint="33"/>
          </w:tcPr>
          <w:p w14:paraId="1B5C2E9D"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6718B1">
              <w:t>A</w:t>
            </w:r>
            <w:r>
              <w:t>pply a principle of a</w:t>
            </w:r>
            <w:r w:rsidRPr="006718B1">
              <w:t>daptive management</w:t>
            </w:r>
            <w:r>
              <w:t xml:space="preserve"> to all aspects of recovery plan implementation</w:t>
            </w:r>
          </w:p>
        </w:tc>
        <w:tc>
          <w:tcPr>
            <w:tcW w:w="993" w:type="dxa"/>
            <w:tcBorders>
              <w:top w:val="single" w:sz="4" w:space="0" w:color="auto"/>
              <w:left w:val="nil"/>
              <w:bottom w:val="single" w:sz="4" w:space="0" w:color="auto"/>
              <w:right w:val="nil"/>
            </w:tcBorders>
            <w:shd w:val="clear" w:color="auto" w:fill="DBE5F1" w:themeFill="accent1" w:themeFillTint="33"/>
          </w:tcPr>
          <w:p w14:paraId="1B5C2E9E"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4076" w:type="dxa"/>
            <w:tcBorders>
              <w:top w:val="single" w:sz="4" w:space="0" w:color="auto"/>
              <w:left w:val="nil"/>
              <w:bottom w:val="single" w:sz="4" w:space="0" w:color="auto"/>
              <w:right w:val="nil"/>
            </w:tcBorders>
            <w:shd w:val="clear" w:color="auto" w:fill="DBE5F1" w:themeFill="accent1" w:themeFillTint="33"/>
          </w:tcPr>
          <w:p w14:paraId="1B5C2E9F" w14:textId="77777777" w:rsidR="00F53D9E" w:rsidRDefault="00AC555B" w:rsidP="00F53D9E">
            <w:pPr>
              <w:pStyle w:val="Tabletext"/>
              <w:numPr>
                <w:ilvl w:val="0"/>
                <w:numId w:val="11"/>
              </w:numPr>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06762B">
              <w:rPr>
                <w:rFonts w:cs="Arial"/>
              </w:rPr>
              <w:t>An overarching principal of adaptive management is used to guide recovery plan implementation and enable the identification of new threats, refocus priorities appropriately and recognise when certain actions are no longer relevant to the species recovery.</w:t>
            </w:r>
          </w:p>
        </w:tc>
        <w:tc>
          <w:tcPr>
            <w:tcW w:w="1418" w:type="dxa"/>
            <w:tcBorders>
              <w:top w:val="single" w:sz="4" w:space="0" w:color="auto"/>
              <w:left w:val="nil"/>
              <w:bottom w:val="single" w:sz="4" w:space="0" w:color="auto"/>
              <w:right w:val="nil"/>
            </w:tcBorders>
            <w:shd w:val="clear" w:color="auto" w:fill="DBE5F1" w:themeFill="accent1" w:themeFillTint="33"/>
          </w:tcPr>
          <w:p w14:paraId="1B5C2EA0"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DPIPWE</w:t>
            </w:r>
          </w:p>
          <w:p w14:paraId="1B5C2EA1"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b/>
              </w:rPr>
              <w:t>DoEE</w:t>
            </w:r>
            <w:proofErr w:type="spellEnd"/>
          </w:p>
        </w:tc>
        <w:tc>
          <w:tcPr>
            <w:tcW w:w="1451" w:type="dxa"/>
            <w:tcBorders>
              <w:top w:val="single" w:sz="4" w:space="0" w:color="auto"/>
              <w:left w:val="nil"/>
              <w:bottom w:val="single" w:sz="4" w:space="0" w:color="auto"/>
              <w:right w:val="nil"/>
            </w:tcBorders>
            <w:shd w:val="clear" w:color="auto" w:fill="DBE5F1" w:themeFill="accent1" w:themeFillTint="33"/>
          </w:tcPr>
          <w:p w14:paraId="1B5C2EA2"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Core government business</w:t>
            </w:r>
          </w:p>
        </w:tc>
      </w:tr>
    </w:tbl>
    <w:p w14:paraId="1B5C2EA4" w14:textId="77777777" w:rsidR="00F53D9E" w:rsidRDefault="00AC555B">
      <w:pPr>
        <w:spacing w:after="0" w:line="240" w:lineRule="auto"/>
        <w:rPr>
          <w:color w:val="808080" w:themeColor="background1" w:themeShade="80"/>
          <w:sz w:val="24"/>
          <w:szCs w:val="24"/>
        </w:rPr>
      </w:pPr>
      <w:r>
        <w:rPr>
          <w:color w:val="808080" w:themeColor="background1" w:themeShade="80"/>
          <w:sz w:val="24"/>
          <w:szCs w:val="24"/>
        </w:rPr>
        <w:br w:type="page"/>
      </w:r>
    </w:p>
    <w:p w14:paraId="1B5C2EA5" w14:textId="77777777" w:rsidR="00F53D9E" w:rsidRPr="00C1377E" w:rsidRDefault="00AC555B" w:rsidP="00F53D9E">
      <w:pPr>
        <w:spacing w:before="240"/>
        <w:rPr>
          <w:color w:val="808080" w:themeColor="background1" w:themeShade="80"/>
          <w:sz w:val="24"/>
          <w:szCs w:val="24"/>
        </w:rPr>
      </w:pPr>
      <w:r w:rsidRPr="00C1377E">
        <w:rPr>
          <w:color w:val="808080" w:themeColor="background1" w:themeShade="80"/>
          <w:sz w:val="24"/>
          <w:szCs w:val="24"/>
        </w:rPr>
        <w:lastRenderedPageBreak/>
        <w:t>On-ground actions</w:t>
      </w:r>
    </w:p>
    <w:tbl>
      <w:tblPr>
        <w:tblStyle w:val="LightGrid-Accent3"/>
        <w:tblW w:w="10348"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17"/>
        <w:gridCol w:w="34"/>
      </w:tblGrid>
      <w:tr w:rsidR="00F371AA" w14:paraId="1B5C2EAD" w14:textId="77777777" w:rsidTr="00F371AA">
        <w:trPr>
          <w:gridAfter w:val="1"/>
          <w:cnfStyle w:val="100000000000" w:firstRow="1" w:lastRow="0" w:firstColumn="0" w:lastColumn="0" w:oddVBand="0" w:evenVBand="0" w:oddHBand="0" w:evenHBand="0" w:firstRowFirstColumn="0" w:firstRowLastColumn="0" w:lastRowFirstColumn="0" w:lastRowLastColumn="0"/>
          <w:wAfter w:w="34" w:type="dxa"/>
          <w:jc w:val="cent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auto"/>
              <w:right w:val="nil"/>
            </w:tcBorders>
            <w:shd w:val="clear" w:color="auto" w:fill="808080" w:themeFill="background1" w:themeFillShade="80"/>
          </w:tcPr>
          <w:p w14:paraId="1B5C2EA6" w14:textId="77777777" w:rsidR="00F53D9E" w:rsidRDefault="00AC555B">
            <w:pPr>
              <w:pStyle w:val="Tabletext"/>
              <w:spacing w:line="240" w:lineRule="auto"/>
              <w:jc w:val="center"/>
              <w:rPr>
                <w:rFonts w:cs="Arial"/>
                <w:szCs w:val="20"/>
              </w:rPr>
            </w:pPr>
            <w:r w:rsidRPr="003C06E5">
              <w:rPr>
                <w:rFonts w:ascii="Arial" w:hAnsi="Arial" w:cs="Arial"/>
                <w:szCs w:val="20"/>
              </w:rPr>
              <w:t>Action</w:t>
            </w:r>
          </w:p>
        </w:tc>
        <w:tc>
          <w:tcPr>
            <w:tcW w:w="1559" w:type="dxa"/>
            <w:tcBorders>
              <w:top w:val="nil"/>
              <w:left w:val="nil"/>
              <w:bottom w:val="single" w:sz="4" w:space="0" w:color="auto"/>
              <w:right w:val="nil"/>
            </w:tcBorders>
            <w:shd w:val="clear" w:color="auto" w:fill="808080" w:themeFill="background1" w:themeFillShade="80"/>
          </w:tcPr>
          <w:p w14:paraId="1B5C2EA7"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3C06E5">
              <w:rPr>
                <w:rFonts w:ascii="Arial" w:hAnsi="Arial" w:cs="Arial"/>
                <w:szCs w:val="20"/>
              </w:rPr>
              <w:t>Description</w:t>
            </w:r>
          </w:p>
        </w:tc>
        <w:tc>
          <w:tcPr>
            <w:tcW w:w="993" w:type="dxa"/>
            <w:tcBorders>
              <w:top w:val="nil"/>
              <w:left w:val="nil"/>
              <w:bottom w:val="single" w:sz="4" w:space="0" w:color="auto"/>
              <w:right w:val="nil"/>
            </w:tcBorders>
            <w:shd w:val="clear" w:color="auto" w:fill="808080" w:themeFill="background1" w:themeFillShade="80"/>
          </w:tcPr>
          <w:p w14:paraId="1B5C2EA8"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06E5">
              <w:rPr>
                <w:rFonts w:ascii="Arial" w:hAnsi="Arial" w:cs="Arial"/>
                <w:szCs w:val="20"/>
              </w:rPr>
              <w:t>Priority</w:t>
            </w:r>
          </w:p>
        </w:tc>
        <w:tc>
          <w:tcPr>
            <w:tcW w:w="4076" w:type="dxa"/>
            <w:tcBorders>
              <w:top w:val="nil"/>
              <w:left w:val="nil"/>
              <w:bottom w:val="single" w:sz="4" w:space="0" w:color="auto"/>
              <w:right w:val="nil"/>
            </w:tcBorders>
            <w:shd w:val="clear" w:color="auto" w:fill="808080" w:themeFill="background1" w:themeFillShade="80"/>
          </w:tcPr>
          <w:p w14:paraId="1B5C2EA9"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3C06E5">
              <w:rPr>
                <w:rFonts w:ascii="Arial" w:hAnsi="Arial" w:cs="Arial"/>
                <w:szCs w:val="20"/>
              </w:rPr>
              <w:t>Performance Criteria</w:t>
            </w:r>
          </w:p>
        </w:tc>
        <w:tc>
          <w:tcPr>
            <w:tcW w:w="1418" w:type="dxa"/>
            <w:tcBorders>
              <w:top w:val="nil"/>
              <w:left w:val="nil"/>
              <w:bottom w:val="single" w:sz="4" w:space="0" w:color="auto"/>
              <w:right w:val="nil"/>
            </w:tcBorders>
            <w:shd w:val="clear" w:color="auto" w:fill="808080" w:themeFill="background1" w:themeFillShade="80"/>
          </w:tcPr>
          <w:p w14:paraId="1B5C2EAA" w14:textId="77777777" w:rsidR="00F53D9E"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szCs w:val="2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17" w:type="dxa"/>
            <w:tcBorders>
              <w:top w:val="nil"/>
              <w:left w:val="nil"/>
              <w:bottom w:val="single" w:sz="4" w:space="0" w:color="auto"/>
              <w:right w:val="nil"/>
            </w:tcBorders>
            <w:shd w:val="clear" w:color="auto" w:fill="808080" w:themeFill="background1" w:themeFillShade="80"/>
          </w:tcPr>
          <w:p w14:paraId="1B5C2EAB"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3C06E5">
              <w:rPr>
                <w:rFonts w:ascii="Arial" w:hAnsi="Arial" w:cs="Arial"/>
              </w:rPr>
              <w:t>Indicative Cost</w:t>
            </w:r>
          </w:p>
          <w:p w14:paraId="1B5C2EAC" w14:textId="77777777" w:rsidR="00F53D9E"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sidRPr="00154775">
              <w:rPr>
                <w:rFonts w:ascii="Arial" w:hAnsi="Arial" w:cs="Arial"/>
                <w:b w:val="0"/>
                <w:i/>
              </w:rPr>
              <w:t>*priority 1 only</w:t>
            </w:r>
          </w:p>
        </w:tc>
      </w:tr>
      <w:tr w:rsidR="00F371AA" w14:paraId="1B5C2EBA" w14:textId="77777777" w:rsidTr="00F371AA">
        <w:trPr>
          <w:gridAfter w:val="1"/>
          <w:cnfStyle w:val="000000100000" w:firstRow="0" w:lastRow="0" w:firstColumn="0" w:lastColumn="0" w:oddVBand="0" w:evenVBand="0" w:oddHBand="1" w:evenHBand="0" w:firstRowFirstColumn="0" w:firstRowLastColumn="0" w:lastRowFirstColumn="0" w:lastRowLastColumn="0"/>
          <w:wAfter w:w="34" w:type="dxa"/>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9D9D9" w:themeFill="background1" w:themeFillShade="D9"/>
          </w:tcPr>
          <w:p w14:paraId="1B5C2EAE" w14:textId="77777777" w:rsidR="00F53D9E" w:rsidRDefault="00AC555B">
            <w:pPr>
              <w:pStyle w:val="Tabletext"/>
              <w:spacing w:line="240" w:lineRule="auto"/>
              <w:rPr>
                <w:rFonts w:cs="Arial"/>
              </w:rPr>
            </w:pPr>
            <w:r>
              <w:rPr>
                <w:rFonts w:ascii="Arial" w:hAnsi="Arial" w:cs="Arial"/>
              </w:rPr>
              <w:t>5b</w:t>
            </w:r>
          </w:p>
        </w:tc>
        <w:tc>
          <w:tcPr>
            <w:tcW w:w="1559" w:type="dxa"/>
            <w:tcBorders>
              <w:top w:val="single" w:sz="4" w:space="0" w:color="auto"/>
              <w:left w:val="nil"/>
              <w:bottom w:val="nil"/>
              <w:right w:val="nil"/>
            </w:tcBorders>
            <w:shd w:val="clear" w:color="auto" w:fill="D9D9D9" w:themeFill="background1" w:themeFillShade="D9"/>
          </w:tcPr>
          <w:p w14:paraId="1B5C2EAF"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8A08CC">
              <w:t xml:space="preserve">Promote </w:t>
            </w:r>
            <w:r>
              <w:t>the giant freshwater crayfish</w:t>
            </w:r>
            <w:r w:rsidRPr="008A08CC">
              <w:t xml:space="preserve"> as a flagship species for good catchment management</w:t>
            </w:r>
            <w:r>
              <w:t>.</w:t>
            </w:r>
            <w:r w:rsidRPr="003C06E5">
              <w:rPr>
                <w:rFonts w:cs="Arial"/>
              </w:rPr>
              <w:t xml:space="preserve"> </w:t>
            </w:r>
          </w:p>
        </w:tc>
        <w:tc>
          <w:tcPr>
            <w:tcW w:w="993" w:type="dxa"/>
            <w:tcBorders>
              <w:top w:val="single" w:sz="4" w:space="0" w:color="auto"/>
              <w:left w:val="nil"/>
              <w:bottom w:val="nil"/>
              <w:right w:val="nil"/>
            </w:tcBorders>
            <w:shd w:val="clear" w:color="auto" w:fill="D9D9D9" w:themeFill="background1" w:themeFillShade="D9"/>
          </w:tcPr>
          <w:p w14:paraId="1B5C2EB0"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4076" w:type="dxa"/>
            <w:tcBorders>
              <w:top w:val="single" w:sz="4" w:space="0" w:color="auto"/>
              <w:left w:val="nil"/>
              <w:bottom w:val="nil"/>
              <w:right w:val="nil"/>
            </w:tcBorders>
            <w:shd w:val="clear" w:color="auto" w:fill="D9D9D9" w:themeFill="background1" w:themeFillShade="D9"/>
          </w:tcPr>
          <w:p w14:paraId="1B5C2EB1"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Giant freshwater crayfish are the focus point for audio/visual material encouraging healthy catchment management across their range.</w:t>
            </w:r>
          </w:p>
          <w:p w14:paraId="1B5C2EB2"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786F73">
              <w:rPr>
                <w:rFonts w:cs="Arial"/>
              </w:rPr>
              <w:t xml:space="preserve">Particular </w:t>
            </w:r>
            <w:r>
              <w:rPr>
                <w:rFonts w:cs="Arial"/>
              </w:rPr>
              <w:t>focus</w:t>
            </w:r>
            <w:r w:rsidRPr="00786F73">
              <w:rPr>
                <w:rFonts w:cs="Arial"/>
              </w:rPr>
              <w:t xml:space="preserve"> is given to promoting </w:t>
            </w:r>
            <w:r>
              <w:rPr>
                <w:rFonts w:cs="Arial"/>
              </w:rPr>
              <w:t>the giant freshwater crayfish</w:t>
            </w:r>
            <w:r w:rsidRPr="00786F73">
              <w:rPr>
                <w:rFonts w:cs="Arial"/>
              </w:rPr>
              <w:t xml:space="preserve"> as a flagship in the north-east</w:t>
            </w:r>
            <w:r>
              <w:rPr>
                <w:rFonts w:cs="Arial"/>
              </w:rPr>
              <w:t>.</w:t>
            </w:r>
          </w:p>
          <w:p w14:paraId="1B5C2EB3"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Informative material on giant freshwater crayfish ecology and conservation, including fact sheets, colour brochures, posters and stickers,</w:t>
            </w:r>
            <w:r w:rsidRPr="00786F73">
              <w:rPr>
                <w:rFonts w:cs="Arial"/>
              </w:rPr>
              <w:t xml:space="preserve"> </w:t>
            </w:r>
            <w:r>
              <w:rPr>
                <w:rFonts w:cs="Arial"/>
              </w:rPr>
              <w:t>is updated and distributed to schools, local land care groups and other relevant stakeholders (e.g. fishers, foresters, farmers, irrigators).</w:t>
            </w:r>
          </w:p>
          <w:p w14:paraId="1B5C2EB4"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The development of a website, or Facebook page, devoted to promoting the conservation of the giant freshwater crayfish is considered.</w:t>
            </w:r>
          </w:p>
        </w:tc>
        <w:tc>
          <w:tcPr>
            <w:tcW w:w="1418" w:type="dxa"/>
            <w:tcBorders>
              <w:top w:val="single" w:sz="4" w:space="0" w:color="auto"/>
              <w:left w:val="nil"/>
              <w:bottom w:val="nil"/>
              <w:right w:val="nil"/>
            </w:tcBorders>
            <w:shd w:val="clear" w:color="auto" w:fill="D9D9D9" w:themeFill="background1" w:themeFillShade="D9"/>
          </w:tcPr>
          <w:p w14:paraId="1B5C2EB5"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1F50D2">
              <w:rPr>
                <w:rFonts w:cs="Arial"/>
                <w:b/>
              </w:rPr>
              <w:t>NRM bodies</w:t>
            </w:r>
          </w:p>
          <w:p w14:paraId="1B5C2EB6"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DPIPWE</w:t>
            </w:r>
          </w:p>
          <w:p w14:paraId="1B5C2EB7"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Community groups</w:t>
            </w:r>
          </w:p>
          <w:p w14:paraId="1B5C2EB8" w14:textId="77777777" w:rsidR="00F53D9E" w:rsidRDefault="00F53D9E">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417" w:type="dxa"/>
            <w:tcBorders>
              <w:top w:val="single" w:sz="4" w:space="0" w:color="auto"/>
              <w:left w:val="nil"/>
              <w:bottom w:val="nil"/>
              <w:right w:val="nil"/>
            </w:tcBorders>
            <w:shd w:val="clear" w:color="auto" w:fill="D9D9D9" w:themeFill="background1" w:themeFillShade="D9"/>
          </w:tcPr>
          <w:p w14:paraId="1B5C2EB9"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3C06E5">
              <w:rPr>
                <w:rFonts w:cs="Arial"/>
              </w:rPr>
              <w:t>-</w:t>
            </w:r>
          </w:p>
        </w:tc>
      </w:tr>
      <w:tr w:rsidR="00F371AA" w14:paraId="1B5C2EC2" w14:textId="77777777" w:rsidTr="00F371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nil"/>
              <w:right w:val="nil"/>
            </w:tcBorders>
            <w:shd w:val="clear" w:color="auto" w:fill="D9D9D9" w:themeFill="background1" w:themeFillShade="D9"/>
          </w:tcPr>
          <w:p w14:paraId="1B5C2EBB" w14:textId="77777777" w:rsidR="00F53D9E" w:rsidRDefault="00AC555B">
            <w:pPr>
              <w:pStyle w:val="Tabletext"/>
              <w:spacing w:line="240" w:lineRule="auto"/>
              <w:rPr>
                <w:rFonts w:cs="Arial"/>
              </w:rPr>
            </w:pPr>
            <w:r>
              <w:rPr>
                <w:rFonts w:ascii="Arial" w:hAnsi="Arial" w:cs="Arial"/>
              </w:rPr>
              <w:t>5c</w:t>
            </w:r>
          </w:p>
        </w:tc>
        <w:tc>
          <w:tcPr>
            <w:tcW w:w="1559" w:type="dxa"/>
            <w:tcBorders>
              <w:top w:val="single" w:sz="4" w:space="0" w:color="auto"/>
              <w:left w:val="nil"/>
              <w:bottom w:val="nil"/>
              <w:right w:val="nil"/>
            </w:tcBorders>
            <w:shd w:val="clear" w:color="auto" w:fill="D9D9D9" w:themeFill="background1" w:themeFillShade="D9"/>
          </w:tcPr>
          <w:p w14:paraId="1B5C2EBC"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9F5F67">
              <w:rPr>
                <w:rFonts w:cs="Arial"/>
              </w:rPr>
              <w:t>Establish a demonstration site to display habitat rehabilitation in agricultural areas.</w:t>
            </w:r>
          </w:p>
        </w:tc>
        <w:tc>
          <w:tcPr>
            <w:tcW w:w="993" w:type="dxa"/>
            <w:tcBorders>
              <w:top w:val="single" w:sz="4" w:space="0" w:color="auto"/>
              <w:left w:val="nil"/>
              <w:bottom w:val="nil"/>
              <w:right w:val="nil"/>
            </w:tcBorders>
            <w:shd w:val="clear" w:color="auto" w:fill="D9D9D9" w:themeFill="background1" w:themeFillShade="D9"/>
          </w:tcPr>
          <w:p w14:paraId="1B5C2EBD"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9F5F67">
              <w:rPr>
                <w:rFonts w:cs="Arial"/>
              </w:rPr>
              <w:t>3</w:t>
            </w:r>
          </w:p>
        </w:tc>
        <w:tc>
          <w:tcPr>
            <w:tcW w:w="4076" w:type="dxa"/>
            <w:tcBorders>
              <w:top w:val="single" w:sz="4" w:space="0" w:color="auto"/>
              <w:left w:val="nil"/>
              <w:bottom w:val="nil"/>
              <w:right w:val="nil"/>
            </w:tcBorders>
            <w:shd w:val="clear" w:color="auto" w:fill="D9D9D9" w:themeFill="background1" w:themeFillShade="D9"/>
          </w:tcPr>
          <w:p w14:paraId="1B5C2EBE"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9F5F67">
              <w:rPr>
                <w:rFonts w:cs="Arial"/>
              </w:rPr>
              <w:t>A suitable location for establishing a demonstration site is identified.</w:t>
            </w:r>
          </w:p>
          <w:p w14:paraId="1B5C2EBF" w14:textId="77777777" w:rsidR="00F53D9E" w:rsidRDefault="00AC555B" w:rsidP="00F53D9E">
            <w:pPr>
              <w:pStyle w:val="Tabletext"/>
              <w:numPr>
                <w:ilvl w:val="0"/>
                <w:numId w:val="11"/>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bCs/>
              </w:rPr>
            </w:pPr>
            <w:r w:rsidRPr="009F5F67">
              <w:rPr>
                <w:rFonts w:cs="Arial"/>
              </w:rPr>
              <w:t xml:space="preserve">A demonstration site is established to showcase methods of rehabilitating /managing habitat for the conservation of </w:t>
            </w:r>
            <w:r>
              <w:rPr>
                <w:rFonts w:cs="Arial"/>
              </w:rPr>
              <w:t xml:space="preserve">the </w:t>
            </w:r>
            <w:r w:rsidRPr="009F5F67">
              <w:rPr>
                <w:rFonts w:cs="Arial"/>
              </w:rPr>
              <w:t xml:space="preserve">giant freshwater crayfish. </w:t>
            </w:r>
          </w:p>
        </w:tc>
        <w:tc>
          <w:tcPr>
            <w:tcW w:w="1418" w:type="dxa"/>
            <w:tcBorders>
              <w:top w:val="single" w:sz="4" w:space="0" w:color="auto"/>
              <w:left w:val="nil"/>
              <w:bottom w:val="nil"/>
              <w:right w:val="nil"/>
            </w:tcBorders>
            <w:shd w:val="clear" w:color="auto" w:fill="D9D9D9" w:themeFill="background1" w:themeFillShade="D9"/>
          </w:tcPr>
          <w:p w14:paraId="1B5C2EC0" w14:textId="77777777" w:rsidR="00F53D9E" w:rsidRDefault="00AC555B">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9F5F67">
              <w:rPr>
                <w:rFonts w:cs="Arial"/>
              </w:rPr>
              <w:t>NRM bodies</w:t>
            </w:r>
          </w:p>
        </w:tc>
        <w:tc>
          <w:tcPr>
            <w:tcW w:w="1451" w:type="dxa"/>
            <w:gridSpan w:val="2"/>
            <w:tcBorders>
              <w:top w:val="single" w:sz="4" w:space="0" w:color="auto"/>
              <w:left w:val="nil"/>
              <w:bottom w:val="nil"/>
              <w:right w:val="nil"/>
            </w:tcBorders>
            <w:shd w:val="clear" w:color="auto" w:fill="D9D9D9" w:themeFill="background1" w:themeFillShade="D9"/>
          </w:tcPr>
          <w:p w14:paraId="1B5C2EC1" w14:textId="77777777" w:rsidR="00F53D9E" w:rsidRDefault="00AC555B">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w:t>
            </w:r>
          </w:p>
        </w:tc>
      </w:tr>
      <w:tr w:rsidR="00F371AA" w14:paraId="1B5C2ECB" w14:textId="77777777" w:rsidTr="00F371AA">
        <w:trPr>
          <w:gridAfter w:val="1"/>
          <w:cnfStyle w:val="000000100000" w:firstRow="0" w:lastRow="0" w:firstColumn="0" w:lastColumn="0" w:oddVBand="0" w:evenVBand="0" w:oddHBand="1" w:evenHBand="0" w:firstRowFirstColumn="0" w:firstRowLastColumn="0" w:lastRowFirstColumn="0" w:lastRowLastColumn="0"/>
          <w:wAfter w:w="34" w:type="dxa"/>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D9D9D9" w:themeFill="background1" w:themeFillShade="D9"/>
          </w:tcPr>
          <w:p w14:paraId="1B5C2EC3" w14:textId="77777777" w:rsidR="00F53D9E" w:rsidRPr="00BB4F92" w:rsidRDefault="00AC555B">
            <w:pPr>
              <w:pStyle w:val="Tabletext"/>
              <w:spacing w:line="240" w:lineRule="auto"/>
              <w:rPr>
                <w:rFonts w:cs="Arial"/>
              </w:rPr>
            </w:pPr>
            <w:r w:rsidRPr="00BB4F92">
              <w:rPr>
                <w:rFonts w:ascii="Arial" w:hAnsi="Arial" w:cs="Arial"/>
              </w:rPr>
              <w:t>5d</w:t>
            </w:r>
          </w:p>
        </w:tc>
        <w:tc>
          <w:tcPr>
            <w:tcW w:w="1559" w:type="dxa"/>
            <w:tcBorders>
              <w:top w:val="single" w:sz="4" w:space="0" w:color="auto"/>
              <w:left w:val="nil"/>
              <w:bottom w:val="single" w:sz="4" w:space="0" w:color="auto"/>
              <w:right w:val="nil"/>
            </w:tcBorders>
            <w:shd w:val="clear" w:color="auto" w:fill="D9D9D9" w:themeFill="background1" w:themeFillShade="D9"/>
          </w:tcPr>
          <w:p w14:paraId="1B5C2EC4" w14:textId="77777777" w:rsidR="00F53D9E" w:rsidRPr="00BB4F92"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Investigate options to display giant freshwater crayfish to increase public awareness.</w:t>
            </w:r>
          </w:p>
        </w:tc>
        <w:tc>
          <w:tcPr>
            <w:tcW w:w="993" w:type="dxa"/>
            <w:tcBorders>
              <w:top w:val="single" w:sz="4" w:space="0" w:color="auto"/>
              <w:left w:val="nil"/>
              <w:bottom w:val="single" w:sz="4" w:space="0" w:color="auto"/>
              <w:right w:val="nil"/>
            </w:tcBorders>
            <w:shd w:val="clear" w:color="auto" w:fill="D9D9D9" w:themeFill="background1" w:themeFillShade="D9"/>
          </w:tcPr>
          <w:p w14:paraId="1B5C2EC5" w14:textId="77777777" w:rsidR="00F53D9E" w:rsidRPr="00BB4F92"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2</w:t>
            </w:r>
          </w:p>
        </w:tc>
        <w:tc>
          <w:tcPr>
            <w:tcW w:w="4076" w:type="dxa"/>
            <w:tcBorders>
              <w:top w:val="single" w:sz="4" w:space="0" w:color="auto"/>
              <w:left w:val="nil"/>
              <w:bottom w:val="single" w:sz="4" w:space="0" w:color="auto"/>
              <w:right w:val="nil"/>
            </w:tcBorders>
            <w:shd w:val="clear" w:color="auto" w:fill="D9D9D9" w:themeFill="background1" w:themeFillShade="D9"/>
          </w:tcPr>
          <w:p w14:paraId="1B5C2EC6" w14:textId="77777777" w:rsidR="00F53D9E" w:rsidRPr="00BB4F92"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 xml:space="preserve">Opportunities to display giant freshwater crayfish in major accredited public institutions for the purpose of raising public awareness are investigated. </w:t>
            </w:r>
          </w:p>
          <w:p w14:paraId="1B5C2EC7" w14:textId="77777777" w:rsidR="00F53D9E" w:rsidRPr="00BB4F92"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 xml:space="preserve">Opportunities to incorporate viewing of the giant freshwater crayfish into local eco-tourism operations, at specific sites, are investigated with eco-tourism operators educated and encouraged to promote the species’ conservation. </w:t>
            </w:r>
          </w:p>
          <w:p w14:paraId="1B5C2EC8" w14:textId="77777777" w:rsidR="00F53D9E" w:rsidRPr="00BB4F92"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Policy is developed to inform any potential future display of giant freshwater crayfish, including consideration of the species sensitivity to light and temperature.</w:t>
            </w:r>
          </w:p>
        </w:tc>
        <w:tc>
          <w:tcPr>
            <w:tcW w:w="1418" w:type="dxa"/>
            <w:tcBorders>
              <w:top w:val="single" w:sz="4" w:space="0" w:color="auto"/>
              <w:left w:val="nil"/>
              <w:bottom w:val="single" w:sz="4" w:space="0" w:color="auto"/>
              <w:right w:val="nil"/>
            </w:tcBorders>
            <w:shd w:val="clear" w:color="auto" w:fill="D9D9D9" w:themeFill="background1" w:themeFillShade="D9"/>
          </w:tcPr>
          <w:p w14:paraId="1B5C2EC9" w14:textId="77777777" w:rsidR="00F53D9E" w:rsidRPr="00BB4F92"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BB4F92">
              <w:rPr>
                <w:rFonts w:cs="Arial"/>
                <w:b/>
              </w:rPr>
              <w:t>DPIPWE</w:t>
            </w:r>
          </w:p>
        </w:tc>
        <w:tc>
          <w:tcPr>
            <w:tcW w:w="1417" w:type="dxa"/>
            <w:tcBorders>
              <w:top w:val="single" w:sz="4" w:space="0" w:color="auto"/>
              <w:left w:val="nil"/>
              <w:bottom w:val="single" w:sz="4" w:space="0" w:color="auto"/>
              <w:right w:val="nil"/>
            </w:tcBorders>
            <w:shd w:val="clear" w:color="auto" w:fill="D9D9D9" w:themeFill="background1" w:themeFillShade="D9"/>
          </w:tcPr>
          <w:p w14:paraId="1B5C2ECA" w14:textId="77777777" w:rsidR="00F53D9E" w:rsidRPr="00BB4F92"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B4F92">
              <w:rPr>
                <w:rFonts w:cs="Arial"/>
              </w:rPr>
              <w:t>-</w:t>
            </w:r>
          </w:p>
        </w:tc>
      </w:tr>
    </w:tbl>
    <w:p w14:paraId="1B5C2ECC" w14:textId="77777777" w:rsidR="00F53D9E" w:rsidRDefault="00AC555B">
      <w:r>
        <w:rPr>
          <w:b/>
          <w:bCs/>
        </w:rPr>
        <w:br w:type="page"/>
      </w:r>
    </w:p>
    <w:tbl>
      <w:tblPr>
        <w:tblStyle w:val="LightGrid-Accent3"/>
        <w:tblW w:w="10314" w:type="dxa"/>
        <w:jc w:val="center"/>
        <w:tblBorders>
          <w:top w:val="single" w:sz="8" w:space="0" w:color="808080" w:themeColor="background1" w:themeShade="80"/>
          <w:left w:val="nil"/>
          <w:bottom w:val="single" w:sz="8" w:space="0" w:color="808080" w:themeColor="background1" w:themeShade="80"/>
          <w:right w:val="nil"/>
          <w:insideH w:val="single" w:sz="8" w:space="0" w:color="808080" w:themeColor="background1" w:themeShade="80"/>
          <w:insideV w:val="nil"/>
        </w:tblBorders>
        <w:shd w:val="clear" w:color="auto" w:fill="D9D9D9" w:themeFill="background1" w:themeFillShade="D9"/>
        <w:tblLayout w:type="fixed"/>
        <w:tblLook w:val="04A0" w:firstRow="1" w:lastRow="0" w:firstColumn="1" w:lastColumn="0" w:noHBand="0" w:noVBand="1"/>
      </w:tblPr>
      <w:tblGrid>
        <w:gridCol w:w="851"/>
        <w:gridCol w:w="1559"/>
        <w:gridCol w:w="993"/>
        <w:gridCol w:w="4076"/>
        <w:gridCol w:w="1418"/>
        <w:gridCol w:w="1417"/>
      </w:tblGrid>
      <w:tr w:rsidR="00F371AA" w14:paraId="1B5C2ED7" w14:textId="77777777" w:rsidTr="00F371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7F7F7F" w:themeColor="text1" w:themeTint="80"/>
              <w:right w:val="nil"/>
            </w:tcBorders>
            <w:shd w:val="clear" w:color="auto" w:fill="D9D9D9" w:themeFill="background1" w:themeFillShade="D9"/>
          </w:tcPr>
          <w:p w14:paraId="1B5C2ECD" w14:textId="77777777" w:rsidR="00F53D9E" w:rsidRPr="00BB4F92" w:rsidRDefault="00AC555B">
            <w:pPr>
              <w:pStyle w:val="Tabletext"/>
              <w:spacing w:line="240" w:lineRule="auto"/>
              <w:rPr>
                <w:rFonts w:cs="Arial"/>
              </w:rPr>
            </w:pPr>
            <w:r w:rsidRPr="00BB4F92">
              <w:rPr>
                <w:rFonts w:ascii="Arial" w:hAnsi="Arial" w:cs="Arial"/>
              </w:rPr>
              <w:lastRenderedPageBreak/>
              <w:t>5e</w:t>
            </w:r>
          </w:p>
        </w:tc>
        <w:tc>
          <w:tcPr>
            <w:tcW w:w="1559" w:type="dxa"/>
            <w:tcBorders>
              <w:top w:val="single" w:sz="4" w:space="0" w:color="auto"/>
              <w:left w:val="nil"/>
              <w:bottom w:val="single" w:sz="4" w:space="0" w:color="7F7F7F" w:themeColor="text1" w:themeTint="80"/>
              <w:right w:val="nil"/>
            </w:tcBorders>
            <w:shd w:val="clear" w:color="auto" w:fill="D9D9D9" w:themeFill="background1" w:themeFillShade="D9"/>
          </w:tcPr>
          <w:p w14:paraId="1B5C2ECE" w14:textId="77777777" w:rsidR="00F53D9E" w:rsidRPr="00BB4F92" w:rsidRDefault="00AC555B" w:rsidP="00F53D9E">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Options for reintroduction</w:t>
            </w:r>
            <w:r>
              <w:rPr>
                <w:rFonts w:ascii="Arial" w:hAnsi="Arial" w:cs="Arial"/>
                <w:b w:val="0"/>
              </w:rPr>
              <w:t xml:space="preserve"> and </w:t>
            </w:r>
            <w:r w:rsidRPr="00BB4F92">
              <w:rPr>
                <w:rFonts w:ascii="Arial" w:hAnsi="Arial" w:cs="Arial"/>
                <w:b w:val="0"/>
              </w:rPr>
              <w:t>translocation of giant freshwater crayfish are investigated and, where appropriate, implemented.</w:t>
            </w:r>
          </w:p>
        </w:tc>
        <w:tc>
          <w:tcPr>
            <w:tcW w:w="993" w:type="dxa"/>
            <w:tcBorders>
              <w:top w:val="single" w:sz="4" w:space="0" w:color="auto"/>
              <w:left w:val="nil"/>
              <w:bottom w:val="single" w:sz="4" w:space="0" w:color="7F7F7F" w:themeColor="text1" w:themeTint="80"/>
              <w:right w:val="nil"/>
            </w:tcBorders>
            <w:shd w:val="clear" w:color="auto" w:fill="D9D9D9" w:themeFill="background1" w:themeFillShade="D9"/>
          </w:tcPr>
          <w:p w14:paraId="1B5C2ECF" w14:textId="77777777" w:rsidR="00F53D9E" w:rsidRPr="00BB4F92"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2</w:t>
            </w:r>
          </w:p>
        </w:tc>
        <w:tc>
          <w:tcPr>
            <w:tcW w:w="4076" w:type="dxa"/>
            <w:tcBorders>
              <w:top w:val="single" w:sz="4" w:space="0" w:color="auto"/>
              <w:left w:val="nil"/>
              <w:bottom w:val="single" w:sz="4" w:space="0" w:color="7F7F7F" w:themeColor="text1" w:themeTint="80"/>
              <w:right w:val="nil"/>
            </w:tcBorders>
            <w:shd w:val="clear" w:color="auto" w:fill="D9D9D9" w:themeFill="background1" w:themeFillShade="D9"/>
          </w:tcPr>
          <w:p w14:paraId="1B5C2ED0" w14:textId="77777777" w:rsidR="00F53D9E" w:rsidRPr="00BB4F92"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A translocation strategy, informed by the outcomes of strategy 5, which considers population distribution and genetic characteristics, is developed.</w:t>
            </w:r>
          </w:p>
          <w:p w14:paraId="1B5C2ED1" w14:textId="77777777" w:rsidR="00F53D9E" w:rsidRPr="00BB4F92"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Potential reintroduction</w:t>
            </w:r>
            <w:r>
              <w:rPr>
                <w:rFonts w:ascii="Arial" w:hAnsi="Arial" w:cs="Arial"/>
                <w:b w:val="0"/>
              </w:rPr>
              <w:t xml:space="preserve">s and </w:t>
            </w:r>
            <w:r w:rsidRPr="00BB4F92">
              <w:rPr>
                <w:rFonts w:ascii="Arial" w:hAnsi="Arial" w:cs="Arial"/>
                <w:b w:val="0"/>
              </w:rPr>
              <w:t>translocations of giant freshwater crayfish into areas where previous habitat impacts have been removed are considered.</w:t>
            </w:r>
          </w:p>
          <w:p w14:paraId="1B5C2ED2" w14:textId="77777777" w:rsidR="00F53D9E" w:rsidRPr="00BB4F92"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 xml:space="preserve">Modelling is undertaken to determine the likely thermal and hydrological alterations to the species’ range as a result of climate change, and the outcomes of this research are used to inform identification of potential translocation sites. </w:t>
            </w:r>
          </w:p>
          <w:p w14:paraId="1B5C2ED3" w14:textId="77777777" w:rsidR="00F53D9E" w:rsidRPr="00BB4F92" w:rsidRDefault="00AC555B" w:rsidP="00F53D9E">
            <w:pPr>
              <w:pStyle w:val="Tabletext"/>
              <w:numPr>
                <w:ilvl w:val="0"/>
                <w:numId w:val="11"/>
              </w:numPr>
              <w:spacing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All reintroduction</w:t>
            </w:r>
            <w:r>
              <w:rPr>
                <w:rFonts w:ascii="Arial" w:hAnsi="Arial" w:cs="Arial"/>
                <w:b w:val="0"/>
              </w:rPr>
              <w:t xml:space="preserve"> and</w:t>
            </w:r>
            <w:r w:rsidRPr="00BB4F92">
              <w:rPr>
                <w:rFonts w:ascii="Arial" w:hAnsi="Arial" w:cs="Arial"/>
                <w:b w:val="0"/>
              </w:rPr>
              <w:t xml:space="preserve"> translocation activities undertaken are compliant with IUCN, state and Commonwealth guidelines.</w:t>
            </w:r>
          </w:p>
        </w:tc>
        <w:tc>
          <w:tcPr>
            <w:tcW w:w="1418" w:type="dxa"/>
            <w:tcBorders>
              <w:top w:val="single" w:sz="4" w:space="0" w:color="auto"/>
              <w:left w:val="nil"/>
              <w:bottom w:val="single" w:sz="4" w:space="0" w:color="7F7F7F" w:themeColor="text1" w:themeTint="80"/>
              <w:right w:val="nil"/>
            </w:tcBorders>
            <w:shd w:val="clear" w:color="auto" w:fill="D9D9D9" w:themeFill="background1" w:themeFillShade="D9"/>
          </w:tcPr>
          <w:p w14:paraId="1B5C2ED4" w14:textId="77777777" w:rsidR="00F53D9E" w:rsidRPr="00BB4F92"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rPr>
              <w:t>DPIPWE</w:t>
            </w:r>
          </w:p>
          <w:p w14:paraId="1B5C2ED5" w14:textId="77777777" w:rsidR="00F53D9E" w:rsidRPr="00BB4F92" w:rsidRDefault="00AC555B">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proofErr w:type="spellStart"/>
            <w:r w:rsidRPr="00BB4F92">
              <w:rPr>
                <w:rFonts w:ascii="Arial" w:hAnsi="Arial" w:cs="Arial"/>
              </w:rPr>
              <w:t>DoEE</w:t>
            </w:r>
            <w:proofErr w:type="spellEnd"/>
          </w:p>
        </w:tc>
        <w:tc>
          <w:tcPr>
            <w:tcW w:w="1417" w:type="dxa"/>
            <w:tcBorders>
              <w:top w:val="single" w:sz="4" w:space="0" w:color="auto"/>
              <w:left w:val="nil"/>
              <w:bottom w:val="single" w:sz="4" w:space="0" w:color="7F7F7F" w:themeColor="text1" w:themeTint="80"/>
              <w:right w:val="nil"/>
            </w:tcBorders>
            <w:shd w:val="clear" w:color="auto" w:fill="D9D9D9" w:themeFill="background1" w:themeFillShade="D9"/>
          </w:tcPr>
          <w:p w14:paraId="1B5C2ED6" w14:textId="77777777" w:rsidR="00F53D9E" w:rsidRPr="00BB4F92" w:rsidRDefault="00AC555B">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BB4F92">
              <w:rPr>
                <w:rFonts w:ascii="Arial" w:hAnsi="Arial" w:cs="Arial"/>
                <w:b w:val="0"/>
              </w:rPr>
              <w:t>-</w:t>
            </w:r>
          </w:p>
        </w:tc>
      </w:tr>
      <w:tr w:rsidR="00F371AA" w14:paraId="1B5C2EE4" w14:textId="77777777" w:rsidTr="00F37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D8" w14:textId="77777777" w:rsidR="00F53D9E" w:rsidRDefault="00AC555B">
            <w:pPr>
              <w:pStyle w:val="Tabletext"/>
              <w:spacing w:line="240" w:lineRule="auto"/>
              <w:rPr>
                <w:rFonts w:cs="Arial"/>
              </w:rPr>
            </w:pPr>
            <w:r w:rsidRPr="005141EA">
              <w:rPr>
                <w:rFonts w:ascii="Arial" w:hAnsi="Arial" w:cs="Arial"/>
              </w:rPr>
              <w:t>5f</w:t>
            </w:r>
          </w:p>
        </w:tc>
        <w:tc>
          <w:tcPr>
            <w:tcW w:w="1559"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D9"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Investigate opportunities to work with local </w:t>
            </w:r>
            <w:proofErr w:type="spellStart"/>
            <w:r>
              <w:rPr>
                <w:rFonts w:cs="Arial"/>
              </w:rPr>
              <w:t>landcare</w:t>
            </w:r>
            <w:proofErr w:type="spellEnd"/>
            <w:r>
              <w:rPr>
                <w:rFonts w:cs="Arial"/>
              </w:rPr>
              <w:t xml:space="preserve"> groups, environmental NGOs and citizen scientists to implement recovery plan actions </w:t>
            </w:r>
          </w:p>
        </w:tc>
        <w:tc>
          <w:tcPr>
            <w:tcW w:w="993"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DA"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4076"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DB"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Agencies working on recovery plan implementation actively engage with local volunteers (both community groups and citizen scientists) to explore opportunities for collaboration.</w:t>
            </w:r>
          </w:p>
          <w:p w14:paraId="1B5C2EDC" w14:textId="77777777" w:rsidR="00F53D9E" w:rsidRDefault="00AC555B" w:rsidP="00F53D9E">
            <w:pPr>
              <w:pStyle w:val="Tabletext"/>
              <w:numPr>
                <w:ilvl w:val="0"/>
                <w:numId w:val="11"/>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Strong partnerships are built between all levels of local, state and federal government agencies, NRM bodies and community groups interested in progressing conservation actions for the giant freshwater crayfish. </w:t>
            </w:r>
          </w:p>
        </w:tc>
        <w:tc>
          <w:tcPr>
            <w:tcW w:w="141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DD"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b/>
              </w:rPr>
              <w:t>DPIPWE</w:t>
            </w:r>
          </w:p>
          <w:p w14:paraId="1B5C2EDE"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b/>
              </w:rPr>
              <w:t>NRM bodies</w:t>
            </w:r>
          </w:p>
          <w:p w14:paraId="1B5C2EDF"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Wynyard Landcare </w:t>
            </w:r>
          </w:p>
          <w:p w14:paraId="1B5C2EE0"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CNFN</w:t>
            </w:r>
          </w:p>
          <w:p w14:paraId="1B5C2EE1"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FLG</w:t>
            </w:r>
          </w:p>
          <w:p w14:paraId="1B5C2EE2" w14:textId="77777777" w:rsidR="00F53D9E" w:rsidRDefault="00AC555B">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FLAG</w:t>
            </w:r>
          </w:p>
        </w:tc>
        <w:tc>
          <w:tcPr>
            <w:tcW w:w="1417"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5C2EE3" w14:textId="77777777" w:rsidR="00F53D9E" w:rsidRDefault="00AC555B">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r>
    </w:tbl>
    <w:p w14:paraId="1B5C2EE5" w14:textId="77777777" w:rsidR="00F53D9E" w:rsidRDefault="00F53D9E" w:rsidP="00F53D9E">
      <w:pPr>
        <w:pStyle w:val="Heading1"/>
        <w:spacing w:before="240"/>
        <w:sectPr w:rsidR="00F53D9E" w:rsidSect="00F53D9E">
          <w:pgSz w:w="11906" w:h="16838" w:code="9"/>
          <w:pgMar w:top="1440" w:right="1440" w:bottom="1440" w:left="1440" w:header="425" w:footer="425" w:gutter="0"/>
          <w:cols w:space="708"/>
          <w:titlePg/>
          <w:docGrid w:linePitch="360"/>
        </w:sectPr>
      </w:pPr>
    </w:p>
    <w:p w14:paraId="1B5C2EE6" w14:textId="77777777" w:rsidR="00F53D9E" w:rsidRPr="00686D02" w:rsidRDefault="00AC555B" w:rsidP="00F53D9E">
      <w:pPr>
        <w:pStyle w:val="Heading1"/>
        <w:spacing w:before="240" w:after="120"/>
        <w:rPr>
          <w:highlight w:val="yellow"/>
        </w:rPr>
      </w:pPr>
      <w:bookmarkStart w:id="312" w:name="_Toc256000186"/>
      <w:bookmarkStart w:id="313" w:name="_Toc256000140"/>
      <w:bookmarkStart w:id="314" w:name="_Toc256000092"/>
      <w:bookmarkStart w:id="315" w:name="_Toc256000044"/>
      <w:bookmarkStart w:id="316" w:name="_Toc458697073"/>
      <w:r>
        <w:lastRenderedPageBreak/>
        <w:t>9</w:t>
      </w:r>
      <w:r w:rsidRPr="00C63481">
        <w:tab/>
      </w:r>
      <w:r>
        <w:t>Duration and cost of the recovery process</w:t>
      </w:r>
      <w:bookmarkEnd w:id="312"/>
      <w:bookmarkEnd w:id="313"/>
      <w:bookmarkEnd w:id="314"/>
      <w:bookmarkEnd w:id="315"/>
      <w:bookmarkEnd w:id="316"/>
    </w:p>
    <w:p w14:paraId="1B5C2EE7" w14:textId="77777777" w:rsidR="00F53D9E" w:rsidRPr="00C63481" w:rsidRDefault="00AC555B" w:rsidP="00F53D9E">
      <w:pPr>
        <w:spacing w:after="120"/>
      </w:pPr>
      <w:bookmarkStart w:id="317" w:name="_Toc390851178"/>
      <w:r w:rsidRPr="00C63481">
        <w:t>It is anticipated that the recovery process will not be a</w:t>
      </w:r>
      <w:r>
        <w:t xml:space="preserve">chieved prior to the scheduled </w:t>
      </w:r>
      <w:r w:rsidRPr="00C63481">
        <w:t xml:space="preserve">five year review of the recovery plan. The </w:t>
      </w:r>
      <w:r w:rsidRPr="00F719A3">
        <w:rPr>
          <w:i/>
        </w:rPr>
        <w:t xml:space="preserve">Recovery Plan for </w:t>
      </w:r>
      <w:r>
        <w:rPr>
          <w:i/>
        </w:rPr>
        <w:t>the Giant Freshwater Crayfish (</w:t>
      </w:r>
      <w:proofErr w:type="spellStart"/>
      <w:r>
        <w:rPr>
          <w:i/>
        </w:rPr>
        <w:t>Astacopsis</w:t>
      </w:r>
      <w:proofErr w:type="spellEnd"/>
      <w:r>
        <w:rPr>
          <w:i/>
        </w:rPr>
        <w:t xml:space="preserve"> </w:t>
      </w:r>
      <w:proofErr w:type="spellStart"/>
      <w:r>
        <w:rPr>
          <w:i/>
        </w:rPr>
        <w:t>gouldi</w:t>
      </w:r>
      <w:proofErr w:type="spellEnd"/>
      <w:r>
        <w:rPr>
          <w:i/>
        </w:rPr>
        <w:t>)</w:t>
      </w:r>
      <w:r w:rsidRPr="00F719A3">
        <w:rPr>
          <w:i/>
        </w:rPr>
        <w:t xml:space="preserve"> </w:t>
      </w:r>
      <w:r>
        <w:t xml:space="preserve">(2016) </w:t>
      </w:r>
      <w:r w:rsidRPr="00C63481">
        <w:t xml:space="preserve">will therefore remain in place until such time as the populations of </w:t>
      </w:r>
      <w:r>
        <w:t>the giant freshwater crayfish</w:t>
      </w:r>
      <w:r w:rsidRPr="00C63481">
        <w:t xml:space="preserve"> have improved to the point at which the</w:t>
      </w:r>
      <w:r>
        <w:t>y</w:t>
      </w:r>
      <w:r w:rsidRPr="00C63481">
        <w:t xml:space="preserve"> </w:t>
      </w:r>
      <w:r>
        <w:t>no longer meet</w:t>
      </w:r>
      <w:r w:rsidRPr="00C63481">
        <w:t xml:space="preserve"> threatened species status under the EPBC Act.</w:t>
      </w:r>
      <w:bookmarkEnd w:id="317"/>
      <w:r w:rsidRPr="00C63481">
        <w:t xml:space="preserve"> </w:t>
      </w:r>
    </w:p>
    <w:p w14:paraId="1B5C2EE8" w14:textId="77777777" w:rsidR="00F53D9E" w:rsidRDefault="00AC555B" w:rsidP="00F53D9E">
      <w:pPr>
        <w:spacing w:after="120"/>
      </w:pPr>
      <w:bookmarkStart w:id="318" w:name="_Toc390851179"/>
      <w:r w:rsidRPr="00C63481">
        <w:t>It is expected that state and Commonwealth agencies will use this plan to prioritise actions to protect the species and enhance their recovery, and that projects will be undertaken according to agency priorities and available resources.</w:t>
      </w:r>
      <w:bookmarkEnd w:id="318"/>
      <w:r>
        <w:t xml:space="preserve"> In order to maximise the conservation outcomes and cost effectiveness of this plan, it is intended that the recovery actions proposed complement, where possible, those of other protected matters.</w:t>
      </w:r>
    </w:p>
    <w:p w14:paraId="1B5C2EE9" w14:textId="77777777" w:rsidR="00F53D9E" w:rsidRPr="00F2345F" w:rsidRDefault="00AC555B" w:rsidP="00F53D9E">
      <w:pPr>
        <w:pStyle w:val="Caption"/>
        <w:spacing w:before="120" w:after="120"/>
      </w:pPr>
      <w:r w:rsidRPr="0059043B">
        <w:rPr>
          <w:b/>
        </w:rPr>
        <w:t xml:space="preserve">Table </w:t>
      </w:r>
      <w:r>
        <w:rPr>
          <w:b/>
        </w:rPr>
        <w:t>3</w:t>
      </w:r>
      <w:r w:rsidRPr="0059043B">
        <w:rPr>
          <w:b/>
        </w:rPr>
        <w:t>:</w:t>
      </w:r>
      <w:r>
        <w:t xml:space="preserve"> Summary of high priority</w:t>
      </w:r>
      <w:r w:rsidRPr="00C32B6A">
        <w:t xml:space="preserve"> re</w:t>
      </w:r>
      <w:r>
        <w:t xml:space="preserve">covery actions </w:t>
      </w:r>
      <w:r w:rsidRPr="00C32B6A">
        <w:t>and estimated costs in ($000’s) for the fir</w:t>
      </w:r>
      <w:r>
        <w:t>st five years of implementation</w:t>
      </w:r>
      <w:r w:rsidRPr="00C32B6A">
        <w:t xml:space="preserve"> </w:t>
      </w:r>
      <w:r>
        <w:t>(t</w:t>
      </w:r>
      <w:r w:rsidRPr="00C32B6A">
        <w:t>hese estimated costs do not take into account inflation over time</w:t>
      </w:r>
      <w:r>
        <w:t>)</w:t>
      </w:r>
      <w:r w:rsidRPr="00C32B6A">
        <w:t>.</w:t>
      </w:r>
    </w:p>
    <w:tbl>
      <w:tblPr>
        <w:tblW w:w="9023" w:type="dxa"/>
        <w:jc w:val="center"/>
        <w:tblBorders>
          <w:top w:val="single" w:sz="4" w:space="0" w:color="17365D" w:themeColor="text2" w:themeShade="BF"/>
          <w:bottom w:val="single" w:sz="4" w:space="0" w:color="17365D" w:themeColor="text2" w:themeShade="BF"/>
          <w:insideH w:val="single" w:sz="4" w:space="0" w:color="17365D" w:themeColor="text2" w:themeShade="BF"/>
        </w:tblBorders>
        <w:tblLayout w:type="fixed"/>
        <w:tblCellMar>
          <w:top w:w="57" w:type="dxa"/>
          <w:bottom w:w="57" w:type="dxa"/>
        </w:tblCellMar>
        <w:tblLook w:val="01E0" w:firstRow="1" w:lastRow="1" w:firstColumn="1" w:lastColumn="1" w:noHBand="0" w:noVBand="0"/>
      </w:tblPr>
      <w:tblGrid>
        <w:gridCol w:w="4248"/>
        <w:gridCol w:w="712"/>
        <w:gridCol w:w="777"/>
        <w:gridCol w:w="682"/>
        <w:gridCol w:w="785"/>
        <w:gridCol w:w="760"/>
        <w:gridCol w:w="1059"/>
      </w:tblGrid>
      <w:tr w:rsidR="00F371AA" w14:paraId="1B5C2EEC" w14:textId="77777777" w:rsidTr="00F53D9E">
        <w:trPr>
          <w:cantSplit/>
          <w:jc w:val="center"/>
        </w:trPr>
        <w:tc>
          <w:tcPr>
            <w:tcW w:w="4248" w:type="dxa"/>
            <w:vMerge w:val="restart"/>
            <w:tcBorders>
              <w:bottom w:val="single" w:sz="4" w:space="0" w:color="17365D" w:themeColor="text2" w:themeShade="BF"/>
            </w:tcBorders>
            <w:shd w:val="clear" w:color="auto" w:fill="17365D" w:themeFill="text2" w:themeFillShade="BF"/>
            <w:vAlign w:val="center"/>
          </w:tcPr>
          <w:p w14:paraId="1B5C2EEA" w14:textId="77777777" w:rsidR="00F53D9E" w:rsidRPr="007C2EEF" w:rsidRDefault="00AC555B" w:rsidP="00F53D9E">
            <w:pPr>
              <w:pStyle w:val="Tabletext"/>
              <w:spacing w:line="240" w:lineRule="auto"/>
              <w:ind w:left="22" w:hanging="22"/>
              <w:rPr>
                <w:b/>
              </w:rPr>
            </w:pPr>
            <w:r w:rsidRPr="007C2EEF">
              <w:rPr>
                <w:b/>
              </w:rPr>
              <w:t>Action</w:t>
            </w:r>
          </w:p>
        </w:tc>
        <w:tc>
          <w:tcPr>
            <w:tcW w:w="4775" w:type="dxa"/>
            <w:gridSpan w:val="6"/>
            <w:tcBorders>
              <w:bottom w:val="single" w:sz="4" w:space="0" w:color="17365D" w:themeColor="text2" w:themeShade="BF"/>
            </w:tcBorders>
            <w:shd w:val="clear" w:color="auto" w:fill="17365D" w:themeFill="text2" w:themeFillShade="BF"/>
            <w:vAlign w:val="center"/>
          </w:tcPr>
          <w:p w14:paraId="1B5C2EEB" w14:textId="77777777" w:rsidR="00F53D9E" w:rsidRPr="007C2EEF" w:rsidRDefault="00AC555B" w:rsidP="00F53D9E">
            <w:pPr>
              <w:pStyle w:val="Tabletext"/>
              <w:spacing w:line="240" w:lineRule="auto"/>
              <w:jc w:val="center"/>
              <w:rPr>
                <w:b/>
              </w:rPr>
            </w:pPr>
            <w:r w:rsidRPr="007C2EEF">
              <w:rPr>
                <w:b/>
              </w:rPr>
              <w:t>Cost</w:t>
            </w:r>
          </w:p>
        </w:tc>
      </w:tr>
      <w:tr w:rsidR="00F371AA" w14:paraId="1B5C2EF4" w14:textId="77777777" w:rsidTr="00F53D9E">
        <w:trPr>
          <w:cantSplit/>
          <w:jc w:val="center"/>
        </w:trPr>
        <w:tc>
          <w:tcPr>
            <w:tcW w:w="4248" w:type="dxa"/>
            <w:vMerge/>
            <w:shd w:val="clear" w:color="auto" w:fill="DBE5F1" w:themeFill="accent1" w:themeFillTint="33"/>
            <w:vAlign w:val="center"/>
          </w:tcPr>
          <w:p w14:paraId="1B5C2EED" w14:textId="77777777" w:rsidR="00F53D9E" w:rsidRPr="00CD509E" w:rsidRDefault="00F53D9E" w:rsidP="00F53D9E">
            <w:pPr>
              <w:pStyle w:val="Tabletext"/>
              <w:spacing w:line="240" w:lineRule="auto"/>
            </w:pPr>
          </w:p>
        </w:tc>
        <w:tc>
          <w:tcPr>
            <w:tcW w:w="712" w:type="dxa"/>
            <w:shd w:val="clear" w:color="auto" w:fill="DBE5F1" w:themeFill="accent1" w:themeFillTint="33"/>
            <w:vAlign w:val="center"/>
          </w:tcPr>
          <w:p w14:paraId="1B5C2EEE" w14:textId="77777777" w:rsidR="00F53D9E" w:rsidRPr="00CD509E" w:rsidRDefault="00AC555B" w:rsidP="00F53D9E">
            <w:pPr>
              <w:pStyle w:val="Tabletext"/>
              <w:spacing w:line="240" w:lineRule="auto"/>
              <w:jc w:val="center"/>
            </w:pPr>
            <w:r w:rsidRPr="00CD509E">
              <w:t>Year 1</w:t>
            </w:r>
          </w:p>
        </w:tc>
        <w:tc>
          <w:tcPr>
            <w:tcW w:w="777" w:type="dxa"/>
            <w:shd w:val="clear" w:color="auto" w:fill="DBE5F1" w:themeFill="accent1" w:themeFillTint="33"/>
            <w:vAlign w:val="center"/>
          </w:tcPr>
          <w:p w14:paraId="1B5C2EEF" w14:textId="77777777" w:rsidR="00F53D9E" w:rsidRPr="00CD509E" w:rsidRDefault="00AC555B" w:rsidP="00F53D9E">
            <w:pPr>
              <w:pStyle w:val="Tabletext"/>
              <w:spacing w:line="240" w:lineRule="auto"/>
              <w:jc w:val="center"/>
            </w:pPr>
            <w:r w:rsidRPr="00CD509E">
              <w:t>Year 2</w:t>
            </w:r>
          </w:p>
        </w:tc>
        <w:tc>
          <w:tcPr>
            <w:tcW w:w="682" w:type="dxa"/>
            <w:shd w:val="clear" w:color="auto" w:fill="DBE5F1" w:themeFill="accent1" w:themeFillTint="33"/>
            <w:vAlign w:val="center"/>
          </w:tcPr>
          <w:p w14:paraId="1B5C2EF0" w14:textId="77777777" w:rsidR="00F53D9E" w:rsidRPr="00CD509E" w:rsidRDefault="00AC555B" w:rsidP="00F53D9E">
            <w:pPr>
              <w:pStyle w:val="Tabletext"/>
              <w:spacing w:line="240" w:lineRule="auto"/>
              <w:jc w:val="center"/>
            </w:pPr>
            <w:r w:rsidRPr="00CD509E">
              <w:t>Year 3</w:t>
            </w:r>
          </w:p>
        </w:tc>
        <w:tc>
          <w:tcPr>
            <w:tcW w:w="785" w:type="dxa"/>
            <w:shd w:val="clear" w:color="auto" w:fill="DBE5F1" w:themeFill="accent1" w:themeFillTint="33"/>
            <w:vAlign w:val="center"/>
          </w:tcPr>
          <w:p w14:paraId="1B5C2EF1" w14:textId="77777777" w:rsidR="00F53D9E" w:rsidRPr="00CD509E" w:rsidRDefault="00AC555B" w:rsidP="00F53D9E">
            <w:pPr>
              <w:pStyle w:val="Tabletext"/>
              <w:spacing w:line="240" w:lineRule="auto"/>
              <w:jc w:val="center"/>
            </w:pPr>
            <w:r w:rsidRPr="00CD509E">
              <w:t>Year 4</w:t>
            </w:r>
          </w:p>
        </w:tc>
        <w:tc>
          <w:tcPr>
            <w:tcW w:w="760" w:type="dxa"/>
            <w:shd w:val="clear" w:color="auto" w:fill="DBE5F1" w:themeFill="accent1" w:themeFillTint="33"/>
            <w:vAlign w:val="center"/>
          </w:tcPr>
          <w:p w14:paraId="1B5C2EF2" w14:textId="77777777" w:rsidR="00F53D9E" w:rsidRPr="00CD509E" w:rsidRDefault="00AC555B" w:rsidP="00F53D9E">
            <w:pPr>
              <w:pStyle w:val="Tabletext"/>
              <w:spacing w:line="240" w:lineRule="auto"/>
              <w:jc w:val="center"/>
            </w:pPr>
            <w:r w:rsidRPr="00CD509E">
              <w:t>Year 5</w:t>
            </w:r>
          </w:p>
        </w:tc>
        <w:tc>
          <w:tcPr>
            <w:tcW w:w="1059" w:type="dxa"/>
            <w:shd w:val="clear" w:color="auto" w:fill="DBE5F1" w:themeFill="accent1" w:themeFillTint="33"/>
            <w:vAlign w:val="center"/>
          </w:tcPr>
          <w:p w14:paraId="1B5C2EF3" w14:textId="77777777" w:rsidR="00F53D9E" w:rsidRPr="00CD509E" w:rsidRDefault="00AC555B" w:rsidP="00F53D9E">
            <w:pPr>
              <w:pStyle w:val="Tabletext"/>
              <w:spacing w:line="240" w:lineRule="auto"/>
              <w:jc w:val="center"/>
            </w:pPr>
            <w:r w:rsidRPr="00CD509E">
              <w:t>Total</w:t>
            </w:r>
          </w:p>
        </w:tc>
      </w:tr>
      <w:tr w:rsidR="00F371AA" w14:paraId="1B5C2EFC" w14:textId="77777777" w:rsidTr="00F53D9E">
        <w:trPr>
          <w:cantSplit/>
          <w:jc w:val="center"/>
        </w:trPr>
        <w:tc>
          <w:tcPr>
            <w:tcW w:w="4248" w:type="dxa"/>
            <w:shd w:val="clear" w:color="auto" w:fill="auto"/>
          </w:tcPr>
          <w:p w14:paraId="1B5C2EF5" w14:textId="77777777" w:rsidR="00F53D9E" w:rsidRPr="00681C36" w:rsidRDefault="00AC555B" w:rsidP="00F53D9E">
            <w:pPr>
              <w:pStyle w:val="Tabletext"/>
              <w:spacing w:line="240" w:lineRule="auto"/>
              <w:rPr>
                <w:rFonts w:cs="Arial"/>
                <w:sz w:val="18"/>
                <w:szCs w:val="18"/>
              </w:rPr>
            </w:pPr>
            <w:r w:rsidRPr="00681C36">
              <w:rPr>
                <w:sz w:val="18"/>
                <w:szCs w:val="18"/>
              </w:rPr>
              <w:t>Increase understanding of genetic connectivity and develop effective population estimates</w:t>
            </w:r>
          </w:p>
        </w:tc>
        <w:tc>
          <w:tcPr>
            <w:tcW w:w="712" w:type="dxa"/>
            <w:shd w:val="clear" w:color="auto" w:fill="auto"/>
            <w:vAlign w:val="center"/>
          </w:tcPr>
          <w:p w14:paraId="1B5C2EF6"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77" w:type="dxa"/>
            <w:shd w:val="clear" w:color="auto" w:fill="auto"/>
            <w:vAlign w:val="center"/>
          </w:tcPr>
          <w:p w14:paraId="1B5C2EF7" w14:textId="77777777" w:rsidR="00F53D9E" w:rsidRPr="00681C36" w:rsidRDefault="00AC555B" w:rsidP="00F53D9E">
            <w:pPr>
              <w:pStyle w:val="Tabletext"/>
              <w:spacing w:line="240" w:lineRule="auto"/>
              <w:jc w:val="center"/>
              <w:rPr>
                <w:sz w:val="18"/>
                <w:szCs w:val="18"/>
              </w:rPr>
            </w:pPr>
            <w:r w:rsidRPr="00681C36">
              <w:rPr>
                <w:sz w:val="18"/>
                <w:szCs w:val="18"/>
              </w:rPr>
              <w:t>75</w:t>
            </w:r>
          </w:p>
        </w:tc>
        <w:tc>
          <w:tcPr>
            <w:tcW w:w="682" w:type="dxa"/>
            <w:shd w:val="clear" w:color="auto" w:fill="auto"/>
            <w:vAlign w:val="center"/>
          </w:tcPr>
          <w:p w14:paraId="1B5C2EF8"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85" w:type="dxa"/>
            <w:shd w:val="clear" w:color="auto" w:fill="auto"/>
            <w:vAlign w:val="center"/>
          </w:tcPr>
          <w:p w14:paraId="1B5C2EF9"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60" w:type="dxa"/>
            <w:shd w:val="clear" w:color="auto" w:fill="auto"/>
            <w:vAlign w:val="center"/>
          </w:tcPr>
          <w:p w14:paraId="1B5C2EFA"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1059" w:type="dxa"/>
            <w:shd w:val="clear" w:color="auto" w:fill="auto"/>
            <w:vAlign w:val="center"/>
          </w:tcPr>
          <w:p w14:paraId="1B5C2EFB" w14:textId="77777777" w:rsidR="00F53D9E" w:rsidRPr="00681C36" w:rsidRDefault="00AC555B" w:rsidP="00F53D9E">
            <w:pPr>
              <w:pStyle w:val="Tabletext"/>
              <w:spacing w:line="240" w:lineRule="auto"/>
              <w:jc w:val="center"/>
              <w:rPr>
                <w:sz w:val="18"/>
                <w:szCs w:val="18"/>
              </w:rPr>
            </w:pPr>
            <w:r w:rsidRPr="00681C36">
              <w:rPr>
                <w:sz w:val="18"/>
                <w:szCs w:val="18"/>
              </w:rPr>
              <w:t>75</w:t>
            </w:r>
          </w:p>
        </w:tc>
      </w:tr>
      <w:tr w:rsidR="00F371AA" w14:paraId="1B5C2F04" w14:textId="77777777" w:rsidTr="00F53D9E">
        <w:trPr>
          <w:cantSplit/>
          <w:jc w:val="center"/>
        </w:trPr>
        <w:tc>
          <w:tcPr>
            <w:tcW w:w="4248" w:type="dxa"/>
            <w:shd w:val="clear" w:color="auto" w:fill="auto"/>
          </w:tcPr>
          <w:p w14:paraId="1B5C2EFD" w14:textId="77777777" w:rsidR="00F53D9E" w:rsidRPr="00681C36" w:rsidRDefault="00AC555B" w:rsidP="00F53D9E">
            <w:pPr>
              <w:pStyle w:val="Tabletext"/>
              <w:spacing w:line="240" w:lineRule="auto"/>
              <w:rPr>
                <w:sz w:val="18"/>
                <w:szCs w:val="18"/>
              </w:rPr>
            </w:pPr>
            <w:r w:rsidRPr="00681C36">
              <w:rPr>
                <w:rFonts w:cs="Arial"/>
                <w:sz w:val="18"/>
                <w:szCs w:val="18"/>
              </w:rPr>
              <w:t>Collate and analyse existing population data to inform ongoing monitoring strategy</w:t>
            </w:r>
          </w:p>
        </w:tc>
        <w:tc>
          <w:tcPr>
            <w:tcW w:w="712" w:type="dxa"/>
            <w:shd w:val="clear" w:color="auto" w:fill="auto"/>
            <w:vAlign w:val="center"/>
          </w:tcPr>
          <w:p w14:paraId="1B5C2EFE" w14:textId="77777777" w:rsidR="00F53D9E" w:rsidRPr="00681C36" w:rsidRDefault="00AC555B" w:rsidP="00F53D9E">
            <w:pPr>
              <w:pStyle w:val="Tabletext"/>
              <w:spacing w:line="240" w:lineRule="auto"/>
              <w:jc w:val="center"/>
              <w:rPr>
                <w:sz w:val="18"/>
                <w:szCs w:val="18"/>
              </w:rPr>
            </w:pPr>
            <w:r w:rsidRPr="00681C36">
              <w:rPr>
                <w:sz w:val="18"/>
                <w:szCs w:val="18"/>
              </w:rPr>
              <w:t>20</w:t>
            </w:r>
          </w:p>
        </w:tc>
        <w:tc>
          <w:tcPr>
            <w:tcW w:w="777" w:type="dxa"/>
            <w:shd w:val="clear" w:color="auto" w:fill="auto"/>
            <w:vAlign w:val="center"/>
          </w:tcPr>
          <w:p w14:paraId="1B5C2EFF"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682" w:type="dxa"/>
            <w:shd w:val="clear" w:color="auto" w:fill="auto"/>
            <w:vAlign w:val="center"/>
          </w:tcPr>
          <w:p w14:paraId="1B5C2F00"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85" w:type="dxa"/>
            <w:shd w:val="clear" w:color="auto" w:fill="auto"/>
            <w:vAlign w:val="center"/>
          </w:tcPr>
          <w:p w14:paraId="1B5C2F01"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60" w:type="dxa"/>
            <w:shd w:val="clear" w:color="auto" w:fill="auto"/>
            <w:vAlign w:val="center"/>
          </w:tcPr>
          <w:p w14:paraId="1B5C2F02"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1059" w:type="dxa"/>
            <w:shd w:val="clear" w:color="auto" w:fill="auto"/>
            <w:vAlign w:val="center"/>
          </w:tcPr>
          <w:p w14:paraId="1B5C2F03" w14:textId="77777777" w:rsidR="00F53D9E" w:rsidRPr="00681C36" w:rsidRDefault="00AC555B" w:rsidP="00F53D9E">
            <w:pPr>
              <w:pStyle w:val="Tabletext"/>
              <w:spacing w:line="240" w:lineRule="auto"/>
              <w:jc w:val="center"/>
              <w:rPr>
                <w:sz w:val="18"/>
                <w:szCs w:val="18"/>
              </w:rPr>
            </w:pPr>
            <w:r w:rsidRPr="00681C36">
              <w:rPr>
                <w:sz w:val="18"/>
                <w:szCs w:val="18"/>
              </w:rPr>
              <w:t>20</w:t>
            </w:r>
          </w:p>
        </w:tc>
      </w:tr>
      <w:tr w:rsidR="00F371AA" w14:paraId="1B5C2F0C" w14:textId="77777777" w:rsidTr="00F53D9E">
        <w:trPr>
          <w:cantSplit/>
          <w:jc w:val="center"/>
        </w:trPr>
        <w:tc>
          <w:tcPr>
            <w:tcW w:w="4248" w:type="dxa"/>
            <w:shd w:val="clear" w:color="auto" w:fill="auto"/>
          </w:tcPr>
          <w:p w14:paraId="1B5C2F05" w14:textId="77777777" w:rsidR="00F53D9E" w:rsidRPr="00681C36" w:rsidRDefault="00AC555B" w:rsidP="00F53D9E">
            <w:pPr>
              <w:pStyle w:val="Tabletext"/>
              <w:spacing w:line="240" w:lineRule="auto"/>
              <w:rPr>
                <w:rFonts w:cs="Arial"/>
                <w:sz w:val="18"/>
                <w:szCs w:val="18"/>
              </w:rPr>
            </w:pPr>
            <w:r w:rsidRPr="00681C36">
              <w:rPr>
                <w:rFonts w:cs="Arial"/>
                <w:sz w:val="18"/>
                <w:szCs w:val="18"/>
              </w:rPr>
              <w:t>Conduct regular monitoring at long-term study sites to determine the reproductive ecology and habitat use of recovering populations</w:t>
            </w:r>
          </w:p>
        </w:tc>
        <w:tc>
          <w:tcPr>
            <w:tcW w:w="712" w:type="dxa"/>
            <w:shd w:val="clear" w:color="auto" w:fill="auto"/>
            <w:vAlign w:val="center"/>
          </w:tcPr>
          <w:p w14:paraId="1B5C2F06"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777" w:type="dxa"/>
            <w:shd w:val="clear" w:color="auto" w:fill="auto"/>
            <w:vAlign w:val="center"/>
          </w:tcPr>
          <w:p w14:paraId="1B5C2F07"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682" w:type="dxa"/>
            <w:shd w:val="clear" w:color="auto" w:fill="auto"/>
            <w:vAlign w:val="center"/>
          </w:tcPr>
          <w:p w14:paraId="1B5C2F08"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785" w:type="dxa"/>
            <w:shd w:val="clear" w:color="auto" w:fill="auto"/>
            <w:vAlign w:val="center"/>
          </w:tcPr>
          <w:p w14:paraId="1B5C2F09"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760" w:type="dxa"/>
            <w:shd w:val="clear" w:color="auto" w:fill="auto"/>
            <w:vAlign w:val="center"/>
          </w:tcPr>
          <w:p w14:paraId="1B5C2F0A"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1059" w:type="dxa"/>
            <w:shd w:val="clear" w:color="auto" w:fill="auto"/>
            <w:vAlign w:val="center"/>
          </w:tcPr>
          <w:p w14:paraId="1B5C2F0B" w14:textId="77777777" w:rsidR="00F53D9E" w:rsidRPr="00681C36" w:rsidRDefault="00AC555B" w:rsidP="00F53D9E">
            <w:pPr>
              <w:pStyle w:val="Tabletext"/>
              <w:spacing w:line="240" w:lineRule="auto"/>
              <w:jc w:val="center"/>
              <w:rPr>
                <w:sz w:val="18"/>
                <w:szCs w:val="18"/>
              </w:rPr>
            </w:pPr>
            <w:r w:rsidRPr="00681C36">
              <w:rPr>
                <w:sz w:val="18"/>
                <w:szCs w:val="18"/>
              </w:rPr>
              <w:t>250</w:t>
            </w:r>
          </w:p>
        </w:tc>
      </w:tr>
      <w:tr w:rsidR="00F371AA" w14:paraId="1B5C2F14" w14:textId="77777777" w:rsidTr="00F53D9E">
        <w:trPr>
          <w:cantSplit/>
          <w:jc w:val="center"/>
        </w:trPr>
        <w:tc>
          <w:tcPr>
            <w:tcW w:w="4248" w:type="dxa"/>
            <w:shd w:val="clear" w:color="auto" w:fill="auto"/>
          </w:tcPr>
          <w:p w14:paraId="1B5C2F0D" w14:textId="77777777" w:rsidR="00F53D9E" w:rsidRPr="00681C36" w:rsidRDefault="00AC555B" w:rsidP="00F53D9E">
            <w:pPr>
              <w:pStyle w:val="Tabletext"/>
              <w:spacing w:line="240" w:lineRule="auto"/>
              <w:rPr>
                <w:rFonts w:cs="Arial"/>
                <w:sz w:val="18"/>
                <w:szCs w:val="18"/>
              </w:rPr>
            </w:pPr>
            <w:r w:rsidRPr="00681C36">
              <w:rPr>
                <w:sz w:val="18"/>
                <w:szCs w:val="18"/>
              </w:rPr>
              <w:t xml:space="preserve">Assess the effectiveness of current management provisions </w:t>
            </w:r>
            <w:r w:rsidRPr="00681C36">
              <w:rPr>
                <w:rFonts w:cs="Arial"/>
                <w:sz w:val="18"/>
                <w:szCs w:val="18"/>
              </w:rPr>
              <w:t>and develop catchment management plans that cover all land-uses</w:t>
            </w:r>
          </w:p>
        </w:tc>
        <w:tc>
          <w:tcPr>
            <w:tcW w:w="712" w:type="dxa"/>
            <w:shd w:val="clear" w:color="auto" w:fill="auto"/>
            <w:vAlign w:val="center"/>
          </w:tcPr>
          <w:p w14:paraId="1B5C2F0E"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777" w:type="dxa"/>
            <w:shd w:val="clear" w:color="auto" w:fill="auto"/>
            <w:vAlign w:val="center"/>
          </w:tcPr>
          <w:p w14:paraId="1B5C2F0F" w14:textId="77777777" w:rsidR="00F53D9E" w:rsidRPr="00681C36" w:rsidRDefault="00F53D9E" w:rsidP="00F53D9E">
            <w:pPr>
              <w:pStyle w:val="Tabletext"/>
              <w:spacing w:line="240" w:lineRule="auto"/>
              <w:jc w:val="center"/>
              <w:rPr>
                <w:sz w:val="18"/>
                <w:szCs w:val="18"/>
              </w:rPr>
            </w:pPr>
          </w:p>
        </w:tc>
        <w:tc>
          <w:tcPr>
            <w:tcW w:w="682" w:type="dxa"/>
            <w:shd w:val="clear" w:color="auto" w:fill="auto"/>
            <w:vAlign w:val="center"/>
          </w:tcPr>
          <w:p w14:paraId="1B5C2F10" w14:textId="77777777" w:rsidR="00F53D9E" w:rsidRPr="00681C36" w:rsidRDefault="00F53D9E" w:rsidP="00F53D9E">
            <w:pPr>
              <w:pStyle w:val="Tabletext"/>
              <w:spacing w:line="240" w:lineRule="auto"/>
              <w:jc w:val="center"/>
              <w:rPr>
                <w:sz w:val="18"/>
                <w:szCs w:val="18"/>
              </w:rPr>
            </w:pPr>
          </w:p>
        </w:tc>
        <w:tc>
          <w:tcPr>
            <w:tcW w:w="785" w:type="dxa"/>
            <w:shd w:val="clear" w:color="auto" w:fill="auto"/>
            <w:vAlign w:val="center"/>
          </w:tcPr>
          <w:p w14:paraId="1B5C2F11" w14:textId="77777777" w:rsidR="00F53D9E" w:rsidRPr="00681C36" w:rsidRDefault="00F53D9E" w:rsidP="00F53D9E">
            <w:pPr>
              <w:pStyle w:val="Tabletext"/>
              <w:spacing w:line="240" w:lineRule="auto"/>
              <w:jc w:val="center"/>
              <w:rPr>
                <w:sz w:val="18"/>
                <w:szCs w:val="18"/>
              </w:rPr>
            </w:pPr>
          </w:p>
        </w:tc>
        <w:tc>
          <w:tcPr>
            <w:tcW w:w="760" w:type="dxa"/>
            <w:shd w:val="clear" w:color="auto" w:fill="auto"/>
            <w:vAlign w:val="center"/>
          </w:tcPr>
          <w:p w14:paraId="1B5C2F12" w14:textId="77777777" w:rsidR="00F53D9E" w:rsidRPr="00681C36" w:rsidRDefault="00F53D9E" w:rsidP="00F53D9E">
            <w:pPr>
              <w:pStyle w:val="Tabletext"/>
              <w:spacing w:line="240" w:lineRule="auto"/>
              <w:jc w:val="center"/>
              <w:rPr>
                <w:sz w:val="18"/>
                <w:szCs w:val="18"/>
              </w:rPr>
            </w:pPr>
          </w:p>
        </w:tc>
        <w:tc>
          <w:tcPr>
            <w:tcW w:w="1059" w:type="dxa"/>
            <w:shd w:val="clear" w:color="auto" w:fill="auto"/>
            <w:vAlign w:val="center"/>
          </w:tcPr>
          <w:p w14:paraId="1B5C2F13" w14:textId="77777777" w:rsidR="00F53D9E" w:rsidRPr="00681C36" w:rsidRDefault="00AC555B" w:rsidP="00F53D9E">
            <w:pPr>
              <w:pStyle w:val="Tabletext"/>
              <w:spacing w:line="240" w:lineRule="auto"/>
              <w:jc w:val="center"/>
              <w:rPr>
                <w:sz w:val="18"/>
                <w:szCs w:val="18"/>
              </w:rPr>
            </w:pPr>
            <w:r w:rsidRPr="00681C36">
              <w:rPr>
                <w:sz w:val="18"/>
                <w:szCs w:val="18"/>
              </w:rPr>
              <w:t>30</w:t>
            </w:r>
          </w:p>
        </w:tc>
      </w:tr>
      <w:tr w:rsidR="00F371AA" w14:paraId="1B5C2F1C" w14:textId="77777777" w:rsidTr="00F53D9E">
        <w:trPr>
          <w:cantSplit/>
          <w:jc w:val="center"/>
        </w:trPr>
        <w:tc>
          <w:tcPr>
            <w:tcW w:w="4248" w:type="dxa"/>
            <w:shd w:val="clear" w:color="auto" w:fill="auto"/>
          </w:tcPr>
          <w:p w14:paraId="1B5C2F15" w14:textId="77777777" w:rsidR="00F53D9E" w:rsidRPr="00681C36" w:rsidRDefault="00AC555B" w:rsidP="00F53D9E">
            <w:pPr>
              <w:pStyle w:val="Tabletext"/>
              <w:spacing w:line="240" w:lineRule="auto"/>
              <w:rPr>
                <w:sz w:val="18"/>
                <w:szCs w:val="18"/>
              </w:rPr>
            </w:pPr>
            <w:r w:rsidRPr="00681C36">
              <w:rPr>
                <w:sz w:val="18"/>
                <w:szCs w:val="18"/>
              </w:rPr>
              <w:t>Develop information products to promote and encourage conservation in agricultural communities</w:t>
            </w:r>
          </w:p>
        </w:tc>
        <w:tc>
          <w:tcPr>
            <w:tcW w:w="712" w:type="dxa"/>
            <w:shd w:val="clear" w:color="auto" w:fill="auto"/>
            <w:vAlign w:val="center"/>
          </w:tcPr>
          <w:p w14:paraId="1B5C2F16" w14:textId="77777777" w:rsidR="00F53D9E" w:rsidRPr="00681C36" w:rsidRDefault="00F53D9E" w:rsidP="00F53D9E">
            <w:pPr>
              <w:pStyle w:val="Tabletext"/>
              <w:spacing w:line="240" w:lineRule="auto"/>
              <w:jc w:val="center"/>
              <w:rPr>
                <w:sz w:val="18"/>
                <w:szCs w:val="18"/>
              </w:rPr>
            </w:pPr>
          </w:p>
        </w:tc>
        <w:tc>
          <w:tcPr>
            <w:tcW w:w="777" w:type="dxa"/>
            <w:shd w:val="clear" w:color="auto" w:fill="auto"/>
            <w:vAlign w:val="center"/>
          </w:tcPr>
          <w:p w14:paraId="1B5C2F17" w14:textId="77777777" w:rsidR="00F53D9E" w:rsidRPr="00681C36" w:rsidRDefault="00F53D9E" w:rsidP="00F53D9E">
            <w:pPr>
              <w:pStyle w:val="Tabletext"/>
              <w:spacing w:line="240" w:lineRule="auto"/>
              <w:jc w:val="center"/>
              <w:rPr>
                <w:sz w:val="18"/>
                <w:szCs w:val="18"/>
              </w:rPr>
            </w:pPr>
          </w:p>
        </w:tc>
        <w:tc>
          <w:tcPr>
            <w:tcW w:w="682" w:type="dxa"/>
            <w:shd w:val="clear" w:color="auto" w:fill="auto"/>
            <w:vAlign w:val="center"/>
          </w:tcPr>
          <w:p w14:paraId="1B5C2F18"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785" w:type="dxa"/>
            <w:shd w:val="clear" w:color="auto" w:fill="auto"/>
            <w:vAlign w:val="center"/>
          </w:tcPr>
          <w:p w14:paraId="1B5C2F19" w14:textId="77777777" w:rsidR="00F53D9E" w:rsidRPr="00681C36" w:rsidRDefault="00F53D9E" w:rsidP="00F53D9E">
            <w:pPr>
              <w:pStyle w:val="Tabletext"/>
              <w:spacing w:line="240" w:lineRule="auto"/>
              <w:jc w:val="center"/>
              <w:rPr>
                <w:sz w:val="18"/>
                <w:szCs w:val="18"/>
              </w:rPr>
            </w:pPr>
          </w:p>
        </w:tc>
        <w:tc>
          <w:tcPr>
            <w:tcW w:w="760" w:type="dxa"/>
            <w:shd w:val="clear" w:color="auto" w:fill="auto"/>
            <w:vAlign w:val="center"/>
          </w:tcPr>
          <w:p w14:paraId="1B5C2F1A" w14:textId="77777777" w:rsidR="00F53D9E" w:rsidRPr="00681C36" w:rsidRDefault="00F53D9E" w:rsidP="00F53D9E">
            <w:pPr>
              <w:pStyle w:val="Tabletext"/>
              <w:spacing w:line="240" w:lineRule="auto"/>
              <w:jc w:val="center"/>
              <w:rPr>
                <w:sz w:val="18"/>
                <w:szCs w:val="18"/>
              </w:rPr>
            </w:pPr>
          </w:p>
        </w:tc>
        <w:tc>
          <w:tcPr>
            <w:tcW w:w="1059" w:type="dxa"/>
            <w:shd w:val="clear" w:color="auto" w:fill="auto"/>
            <w:vAlign w:val="center"/>
          </w:tcPr>
          <w:p w14:paraId="1B5C2F1B" w14:textId="77777777" w:rsidR="00F53D9E" w:rsidRPr="00681C36" w:rsidRDefault="00AC555B" w:rsidP="00F53D9E">
            <w:pPr>
              <w:pStyle w:val="Tabletext"/>
              <w:spacing w:line="240" w:lineRule="auto"/>
              <w:jc w:val="center"/>
              <w:rPr>
                <w:sz w:val="18"/>
                <w:szCs w:val="18"/>
              </w:rPr>
            </w:pPr>
            <w:r w:rsidRPr="00681C36">
              <w:rPr>
                <w:sz w:val="18"/>
                <w:szCs w:val="18"/>
              </w:rPr>
              <w:t>50</w:t>
            </w:r>
          </w:p>
        </w:tc>
      </w:tr>
      <w:tr w:rsidR="00F371AA" w14:paraId="1B5C2F24" w14:textId="77777777" w:rsidTr="00F53D9E">
        <w:trPr>
          <w:cantSplit/>
          <w:jc w:val="center"/>
        </w:trPr>
        <w:tc>
          <w:tcPr>
            <w:tcW w:w="4248" w:type="dxa"/>
            <w:shd w:val="clear" w:color="auto" w:fill="auto"/>
          </w:tcPr>
          <w:p w14:paraId="1B5C2F1D" w14:textId="77777777" w:rsidR="00F53D9E" w:rsidRPr="00681C36" w:rsidRDefault="00AC555B" w:rsidP="00F53D9E">
            <w:pPr>
              <w:pStyle w:val="Tabletext"/>
              <w:spacing w:line="240" w:lineRule="auto"/>
              <w:rPr>
                <w:sz w:val="18"/>
                <w:szCs w:val="18"/>
              </w:rPr>
            </w:pPr>
            <w:r w:rsidRPr="00681C36">
              <w:rPr>
                <w:sz w:val="18"/>
                <w:szCs w:val="18"/>
              </w:rPr>
              <w:t>Conduct research to assess the impacts of increased sedimentation on crayfish and the effectiveness of current management provisions</w:t>
            </w:r>
          </w:p>
        </w:tc>
        <w:tc>
          <w:tcPr>
            <w:tcW w:w="712" w:type="dxa"/>
            <w:shd w:val="clear" w:color="auto" w:fill="auto"/>
            <w:vAlign w:val="center"/>
          </w:tcPr>
          <w:p w14:paraId="1B5C2F1E" w14:textId="77777777" w:rsidR="00F53D9E" w:rsidRPr="00681C36" w:rsidRDefault="00AC555B" w:rsidP="00F53D9E">
            <w:pPr>
              <w:pStyle w:val="Tabletext"/>
              <w:spacing w:line="240" w:lineRule="auto"/>
              <w:jc w:val="center"/>
              <w:rPr>
                <w:sz w:val="18"/>
                <w:szCs w:val="18"/>
              </w:rPr>
            </w:pPr>
            <w:r w:rsidRPr="00681C36">
              <w:rPr>
                <w:sz w:val="18"/>
                <w:szCs w:val="18"/>
              </w:rPr>
              <w:t>100</w:t>
            </w:r>
          </w:p>
        </w:tc>
        <w:tc>
          <w:tcPr>
            <w:tcW w:w="777" w:type="dxa"/>
            <w:shd w:val="clear" w:color="auto" w:fill="auto"/>
            <w:vAlign w:val="center"/>
          </w:tcPr>
          <w:p w14:paraId="1B5C2F1F" w14:textId="77777777" w:rsidR="00F53D9E" w:rsidRPr="00681C36" w:rsidRDefault="00F53D9E" w:rsidP="00F53D9E">
            <w:pPr>
              <w:pStyle w:val="Tabletext"/>
              <w:spacing w:line="240" w:lineRule="auto"/>
              <w:jc w:val="center"/>
              <w:rPr>
                <w:sz w:val="18"/>
                <w:szCs w:val="18"/>
              </w:rPr>
            </w:pPr>
          </w:p>
        </w:tc>
        <w:tc>
          <w:tcPr>
            <w:tcW w:w="682" w:type="dxa"/>
            <w:shd w:val="clear" w:color="auto" w:fill="auto"/>
            <w:vAlign w:val="center"/>
          </w:tcPr>
          <w:p w14:paraId="1B5C2F20" w14:textId="77777777" w:rsidR="00F53D9E" w:rsidRPr="00681C36" w:rsidRDefault="00F53D9E" w:rsidP="00F53D9E">
            <w:pPr>
              <w:pStyle w:val="Tabletext"/>
              <w:spacing w:line="240" w:lineRule="auto"/>
              <w:jc w:val="center"/>
              <w:rPr>
                <w:sz w:val="18"/>
                <w:szCs w:val="18"/>
              </w:rPr>
            </w:pPr>
          </w:p>
        </w:tc>
        <w:tc>
          <w:tcPr>
            <w:tcW w:w="785" w:type="dxa"/>
            <w:shd w:val="clear" w:color="auto" w:fill="auto"/>
            <w:vAlign w:val="center"/>
          </w:tcPr>
          <w:p w14:paraId="1B5C2F21" w14:textId="77777777" w:rsidR="00F53D9E" w:rsidRPr="00681C36" w:rsidRDefault="00F53D9E" w:rsidP="00F53D9E">
            <w:pPr>
              <w:pStyle w:val="Tabletext"/>
              <w:spacing w:line="240" w:lineRule="auto"/>
              <w:jc w:val="center"/>
              <w:rPr>
                <w:sz w:val="18"/>
                <w:szCs w:val="18"/>
              </w:rPr>
            </w:pPr>
          </w:p>
        </w:tc>
        <w:tc>
          <w:tcPr>
            <w:tcW w:w="760" w:type="dxa"/>
            <w:shd w:val="clear" w:color="auto" w:fill="auto"/>
            <w:vAlign w:val="center"/>
          </w:tcPr>
          <w:p w14:paraId="1B5C2F22" w14:textId="77777777" w:rsidR="00F53D9E" w:rsidRPr="00681C36" w:rsidRDefault="00F53D9E" w:rsidP="00F53D9E">
            <w:pPr>
              <w:pStyle w:val="Tabletext"/>
              <w:spacing w:line="240" w:lineRule="auto"/>
              <w:jc w:val="center"/>
              <w:rPr>
                <w:sz w:val="18"/>
                <w:szCs w:val="18"/>
              </w:rPr>
            </w:pPr>
          </w:p>
        </w:tc>
        <w:tc>
          <w:tcPr>
            <w:tcW w:w="1059" w:type="dxa"/>
            <w:shd w:val="clear" w:color="auto" w:fill="auto"/>
            <w:vAlign w:val="center"/>
          </w:tcPr>
          <w:p w14:paraId="1B5C2F23" w14:textId="77777777" w:rsidR="00F53D9E" w:rsidRPr="00681C36" w:rsidRDefault="00AC555B" w:rsidP="00F53D9E">
            <w:pPr>
              <w:pStyle w:val="Tabletext"/>
              <w:spacing w:line="240" w:lineRule="auto"/>
              <w:jc w:val="center"/>
              <w:rPr>
                <w:sz w:val="18"/>
                <w:szCs w:val="18"/>
              </w:rPr>
            </w:pPr>
            <w:r w:rsidRPr="00681C36">
              <w:rPr>
                <w:sz w:val="18"/>
                <w:szCs w:val="18"/>
              </w:rPr>
              <w:t>100</w:t>
            </w:r>
          </w:p>
        </w:tc>
      </w:tr>
      <w:tr w:rsidR="00F371AA" w14:paraId="1B5C2F2C" w14:textId="77777777" w:rsidTr="00F53D9E">
        <w:trPr>
          <w:cantSplit/>
          <w:jc w:val="center"/>
        </w:trPr>
        <w:tc>
          <w:tcPr>
            <w:tcW w:w="4248" w:type="dxa"/>
            <w:shd w:val="clear" w:color="auto" w:fill="auto"/>
          </w:tcPr>
          <w:p w14:paraId="1B5C2F25" w14:textId="77777777" w:rsidR="00F53D9E" w:rsidRPr="00681C36" w:rsidRDefault="00AC555B" w:rsidP="00F53D9E">
            <w:pPr>
              <w:pStyle w:val="Tabletext"/>
              <w:spacing w:line="240" w:lineRule="auto"/>
              <w:rPr>
                <w:sz w:val="18"/>
                <w:szCs w:val="18"/>
              </w:rPr>
            </w:pPr>
            <w:r w:rsidRPr="00681C36">
              <w:rPr>
                <w:rFonts w:eastAsia="Times New Roman" w:cs="Arial"/>
                <w:sz w:val="18"/>
                <w:szCs w:val="18"/>
                <w:lang w:eastAsia="en-GB"/>
              </w:rPr>
              <w:t>Habitat managers/regulators identify and implement methods for strengthening protections, or reducing impacts</w:t>
            </w:r>
            <w:r w:rsidRPr="00681C36">
              <w:rPr>
                <w:rFonts w:cs="Arial"/>
                <w:sz w:val="18"/>
                <w:szCs w:val="18"/>
              </w:rPr>
              <w:t>, upstream of key locations</w:t>
            </w:r>
          </w:p>
        </w:tc>
        <w:tc>
          <w:tcPr>
            <w:tcW w:w="712" w:type="dxa"/>
            <w:shd w:val="clear" w:color="auto" w:fill="auto"/>
            <w:vAlign w:val="center"/>
          </w:tcPr>
          <w:p w14:paraId="1B5C2F26"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777" w:type="dxa"/>
            <w:shd w:val="clear" w:color="auto" w:fill="auto"/>
            <w:vAlign w:val="center"/>
          </w:tcPr>
          <w:p w14:paraId="1B5C2F27"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682" w:type="dxa"/>
            <w:shd w:val="clear" w:color="auto" w:fill="auto"/>
            <w:vAlign w:val="center"/>
          </w:tcPr>
          <w:p w14:paraId="1B5C2F28"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785" w:type="dxa"/>
            <w:shd w:val="clear" w:color="auto" w:fill="auto"/>
            <w:vAlign w:val="center"/>
          </w:tcPr>
          <w:p w14:paraId="1B5C2F29"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760" w:type="dxa"/>
            <w:shd w:val="clear" w:color="auto" w:fill="auto"/>
            <w:vAlign w:val="center"/>
          </w:tcPr>
          <w:p w14:paraId="1B5C2F2A" w14:textId="77777777" w:rsidR="00F53D9E" w:rsidRPr="00681C36" w:rsidRDefault="00AC555B" w:rsidP="00F53D9E">
            <w:pPr>
              <w:pStyle w:val="Tabletext"/>
              <w:spacing w:line="240" w:lineRule="auto"/>
              <w:jc w:val="center"/>
              <w:rPr>
                <w:sz w:val="18"/>
                <w:szCs w:val="18"/>
              </w:rPr>
            </w:pPr>
            <w:r w:rsidRPr="00681C36">
              <w:rPr>
                <w:sz w:val="18"/>
                <w:szCs w:val="18"/>
              </w:rPr>
              <w:t>30</w:t>
            </w:r>
          </w:p>
        </w:tc>
        <w:tc>
          <w:tcPr>
            <w:tcW w:w="1059" w:type="dxa"/>
            <w:shd w:val="clear" w:color="auto" w:fill="auto"/>
            <w:vAlign w:val="center"/>
          </w:tcPr>
          <w:p w14:paraId="1B5C2F2B" w14:textId="77777777" w:rsidR="00F53D9E" w:rsidRPr="00681C36" w:rsidRDefault="00AC555B" w:rsidP="00F53D9E">
            <w:pPr>
              <w:pStyle w:val="Tabletext"/>
              <w:spacing w:line="240" w:lineRule="auto"/>
              <w:jc w:val="center"/>
              <w:rPr>
                <w:sz w:val="18"/>
                <w:szCs w:val="18"/>
              </w:rPr>
            </w:pPr>
            <w:r w:rsidRPr="00681C36">
              <w:rPr>
                <w:sz w:val="18"/>
                <w:szCs w:val="18"/>
              </w:rPr>
              <w:t>150</w:t>
            </w:r>
          </w:p>
        </w:tc>
      </w:tr>
      <w:tr w:rsidR="00F371AA" w14:paraId="1B5C2F34" w14:textId="77777777" w:rsidTr="00F53D9E">
        <w:trPr>
          <w:cantSplit/>
          <w:jc w:val="center"/>
        </w:trPr>
        <w:tc>
          <w:tcPr>
            <w:tcW w:w="4248" w:type="dxa"/>
            <w:shd w:val="clear" w:color="auto" w:fill="auto"/>
          </w:tcPr>
          <w:p w14:paraId="1B5C2F2D" w14:textId="77777777" w:rsidR="00F53D9E" w:rsidRPr="00681C36" w:rsidRDefault="00AC555B" w:rsidP="00F53D9E">
            <w:pPr>
              <w:pStyle w:val="Tabletext"/>
              <w:spacing w:line="240" w:lineRule="auto"/>
              <w:rPr>
                <w:rFonts w:eastAsia="Times New Roman" w:cs="Arial"/>
                <w:sz w:val="18"/>
                <w:szCs w:val="18"/>
                <w:lang w:eastAsia="en-GB"/>
              </w:rPr>
            </w:pPr>
            <w:r w:rsidRPr="00681C36">
              <w:rPr>
                <w:rFonts w:cs="Arial"/>
                <w:sz w:val="18"/>
                <w:szCs w:val="18"/>
              </w:rPr>
              <w:t>Investigate options for sediment control</w:t>
            </w:r>
          </w:p>
        </w:tc>
        <w:tc>
          <w:tcPr>
            <w:tcW w:w="712" w:type="dxa"/>
            <w:shd w:val="clear" w:color="auto" w:fill="auto"/>
            <w:vAlign w:val="center"/>
          </w:tcPr>
          <w:p w14:paraId="1B5C2F2E" w14:textId="77777777" w:rsidR="00F53D9E" w:rsidRPr="00681C36" w:rsidRDefault="00F53D9E" w:rsidP="00F53D9E">
            <w:pPr>
              <w:pStyle w:val="Tabletext"/>
              <w:spacing w:line="240" w:lineRule="auto"/>
              <w:jc w:val="center"/>
              <w:rPr>
                <w:sz w:val="18"/>
                <w:szCs w:val="18"/>
              </w:rPr>
            </w:pPr>
          </w:p>
        </w:tc>
        <w:tc>
          <w:tcPr>
            <w:tcW w:w="777" w:type="dxa"/>
            <w:shd w:val="clear" w:color="auto" w:fill="auto"/>
            <w:vAlign w:val="center"/>
          </w:tcPr>
          <w:p w14:paraId="1B5C2F2F" w14:textId="77777777" w:rsidR="00F53D9E" w:rsidRPr="00681C36" w:rsidRDefault="00AC555B" w:rsidP="00F53D9E">
            <w:pPr>
              <w:pStyle w:val="Tabletext"/>
              <w:spacing w:line="240" w:lineRule="auto"/>
              <w:jc w:val="center"/>
              <w:rPr>
                <w:sz w:val="18"/>
                <w:szCs w:val="18"/>
              </w:rPr>
            </w:pPr>
            <w:r w:rsidRPr="00681C36">
              <w:rPr>
                <w:sz w:val="18"/>
                <w:szCs w:val="18"/>
              </w:rPr>
              <w:t>50</w:t>
            </w:r>
          </w:p>
        </w:tc>
        <w:tc>
          <w:tcPr>
            <w:tcW w:w="682" w:type="dxa"/>
            <w:shd w:val="clear" w:color="auto" w:fill="auto"/>
            <w:vAlign w:val="center"/>
          </w:tcPr>
          <w:p w14:paraId="1B5C2F30" w14:textId="77777777" w:rsidR="00F53D9E" w:rsidRPr="00681C36" w:rsidRDefault="00F53D9E" w:rsidP="00F53D9E">
            <w:pPr>
              <w:pStyle w:val="Tabletext"/>
              <w:spacing w:line="240" w:lineRule="auto"/>
              <w:jc w:val="center"/>
              <w:rPr>
                <w:sz w:val="18"/>
                <w:szCs w:val="18"/>
              </w:rPr>
            </w:pPr>
          </w:p>
        </w:tc>
        <w:tc>
          <w:tcPr>
            <w:tcW w:w="785" w:type="dxa"/>
            <w:shd w:val="clear" w:color="auto" w:fill="auto"/>
            <w:vAlign w:val="center"/>
          </w:tcPr>
          <w:p w14:paraId="1B5C2F31" w14:textId="77777777" w:rsidR="00F53D9E" w:rsidRPr="00681C36" w:rsidRDefault="00F53D9E" w:rsidP="00F53D9E">
            <w:pPr>
              <w:pStyle w:val="Tabletext"/>
              <w:spacing w:line="240" w:lineRule="auto"/>
              <w:jc w:val="center"/>
              <w:rPr>
                <w:sz w:val="18"/>
                <w:szCs w:val="18"/>
              </w:rPr>
            </w:pPr>
          </w:p>
        </w:tc>
        <w:tc>
          <w:tcPr>
            <w:tcW w:w="760" w:type="dxa"/>
            <w:shd w:val="clear" w:color="auto" w:fill="auto"/>
            <w:vAlign w:val="center"/>
          </w:tcPr>
          <w:p w14:paraId="1B5C2F32" w14:textId="77777777" w:rsidR="00F53D9E" w:rsidRPr="00681C36" w:rsidRDefault="00F53D9E" w:rsidP="00F53D9E">
            <w:pPr>
              <w:pStyle w:val="Tabletext"/>
              <w:spacing w:line="240" w:lineRule="auto"/>
              <w:jc w:val="center"/>
              <w:rPr>
                <w:sz w:val="18"/>
                <w:szCs w:val="18"/>
              </w:rPr>
            </w:pPr>
          </w:p>
        </w:tc>
        <w:tc>
          <w:tcPr>
            <w:tcW w:w="1059" w:type="dxa"/>
            <w:shd w:val="clear" w:color="auto" w:fill="auto"/>
            <w:vAlign w:val="center"/>
          </w:tcPr>
          <w:p w14:paraId="1B5C2F33" w14:textId="77777777" w:rsidR="00F53D9E" w:rsidRPr="00681C36" w:rsidRDefault="00AC555B" w:rsidP="00F53D9E">
            <w:pPr>
              <w:pStyle w:val="Tabletext"/>
              <w:spacing w:line="240" w:lineRule="auto"/>
              <w:jc w:val="center"/>
              <w:rPr>
                <w:sz w:val="18"/>
                <w:szCs w:val="18"/>
              </w:rPr>
            </w:pPr>
            <w:r w:rsidRPr="00681C36">
              <w:rPr>
                <w:sz w:val="18"/>
                <w:szCs w:val="18"/>
              </w:rPr>
              <w:t>50</w:t>
            </w:r>
          </w:p>
        </w:tc>
      </w:tr>
      <w:tr w:rsidR="00F371AA" w14:paraId="1B5C2F3C" w14:textId="77777777" w:rsidTr="00F53D9E">
        <w:trPr>
          <w:cantSplit/>
          <w:jc w:val="center"/>
        </w:trPr>
        <w:tc>
          <w:tcPr>
            <w:tcW w:w="4248" w:type="dxa"/>
            <w:shd w:val="clear" w:color="auto" w:fill="auto"/>
          </w:tcPr>
          <w:p w14:paraId="1B5C2F35" w14:textId="77777777" w:rsidR="00F53D9E" w:rsidRPr="00681C36" w:rsidRDefault="00AC555B" w:rsidP="00F53D9E">
            <w:pPr>
              <w:pStyle w:val="Tabletext"/>
              <w:spacing w:line="240" w:lineRule="auto"/>
              <w:rPr>
                <w:rFonts w:cs="Arial"/>
                <w:sz w:val="18"/>
                <w:szCs w:val="18"/>
              </w:rPr>
            </w:pPr>
            <w:r w:rsidRPr="00681C36">
              <w:rPr>
                <w:rFonts w:cs="Arial"/>
                <w:sz w:val="18"/>
                <w:szCs w:val="18"/>
              </w:rPr>
              <w:t>Ensure water management planning incorporates the water requirements of giant freshwater crayfish</w:t>
            </w:r>
          </w:p>
        </w:tc>
        <w:tc>
          <w:tcPr>
            <w:tcW w:w="712" w:type="dxa"/>
            <w:shd w:val="clear" w:color="auto" w:fill="auto"/>
            <w:vAlign w:val="center"/>
          </w:tcPr>
          <w:p w14:paraId="1B5C2F36" w14:textId="77777777" w:rsidR="00F53D9E" w:rsidRPr="00681C36" w:rsidRDefault="00AC555B" w:rsidP="00F53D9E">
            <w:pPr>
              <w:pStyle w:val="Tabletext"/>
              <w:spacing w:line="240" w:lineRule="auto"/>
              <w:jc w:val="center"/>
              <w:rPr>
                <w:sz w:val="18"/>
                <w:szCs w:val="18"/>
              </w:rPr>
            </w:pPr>
            <w:r w:rsidRPr="00681C36">
              <w:rPr>
                <w:sz w:val="18"/>
                <w:szCs w:val="18"/>
              </w:rPr>
              <w:t>10</w:t>
            </w:r>
          </w:p>
        </w:tc>
        <w:tc>
          <w:tcPr>
            <w:tcW w:w="777" w:type="dxa"/>
            <w:shd w:val="clear" w:color="auto" w:fill="auto"/>
            <w:vAlign w:val="center"/>
          </w:tcPr>
          <w:p w14:paraId="1B5C2F37" w14:textId="77777777" w:rsidR="00F53D9E" w:rsidRPr="00681C36" w:rsidRDefault="00AC555B" w:rsidP="00F53D9E">
            <w:pPr>
              <w:pStyle w:val="Tabletext"/>
              <w:spacing w:line="240" w:lineRule="auto"/>
              <w:jc w:val="center"/>
              <w:rPr>
                <w:sz w:val="18"/>
                <w:szCs w:val="18"/>
              </w:rPr>
            </w:pPr>
            <w:r w:rsidRPr="00681C36">
              <w:rPr>
                <w:sz w:val="18"/>
                <w:szCs w:val="18"/>
              </w:rPr>
              <w:t>10</w:t>
            </w:r>
          </w:p>
        </w:tc>
        <w:tc>
          <w:tcPr>
            <w:tcW w:w="682" w:type="dxa"/>
            <w:shd w:val="clear" w:color="auto" w:fill="auto"/>
            <w:vAlign w:val="center"/>
          </w:tcPr>
          <w:p w14:paraId="1B5C2F38" w14:textId="77777777" w:rsidR="00F53D9E" w:rsidRPr="00681C36" w:rsidRDefault="00AC555B" w:rsidP="00F53D9E">
            <w:pPr>
              <w:pStyle w:val="Tabletext"/>
              <w:spacing w:line="240" w:lineRule="auto"/>
              <w:jc w:val="center"/>
              <w:rPr>
                <w:sz w:val="18"/>
                <w:szCs w:val="18"/>
              </w:rPr>
            </w:pPr>
            <w:r w:rsidRPr="00681C36">
              <w:rPr>
                <w:sz w:val="18"/>
                <w:szCs w:val="18"/>
              </w:rPr>
              <w:t>10</w:t>
            </w:r>
          </w:p>
        </w:tc>
        <w:tc>
          <w:tcPr>
            <w:tcW w:w="785" w:type="dxa"/>
            <w:shd w:val="clear" w:color="auto" w:fill="auto"/>
            <w:vAlign w:val="center"/>
          </w:tcPr>
          <w:p w14:paraId="1B5C2F39" w14:textId="77777777" w:rsidR="00F53D9E" w:rsidRPr="00681C36" w:rsidRDefault="00AC555B" w:rsidP="00F53D9E">
            <w:pPr>
              <w:pStyle w:val="Tabletext"/>
              <w:spacing w:line="240" w:lineRule="auto"/>
              <w:jc w:val="center"/>
              <w:rPr>
                <w:sz w:val="18"/>
                <w:szCs w:val="18"/>
              </w:rPr>
            </w:pPr>
            <w:r w:rsidRPr="00681C36">
              <w:rPr>
                <w:sz w:val="18"/>
                <w:szCs w:val="18"/>
              </w:rPr>
              <w:t>10</w:t>
            </w:r>
          </w:p>
        </w:tc>
        <w:tc>
          <w:tcPr>
            <w:tcW w:w="760" w:type="dxa"/>
            <w:shd w:val="clear" w:color="auto" w:fill="auto"/>
            <w:vAlign w:val="center"/>
          </w:tcPr>
          <w:p w14:paraId="1B5C2F3A" w14:textId="77777777" w:rsidR="00F53D9E" w:rsidRPr="00681C36" w:rsidRDefault="00AC555B" w:rsidP="00F53D9E">
            <w:pPr>
              <w:pStyle w:val="Tabletext"/>
              <w:spacing w:line="240" w:lineRule="auto"/>
              <w:jc w:val="center"/>
              <w:rPr>
                <w:sz w:val="18"/>
                <w:szCs w:val="18"/>
              </w:rPr>
            </w:pPr>
            <w:r w:rsidRPr="00681C36">
              <w:rPr>
                <w:sz w:val="18"/>
                <w:szCs w:val="18"/>
              </w:rPr>
              <w:t>10</w:t>
            </w:r>
          </w:p>
        </w:tc>
        <w:tc>
          <w:tcPr>
            <w:tcW w:w="1059" w:type="dxa"/>
            <w:shd w:val="clear" w:color="auto" w:fill="auto"/>
            <w:vAlign w:val="center"/>
          </w:tcPr>
          <w:p w14:paraId="1B5C2F3B" w14:textId="77777777" w:rsidR="00F53D9E" w:rsidRPr="00681C36" w:rsidRDefault="00AC555B" w:rsidP="00F53D9E">
            <w:pPr>
              <w:pStyle w:val="Tabletext"/>
              <w:spacing w:line="240" w:lineRule="auto"/>
              <w:jc w:val="center"/>
              <w:rPr>
                <w:sz w:val="18"/>
                <w:szCs w:val="18"/>
              </w:rPr>
            </w:pPr>
            <w:r w:rsidRPr="00681C36">
              <w:rPr>
                <w:sz w:val="18"/>
                <w:szCs w:val="18"/>
              </w:rPr>
              <w:t>50</w:t>
            </w:r>
          </w:p>
        </w:tc>
      </w:tr>
      <w:tr w:rsidR="00F371AA" w14:paraId="1B5C2F44" w14:textId="77777777" w:rsidTr="00F53D9E">
        <w:trPr>
          <w:cantSplit/>
          <w:jc w:val="center"/>
        </w:trPr>
        <w:tc>
          <w:tcPr>
            <w:tcW w:w="4248" w:type="dxa"/>
            <w:shd w:val="clear" w:color="auto" w:fill="auto"/>
          </w:tcPr>
          <w:p w14:paraId="1B5C2F3D" w14:textId="77777777" w:rsidR="00F53D9E" w:rsidRPr="00681C36" w:rsidRDefault="00AC555B" w:rsidP="00F53D9E">
            <w:pPr>
              <w:spacing w:after="0" w:line="240" w:lineRule="auto"/>
              <w:rPr>
                <w:rFonts w:cs="Arial"/>
                <w:sz w:val="18"/>
                <w:szCs w:val="18"/>
              </w:rPr>
            </w:pPr>
            <w:r w:rsidRPr="00681C36">
              <w:rPr>
                <w:rFonts w:cs="Arial"/>
                <w:sz w:val="18"/>
                <w:szCs w:val="18"/>
              </w:rPr>
              <w:t>Identify priority sub-catchments for improved habitat protection to support and maintain healthy giant freshwater crayfish populations</w:t>
            </w:r>
          </w:p>
        </w:tc>
        <w:tc>
          <w:tcPr>
            <w:tcW w:w="712" w:type="dxa"/>
            <w:shd w:val="clear" w:color="auto" w:fill="auto"/>
            <w:vAlign w:val="center"/>
          </w:tcPr>
          <w:p w14:paraId="1B5C2F3E" w14:textId="77777777" w:rsidR="00F53D9E" w:rsidRPr="00681C36" w:rsidRDefault="00AC555B" w:rsidP="00F53D9E">
            <w:pPr>
              <w:pStyle w:val="Tabletext"/>
              <w:spacing w:line="240" w:lineRule="auto"/>
              <w:jc w:val="center"/>
              <w:rPr>
                <w:sz w:val="18"/>
                <w:szCs w:val="18"/>
              </w:rPr>
            </w:pPr>
            <w:r w:rsidRPr="00681C36">
              <w:rPr>
                <w:sz w:val="18"/>
                <w:szCs w:val="18"/>
              </w:rPr>
              <w:t>20</w:t>
            </w:r>
          </w:p>
        </w:tc>
        <w:tc>
          <w:tcPr>
            <w:tcW w:w="777" w:type="dxa"/>
            <w:shd w:val="clear" w:color="auto" w:fill="auto"/>
            <w:vAlign w:val="center"/>
          </w:tcPr>
          <w:p w14:paraId="1B5C2F3F"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682" w:type="dxa"/>
            <w:shd w:val="clear" w:color="auto" w:fill="auto"/>
            <w:vAlign w:val="center"/>
          </w:tcPr>
          <w:p w14:paraId="1B5C2F40"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85" w:type="dxa"/>
            <w:shd w:val="clear" w:color="auto" w:fill="auto"/>
            <w:vAlign w:val="center"/>
          </w:tcPr>
          <w:p w14:paraId="1B5C2F41"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60" w:type="dxa"/>
            <w:shd w:val="clear" w:color="auto" w:fill="auto"/>
            <w:vAlign w:val="center"/>
          </w:tcPr>
          <w:p w14:paraId="1B5C2F42"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1059" w:type="dxa"/>
            <w:shd w:val="clear" w:color="auto" w:fill="auto"/>
            <w:vAlign w:val="center"/>
          </w:tcPr>
          <w:p w14:paraId="1B5C2F43" w14:textId="77777777" w:rsidR="00F53D9E" w:rsidRPr="00681C36" w:rsidRDefault="00AC555B" w:rsidP="00F53D9E">
            <w:pPr>
              <w:pStyle w:val="Tabletext"/>
              <w:spacing w:line="240" w:lineRule="auto"/>
              <w:jc w:val="center"/>
              <w:rPr>
                <w:sz w:val="18"/>
                <w:szCs w:val="18"/>
              </w:rPr>
            </w:pPr>
            <w:r w:rsidRPr="00681C36">
              <w:rPr>
                <w:sz w:val="18"/>
                <w:szCs w:val="18"/>
              </w:rPr>
              <w:t>20</w:t>
            </w:r>
          </w:p>
        </w:tc>
      </w:tr>
      <w:tr w:rsidR="00F371AA" w14:paraId="1B5C2F4C" w14:textId="77777777" w:rsidTr="00F53D9E">
        <w:trPr>
          <w:cantSplit/>
          <w:jc w:val="center"/>
        </w:trPr>
        <w:tc>
          <w:tcPr>
            <w:tcW w:w="4248" w:type="dxa"/>
            <w:shd w:val="clear" w:color="auto" w:fill="auto"/>
          </w:tcPr>
          <w:p w14:paraId="1B5C2F45" w14:textId="77777777" w:rsidR="00F53D9E" w:rsidRPr="00681C36" w:rsidRDefault="00AC555B" w:rsidP="00F53D9E">
            <w:pPr>
              <w:pStyle w:val="Tabletext"/>
              <w:spacing w:line="240" w:lineRule="auto"/>
              <w:rPr>
                <w:sz w:val="18"/>
                <w:szCs w:val="18"/>
                <w:highlight w:val="yellow"/>
              </w:rPr>
            </w:pPr>
            <w:r w:rsidRPr="00681C36">
              <w:rPr>
                <w:rFonts w:cs="Arial"/>
                <w:sz w:val="18"/>
                <w:szCs w:val="18"/>
              </w:rPr>
              <w:t>Increase the total area of giant freshwater crayfish habitat that is reserved</w:t>
            </w:r>
          </w:p>
        </w:tc>
        <w:tc>
          <w:tcPr>
            <w:tcW w:w="712" w:type="dxa"/>
            <w:shd w:val="clear" w:color="auto" w:fill="auto"/>
            <w:vAlign w:val="center"/>
          </w:tcPr>
          <w:p w14:paraId="1B5C2F46"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77" w:type="dxa"/>
            <w:shd w:val="clear" w:color="auto" w:fill="auto"/>
            <w:vAlign w:val="center"/>
          </w:tcPr>
          <w:p w14:paraId="1B5C2F47" w14:textId="77777777" w:rsidR="00F53D9E" w:rsidRPr="00681C36" w:rsidRDefault="00AC555B" w:rsidP="00F53D9E">
            <w:pPr>
              <w:pStyle w:val="Tabletext"/>
              <w:spacing w:line="240" w:lineRule="auto"/>
              <w:jc w:val="center"/>
              <w:rPr>
                <w:sz w:val="18"/>
                <w:szCs w:val="18"/>
              </w:rPr>
            </w:pPr>
            <w:r w:rsidRPr="00681C36">
              <w:rPr>
                <w:sz w:val="18"/>
                <w:szCs w:val="18"/>
              </w:rPr>
              <w:t>150</w:t>
            </w:r>
          </w:p>
        </w:tc>
        <w:tc>
          <w:tcPr>
            <w:tcW w:w="682" w:type="dxa"/>
            <w:shd w:val="clear" w:color="auto" w:fill="auto"/>
            <w:vAlign w:val="center"/>
          </w:tcPr>
          <w:p w14:paraId="1B5C2F48"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85" w:type="dxa"/>
            <w:shd w:val="clear" w:color="auto" w:fill="auto"/>
            <w:vAlign w:val="center"/>
          </w:tcPr>
          <w:p w14:paraId="1B5C2F49" w14:textId="77777777" w:rsidR="00F53D9E" w:rsidRPr="00681C36" w:rsidRDefault="00AC555B" w:rsidP="00F53D9E">
            <w:pPr>
              <w:pStyle w:val="Tabletext"/>
              <w:spacing w:line="240" w:lineRule="auto"/>
              <w:jc w:val="center"/>
              <w:rPr>
                <w:sz w:val="18"/>
                <w:szCs w:val="18"/>
              </w:rPr>
            </w:pPr>
            <w:r w:rsidRPr="00681C36">
              <w:rPr>
                <w:sz w:val="18"/>
                <w:szCs w:val="18"/>
              </w:rPr>
              <w:t>150</w:t>
            </w:r>
          </w:p>
        </w:tc>
        <w:tc>
          <w:tcPr>
            <w:tcW w:w="760" w:type="dxa"/>
            <w:shd w:val="clear" w:color="auto" w:fill="auto"/>
            <w:vAlign w:val="center"/>
          </w:tcPr>
          <w:p w14:paraId="1B5C2F4A"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1059" w:type="dxa"/>
            <w:shd w:val="clear" w:color="auto" w:fill="auto"/>
            <w:vAlign w:val="center"/>
          </w:tcPr>
          <w:p w14:paraId="1B5C2F4B" w14:textId="77777777" w:rsidR="00F53D9E" w:rsidRPr="00681C36" w:rsidRDefault="00AC555B" w:rsidP="00F53D9E">
            <w:pPr>
              <w:pStyle w:val="Tabletext"/>
              <w:spacing w:line="240" w:lineRule="auto"/>
              <w:jc w:val="center"/>
              <w:rPr>
                <w:sz w:val="18"/>
                <w:szCs w:val="18"/>
              </w:rPr>
            </w:pPr>
            <w:r w:rsidRPr="00681C36">
              <w:rPr>
                <w:sz w:val="18"/>
                <w:szCs w:val="18"/>
              </w:rPr>
              <w:t>300</w:t>
            </w:r>
          </w:p>
        </w:tc>
      </w:tr>
      <w:tr w:rsidR="00F371AA" w14:paraId="1B5C2F54" w14:textId="77777777" w:rsidTr="00F53D9E">
        <w:trPr>
          <w:cantSplit/>
          <w:jc w:val="center"/>
        </w:trPr>
        <w:tc>
          <w:tcPr>
            <w:tcW w:w="4248" w:type="dxa"/>
            <w:shd w:val="clear" w:color="auto" w:fill="auto"/>
          </w:tcPr>
          <w:p w14:paraId="1B5C2F4D" w14:textId="77777777" w:rsidR="00F53D9E" w:rsidRPr="00681C36" w:rsidRDefault="00AC555B" w:rsidP="00F53D9E">
            <w:pPr>
              <w:pStyle w:val="Tabletext"/>
              <w:spacing w:line="240" w:lineRule="auto"/>
              <w:rPr>
                <w:sz w:val="18"/>
                <w:szCs w:val="18"/>
                <w:highlight w:val="yellow"/>
              </w:rPr>
            </w:pPr>
            <w:r w:rsidRPr="00681C36">
              <w:rPr>
                <w:rFonts w:cs="Arial"/>
                <w:sz w:val="18"/>
                <w:szCs w:val="18"/>
              </w:rPr>
              <w:t>Implement mechanisms for protecting crayfish habitat on private land in priority areas</w:t>
            </w:r>
          </w:p>
        </w:tc>
        <w:tc>
          <w:tcPr>
            <w:tcW w:w="712" w:type="dxa"/>
            <w:shd w:val="clear" w:color="auto" w:fill="auto"/>
            <w:vAlign w:val="center"/>
          </w:tcPr>
          <w:p w14:paraId="1B5C2F4E" w14:textId="77777777" w:rsidR="00F53D9E" w:rsidRPr="00681C36" w:rsidRDefault="00AC555B" w:rsidP="00F53D9E">
            <w:pPr>
              <w:pStyle w:val="Tabletext"/>
              <w:spacing w:line="240" w:lineRule="auto"/>
              <w:jc w:val="center"/>
              <w:rPr>
                <w:sz w:val="18"/>
                <w:szCs w:val="18"/>
              </w:rPr>
            </w:pPr>
            <w:r w:rsidRPr="00681C36">
              <w:rPr>
                <w:sz w:val="18"/>
                <w:szCs w:val="18"/>
              </w:rPr>
              <w:t>100</w:t>
            </w:r>
          </w:p>
        </w:tc>
        <w:tc>
          <w:tcPr>
            <w:tcW w:w="777" w:type="dxa"/>
            <w:shd w:val="clear" w:color="auto" w:fill="auto"/>
            <w:vAlign w:val="center"/>
          </w:tcPr>
          <w:p w14:paraId="1B5C2F4F"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682" w:type="dxa"/>
            <w:shd w:val="clear" w:color="auto" w:fill="auto"/>
            <w:vAlign w:val="center"/>
          </w:tcPr>
          <w:p w14:paraId="1B5C2F50" w14:textId="77777777" w:rsidR="00F53D9E" w:rsidRPr="00681C36" w:rsidRDefault="00AC555B" w:rsidP="00F53D9E">
            <w:pPr>
              <w:pStyle w:val="Tabletext"/>
              <w:spacing w:line="240" w:lineRule="auto"/>
              <w:jc w:val="center"/>
              <w:rPr>
                <w:sz w:val="18"/>
                <w:szCs w:val="18"/>
              </w:rPr>
            </w:pPr>
            <w:r w:rsidRPr="00681C36">
              <w:rPr>
                <w:sz w:val="18"/>
                <w:szCs w:val="18"/>
              </w:rPr>
              <w:t>100</w:t>
            </w:r>
          </w:p>
        </w:tc>
        <w:tc>
          <w:tcPr>
            <w:tcW w:w="785" w:type="dxa"/>
            <w:shd w:val="clear" w:color="auto" w:fill="auto"/>
            <w:vAlign w:val="center"/>
          </w:tcPr>
          <w:p w14:paraId="1B5C2F51" w14:textId="77777777" w:rsidR="00F53D9E" w:rsidRPr="00681C36" w:rsidRDefault="00AC555B" w:rsidP="00F53D9E">
            <w:pPr>
              <w:pStyle w:val="Tabletext"/>
              <w:spacing w:line="240" w:lineRule="auto"/>
              <w:jc w:val="center"/>
              <w:rPr>
                <w:sz w:val="18"/>
                <w:szCs w:val="18"/>
              </w:rPr>
            </w:pPr>
            <w:r w:rsidRPr="00681C36">
              <w:rPr>
                <w:sz w:val="18"/>
                <w:szCs w:val="18"/>
              </w:rPr>
              <w:t>-</w:t>
            </w:r>
          </w:p>
        </w:tc>
        <w:tc>
          <w:tcPr>
            <w:tcW w:w="760" w:type="dxa"/>
            <w:shd w:val="clear" w:color="auto" w:fill="auto"/>
            <w:vAlign w:val="center"/>
          </w:tcPr>
          <w:p w14:paraId="1B5C2F52" w14:textId="77777777" w:rsidR="00F53D9E" w:rsidRPr="00681C36" w:rsidRDefault="00AC555B" w:rsidP="00F53D9E">
            <w:pPr>
              <w:pStyle w:val="Tabletext"/>
              <w:spacing w:line="240" w:lineRule="auto"/>
              <w:jc w:val="center"/>
              <w:rPr>
                <w:sz w:val="18"/>
                <w:szCs w:val="18"/>
              </w:rPr>
            </w:pPr>
            <w:r w:rsidRPr="00681C36">
              <w:rPr>
                <w:sz w:val="18"/>
                <w:szCs w:val="18"/>
              </w:rPr>
              <w:t>100</w:t>
            </w:r>
          </w:p>
        </w:tc>
        <w:tc>
          <w:tcPr>
            <w:tcW w:w="1059" w:type="dxa"/>
            <w:shd w:val="clear" w:color="auto" w:fill="auto"/>
            <w:vAlign w:val="center"/>
          </w:tcPr>
          <w:p w14:paraId="1B5C2F53" w14:textId="77777777" w:rsidR="00F53D9E" w:rsidRPr="00681C36" w:rsidRDefault="00AC555B" w:rsidP="00F53D9E">
            <w:pPr>
              <w:pStyle w:val="Tabletext"/>
              <w:spacing w:line="240" w:lineRule="auto"/>
              <w:jc w:val="center"/>
              <w:rPr>
                <w:sz w:val="18"/>
                <w:szCs w:val="18"/>
              </w:rPr>
            </w:pPr>
            <w:r w:rsidRPr="00681C36">
              <w:rPr>
                <w:sz w:val="18"/>
                <w:szCs w:val="18"/>
              </w:rPr>
              <w:t>300</w:t>
            </w:r>
          </w:p>
        </w:tc>
      </w:tr>
      <w:tr w:rsidR="00F371AA" w14:paraId="1B5C2F5C" w14:textId="77777777" w:rsidTr="00F53D9E">
        <w:trPr>
          <w:cantSplit/>
          <w:trHeight w:val="314"/>
          <w:jc w:val="center"/>
        </w:trPr>
        <w:tc>
          <w:tcPr>
            <w:tcW w:w="4248" w:type="dxa"/>
            <w:shd w:val="clear" w:color="auto" w:fill="auto"/>
            <w:vAlign w:val="bottom"/>
          </w:tcPr>
          <w:p w14:paraId="1B5C2F55" w14:textId="77777777" w:rsidR="00F53D9E" w:rsidRPr="00681C36" w:rsidRDefault="00AC555B" w:rsidP="00F53D9E">
            <w:pPr>
              <w:pStyle w:val="Tabletext"/>
              <w:spacing w:line="240" w:lineRule="auto"/>
              <w:rPr>
                <w:b/>
                <w:sz w:val="18"/>
                <w:szCs w:val="18"/>
              </w:rPr>
            </w:pPr>
            <w:r w:rsidRPr="00681C36">
              <w:rPr>
                <w:b/>
                <w:sz w:val="18"/>
                <w:szCs w:val="18"/>
              </w:rPr>
              <w:t>TOTAL</w:t>
            </w:r>
          </w:p>
        </w:tc>
        <w:tc>
          <w:tcPr>
            <w:tcW w:w="712" w:type="dxa"/>
            <w:shd w:val="clear" w:color="auto" w:fill="auto"/>
            <w:vAlign w:val="center"/>
          </w:tcPr>
          <w:p w14:paraId="1B5C2F56" w14:textId="77777777" w:rsidR="00F53D9E" w:rsidRPr="00681C36" w:rsidRDefault="00AC555B" w:rsidP="00F53D9E">
            <w:pPr>
              <w:pStyle w:val="Tabletext"/>
              <w:spacing w:line="240" w:lineRule="auto"/>
              <w:jc w:val="center"/>
              <w:rPr>
                <w:sz w:val="18"/>
                <w:szCs w:val="18"/>
              </w:rPr>
            </w:pPr>
            <w:r w:rsidRPr="00681C36">
              <w:rPr>
                <w:sz w:val="18"/>
                <w:szCs w:val="18"/>
              </w:rPr>
              <w:t>360</w:t>
            </w:r>
          </w:p>
        </w:tc>
        <w:tc>
          <w:tcPr>
            <w:tcW w:w="777" w:type="dxa"/>
            <w:shd w:val="clear" w:color="auto" w:fill="auto"/>
            <w:vAlign w:val="center"/>
          </w:tcPr>
          <w:p w14:paraId="1B5C2F57" w14:textId="77777777" w:rsidR="00F53D9E" w:rsidRPr="00681C36" w:rsidRDefault="00AC555B" w:rsidP="00F53D9E">
            <w:pPr>
              <w:pStyle w:val="Tabletext"/>
              <w:spacing w:line="240" w:lineRule="auto"/>
              <w:jc w:val="center"/>
              <w:rPr>
                <w:sz w:val="18"/>
                <w:szCs w:val="18"/>
              </w:rPr>
            </w:pPr>
            <w:r w:rsidRPr="00681C36">
              <w:rPr>
                <w:sz w:val="18"/>
                <w:szCs w:val="18"/>
              </w:rPr>
              <w:t>365</w:t>
            </w:r>
          </w:p>
        </w:tc>
        <w:tc>
          <w:tcPr>
            <w:tcW w:w="682" w:type="dxa"/>
            <w:shd w:val="clear" w:color="auto" w:fill="auto"/>
            <w:vAlign w:val="center"/>
          </w:tcPr>
          <w:p w14:paraId="1B5C2F58" w14:textId="77777777" w:rsidR="00F53D9E" w:rsidRPr="00681C36" w:rsidRDefault="00AC555B" w:rsidP="00F53D9E">
            <w:pPr>
              <w:pStyle w:val="Tabletext"/>
              <w:spacing w:line="240" w:lineRule="auto"/>
              <w:jc w:val="center"/>
              <w:rPr>
                <w:sz w:val="18"/>
                <w:szCs w:val="18"/>
              </w:rPr>
            </w:pPr>
            <w:r w:rsidRPr="00681C36">
              <w:rPr>
                <w:sz w:val="18"/>
                <w:szCs w:val="18"/>
              </w:rPr>
              <w:t>240</w:t>
            </w:r>
          </w:p>
        </w:tc>
        <w:tc>
          <w:tcPr>
            <w:tcW w:w="785" w:type="dxa"/>
            <w:shd w:val="clear" w:color="auto" w:fill="auto"/>
            <w:vAlign w:val="center"/>
          </w:tcPr>
          <w:p w14:paraId="1B5C2F59" w14:textId="77777777" w:rsidR="00F53D9E" w:rsidRPr="00681C36" w:rsidRDefault="00AC555B" w:rsidP="00F53D9E">
            <w:pPr>
              <w:pStyle w:val="Tabletext"/>
              <w:spacing w:line="240" w:lineRule="auto"/>
              <w:jc w:val="center"/>
              <w:rPr>
                <w:sz w:val="18"/>
                <w:szCs w:val="18"/>
              </w:rPr>
            </w:pPr>
            <w:r w:rsidRPr="00681C36">
              <w:rPr>
                <w:sz w:val="18"/>
                <w:szCs w:val="18"/>
              </w:rPr>
              <w:t>240</w:t>
            </w:r>
          </w:p>
        </w:tc>
        <w:tc>
          <w:tcPr>
            <w:tcW w:w="760" w:type="dxa"/>
            <w:shd w:val="clear" w:color="auto" w:fill="auto"/>
            <w:vAlign w:val="center"/>
          </w:tcPr>
          <w:p w14:paraId="1B5C2F5A" w14:textId="77777777" w:rsidR="00F53D9E" w:rsidRPr="00681C36" w:rsidRDefault="00AC555B" w:rsidP="00F53D9E">
            <w:pPr>
              <w:pStyle w:val="Tabletext"/>
              <w:spacing w:line="240" w:lineRule="auto"/>
              <w:jc w:val="center"/>
              <w:rPr>
                <w:sz w:val="18"/>
                <w:szCs w:val="18"/>
              </w:rPr>
            </w:pPr>
            <w:r w:rsidRPr="00681C36">
              <w:rPr>
                <w:sz w:val="18"/>
                <w:szCs w:val="18"/>
              </w:rPr>
              <w:t>190</w:t>
            </w:r>
          </w:p>
        </w:tc>
        <w:tc>
          <w:tcPr>
            <w:tcW w:w="1059" w:type="dxa"/>
            <w:shd w:val="clear" w:color="auto" w:fill="auto"/>
            <w:vAlign w:val="center"/>
          </w:tcPr>
          <w:p w14:paraId="1B5C2F5B" w14:textId="77777777" w:rsidR="00F53D9E" w:rsidRPr="00681C36" w:rsidRDefault="00AC555B" w:rsidP="00F53D9E">
            <w:pPr>
              <w:pStyle w:val="Tabletext"/>
              <w:spacing w:line="240" w:lineRule="auto"/>
              <w:jc w:val="center"/>
              <w:rPr>
                <w:sz w:val="18"/>
                <w:szCs w:val="18"/>
              </w:rPr>
            </w:pPr>
            <w:r w:rsidRPr="00681C36">
              <w:rPr>
                <w:sz w:val="18"/>
                <w:szCs w:val="18"/>
              </w:rPr>
              <w:t>1395</w:t>
            </w:r>
          </w:p>
        </w:tc>
      </w:tr>
    </w:tbl>
    <w:p w14:paraId="1B5C2F5D" w14:textId="77777777" w:rsidR="00F53D9E" w:rsidRDefault="00F53D9E" w:rsidP="00F53D9E">
      <w:pPr>
        <w:pStyle w:val="Heading1"/>
        <w:spacing w:before="240"/>
        <w:sectPr w:rsidR="00F53D9E" w:rsidSect="00F53D9E">
          <w:pgSz w:w="11906" w:h="16838" w:code="9"/>
          <w:pgMar w:top="1440" w:right="1440" w:bottom="1440" w:left="1440" w:header="425" w:footer="425" w:gutter="0"/>
          <w:cols w:space="708"/>
          <w:titlePg/>
          <w:docGrid w:linePitch="360"/>
        </w:sectPr>
      </w:pPr>
    </w:p>
    <w:p w14:paraId="1B5C2F5E" w14:textId="77777777" w:rsidR="00F53D9E" w:rsidRPr="00CE13C6" w:rsidRDefault="00AC555B" w:rsidP="00F53D9E">
      <w:pPr>
        <w:pStyle w:val="Heading1"/>
        <w:spacing w:before="240"/>
      </w:pPr>
      <w:bookmarkStart w:id="319" w:name="_Toc256000188"/>
      <w:bookmarkStart w:id="320" w:name="_Toc256000142"/>
      <w:bookmarkStart w:id="321" w:name="_Toc256000094"/>
      <w:bookmarkStart w:id="322" w:name="_Toc256000046"/>
      <w:bookmarkStart w:id="323" w:name="_Toc458697075"/>
      <w:r>
        <w:lastRenderedPageBreak/>
        <w:t>10</w:t>
      </w:r>
      <w:r w:rsidRPr="001F78EA">
        <w:tab/>
        <w:t>Effects on other native species and biodiversity benefits</w:t>
      </w:r>
      <w:bookmarkEnd w:id="319"/>
      <w:bookmarkEnd w:id="320"/>
      <w:bookmarkEnd w:id="321"/>
      <w:bookmarkEnd w:id="322"/>
      <w:bookmarkEnd w:id="323"/>
    </w:p>
    <w:p w14:paraId="1B5C2F5F" w14:textId="77777777" w:rsidR="00F53D9E" w:rsidRPr="009342E7" w:rsidRDefault="00AC555B" w:rsidP="00F53D9E">
      <w:r>
        <w:t xml:space="preserve">By managing northern Tasmanian freshwater ecosystems for the benefit of </w:t>
      </w:r>
      <w:r w:rsidRPr="00847C93">
        <w:rPr>
          <w:iCs/>
        </w:rPr>
        <w:t xml:space="preserve">giant freshwater </w:t>
      </w:r>
      <w:r>
        <w:rPr>
          <w:iCs/>
        </w:rPr>
        <w:t>crayfish</w:t>
      </w:r>
      <w:r>
        <w:rPr>
          <w:i/>
          <w:iCs/>
        </w:rPr>
        <w:t>,</w:t>
      </w:r>
      <w:r>
        <w:t xml:space="preserve"> many other native aquatic fauna will also benefit. Tasmania’s </w:t>
      </w:r>
      <w:hyperlink r:id="rId30" w:anchor="HomePage" w:history="1">
        <w:r w:rsidRPr="008B4188">
          <w:rPr>
            <w:rStyle w:val="Hyperlink"/>
          </w:rPr>
          <w:t>Natural Values Atlas</w:t>
        </w:r>
      </w:hyperlink>
      <w:r>
        <w:t xml:space="preserve"> database lists a number of other threatened species that occur in </w:t>
      </w:r>
      <w:r>
        <w:rPr>
          <w:iCs/>
        </w:rPr>
        <w:t>giant freshwater crayfish</w:t>
      </w:r>
      <w:r>
        <w:rPr>
          <w:i/>
          <w:iCs/>
        </w:rPr>
        <w:t xml:space="preserve"> </w:t>
      </w:r>
      <w:r>
        <w:t xml:space="preserve">habitats, including </w:t>
      </w:r>
      <w:proofErr w:type="spellStart"/>
      <w:r>
        <w:t>hydrobiid</w:t>
      </w:r>
      <w:proofErr w:type="spellEnd"/>
      <w:r>
        <w:t xml:space="preserve"> snails and four species of burrowing crayfish, in addition to non-threatened iconic species such as the platypus. Because of the linkages between riparian and in-stream ecosystems, the protection of riparian zones will benefit riparian and in-stream fauna. Functional, intact riparian zones are directly related to high in-stream biodiversity (</w:t>
      </w:r>
      <w:proofErr w:type="spellStart"/>
      <w:r>
        <w:t>Boulton</w:t>
      </w:r>
      <w:proofErr w:type="spellEnd"/>
      <w:r>
        <w:t xml:space="preserve"> &amp; Brock 1999) and contribute to the floristic diversity of off-reserve areas. Benefits can be effectively achieved by measures to raise awareness of freshwater environments and their conservation management requirements, and by encouraging implementation of management through private and community projects, private land conservation agreements, and forest and agricultural industry management prescriptions and codes of practice.</w:t>
      </w:r>
      <w:r w:rsidRPr="00105524">
        <w:rPr>
          <w:lang w:val="en-US" w:eastAsia="ja-JP"/>
        </w:rPr>
        <w:t xml:space="preserve"> </w:t>
      </w:r>
    </w:p>
    <w:p w14:paraId="1B5C2F60" w14:textId="77777777" w:rsidR="00F53D9E" w:rsidRPr="00CE13C6" w:rsidRDefault="00AC555B" w:rsidP="00F53D9E">
      <w:pPr>
        <w:pStyle w:val="Heading1"/>
      </w:pPr>
      <w:bookmarkStart w:id="324" w:name="_Toc256000189"/>
      <w:bookmarkStart w:id="325" w:name="_Toc256000143"/>
      <w:bookmarkStart w:id="326" w:name="_Toc256000095"/>
      <w:bookmarkStart w:id="327" w:name="_Toc256000047"/>
      <w:bookmarkStart w:id="328" w:name="_Toc458697076"/>
      <w:r>
        <w:t>11 Social and economic considerations</w:t>
      </w:r>
      <w:bookmarkEnd w:id="324"/>
      <w:bookmarkEnd w:id="325"/>
      <w:bookmarkEnd w:id="326"/>
      <w:bookmarkEnd w:id="327"/>
      <w:bookmarkEnd w:id="328"/>
    </w:p>
    <w:p w14:paraId="1B5C2F61" w14:textId="77777777" w:rsidR="00F53D9E" w:rsidRPr="009E2C43" w:rsidRDefault="00AC555B" w:rsidP="00F53D9E">
      <w:bookmarkStart w:id="329" w:name="OLE_LINK6"/>
      <w:bookmarkStart w:id="330" w:name="OLE_LINK7"/>
      <w:r w:rsidRPr="009E2C43">
        <w:t xml:space="preserve">Habitat degradation threatens </w:t>
      </w:r>
      <w:r>
        <w:t xml:space="preserve">the </w:t>
      </w:r>
      <w:r w:rsidRPr="009E2C43">
        <w:t xml:space="preserve">giant freshwater </w:t>
      </w:r>
      <w:r>
        <w:t>crayfish</w:t>
      </w:r>
      <w:r w:rsidRPr="009E2C43">
        <w:t xml:space="preserve"> and may largely exclude the</w:t>
      </w:r>
      <w:r>
        <w:t xml:space="preserve"> species</w:t>
      </w:r>
      <w:r w:rsidRPr="009E2C43">
        <w:t xml:space="preserve"> from areas, perhaps traditionally utilised for feeding or spawning, where they were historically much more abundant. </w:t>
      </w:r>
      <w:r w:rsidRPr="009E2C43">
        <w:rPr>
          <w:rFonts w:cs="Arial"/>
        </w:rPr>
        <w:t xml:space="preserve">Due to their distribution in rivers across northern Tasmania, often in close proximity to forestry or agricultural land uses, giant freshwater </w:t>
      </w:r>
      <w:r>
        <w:rPr>
          <w:rFonts w:cs="Arial"/>
        </w:rPr>
        <w:t>crayfish</w:t>
      </w:r>
      <w:r w:rsidRPr="009E2C43">
        <w:rPr>
          <w:rFonts w:cs="Arial"/>
        </w:rPr>
        <w:t xml:space="preserve"> </w:t>
      </w:r>
      <w:r w:rsidRPr="009E2C43">
        <w:t>populations could be adversely affected by habitat degradation arising from anthropogenic activities in these regions</w:t>
      </w:r>
      <w:r w:rsidRPr="009E2C43">
        <w:rPr>
          <w:rFonts w:cs="Arial"/>
        </w:rPr>
        <w:t>.</w:t>
      </w:r>
      <w:r w:rsidRPr="009E2C43">
        <w:t xml:space="preserve"> As habitats critical to the survival of the species are identified, there is potential for developments to be restricted under the EPBC Act assessment and approval process. Any measures to assist recovery of this species that involve restrictions on the use of riparian land may result in economic impacts </w:t>
      </w:r>
      <w:r>
        <w:t>to affected</w:t>
      </w:r>
      <w:r w:rsidRPr="009E2C43">
        <w:t xml:space="preserve"> industries. </w:t>
      </w:r>
      <w:r>
        <w:t xml:space="preserve">Conversely, the positive engagement of the forestry sector with the actions and objectives outlined in this recovery plan may have a positive economic benefit in terms of increased likelihood of achieving certification through forestry industry certification bodies.  </w:t>
      </w:r>
    </w:p>
    <w:p w14:paraId="1B5C2F62" w14:textId="77777777" w:rsidR="00F53D9E" w:rsidRDefault="00AC555B" w:rsidP="00F53D9E">
      <w:r>
        <w:t>I</w:t>
      </w:r>
      <w:r w:rsidRPr="009E2C43">
        <w:t xml:space="preserve">ncreased protection of </w:t>
      </w:r>
      <w:r>
        <w:rPr>
          <w:iCs/>
        </w:rPr>
        <w:t>giant freshwater crayfish</w:t>
      </w:r>
      <w:r w:rsidRPr="009E2C43">
        <w:t xml:space="preserve"> habitat </w:t>
      </w:r>
      <w:r>
        <w:t xml:space="preserve">is expected to result in significant </w:t>
      </w:r>
      <w:r w:rsidRPr="009E2C43">
        <w:t xml:space="preserve">improvements in water quality </w:t>
      </w:r>
      <w:r>
        <w:t>which are likely to</w:t>
      </w:r>
      <w:r w:rsidRPr="009E2C43">
        <w:t xml:space="preserve"> be economically and socially advantageous. </w:t>
      </w:r>
      <w:r>
        <w:t xml:space="preserve">For example, improved water quality can significantly reduce the costs associated with water treatment processes and is also likely to convey positive social benefits in terms of increased recreational and aesthetic values. </w:t>
      </w:r>
      <w:r w:rsidRPr="009E2C43">
        <w:t xml:space="preserve">Increased public awareness of the </w:t>
      </w:r>
      <w:r>
        <w:t>giant freshwater crayfish</w:t>
      </w:r>
      <w:r w:rsidRPr="009E2C43">
        <w:t xml:space="preserve"> and its undisturbed forest habitat may bring social and economic advantages through tourism. </w:t>
      </w:r>
    </w:p>
    <w:p w14:paraId="1B5C2F63" w14:textId="77777777" w:rsidR="00F53D9E" w:rsidRPr="00CE13C6" w:rsidRDefault="00AC555B" w:rsidP="00F53D9E">
      <w:pPr>
        <w:pStyle w:val="Heading1"/>
      </w:pPr>
      <w:bookmarkStart w:id="331" w:name="_Toc256000190"/>
      <w:bookmarkStart w:id="332" w:name="_Toc256000144"/>
      <w:bookmarkStart w:id="333" w:name="_Toc256000096"/>
      <w:bookmarkStart w:id="334" w:name="_Toc256000048"/>
      <w:bookmarkStart w:id="335" w:name="_Toc458697077"/>
      <w:bookmarkEnd w:id="329"/>
      <w:bookmarkEnd w:id="330"/>
      <w:r>
        <w:t>12</w:t>
      </w:r>
      <w:r>
        <w:tab/>
        <w:t>Affected interests</w:t>
      </w:r>
      <w:bookmarkEnd w:id="331"/>
      <w:bookmarkEnd w:id="332"/>
      <w:bookmarkEnd w:id="333"/>
      <w:bookmarkEnd w:id="334"/>
      <w:bookmarkEnd w:id="335"/>
    </w:p>
    <w:p w14:paraId="1B5C2F64" w14:textId="77777777" w:rsidR="00F53D9E" w:rsidRPr="0038633D" w:rsidRDefault="00AC555B" w:rsidP="00F53D9E">
      <w:r w:rsidRPr="0038633D">
        <w:t xml:space="preserve">Organisations </w:t>
      </w:r>
      <w:r>
        <w:t>with an interest in</w:t>
      </w:r>
      <w:r w:rsidRPr="0038633D">
        <w:t xml:space="preserve"> the actions proposed in this plan include Australian and state governments agencies, particularly those with environmental and fisheries concerns; </w:t>
      </w:r>
      <w:r>
        <w:t xml:space="preserve">forestry operators, forestry industry certification bodies; </w:t>
      </w:r>
      <w:r w:rsidRPr="0038633D">
        <w:t xml:space="preserve">recreational fishers; local Indigenous communities; researchers; tourism operators; conservation groups; wildlife interest groups; and proponents of </w:t>
      </w:r>
      <w:r>
        <w:t>urban or other</w:t>
      </w:r>
      <w:r w:rsidRPr="0038633D">
        <w:t xml:space="preserve"> development in the vicinity of important </w:t>
      </w:r>
      <w:r>
        <w:t>crayfish</w:t>
      </w:r>
      <w:r w:rsidRPr="0038633D">
        <w:t xml:space="preserve"> habitat. This list, however, should not be considered exhaustive, as there may be other interest groups that would like to be included in the future or need to be considered when specialised tasks are required in the recovery process.</w:t>
      </w:r>
    </w:p>
    <w:p w14:paraId="1B5C2F65" w14:textId="77777777" w:rsidR="00F53D9E" w:rsidRPr="00105524" w:rsidRDefault="00AC555B" w:rsidP="00F53D9E">
      <w:pPr>
        <w:pStyle w:val="Heading1"/>
        <w:rPr>
          <w:lang w:val="en-US" w:eastAsia="ja-JP"/>
        </w:rPr>
      </w:pPr>
      <w:bookmarkStart w:id="336" w:name="_Toc256000191"/>
      <w:bookmarkStart w:id="337" w:name="_Toc256000145"/>
      <w:bookmarkStart w:id="338" w:name="_Toc256000097"/>
      <w:bookmarkStart w:id="339" w:name="_Toc256000049"/>
      <w:bookmarkStart w:id="340" w:name="_Toc458697078"/>
      <w:r w:rsidRPr="00105524">
        <w:rPr>
          <w:lang w:val="en-US" w:eastAsia="ja-JP"/>
        </w:rPr>
        <w:lastRenderedPageBreak/>
        <w:t>1</w:t>
      </w:r>
      <w:r>
        <w:rPr>
          <w:lang w:val="en-US" w:eastAsia="ja-JP"/>
        </w:rPr>
        <w:t>3</w:t>
      </w:r>
      <w:r>
        <w:rPr>
          <w:lang w:val="en-US" w:eastAsia="ja-JP"/>
        </w:rPr>
        <w:tab/>
        <w:t>Consultation</w:t>
      </w:r>
      <w:bookmarkEnd w:id="336"/>
      <w:bookmarkEnd w:id="337"/>
      <w:bookmarkEnd w:id="338"/>
      <w:bookmarkEnd w:id="339"/>
      <w:bookmarkEnd w:id="340"/>
    </w:p>
    <w:p w14:paraId="1B5C2F66" w14:textId="77777777" w:rsidR="00F53D9E" w:rsidRDefault="00AC555B" w:rsidP="00F53D9E">
      <w:pPr>
        <w:spacing w:after="360"/>
        <w:rPr>
          <w:rFonts w:ascii="Arial Bold" w:hAnsi="Arial Bold" w:cs="Arial"/>
          <w:b/>
          <w:color w:val="17365D" w:themeColor="text2" w:themeShade="BF"/>
          <w:sz w:val="44"/>
        </w:rPr>
      </w:pPr>
      <w:r w:rsidRPr="00105524">
        <w:rPr>
          <w:lang w:val="en-US" w:eastAsia="ja-JP"/>
        </w:rPr>
        <w:t xml:space="preserve">The </w:t>
      </w:r>
      <w:r w:rsidRPr="00105524">
        <w:rPr>
          <w:i/>
          <w:lang w:val="en-US" w:eastAsia="ja-JP"/>
        </w:rPr>
        <w:t xml:space="preserve">Recovery Plan for </w:t>
      </w:r>
      <w:r>
        <w:rPr>
          <w:i/>
          <w:lang w:val="en-US" w:eastAsia="ja-JP"/>
        </w:rPr>
        <w:t>the Giant Freshwater Crayfish (</w:t>
      </w:r>
      <w:proofErr w:type="spellStart"/>
      <w:r>
        <w:rPr>
          <w:i/>
          <w:lang w:val="en-US" w:eastAsia="ja-JP"/>
        </w:rPr>
        <w:t>Astacopsis</w:t>
      </w:r>
      <w:proofErr w:type="spellEnd"/>
      <w:r>
        <w:rPr>
          <w:i/>
          <w:lang w:val="en-US" w:eastAsia="ja-JP"/>
        </w:rPr>
        <w:t xml:space="preserve"> </w:t>
      </w:r>
      <w:proofErr w:type="spellStart"/>
      <w:r>
        <w:rPr>
          <w:i/>
          <w:lang w:val="en-US" w:eastAsia="ja-JP"/>
        </w:rPr>
        <w:t>gouldi</w:t>
      </w:r>
      <w:proofErr w:type="spellEnd"/>
      <w:r>
        <w:rPr>
          <w:i/>
          <w:lang w:val="en-US" w:eastAsia="ja-JP"/>
        </w:rPr>
        <w:t>)</w:t>
      </w:r>
      <w:r w:rsidRPr="00105524">
        <w:rPr>
          <w:i/>
          <w:lang w:val="en-US" w:eastAsia="ja-JP"/>
        </w:rPr>
        <w:t xml:space="preserve"> </w:t>
      </w:r>
      <w:r w:rsidRPr="00105524">
        <w:rPr>
          <w:lang w:val="en-US" w:eastAsia="ja-JP"/>
        </w:rPr>
        <w:t>(201</w:t>
      </w:r>
      <w:r>
        <w:rPr>
          <w:lang w:val="en-US" w:eastAsia="ja-JP"/>
        </w:rPr>
        <w:t>6</w:t>
      </w:r>
      <w:r w:rsidRPr="00105524">
        <w:rPr>
          <w:lang w:val="en-US" w:eastAsia="ja-JP"/>
        </w:rPr>
        <w:t xml:space="preserve">) has been developed through </w:t>
      </w:r>
      <w:r>
        <w:rPr>
          <w:lang w:val="en-US" w:eastAsia="ja-JP"/>
        </w:rPr>
        <w:t>ongoing</w:t>
      </w:r>
      <w:r w:rsidRPr="00105524">
        <w:rPr>
          <w:lang w:val="en-US" w:eastAsia="ja-JP"/>
        </w:rPr>
        <w:t xml:space="preserve"> consultation with a broad range of stakeholders. The consultation process </w:t>
      </w:r>
      <w:r>
        <w:rPr>
          <w:lang w:val="en-US" w:eastAsia="ja-JP"/>
        </w:rPr>
        <w:t>commenced with</w:t>
      </w:r>
      <w:r w:rsidRPr="00105524">
        <w:rPr>
          <w:lang w:val="en-US" w:eastAsia="ja-JP"/>
        </w:rPr>
        <w:t xml:space="preserve"> a workshop in Tasmania that brought together key species experts</w:t>
      </w:r>
      <w:r>
        <w:rPr>
          <w:lang w:val="en-US" w:eastAsia="ja-JP"/>
        </w:rPr>
        <w:t xml:space="preserve">, </w:t>
      </w:r>
      <w:r w:rsidRPr="00105524">
        <w:rPr>
          <w:lang w:val="en-US" w:eastAsia="ja-JP"/>
        </w:rPr>
        <w:t>conservation managers</w:t>
      </w:r>
      <w:r>
        <w:rPr>
          <w:lang w:val="en-US" w:eastAsia="ja-JP"/>
        </w:rPr>
        <w:t xml:space="preserve"> and land managers</w:t>
      </w:r>
      <w:r w:rsidRPr="00105524">
        <w:rPr>
          <w:lang w:val="en-US" w:eastAsia="ja-JP"/>
        </w:rPr>
        <w:t>, to cat</w:t>
      </w:r>
      <w:r>
        <w:rPr>
          <w:lang w:val="en-US" w:eastAsia="ja-JP"/>
        </w:rPr>
        <w:t>egorize ongoing threats to the species</w:t>
      </w:r>
      <w:r w:rsidRPr="00105524">
        <w:rPr>
          <w:lang w:val="en-US" w:eastAsia="ja-JP"/>
        </w:rPr>
        <w:t xml:space="preserve"> and identify knowledge gaps and potential management options. Workshop participants included representatives from </w:t>
      </w:r>
      <w:proofErr w:type="spellStart"/>
      <w:r>
        <w:rPr>
          <w:lang w:val="en-US" w:eastAsia="ja-JP"/>
        </w:rPr>
        <w:t>DoEE</w:t>
      </w:r>
      <w:proofErr w:type="spellEnd"/>
      <w:r w:rsidRPr="00105524">
        <w:rPr>
          <w:lang w:val="en-US" w:eastAsia="ja-JP"/>
        </w:rPr>
        <w:t xml:space="preserve">, DPIPWE, CSIRO, </w:t>
      </w:r>
      <w:r>
        <w:rPr>
          <w:lang w:val="en-US" w:eastAsia="ja-JP"/>
        </w:rPr>
        <w:t xml:space="preserve">FPA, IFS, Hydro Tasmania, </w:t>
      </w:r>
      <w:r w:rsidRPr="00105524">
        <w:rPr>
          <w:lang w:val="en-US" w:eastAsia="ja-JP"/>
        </w:rPr>
        <w:t>researchers from UTAS</w:t>
      </w:r>
      <w:r>
        <w:rPr>
          <w:lang w:val="en-US" w:eastAsia="ja-JP"/>
        </w:rPr>
        <w:t>, other species experts</w:t>
      </w:r>
      <w:r w:rsidRPr="00105524">
        <w:rPr>
          <w:lang w:val="en-US" w:eastAsia="ja-JP"/>
        </w:rPr>
        <w:t xml:space="preserve"> and local community groups</w:t>
      </w:r>
      <w:r>
        <w:rPr>
          <w:lang w:val="en-US" w:eastAsia="ja-JP"/>
        </w:rPr>
        <w:t xml:space="preserve">. These parties were engaged repeatedly throughout the development of the draft recovery plan, which was subsequently released for a three month public consultation period. Submissions were invited from any interested parties during this period. In the process of </w:t>
      </w:r>
      <w:proofErr w:type="spellStart"/>
      <w:r>
        <w:rPr>
          <w:lang w:val="en-US" w:eastAsia="ja-JP"/>
        </w:rPr>
        <w:t>finalising</w:t>
      </w:r>
      <w:proofErr w:type="spellEnd"/>
      <w:r>
        <w:rPr>
          <w:lang w:val="en-US" w:eastAsia="ja-JP"/>
        </w:rPr>
        <w:t xml:space="preserve"> the recovery plan </w:t>
      </w:r>
      <w:proofErr w:type="spellStart"/>
      <w:r>
        <w:rPr>
          <w:lang w:val="en-US" w:eastAsia="ja-JP"/>
        </w:rPr>
        <w:t>DoEE</w:t>
      </w:r>
      <w:proofErr w:type="spellEnd"/>
      <w:r w:rsidRPr="00105524">
        <w:rPr>
          <w:lang w:val="en-US" w:eastAsia="ja-JP"/>
        </w:rPr>
        <w:t xml:space="preserve"> continued to work closely with key stakeholders</w:t>
      </w:r>
      <w:r>
        <w:rPr>
          <w:lang w:val="en-US" w:eastAsia="ja-JP"/>
        </w:rPr>
        <w:t>, including DPIPWE, FPA, FT and independent researchers</w:t>
      </w:r>
      <w:r w:rsidRPr="00105524">
        <w:rPr>
          <w:lang w:val="en-US" w:eastAsia="ja-JP"/>
        </w:rPr>
        <w:t>.</w:t>
      </w:r>
    </w:p>
    <w:p w14:paraId="1B5C2F67" w14:textId="77777777" w:rsidR="00F53D9E" w:rsidRPr="00C63481" w:rsidRDefault="00AC555B" w:rsidP="00F53D9E">
      <w:pPr>
        <w:pStyle w:val="Heading1"/>
        <w:spacing w:before="240"/>
      </w:pPr>
      <w:bookmarkStart w:id="341" w:name="_Toc256000192"/>
      <w:bookmarkStart w:id="342" w:name="_Toc256000146"/>
      <w:bookmarkStart w:id="343" w:name="_Toc256000098"/>
      <w:bookmarkStart w:id="344" w:name="_Toc256000050"/>
      <w:bookmarkStart w:id="345" w:name="_Toc458697079"/>
      <w:r>
        <w:t>14 Organisations/persons involved in evaluating the performance of the plan</w:t>
      </w:r>
      <w:bookmarkEnd w:id="341"/>
      <w:bookmarkEnd w:id="342"/>
      <w:bookmarkEnd w:id="343"/>
      <w:bookmarkEnd w:id="344"/>
      <w:bookmarkEnd w:id="345"/>
    </w:p>
    <w:p w14:paraId="1B5C2F68" w14:textId="77777777" w:rsidR="00F53D9E" w:rsidRPr="00C63481" w:rsidRDefault="00AC555B" w:rsidP="00F53D9E">
      <w:bookmarkStart w:id="346" w:name="_Toc390851180"/>
      <w:r w:rsidRPr="00C63481">
        <w:t>This plan should be reviewed no later than five years from when it was endorsed and made publically available. The review will determine the performance of the plan and assess:</w:t>
      </w:r>
      <w:bookmarkEnd w:id="346"/>
    </w:p>
    <w:p w14:paraId="1B5C2F69" w14:textId="77777777" w:rsidR="00F53D9E" w:rsidRPr="00C63481" w:rsidRDefault="00AC555B" w:rsidP="00F53D9E">
      <w:pPr>
        <w:pStyle w:val="ListBullet"/>
        <w:numPr>
          <w:ilvl w:val="0"/>
          <w:numId w:val="28"/>
        </w:numPr>
      </w:pPr>
      <w:bookmarkStart w:id="347" w:name="_Toc390851181"/>
      <w:r w:rsidRPr="00C63481">
        <w:t>whether the plan continues unchanged, is varie</w:t>
      </w:r>
      <w:r>
        <w:t xml:space="preserve">d to remove completed actions, </w:t>
      </w:r>
      <w:r w:rsidRPr="00C63481">
        <w:t>or varied to include new conservation priorities</w:t>
      </w:r>
      <w:bookmarkEnd w:id="347"/>
      <w:r>
        <w:t>; and</w:t>
      </w:r>
    </w:p>
    <w:p w14:paraId="1B5C2F6A" w14:textId="77777777" w:rsidR="00F53D9E" w:rsidRPr="00C63481" w:rsidRDefault="00AC555B" w:rsidP="00F53D9E">
      <w:pPr>
        <w:pStyle w:val="ListBullet"/>
        <w:numPr>
          <w:ilvl w:val="0"/>
          <w:numId w:val="28"/>
        </w:numPr>
      </w:pPr>
      <w:bookmarkStart w:id="348" w:name="_Toc390851182"/>
      <w:proofErr w:type="gramStart"/>
      <w:r w:rsidRPr="00C63481">
        <w:t>whether</w:t>
      </w:r>
      <w:proofErr w:type="gramEnd"/>
      <w:r w:rsidRPr="00C63481">
        <w:t xml:space="preserve"> a recovery plan is no longer necessary for the species as either conservation advice will suffice, or the species </w:t>
      </w:r>
      <w:r>
        <w:t>is</w:t>
      </w:r>
      <w:r w:rsidRPr="00C63481">
        <w:t xml:space="preserve"> removed from the threatened species list.</w:t>
      </w:r>
      <w:bookmarkEnd w:id="348"/>
      <w:r w:rsidRPr="00C63481">
        <w:t xml:space="preserve"> </w:t>
      </w:r>
    </w:p>
    <w:p w14:paraId="1B5C2F6B" w14:textId="77777777" w:rsidR="00F53D9E" w:rsidRPr="00C63481" w:rsidRDefault="00AC555B" w:rsidP="00F53D9E">
      <w:bookmarkStart w:id="349" w:name="_Toc390851183"/>
      <w:r w:rsidRPr="00C63481">
        <w:t>As part of this review, th</w:t>
      </w:r>
      <w:r>
        <w:t xml:space="preserve">e listing status of the species will be assessed against </w:t>
      </w:r>
      <w:r w:rsidRPr="00C63481">
        <w:t>the EPBC Act species listing criteria.</w:t>
      </w:r>
      <w:bookmarkEnd w:id="349"/>
    </w:p>
    <w:p w14:paraId="1B5C2F6C" w14:textId="77777777" w:rsidR="00F53D9E" w:rsidRPr="001D73E5" w:rsidRDefault="00AC555B" w:rsidP="00F53D9E">
      <w:bookmarkStart w:id="350" w:name="_Toc390851184"/>
      <w:r w:rsidRPr="00C63481">
        <w:t xml:space="preserve">The review will be coordinated by </w:t>
      </w:r>
      <w:proofErr w:type="spellStart"/>
      <w:r>
        <w:t>DoEE</w:t>
      </w:r>
      <w:proofErr w:type="spellEnd"/>
      <w:r w:rsidRPr="00C63481">
        <w:t xml:space="preserve"> in association with relevant Aust</w:t>
      </w:r>
      <w:r>
        <w:t xml:space="preserve">ralian </w:t>
      </w:r>
      <w:r w:rsidRPr="00C63481">
        <w:t xml:space="preserve">and state government agencies and key stakeholder groups such as </w:t>
      </w:r>
      <w:r w:rsidRPr="001D73E5">
        <w:t xml:space="preserve">non-governmental organisations, local community groups and </w:t>
      </w:r>
      <w:r>
        <w:t xml:space="preserve">scientific research </w:t>
      </w:r>
      <w:r w:rsidRPr="001D73E5">
        <w:t>organisations.</w:t>
      </w:r>
      <w:bookmarkEnd w:id="350"/>
    </w:p>
    <w:p w14:paraId="1B5C2F6D" w14:textId="77777777" w:rsidR="00F53D9E" w:rsidRDefault="00AC555B" w:rsidP="00F53D9E">
      <w:bookmarkStart w:id="351" w:name="_Toc390851185"/>
      <w:r w:rsidRPr="006C5332">
        <w:t>Key stakeholders who may be involved in the r</w:t>
      </w:r>
      <w:r>
        <w:t xml:space="preserve">eview of the performance of the </w:t>
      </w:r>
      <w:r w:rsidRPr="00F719A3">
        <w:rPr>
          <w:i/>
        </w:rPr>
        <w:t xml:space="preserve">Recovery Plan for </w:t>
      </w:r>
      <w:r>
        <w:rPr>
          <w:i/>
        </w:rPr>
        <w:t>the Giant Freshwater Crayfish (</w:t>
      </w:r>
      <w:proofErr w:type="spellStart"/>
      <w:r>
        <w:rPr>
          <w:i/>
        </w:rPr>
        <w:t>Astacopsis</w:t>
      </w:r>
      <w:proofErr w:type="spellEnd"/>
      <w:r>
        <w:rPr>
          <w:i/>
        </w:rPr>
        <w:t xml:space="preserve"> </w:t>
      </w:r>
      <w:proofErr w:type="spellStart"/>
      <w:r>
        <w:rPr>
          <w:i/>
        </w:rPr>
        <w:t>gouldi</w:t>
      </w:r>
      <w:proofErr w:type="spellEnd"/>
      <w:r>
        <w:rPr>
          <w:i/>
        </w:rPr>
        <w:t>)</w:t>
      </w:r>
      <w:r w:rsidRPr="006C5332">
        <w:t>, includ</w:t>
      </w:r>
      <w:r>
        <w:t>e</w:t>
      </w:r>
      <w:r w:rsidRPr="006C5332">
        <w:t xml:space="preserve"> organisation</w:t>
      </w:r>
      <w:r>
        <w:t xml:space="preserve">s likely to be affected by the </w:t>
      </w:r>
      <w:r w:rsidRPr="006C5332">
        <w:t>actions proposed in this plan</w:t>
      </w:r>
      <w:bookmarkEnd w:id="351"/>
      <w:r>
        <w:t xml:space="preserve"> and are expected to include:</w:t>
      </w:r>
    </w:p>
    <w:p w14:paraId="1B5C2F6E" w14:textId="77777777" w:rsidR="00F53D9E" w:rsidRPr="0031561A" w:rsidRDefault="00AC555B" w:rsidP="00F53D9E">
      <w:pPr>
        <w:spacing w:after="0"/>
        <w:rPr>
          <w:b/>
        </w:rPr>
      </w:pPr>
      <w:r w:rsidRPr="0031561A">
        <w:rPr>
          <w:b/>
        </w:rPr>
        <w:t>Australian Government</w:t>
      </w:r>
    </w:p>
    <w:p w14:paraId="1B5C2F6F" w14:textId="77777777" w:rsidR="00F53D9E" w:rsidRDefault="00AC555B" w:rsidP="00F53D9E">
      <w:pPr>
        <w:spacing w:after="0"/>
      </w:pPr>
      <w:bookmarkStart w:id="352" w:name="_Toc390851186"/>
      <w:r>
        <w:t>Department of the Environment and Energy</w:t>
      </w:r>
      <w:r w:rsidRPr="00431974">
        <w:t xml:space="preserve"> </w:t>
      </w:r>
    </w:p>
    <w:p w14:paraId="1B5C2F70" w14:textId="77777777" w:rsidR="00F53D9E" w:rsidRPr="00C23871" w:rsidRDefault="00AC555B" w:rsidP="00F53D9E">
      <w:r w:rsidRPr="00431974">
        <w:t>Commonwealth Scientific and Industrial Research Organisation</w:t>
      </w:r>
      <w:bookmarkEnd w:id="352"/>
    </w:p>
    <w:p w14:paraId="1B5C2F71" w14:textId="77777777" w:rsidR="00F53D9E" w:rsidRPr="0031561A" w:rsidRDefault="00AC555B" w:rsidP="00F53D9E">
      <w:pPr>
        <w:spacing w:after="0"/>
        <w:rPr>
          <w:b/>
        </w:rPr>
      </w:pPr>
      <w:r w:rsidRPr="0031561A">
        <w:rPr>
          <w:b/>
        </w:rPr>
        <w:t>State/territory governments</w:t>
      </w:r>
    </w:p>
    <w:p w14:paraId="1B5C2F72" w14:textId="77777777" w:rsidR="00F53D9E" w:rsidRDefault="00AC555B" w:rsidP="00F53D9E">
      <w:pPr>
        <w:spacing w:after="0"/>
      </w:pPr>
      <w:bookmarkStart w:id="353" w:name="_Toc390851197"/>
      <w:r w:rsidRPr="00431974">
        <w:t>Department of Primary Industrie</w:t>
      </w:r>
      <w:r>
        <w:t>s, Parks, Water and Environment</w:t>
      </w:r>
      <w:r w:rsidRPr="00431974">
        <w:t xml:space="preserve"> </w:t>
      </w:r>
      <w:r>
        <w:t>(</w:t>
      </w:r>
      <w:proofErr w:type="spellStart"/>
      <w:proofErr w:type="gramStart"/>
      <w:r w:rsidRPr="00431974">
        <w:t>T</w:t>
      </w:r>
      <w:bookmarkEnd w:id="353"/>
      <w:r>
        <w:t>as</w:t>
      </w:r>
      <w:proofErr w:type="spellEnd"/>
      <w:proofErr w:type="gramEnd"/>
      <w:r>
        <w:t xml:space="preserve">) </w:t>
      </w:r>
    </w:p>
    <w:p w14:paraId="1B5C2F73" w14:textId="77777777" w:rsidR="00F53D9E" w:rsidRDefault="00AC555B" w:rsidP="00F53D9E">
      <w:pPr>
        <w:spacing w:after="0"/>
      </w:pPr>
      <w:r>
        <w:t>Inland Fisheries Service (</w:t>
      </w:r>
      <w:proofErr w:type="spellStart"/>
      <w:proofErr w:type="gramStart"/>
      <w:r w:rsidRPr="00431974">
        <w:t>T</w:t>
      </w:r>
      <w:r>
        <w:t>as</w:t>
      </w:r>
      <w:proofErr w:type="spellEnd"/>
      <w:proofErr w:type="gramEnd"/>
      <w:r>
        <w:t>)</w:t>
      </w:r>
    </w:p>
    <w:p w14:paraId="1B5C2F74" w14:textId="77777777" w:rsidR="00F53D9E" w:rsidRDefault="00AC555B" w:rsidP="00F53D9E">
      <w:pPr>
        <w:spacing w:after="0"/>
      </w:pPr>
      <w:r>
        <w:t>Forestry Tasmania (</w:t>
      </w:r>
      <w:proofErr w:type="spellStart"/>
      <w:proofErr w:type="gramStart"/>
      <w:r w:rsidRPr="00431974">
        <w:t>T</w:t>
      </w:r>
      <w:r>
        <w:t>as</w:t>
      </w:r>
      <w:proofErr w:type="spellEnd"/>
      <w:proofErr w:type="gramEnd"/>
      <w:r>
        <w:t>)</w:t>
      </w:r>
    </w:p>
    <w:p w14:paraId="1B5C2F75" w14:textId="77777777" w:rsidR="00F53D9E" w:rsidRDefault="00AC555B" w:rsidP="00F53D9E">
      <w:pPr>
        <w:spacing w:after="0"/>
      </w:pPr>
      <w:r>
        <w:t>Forest Practices Authority (</w:t>
      </w:r>
      <w:proofErr w:type="spellStart"/>
      <w:proofErr w:type="gramStart"/>
      <w:r w:rsidRPr="00431974">
        <w:t>T</w:t>
      </w:r>
      <w:r>
        <w:t>as</w:t>
      </w:r>
      <w:proofErr w:type="spellEnd"/>
      <w:proofErr w:type="gramEnd"/>
      <w:r>
        <w:t>)</w:t>
      </w:r>
    </w:p>
    <w:p w14:paraId="1B5C2F76" w14:textId="77777777" w:rsidR="00F53D9E" w:rsidRPr="006C5332" w:rsidRDefault="00AC555B" w:rsidP="00F53D9E">
      <w:pPr>
        <w:spacing w:after="0"/>
      </w:pPr>
      <w:r>
        <w:t>Hydro Tasmania (</w:t>
      </w:r>
      <w:proofErr w:type="spellStart"/>
      <w:proofErr w:type="gramStart"/>
      <w:r>
        <w:t>Tas</w:t>
      </w:r>
      <w:proofErr w:type="spellEnd"/>
      <w:proofErr w:type="gramEnd"/>
      <w:r>
        <w:t>)</w:t>
      </w:r>
    </w:p>
    <w:p w14:paraId="1B5C2F77" w14:textId="77777777" w:rsidR="00F53D9E" w:rsidRDefault="00AC555B" w:rsidP="00F53D9E">
      <w:pPr>
        <w:spacing w:after="0"/>
      </w:pPr>
      <w:bookmarkStart w:id="354" w:name="_Toc390851199"/>
      <w:r>
        <w:t>Tasmanian Irrigation (</w:t>
      </w:r>
      <w:proofErr w:type="spellStart"/>
      <w:proofErr w:type="gramStart"/>
      <w:r>
        <w:t>Tas</w:t>
      </w:r>
      <w:proofErr w:type="spellEnd"/>
      <w:proofErr w:type="gramEnd"/>
      <w:r>
        <w:t>)</w:t>
      </w:r>
    </w:p>
    <w:p w14:paraId="1B5C2F78" w14:textId="77777777" w:rsidR="00F53D9E" w:rsidRDefault="00AC555B" w:rsidP="00F53D9E">
      <w:r w:rsidRPr="006C5332">
        <w:t xml:space="preserve">Local government </w:t>
      </w:r>
      <w:bookmarkEnd w:id="354"/>
      <w:r>
        <w:t>across the species range</w:t>
      </w:r>
    </w:p>
    <w:p w14:paraId="1B5C2F79" w14:textId="77777777" w:rsidR="00F53D9E" w:rsidRDefault="00AC555B">
      <w:pPr>
        <w:spacing w:after="0" w:line="240" w:lineRule="auto"/>
        <w:rPr>
          <w:b/>
        </w:rPr>
      </w:pPr>
      <w:r>
        <w:rPr>
          <w:b/>
        </w:rPr>
        <w:br w:type="page"/>
      </w:r>
    </w:p>
    <w:p w14:paraId="1B5C2F7A" w14:textId="77777777" w:rsidR="00F53D9E" w:rsidRPr="0031561A" w:rsidRDefault="00AC555B" w:rsidP="00F53D9E">
      <w:pPr>
        <w:spacing w:after="0"/>
        <w:rPr>
          <w:b/>
        </w:rPr>
      </w:pPr>
      <w:r w:rsidRPr="0031561A">
        <w:rPr>
          <w:b/>
        </w:rPr>
        <w:lastRenderedPageBreak/>
        <w:t>Non-government organisations</w:t>
      </w:r>
    </w:p>
    <w:p w14:paraId="1B5C2F7B" w14:textId="77777777" w:rsidR="00F53D9E" w:rsidRDefault="00AC555B" w:rsidP="00F53D9E">
      <w:pPr>
        <w:spacing w:after="0"/>
      </w:pPr>
      <w:bookmarkStart w:id="355" w:name="_Toc390851189"/>
      <w:r w:rsidRPr="006C5332">
        <w:t xml:space="preserve">Natural resource management bodies </w:t>
      </w:r>
      <w:r>
        <w:t>across the species range</w:t>
      </w:r>
      <w:r w:rsidRPr="00431974">
        <w:t xml:space="preserve"> </w:t>
      </w:r>
    </w:p>
    <w:p w14:paraId="1B5C2F7C" w14:textId="77777777" w:rsidR="00F53D9E" w:rsidRPr="00686D02" w:rsidRDefault="00AC555B" w:rsidP="00F53D9E">
      <w:pPr>
        <w:spacing w:after="0"/>
        <w:rPr>
          <w:highlight w:val="yellow"/>
        </w:rPr>
      </w:pPr>
      <w:r w:rsidRPr="00431974">
        <w:t>Conservation groups</w:t>
      </w:r>
      <w:bookmarkEnd w:id="355"/>
    </w:p>
    <w:p w14:paraId="1B5C2F7D" w14:textId="77777777" w:rsidR="00F53D9E" w:rsidRPr="00686D02" w:rsidRDefault="00AC555B" w:rsidP="00F53D9E">
      <w:pPr>
        <w:spacing w:after="0"/>
        <w:rPr>
          <w:highlight w:val="yellow"/>
        </w:rPr>
      </w:pPr>
      <w:bookmarkStart w:id="356" w:name="_Toc390851191"/>
      <w:r w:rsidRPr="00431974">
        <w:t>Local communities</w:t>
      </w:r>
      <w:bookmarkEnd w:id="356"/>
    </w:p>
    <w:p w14:paraId="1B5C2F7E" w14:textId="77777777" w:rsidR="00F53D9E" w:rsidRPr="00431974" w:rsidRDefault="00AC555B" w:rsidP="00F53D9E">
      <w:pPr>
        <w:spacing w:after="0"/>
      </w:pPr>
      <w:bookmarkStart w:id="357" w:name="_Toc390851194"/>
      <w:r w:rsidRPr="00431974">
        <w:t>Universities and other research organisations</w:t>
      </w:r>
      <w:bookmarkEnd w:id="357"/>
    </w:p>
    <w:p w14:paraId="1B5C2F7F" w14:textId="77777777" w:rsidR="00F53D9E" w:rsidRDefault="00AC555B" w:rsidP="00F53D9E">
      <w:pPr>
        <w:rPr>
          <w:rFonts w:ascii="Arial Bold" w:hAnsi="Arial Bold" w:cs="Arial"/>
          <w:b/>
          <w:color w:val="17365D" w:themeColor="text2" w:themeShade="BF"/>
          <w:sz w:val="44"/>
        </w:rPr>
      </w:pPr>
      <w:bookmarkStart w:id="358" w:name="_Toc390851195"/>
      <w:r w:rsidRPr="00431974">
        <w:t>Recreational fishers and associations</w:t>
      </w:r>
      <w:bookmarkEnd w:id="358"/>
    </w:p>
    <w:p w14:paraId="1B5C2F80" w14:textId="77777777" w:rsidR="00F53D9E" w:rsidRDefault="00AC555B" w:rsidP="00F53D9E">
      <w:pPr>
        <w:pStyle w:val="Heading1"/>
        <w:spacing w:before="240"/>
      </w:pPr>
      <w:bookmarkStart w:id="359" w:name="_Toc256000193"/>
      <w:bookmarkStart w:id="360" w:name="_Toc256000147"/>
      <w:bookmarkStart w:id="361" w:name="_Toc256000099"/>
      <w:bookmarkStart w:id="362" w:name="_Toc256000051"/>
      <w:bookmarkStart w:id="363" w:name="_Toc458697080"/>
      <w:r>
        <w:t>15</w:t>
      </w:r>
      <w:r w:rsidRPr="006C5332">
        <w:tab/>
      </w:r>
      <w:r>
        <w:t>References</w:t>
      </w:r>
      <w:bookmarkEnd w:id="359"/>
      <w:bookmarkEnd w:id="360"/>
      <w:bookmarkEnd w:id="361"/>
      <w:bookmarkEnd w:id="362"/>
      <w:bookmarkEnd w:id="363"/>
    </w:p>
    <w:p w14:paraId="1B5C2F81" w14:textId="77777777" w:rsidR="00F53D9E" w:rsidRPr="00F6524E" w:rsidRDefault="00AC555B" w:rsidP="00F53D9E">
      <w:pPr>
        <w:spacing w:after="120"/>
        <w:rPr>
          <w:rFonts w:cs="Arial"/>
          <w:szCs w:val="20"/>
        </w:rPr>
      </w:pPr>
      <w:proofErr w:type="spellStart"/>
      <w:r w:rsidRPr="00F6524E">
        <w:rPr>
          <w:rFonts w:cs="Arial"/>
          <w:szCs w:val="20"/>
        </w:rPr>
        <w:t>Barmuta</w:t>
      </w:r>
      <w:proofErr w:type="spellEnd"/>
      <w:r w:rsidRPr="00F6524E">
        <w:rPr>
          <w:rFonts w:cs="Arial"/>
          <w:szCs w:val="20"/>
        </w:rPr>
        <w:t xml:space="preserve"> LA, </w:t>
      </w:r>
      <w:proofErr w:type="spellStart"/>
      <w:r w:rsidRPr="00F6524E">
        <w:rPr>
          <w:rFonts w:cs="Arial"/>
          <w:szCs w:val="20"/>
        </w:rPr>
        <w:t>Linke</w:t>
      </w:r>
      <w:proofErr w:type="spellEnd"/>
      <w:r w:rsidRPr="00F6524E">
        <w:rPr>
          <w:rFonts w:cs="Arial"/>
          <w:szCs w:val="20"/>
        </w:rPr>
        <w:t xml:space="preserve"> S and </w:t>
      </w:r>
      <w:proofErr w:type="spellStart"/>
      <w:r w:rsidRPr="00F6524E">
        <w:rPr>
          <w:rFonts w:cs="Arial"/>
          <w:szCs w:val="20"/>
        </w:rPr>
        <w:t>Turak</w:t>
      </w:r>
      <w:proofErr w:type="spellEnd"/>
      <w:r w:rsidRPr="00F6524E">
        <w:rPr>
          <w:rFonts w:cs="Arial"/>
          <w:szCs w:val="20"/>
        </w:rPr>
        <w:t xml:space="preserve"> E (2011), Bridging the gap between ‘planning’ and ‘doing’ for biodiversity conservation in freshwaters. Freshwater Biology 56, 180–195.</w:t>
      </w:r>
    </w:p>
    <w:p w14:paraId="1B5C2F82" w14:textId="77777777" w:rsidR="00F53D9E" w:rsidRPr="00F6524E" w:rsidRDefault="00AC555B" w:rsidP="00F53D9E">
      <w:pPr>
        <w:spacing w:after="120"/>
        <w:rPr>
          <w:rFonts w:cs="Arial"/>
          <w:szCs w:val="20"/>
        </w:rPr>
      </w:pPr>
      <w:proofErr w:type="spellStart"/>
      <w:r w:rsidRPr="00F6524E">
        <w:rPr>
          <w:rFonts w:cs="Arial"/>
          <w:szCs w:val="20"/>
        </w:rPr>
        <w:t>Boulton</w:t>
      </w:r>
      <w:proofErr w:type="spellEnd"/>
      <w:r w:rsidRPr="00F6524E">
        <w:rPr>
          <w:rFonts w:cs="Arial"/>
          <w:szCs w:val="20"/>
        </w:rPr>
        <w:t xml:space="preserve"> AJ and Brock MA (1999). Australian Freshwater Ecology: Processes and Management. Gleneagles Publishing, Glen Osmond South Australia.</w:t>
      </w:r>
    </w:p>
    <w:p w14:paraId="1B5C2F83" w14:textId="77777777" w:rsidR="00F53D9E" w:rsidRPr="00F6524E" w:rsidRDefault="00AC555B" w:rsidP="00F53D9E">
      <w:pPr>
        <w:spacing w:after="120"/>
        <w:rPr>
          <w:rFonts w:cs="Arial"/>
          <w:szCs w:val="20"/>
        </w:rPr>
      </w:pPr>
      <w:r w:rsidRPr="00F6524E">
        <w:rPr>
          <w:rFonts w:cs="Arial"/>
          <w:szCs w:val="20"/>
        </w:rPr>
        <w:t>Bryant SL and Jackson JE (1999). Tasmania’s Threatened Fauna Handbook: what, where and how to protect Tasmania’s threatened animals. Threatened Species Unit, Parks and Wildlife Service, Hobart.</w:t>
      </w:r>
    </w:p>
    <w:p w14:paraId="1B5C2F84" w14:textId="77777777" w:rsidR="00F53D9E" w:rsidRPr="00F6524E" w:rsidRDefault="00AC555B" w:rsidP="00F53D9E">
      <w:pPr>
        <w:spacing w:after="120"/>
        <w:rPr>
          <w:rFonts w:cs="Arial"/>
          <w:szCs w:val="20"/>
        </w:rPr>
      </w:pPr>
      <w:r w:rsidRPr="00F6524E">
        <w:rPr>
          <w:rFonts w:cs="Arial"/>
          <w:szCs w:val="20"/>
        </w:rPr>
        <w:t xml:space="preserve">Davies PE and Cook LSJ (2004). Juvenile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in headwater streams –relative abundance and habitat. Report to Forest Practices Board. Freshwater Systems consulting, Hobart.</w:t>
      </w:r>
    </w:p>
    <w:p w14:paraId="1B5C2F85" w14:textId="77777777" w:rsidR="00F53D9E" w:rsidRPr="00C602DD" w:rsidRDefault="00AC555B" w:rsidP="00F53D9E">
      <w:pPr>
        <w:spacing w:after="120"/>
        <w:rPr>
          <w:rFonts w:cs="Arial"/>
          <w:szCs w:val="20"/>
        </w:rPr>
      </w:pPr>
      <w:r w:rsidRPr="00F6524E">
        <w:rPr>
          <w:rFonts w:cs="Arial"/>
          <w:szCs w:val="20"/>
        </w:rPr>
        <w:t xml:space="preserve">Davies PE, Cook LSJ, </w:t>
      </w:r>
      <w:proofErr w:type="spellStart"/>
      <w:r w:rsidRPr="00F6524E">
        <w:rPr>
          <w:rFonts w:cs="Arial"/>
          <w:szCs w:val="20"/>
        </w:rPr>
        <w:t>Mallick</w:t>
      </w:r>
      <w:proofErr w:type="spellEnd"/>
      <w:r w:rsidRPr="00F6524E">
        <w:rPr>
          <w:rFonts w:cs="Arial"/>
          <w:szCs w:val="20"/>
        </w:rPr>
        <w:t xml:space="preserve"> SA and </w:t>
      </w:r>
      <w:proofErr w:type="spellStart"/>
      <w:r w:rsidRPr="00F6524E">
        <w:rPr>
          <w:rFonts w:cs="Arial"/>
          <w:szCs w:val="20"/>
        </w:rPr>
        <w:t>Munks</w:t>
      </w:r>
      <w:proofErr w:type="spellEnd"/>
      <w:r w:rsidRPr="00F6524E">
        <w:rPr>
          <w:rFonts w:cs="Arial"/>
          <w:szCs w:val="20"/>
        </w:rPr>
        <w:t xml:space="preserve"> SA (2016). </w:t>
      </w:r>
      <w:r w:rsidRPr="00C602DD">
        <w:rPr>
          <w:rFonts w:cs="Arial"/>
          <w:szCs w:val="20"/>
        </w:rPr>
        <w:t>Relating upstream forest management to stream ecosystem condition in middle catchment reaches in Tasmania</w:t>
      </w:r>
      <w:r>
        <w:rPr>
          <w:rFonts w:cs="Arial"/>
          <w:szCs w:val="20"/>
        </w:rPr>
        <w:t xml:space="preserve">. </w:t>
      </w:r>
      <w:r w:rsidRPr="00F6524E">
        <w:rPr>
          <w:rFonts w:cs="Arial"/>
          <w:szCs w:val="20"/>
        </w:rPr>
        <w:t xml:space="preserve">Forest Ecology and Management </w:t>
      </w:r>
      <w:r>
        <w:rPr>
          <w:rFonts w:cs="Arial"/>
          <w:szCs w:val="20"/>
        </w:rPr>
        <w:t>362, 142-155.</w:t>
      </w:r>
    </w:p>
    <w:p w14:paraId="1B5C2F86" w14:textId="77777777" w:rsidR="00F53D9E" w:rsidRPr="00F6524E" w:rsidRDefault="00AC555B" w:rsidP="00F53D9E">
      <w:pPr>
        <w:spacing w:after="120"/>
        <w:rPr>
          <w:bCs/>
        </w:rPr>
      </w:pPr>
      <w:r w:rsidRPr="00F6524E">
        <w:rPr>
          <w:rFonts w:cs="Arial"/>
          <w:szCs w:val="20"/>
        </w:rPr>
        <w:t xml:space="preserve">Davies PE, Cook LSJ, </w:t>
      </w:r>
      <w:proofErr w:type="spellStart"/>
      <w:r w:rsidRPr="00F6524E">
        <w:rPr>
          <w:rFonts w:cs="Arial"/>
          <w:szCs w:val="20"/>
        </w:rPr>
        <w:t>Munks</w:t>
      </w:r>
      <w:proofErr w:type="spellEnd"/>
      <w:r w:rsidRPr="00F6524E">
        <w:rPr>
          <w:rFonts w:cs="Arial"/>
          <w:szCs w:val="20"/>
        </w:rPr>
        <w:t xml:space="preserve"> SA and </w:t>
      </w:r>
      <w:proofErr w:type="spellStart"/>
      <w:r w:rsidRPr="00F6524E">
        <w:rPr>
          <w:rFonts w:cs="Arial"/>
          <w:szCs w:val="20"/>
        </w:rPr>
        <w:t>Meggs</w:t>
      </w:r>
      <w:proofErr w:type="spellEnd"/>
      <w:r w:rsidRPr="00F6524E">
        <w:rPr>
          <w:rFonts w:cs="Arial"/>
          <w:szCs w:val="20"/>
        </w:rPr>
        <w:t xml:space="preserve"> J (2005).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Clark: habitat characteristics and relative abundance of juveniles. Tasmanian Forests 16, 1–18.</w:t>
      </w:r>
      <w:r w:rsidRPr="00F6524E">
        <w:rPr>
          <w:bCs/>
        </w:rPr>
        <w:t xml:space="preserve"> </w:t>
      </w:r>
    </w:p>
    <w:p w14:paraId="1B5C2F87" w14:textId="77777777" w:rsidR="00F53D9E" w:rsidRPr="00F6524E" w:rsidRDefault="00AC555B" w:rsidP="00F53D9E">
      <w:pPr>
        <w:spacing w:after="120"/>
        <w:rPr>
          <w:rFonts w:cs="Arial"/>
          <w:szCs w:val="20"/>
        </w:rPr>
      </w:pPr>
      <w:r w:rsidRPr="00F6524E">
        <w:rPr>
          <w:rFonts w:cs="Arial"/>
          <w:szCs w:val="20"/>
        </w:rPr>
        <w:t xml:space="preserve">Davies PE, </w:t>
      </w:r>
      <w:proofErr w:type="spellStart"/>
      <w:r w:rsidRPr="00F6524E">
        <w:rPr>
          <w:rFonts w:cs="Arial"/>
          <w:szCs w:val="20"/>
        </w:rPr>
        <w:t>Munks</w:t>
      </w:r>
      <w:proofErr w:type="spellEnd"/>
      <w:r w:rsidRPr="00F6524E">
        <w:rPr>
          <w:rFonts w:cs="Arial"/>
          <w:szCs w:val="20"/>
        </w:rPr>
        <w:t xml:space="preserve"> SA, Cook LSJ, Von Minden P and Wilson D (2007). Mapping suitability of habitat for the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FPA Scientific Report No. 4.</w:t>
      </w:r>
    </w:p>
    <w:p w14:paraId="1B5C2F88" w14:textId="77777777" w:rsidR="00F53D9E" w:rsidRPr="00F6524E" w:rsidRDefault="00AC555B" w:rsidP="00F53D9E">
      <w:pPr>
        <w:spacing w:after="120"/>
        <w:rPr>
          <w:rFonts w:cs="Arial"/>
          <w:szCs w:val="20"/>
        </w:rPr>
      </w:pPr>
      <w:r w:rsidRPr="00F6524E">
        <w:rPr>
          <w:rFonts w:cs="Arial"/>
          <w:szCs w:val="20"/>
        </w:rPr>
        <w:t>Davies PE and Nelson M (1994). Relationships between riparian buffer widths and the effects of logging on stream habitat, invertebrate community composition and fish abundance. Australian Journal of Marine and Freshwater Restoration 45, 1289–1305.</w:t>
      </w:r>
    </w:p>
    <w:p w14:paraId="1B5C2F89" w14:textId="77777777" w:rsidR="00F53D9E" w:rsidRPr="00F6524E" w:rsidRDefault="00AC555B" w:rsidP="00F53D9E">
      <w:pPr>
        <w:spacing w:after="120"/>
        <w:rPr>
          <w:rFonts w:cs="Arial"/>
          <w:szCs w:val="20"/>
        </w:rPr>
      </w:pPr>
      <w:r w:rsidRPr="00F6524E">
        <w:rPr>
          <w:rFonts w:cs="Arial"/>
          <w:szCs w:val="20"/>
        </w:rPr>
        <w:t>Department of the Environment (</w:t>
      </w:r>
      <w:proofErr w:type="spellStart"/>
      <w:r w:rsidRPr="00F6524E">
        <w:rPr>
          <w:rFonts w:cs="Arial"/>
          <w:szCs w:val="20"/>
        </w:rPr>
        <w:t>DotE</w:t>
      </w:r>
      <w:proofErr w:type="spellEnd"/>
      <w:r w:rsidRPr="00F6524E">
        <w:rPr>
          <w:rFonts w:cs="Arial"/>
          <w:szCs w:val="20"/>
        </w:rPr>
        <w:t xml:space="preserve">) (2015). Species Profile and Threats Database: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Department of the Environment, Canberra, Australia. Available on the internet at: </w:t>
      </w:r>
      <w:hyperlink r:id="rId31" w:history="1">
        <w:r w:rsidRPr="00F6524E">
          <w:rPr>
            <w:rFonts w:cs="Arial"/>
            <w:szCs w:val="20"/>
          </w:rPr>
          <w:t>http://www.environment.gov.au/cgi-bin/sprat/public/publicspecies.pl?taxon_id=64415</w:t>
        </w:r>
      </w:hyperlink>
      <w:r w:rsidRPr="00F6524E">
        <w:rPr>
          <w:rFonts w:cs="Arial"/>
          <w:szCs w:val="20"/>
        </w:rPr>
        <w:t>.</w:t>
      </w:r>
    </w:p>
    <w:p w14:paraId="1B5C2F8A" w14:textId="77777777" w:rsidR="00F53D9E" w:rsidRPr="00F6524E" w:rsidRDefault="00AC555B" w:rsidP="00F53D9E">
      <w:pPr>
        <w:spacing w:after="120"/>
        <w:rPr>
          <w:rFonts w:cs="Arial"/>
          <w:szCs w:val="20"/>
        </w:rPr>
      </w:pPr>
      <w:r w:rsidRPr="00F6524E">
        <w:rPr>
          <w:rFonts w:cs="Arial"/>
          <w:szCs w:val="20"/>
        </w:rPr>
        <w:t xml:space="preserve">Doran N and Richardson A (2008). Brief note on Recovery Progress for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the Tasmanian Giant Freshwater Crayfish. University of Tasmania report to the Threatened Species Unit, Department of Primary Industries and Water, Hobart.</w:t>
      </w:r>
    </w:p>
    <w:p w14:paraId="1B5C2F8B" w14:textId="77777777" w:rsidR="00F53D9E" w:rsidRPr="00F6524E" w:rsidRDefault="00AC555B" w:rsidP="00F53D9E">
      <w:pPr>
        <w:spacing w:after="120"/>
        <w:rPr>
          <w:rFonts w:cs="Arial"/>
          <w:szCs w:val="20"/>
        </w:rPr>
      </w:pPr>
      <w:r w:rsidRPr="00F6524E">
        <w:rPr>
          <w:rFonts w:cs="Arial"/>
          <w:szCs w:val="20"/>
        </w:rPr>
        <w:t>Eastman K and Eastman P (2007). Waiting for rain - Who's watching as the rivers run dry: Upper Catchment Issues. Journal of Tasmanian Community Resource Auditors Incorporated. 4(1), 5-30.</w:t>
      </w:r>
    </w:p>
    <w:p w14:paraId="1B5C2F8C" w14:textId="77777777" w:rsidR="00F53D9E" w:rsidRPr="00F6524E" w:rsidRDefault="00AC555B" w:rsidP="00F53D9E">
      <w:pPr>
        <w:spacing w:after="120"/>
        <w:rPr>
          <w:rFonts w:cs="Arial"/>
          <w:szCs w:val="20"/>
        </w:rPr>
      </w:pPr>
      <w:proofErr w:type="spellStart"/>
      <w:r w:rsidRPr="00F6524E">
        <w:rPr>
          <w:rFonts w:cs="Arial"/>
          <w:szCs w:val="20"/>
        </w:rPr>
        <w:t>Forteath</w:t>
      </w:r>
      <w:proofErr w:type="spellEnd"/>
      <w:r w:rsidRPr="00F6524E">
        <w:rPr>
          <w:rFonts w:cs="Arial"/>
          <w:szCs w:val="20"/>
        </w:rPr>
        <w:t xml:space="preserve"> N (1987). The aquaculture potential of the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School of Applied Science, Tasmanian State Institute of Technology, Launceston.</w:t>
      </w:r>
    </w:p>
    <w:p w14:paraId="1B5C2F8D" w14:textId="77777777" w:rsidR="00F53D9E" w:rsidRPr="00F6524E" w:rsidRDefault="00AC555B" w:rsidP="00F53D9E">
      <w:pPr>
        <w:spacing w:after="120"/>
        <w:rPr>
          <w:rFonts w:cs="Arial"/>
          <w:szCs w:val="20"/>
        </w:rPr>
      </w:pPr>
      <w:r w:rsidRPr="00F6524E">
        <w:rPr>
          <w:rFonts w:cs="Arial"/>
          <w:szCs w:val="20"/>
        </w:rPr>
        <w:t>Forest Practices Authority (FPA) (2010). Forest Practices Authority Annual Report 2009–10. Forest Practices Board, Hobart, Tasmania, Available on the internet at: &lt;http://www.fpa.tas.gov.au/publications/annual_reports&gt;.</w:t>
      </w:r>
    </w:p>
    <w:p w14:paraId="1B5C2F8E" w14:textId="77777777" w:rsidR="00F53D9E" w:rsidRPr="00F6524E" w:rsidRDefault="00AC555B" w:rsidP="00F53D9E">
      <w:pPr>
        <w:spacing w:after="120"/>
        <w:rPr>
          <w:rFonts w:cs="Arial"/>
          <w:szCs w:val="20"/>
        </w:rPr>
      </w:pPr>
      <w:bookmarkStart w:id="364" w:name="OLE_LINK33"/>
      <w:r w:rsidRPr="00F6524E">
        <w:rPr>
          <w:rFonts w:cs="Arial"/>
          <w:szCs w:val="20"/>
        </w:rPr>
        <w:t>Forest Practices Authority 2011. Catchment Management Planning Procedures for Timberlands Pacific Plantations in northeast Tasmania. FPA report, 10 p.</w:t>
      </w:r>
      <w:bookmarkEnd w:id="364"/>
    </w:p>
    <w:p w14:paraId="1B5C2F8F" w14:textId="77777777" w:rsidR="00F53D9E" w:rsidRPr="00F6524E" w:rsidRDefault="00AC555B" w:rsidP="00F53D9E">
      <w:pPr>
        <w:spacing w:after="120"/>
        <w:rPr>
          <w:rFonts w:cs="Arial"/>
          <w:szCs w:val="20"/>
        </w:rPr>
      </w:pPr>
      <w:r w:rsidRPr="00F6524E">
        <w:rPr>
          <w:rFonts w:cs="Arial"/>
          <w:szCs w:val="20"/>
        </w:rPr>
        <w:t>Forest Practices Authority (FPA) (2013). Assessing giant freshwater crayfish habitat in class 4 streams, Fauna Technical Note No. 3. Forest Practices Authority, Hobart, Tasmania.</w:t>
      </w:r>
    </w:p>
    <w:p w14:paraId="1B5C2F90" w14:textId="77777777" w:rsidR="00F53D9E" w:rsidRPr="00F6524E" w:rsidRDefault="00AC555B" w:rsidP="00F53D9E">
      <w:pPr>
        <w:spacing w:after="120"/>
        <w:rPr>
          <w:rFonts w:cs="Arial"/>
          <w:szCs w:val="20"/>
        </w:rPr>
      </w:pPr>
      <w:r w:rsidRPr="00F6524E">
        <w:rPr>
          <w:rFonts w:cs="Arial"/>
          <w:szCs w:val="20"/>
        </w:rPr>
        <w:lastRenderedPageBreak/>
        <w:t xml:space="preserve">Forest Practices Authority (FPA) (2014). Threatened Fauna Adviser: A decision-support system to </w:t>
      </w:r>
      <w:proofErr w:type="gramStart"/>
      <w:r w:rsidRPr="00F6524E">
        <w:rPr>
          <w:rFonts w:cs="Arial"/>
          <w:szCs w:val="20"/>
        </w:rPr>
        <w:t>advise</w:t>
      </w:r>
      <w:proofErr w:type="gramEnd"/>
      <w:r w:rsidRPr="00F6524E">
        <w:rPr>
          <w:rFonts w:cs="Arial"/>
          <w:szCs w:val="20"/>
        </w:rPr>
        <w:t xml:space="preserve"> on the management of threatened fauna in wood production forests in Tasmania.  Forest Practices Authority, Hobart, Tasmania.</w:t>
      </w:r>
    </w:p>
    <w:p w14:paraId="1B5C2F91" w14:textId="77777777" w:rsidR="00F53D9E" w:rsidRPr="00F6524E" w:rsidRDefault="00AC555B" w:rsidP="00F53D9E">
      <w:pPr>
        <w:spacing w:after="120"/>
        <w:rPr>
          <w:rFonts w:cs="Arial"/>
          <w:szCs w:val="20"/>
        </w:rPr>
      </w:pPr>
      <w:r w:rsidRPr="00F6524E">
        <w:rPr>
          <w:rFonts w:cs="Arial"/>
          <w:szCs w:val="20"/>
        </w:rPr>
        <w:t>Forest Practices Authority (FPA) (2015). Forest Practices Code 2015. Forest Practices Authority, Hobart, Tasmania.</w:t>
      </w:r>
    </w:p>
    <w:p w14:paraId="1B5C2F92" w14:textId="77777777" w:rsidR="00F53D9E" w:rsidRPr="00F6524E" w:rsidRDefault="00AC555B" w:rsidP="00F53D9E">
      <w:pPr>
        <w:spacing w:after="120"/>
        <w:rPr>
          <w:rFonts w:cs="Arial"/>
          <w:szCs w:val="20"/>
        </w:rPr>
      </w:pPr>
      <w:r w:rsidRPr="00F6524E">
        <w:rPr>
          <w:rFonts w:cs="Arial"/>
          <w:szCs w:val="20"/>
        </w:rPr>
        <w:t>Forest Practices Board (FPB) (2002). Information sheet Land clearing: changes to legislation. Forest Practices Board, Hobart, Tasmania.</w:t>
      </w:r>
    </w:p>
    <w:p w14:paraId="1B5C2F93" w14:textId="77777777" w:rsidR="00F53D9E" w:rsidRPr="00F6524E" w:rsidRDefault="00AC555B" w:rsidP="00F53D9E">
      <w:pPr>
        <w:spacing w:after="120"/>
        <w:rPr>
          <w:rFonts w:cs="Arial"/>
          <w:szCs w:val="20"/>
        </w:rPr>
      </w:pPr>
      <w:r w:rsidRPr="00F6524E">
        <w:rPr>
          <w:rFonts w:cs="Arial"/>
          <w:szCs w:val="20"/>
        </w:rPr>
        <w:t>Gallagher S (2003). Waterways and Wetlands Works Manual: Environmental best practice guidelines for undertaking works in waterways and wetlands in Tasmania. Department Primary Industries, Water and Environment, Tasmania and the Local Government Association of Tasmania.</w:t>
      </w:r>
    </w:p>
    <w:p w14:paraId="1B5C2F94" w14:textId="77777777" w:rsidR="00F53D9E" w:rsidRPr="00F6524E" w:rsidRDefault="00AC555B" w:rsidP="00F53D9E">
      <w:pPr>
        <w:spacing w:after="120"/>
        <w:rPr>
          <w:rFonts w:cs="Arial"/>
          <w:szCs w:val="20"/>
        </w:rPr>
      </w:pPr>
      <w:r w:rsidRPr="00F6524E">
        <w:rPr>
          <w:rFonts w:cs="Arial"/>
          <w:szCs w:val="20"/>
        </w:rPr>
        <w:t xml:space="preserve">Gibson S (2016). Fears for Tasmanian giant freshwater lobsters after carcasses found following major flooding. ABC News. Viewed on Wednesday 10 August 2016. Available on the internet at: </w:t>
      </w:r>
      <w:hyperlink r:id="rId32" w:history="1">
        <w:r w:rsidRPr="00F6524E">
          <w:rPr>
            <w:rFonts w:cs="Arial"/>
          </w:rPr>
          <w:t>http://www.abc.net.au/news/2016-08-04/giant-fresh-water-crayfish/7690686</w:t>
        </w:r>
      </w:hyperlink>
      <w:r w:rsidRPr="00F6524E">
        <w:rPr>
          <w:rFonts w:cs="Arial"/>
          <w:szCs w:val="20"/>
        </w:rPr>
        <w:t>.</w:t>
      </w:r>
    </w:p>
    <w:p w14:paraId="1B5C2F95" w14:textId="77777777" w:rsidR="00F53D9E" w:rsidRPr="00F6524E" w:rsidRDefault="00AC555B" w:rsidP="00F53D9E">
      <w:pPr>
        <w:spacing w:after="120"/>
        <w:rPr>
          <w:rFonts w:cs="Arial"/>
          <w:szCs w:val="20"/>
        </w:rPr>
      </w:pPr>
      <w:proofErr w:type="spellStart"/>
      <w:r w:rsidRPr="00F6524E">
        <w:rPr>
          <w:rFonts w:cs="Arial"/>
          <w:szCs w:val="20"/>
        </w:rPr>
        <w:t>Gomi</w:t>
      </w:r>
      <w:proofErr w:type="spellEnd"/>
      <w:r w:rsidRPr="00F6524E">
        <w:rPr>
          <w:rFonts w:cs="Arial"/>
          <w:szCs w:val="20"/>
        </w:rPr>
        <w:t xml:space="preserve"> T, Sidle RC and Richardson JS (2002). Understanding processes and downstream linkages of headwater systems. </w:t>
      </w:r>
      <w:proofErr w:type="spellStart"/>
      <w:r w:rsidRPr="00F6524E">
        <w:rPr>
          <w:rFonts w:cs="Arial"/>
          <w:szCs w:val="20"/>
        </w:rPr>
        <w:t>BioScience</w:t>
      </w:r>
      <w:proofErr w:type="spellEnd"/>
      <w:r w:rsidRPr="00F6524E">
        <w:rPr>
          <w:rFonts w:cs="Arial"/>
          <w:szCs w:val="20"/>
        </w:rPr>
        <w:t xml:space="preserve"> 52, 905–916.</w:t>
      </w:r>
    </w:p>
    <w:p w14:paraId="1B5C2F96" w14:textId="77777777" w:rsidR="00F53D9E" w:rsidRPr="00F6524E" w:rsidRDefault="00AC555B" w:rsidP="00F53D9E">
      <w:pPr>
        <w:spacing w:after="120"/>
        <w:rPr>
          <w:rFonts w:cs="Arial"/>
          <w:szCs w:val="20"/>
        </w:rPr>
      </w:pPr>
      <w:r w:rsidRPr="00F6524E">
        <w:rPr>
          <w:rFonts w:cs="Arial"/>
          <w:szCs w:val="20"/>
        </w:rPr>
        <w:t xml:space="preserve">Gregory SV, Swanson FJ, McKee WA and Cummins KW (1991). An ecosystems perspective of riparian zones. </w:t>
      </w:r>
      <w:proofErr w:type="spellStart"/>
      <w:r w:rsidRPr="00F6524E">
        <w:rPr>
          <w:rFonts w:cs="Arial"/>
          <w:szCs w:val="20"/>
        </w:rPr>
        <w:t>BioScience</w:t>
      </w:r>
      <w:proofErr w:type="spellEnd"/>
      <w:r w:rsidRPr="00F6524E">
        <w:rPr>
          <w:rFonts w:cs="Arial"/>
          <w:szCs w:val="20"/>
        </w:rPr>
        <w:t xml:space="preserve"> 41, 540–551.</w:t>
      </w:r>
    </w:p>
    <w:p w14:paraId="1B5C2F97" w14:textId="77777777" w:rsidR="00F53D9E" w:rsidRPr="00F6524E" w:rsidRDefault="00AC555B" w:rsidP="00F53D9E">
      <w:pPr>
        <w:spacing w:after="120"/>
        <w:rPr>
          <w:rFonts w:cs="Arial"/>
          <w:szCs w:val="20"/>
        </w:rPr>
      </w:pPr>
      <w:proofErr w:type="spellStart"/>
      <w:r w:rsidRPr="00F6524E">
        <w:rPr>
          <w:rFonts w:cs="Arial"/>
          <w:szCs w:val="20"/>
        </w:rPr>
        <w:t>Growns</w:t>
      </w:r>
      <w:proofErr w:type="spellEnd"/>
      <w:r w:rsidRPr="00F6524E">
        <w:rPr>
          <w:rFonts w:cs="Arial"/>
          <w:szCs w:val="20"/>
        </w:rPr>
        <w:t xml:space="preserve"> IO (1995).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in streams of the Gog Range, northern Tasmania: the effects of catchment disturbance. Papers and Proceedings of the Royal Society of Tasmania 129, 1-6.</w:t>
      </w:r>
    </w:p>
    <w:p w14:paraId="1B5C2F98" w14:textId="77777777" w:rsidR="00F53D9E" w:rsidRPr="00F6524E" w:rsidRDefault="00AC555B" w:rsidP="00F53D9E">
      <w:pPr>
        <w:spacing w:after="120"/>
        <w:rPr>
          <w:rFonts w:cs="Arial"/>
          <w:szCs w:val="20"/>
        </w:rPr>
      </w:pPr>
      <w:proofErr w:type="spellStart"/>
      <w:r w:rsidRPr="00F6524E">
        <w:rPr>
          <w:rFonts w:cs="Arial"/>
          <w:szCs w:val="20"/>
        </w:rPr>
        <w:t>Growns</w:t>
      </w:r>
      <w:proofErr w:type="spellEnd"/>
      <w:r w:rsidRPr="00F6524E">
        <w:rPr>
          <w:rFonts w:cs="Arial"/>
          <w:szCs w:val="20"/>
        </w:rPr>
        <w:t xml:space="preserve"> IO and Davis JA (1994). Effects of forestry activities (</w:t>
      </w:r>
      <w:proofErr w:type="spellStart"/>
      <w:r w:rsidRPr="00F6524E">
        <w:rPr>
          <w:rFonts w:cs="Arial"/>
          <w:szCs w:val="20"/>
        </w:rPr>
        <w:t>clearfelling</w:t>
      </w:r>
      <w:proofErr w:type="spellEnd"/>
      <w:r w:rsidRPr="00F6524E">
        <w:rPr>
          <w:rFonts w:cs="Arial"/>
          <w:szCs w:val="20"/>
        </w:rPr>
        <w:t>) on stream macroinvertebrate fauna in South-Western Australia. Australian Journal of Marine and Freshwater Restoration 45, 963</w:t>
      </w:r>
      <w:r w:rsidRPr="00F6524E">
        <w:rPr>
          <w:rFonts w:cs="Arial"/>
          <w:szCs w:val="20"/>
        </w:rPr>
        <w:noBreakHyphen/>
        <w:t>975.</w:t>
      </w:r>
    </w:p>
    <w:p w14:paraId="1B5C2F99" w14:textId="77777777" w:rsidR="00F53D9E" w:rsidRPr="00F6524E" w:rsidRDefault="00AC555B" w:rsidP="00F53D9E">
      <w:pPr>
        <w:spacing w:after="120"/>
        <w:rPr>
          <w:rFonts w:cs="Arial"/>
          <w:szCs w:val="20"/>
        </w:rPr>
      </w:pPr>
      <w:r w:rsidRPr="00F6524E">
        <w:rPr>
          <w:rFonts w:cs="Arial"/>
          <w:szCs w:val="20"/>
        </w:rPr>
        <w:t>Hamlet AG (</w:t>
      </w:r>
      <w:proofErr w:type="spellStart"/>
      <w:proofErr w:type="gramStart"/>
      <w:r w:rsidRPr="00F6524E">
        <w:rPr>
          <w:rFonts w:cs="Arial"/>
          <w:szCs w:val="20"/>
        </w:rPr>
        <w:t>ed</w:t>
      </w:r>
      <w:proofErr w:type="spellEnd"/>
      <w:proofErr w:type="gramEnd"/>
      <w:r w:rsidRPr="00F6524E">
        <w:rPr>
          <w:rFonts w:cs="Arial"/>
          <w:szCs w:val="20"/>
        </w:rPr>
        <w:t>) (2002). Soil Management - A Guide for Tasmanian Farmers. First edition, Department of Primary Industries, Water and Environment, Tasmania, Australia.</w:t>
      </w:r>
    </w:p>
    <w:p w14:paraId="1B5C2F9A" w14:textId="77777777" w:rsidR="00F53D9E" w:rsidRPr="00F6524E" w:rsidRDefault="00AC555B" w:rsidP="00F53D9E">
      <w:pPr>
        <w:spacing w:after="120"/>
        <w:rPr>
          <w:rFonts w:cs="Arial"/>
          <w:szCs w:val="20"/>
        </w:rPr>
      </w:pPr>
      <w:proofErr w:type="spellStart"/>
      <w:r w:rsidRPr="00F6524E">
        <w:rPr>
          <w:rFonts w:cs="Arial"/>
          <w:szCs w:val="20"/>
        </w:rPr>
        <w:t>Hamr</w:t>
      </w:r>
      <w:proofErr w:type="spellEnd"/>
      <w:r w:rsidRPr="00F6524E">
        <w:rPr>
          <w:rFonts w:cs="Arial"/>
          <w:szCs w:val="20"/>
        </w:rPr>
        <w:t xml:space="preserve"> P (1990a). Comparative reproductive biology of the Tasmanian freshwater crayfishes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Clark,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franklinii</w:t>
      </w:r>
      <w:proofErr w:type="spellEnd"/>
      <w:r w:rsidRPr="00F6524E">
        <w:rPr>
          <w:rFonts w:cs="Arial"/>
          <w:szCs w:val="20"/>
        </w:rPr>
        <w:t xml:space="preserve"> Gray, and </w:t>
      </w:r>
      <w:proofErr w:type="spellStart"/>
      <w:r w:rsidRPr="009A734A">
        <w:rPr>
          <w:rFonts w:cs="Arial"/>
          <w:i/>
          <w:szCs w:val="20"/>
        </w:rPr>
        <w:t>Parastacoides</w:t>
      </w:r>
      <w:proofErr w:type="spellEnd"/>
      <w:r w:rsidRPr="009A734A">
        <w:rPr>
          <w:rFonts w:cs="Arial"/>
          <w:i/>
          <w:szCs w:val="20"/>
        </w:rPr>
        <w:t xml:space="preserve"> </w:t>
      </w:r>
      <w:proofErr w:type="spellStart"/>
      <w:r w:rsidRPr="009A734A">
        <w:rPr>
          <w:rFonts w:cs="Arial"/>
          <w:i/>
          <w:szCs w:val="20"/>
        </w:rPr>
        <w:t>tasmanicus</w:t>
      </w:r>
      <w:proofErr w:type="spellEnd"/>
      <w:r w:rsidRPr="00F6524E">
        <w:rPr>
          <w:rFonts w:cs="Arial"/>
          <w:szCs w:val="20"/>
        </w:rPr>
        <w:t xml:space="preserve"> Clark (</w:t>
      </w:r>
      <w:proofErr w:type="spellStart"/>
      <w:r w:rsidRPr="00F6524E">
        <w:rPr>
          <w:rFonts w:cs="Arial"/>
          <w:szCs w:val="20"/>
        </w:rPr>
        <w:t>Decapoda</w:t>
      </w:r>
      <w:proofErr w:type="spellEnd"/>
      <w:r w:rsidRPr="00F6524E">
        <w:rPr>
          <w:rFonts w:cs="Arial"/>
          <w:szCs w:val="20"/>
        </w:rPr>
        <w:t xml:space="preserve">: </w:t>
      </w:r>
      <w:proofErr w:type="spellStart"/>
      <w:r w:rsidRPr="00F6524E">
        <w:rPr>
          <w:rFonts w:cs="Arial"/>
          <w:szCs w:val="20"/>
        </w:rPr>
        <w:t>Parastacidae</w:t>
      </w:r>
      <w:proofErr w:type="spellEnd"/>
      <w:r w:rsidRPr="00F6524E">
        <w:rPr>
          <w:rFonts w:cs="Arial"/>
          <w:szCs w:val="20"/>
        </w:rPr>
        <w:t>). Unpublished PhD Thesis, Department of Zoology, University of Tasmania.</w:t>
      </w:r>
    </w:p>
    <w:p w14:paraId="1B5C2F9B" w14:textId="77777777" w:rsidR="00F53D9E" w:rsidRPr="00F6524E" w:rsidRDefault="00AC555B" w:rsidP="00F53D9E">
      <w:pPr>
        <w:spacing w:after="120"/>
        <w:rPr>
          <w:rFonts w:cs="Arial"/>
          <w:szCs w:val="20"/>
        </w:rPr>
      </w:pPr>
      <w:proofErr w:type="spellStart"/>
      <w:r w:rsidRPr="00F6524E">
        <w:rPr>
          <w:rFonts w:cs="Arial"/>
          <w:szCs w:val="20"/>
        </w:rPr>
        <w:t>Hamr</w:t>
      </w:r>
      <w:proofErr w:type="spellEnd"/>
      <w:r w:rsidRPr="00F6524E">
        <w:rPr>
          <w:rFonts w:cs="Arial"/>
          <w:szCs w:val="20"/>
        </w:rPr>
        <w:t xml:space="preserve"> P (1990b). Rare and endangered: Tasmanian giant freshwater crayfish. Australian Natural History 23, 362.</w:t>
      </w:r>
    </w:p>
    <w:p w14:paraId="1B5C2F9C" w14:textId="77777777" w:rsidR="00F53D9E" w:rsidRPr="00F6524E" w:rsidRDefault="00AC555B" w:rsidP="00F53D9E">
      <w:pPr>
        <w:spacing w:after="120"/>
        <w:rPr>
          <w:rFonts w:cs="Arial"/>
          <w:szCs w:val="20"/>
        </w:rPr>
      </w:pPr>
      <w:proofErr w:type="spellStart"/>
      <w:r w:rsidRPr="00F6524E">
        <w:rPr>
          <w:rFonts w:cs="Arial"/>
          <w:szCs w:val="20"/>
        </w:rPr>
        <w:t>Hamr</w:t>
      </w:r>
      <w:proofErr w:type="spellEnd"/>
      <w:r w:rsidRPr="00F6524E">
        <w:rPr>
          <w:rFonts w:cs="Arial"/>
          <w:szCs w:val="20"/>
        </w:rPr>
        <w:t xml:space="preserve"> P (1992). A revision of the Tasmanian freshwater crayfish genus </w:t>
      </w:r>
      <w:proofErr w:type="spellStart"/>
      <w:r w:rsidRPr="009A734A">
        <w:rPr>
          <w:rFonts w:cs="Arial"/>
          <w:i/>
          <w:szCs w:val="20"/>
        </w:rPr>
        <w:t>Astacopsis</w:t>
      </w:r>
      <w:proofErr w:type="spellEnd"/>
      <w:r w:rsidRPr="00F6524E">
        <w:rPr>
          <w:rFonts w:cs="Arial"/>
          <w:szCs w:val="20"/>
        </w:rPr>
        <w:t xml:space="preserve"> Huxley (</w:t>
      </w:r>
      <w:proofErr w:type="spellStart"/>
      <w:r w:rsidRPr="00F6524E">
        <w:rPr>
          <w:rFonts w:cs="Arial"/>
          <w:szCs w:val="20"/>
        </w:rPr>
        <w:t>Decapoda</w:t>
      </w:r>
      <w:proofErr w:type="spellEnd"/>
      <w:r w:rsidRPr="00F6524E">
        <w:rPr>
          <w:rFonts w:cs="Arial"/>
          <w:szCs w:val="20"/>
        </w:rPr>
        <w:t xml:space="preserve">: </w:t>
      </w:r>
      <w:proofErr w:type="spellStart"/>
      <w:r w:rsidRPr="00F6524E">
        <w:rPr>
          <w:rFonts w:cs="Arial"/>
          <w:szCs w:val="20"/>
        </w:rPr>
        <w:t>Parastacidae</w:t>
      </w:r>
      <w:proofErr w:type="spellEnd"/>
      <w:r w:rsidRPr="00F6524E">
        <w:rPr>
          <w:rFonts w:cs="Arial"/>
          <w:szCs w:val="20"/>
        </w:rPr>
        <w:t>) a freshwater crayfish from Tasmania. Papers and Proceedings of the Royal Society of Tasmania 126, 91-94.</w:t>
      </w:r>
    </w:p>
    <w:p w14:paraId="1B5C2F9D" w14:textId="77777777" w:rsidR="00F53D9E" w:rsidRPr="00F6524E" w:rsidRDefault="00AC555B" w:rsidP="00F53D9E">
      <w:pPr>
        <w:spacing w:after="120"/>
        <w:rPr>
          <w:rFonts w:cs="Arial"/>
          <w:szCs w:val="20"/>
        </w:rPr>
      </w:pPr>
      <w:proofErr w:type="spellStart"/>
      <w:r w:rsidRPr="00F6524E">
        <w:rPr>
          <w:rFonts w:cs="Arial"/>
          <w:szCs w:val="20"/>
        </w:rPr>
        <w:t>Hamr</w:t>
      </w:r>
      <w:proofErr w:type="spellEnd"/>
      <w:r w:rsidRPr="00F6524E">
        <w:rPr>
          <w:rFonts w:cs="Arial"/>
          <w:szCs w:val="20"/>
        </w:rPr>
        <w:t xml:space="preserve"> P (1996). A Giant’s Tale: the life history of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w:t>
      </w:r>
      <w:proofErr w:type="spellStart"/>
      <w:r w:rsidRPr="00F6524E">
        <w:rPr>
          <w:rFonts w:cs="Arial"/>
          <w:szCs w:val="20"/>
        </w:rPr>
        <w:t>Decapoda</w:t>
      </w:r>
      <w:proofErr w:type="spellEnd"/>
      <w:r w:rsidRPr="00F6524E">
        <w:rPr>
          <w:rFonts w:cs="Arial"/>
          <w:szCs w:val="20"/>
        </w:rPr>
        <w:t xml:space="preserve">: </w:t>
      </w:r>
      <w:proofErr w:type="spellStart"/>
      <w:r w:rsidRPr="00F6524E">
        <w:rPr>
          <w:rFonts w:cs="Arial"/>
          <w:szCs w:val="20"/>
        </w:rPr>
        <w:t>Parastacidae</w:t>
      </w:r>
      <w:proofErr w:type="spellEnd"/>
      <w:r w:rsidRPr="00F6524E">
        <w:rPr>
          <w:rFonts w:cs="Arial"/>
          <w:szCs w:val="20"/>
        </w:rPr>
        <w:t>). Freshwater Crayfish XI, Lakehead University, Ontario, Canada.</w:t>
      </w:r>
    </w:p>
    <w:p w14:paraId="1B5C2F9E" w14:textId="77777777" w:rsidR="00F53D9E" w:rsidRPr="00F6524E" w:rsidRDefault="00AC555B" w:rsidP="00F53D9E">
      <w:pPr>
        <w:spacing w:after="120"/>
        <w:rPr>
          <w:rFonts w:cs="Arial"/>
          <w:szCs w:val="20"/>
        </w:rPr>
      </w:pPr>
      <w:r w:rsidRPr="00F6524E">
        <w:rPr>
          <w:rFonts w:cs="Arial"/>
          <w:szCs w:val="20"/>
        </w:rPr>
        <w:t>Horwitz P (1990). Conservation status of Australian freshwater Crustacea. Australian National Parks and Wildlife Service Report Series no. 14, Canberra.</w:t>
      </w:r>
    </w:p>
    <w:p w14:paraId="1B5C2F9F" w14:textId="77777777" w:rsidR="00F53D9E" w:rsidRPr="00F6524E" w:rsidRDefault="00AC555B" w:rsidP="00F53D9E">
      <w:pPr>
        <w:spacing w:after="120"/>
        <w:rPr>
          <w:rFonts w:cs="Arial"/>
          <w:szCs w:val="20"/>
        </w:rPr>
      </w:pPr>
      <w:r w:rsidRPr="00F6524E">
        <w:rPr>
          <w:rFonts w:cs="Arial"/>
          <w:szCs w:val="20"/>
        </w:rPr>
        <w:t xml:space="preserve">Horwitz P (1991). On the distribution and exploitation of the Tasmanian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Clark. Centre for Environmental Studies, University of Tasmania, Hobart.</w:t>
      </w:r>
    </w:p>
    <w:p w14:paraId="1B5C2FA0" w14:textId="77777777" w:rsidR="00F53D9E" w:rsidRPr="00F6524E" w:rsidRDefault="00AC555B" w:rsidP="00F53D9E">
      <w:pPr>
        <w:spacing w:after="120"/>
        <w:rPr>
          <w:rFonts w:cs="Arial"/>
          <w:szCs w:val="20"/>
        </w:rPr>
      </w:pPr>
      <w:r w:rsidRPr="00F6524E">
        <w:rPr>
          <w:rFonts w:cs="Arial"/>
          <w:szCs w:val="20"/>
        </w:rPr>
        <w:t xml:space="preserve">Horwitz P (1994). The distribution and conservation status of the Tasmanian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Clark (</w:t>
      </w:r>
      <w:proofErr w:type="spellStart"/>
      <w:r w:rsidRPr="00F6524E">
        <w:rPr>
          <w:rFonts w:cs="Arial"/>
          <w:szCs w:val="20"/>
        </w:rPr>
        <w:t>Decapoda</w:t>
      </w:r>
      <w:proofErr w:type="spellEnd"/>
      <w:r w:rsidRPr="00F6524E">
        <w:rPr>
          <w:rFonts w:cs="Arial"/>
          <w:szCs w:val="20"/>
        </w:rPr>
        <w:t xml:space="preserve">: </w:t>
      </w:r>
      <w:proofErr w:type="spellStart"/>
      <w:r w:rsidRPr="00F6524E">
        <w:rPr>
          <w:rFonts w:cs="Arial"/>
          <w:szCs w:val="20"/>
        </w:rPr>
        <w:t>Parastacidae</w:t>
      </w:r>
      <w:proofErr w:type="spellEnd"/>
      <w:r w:rsidRPr="00F6524E">
        <w:rPr>
          <w:rFonts w:cs="Arial"/>
          <w:szCs w:val="20"/>
        </w:rPr>
        <w:t>). Biological Conservation 69, 199-206.</w:t>
      </w:r>
    </w:p>
    <w:p w14:paraId="1B5C2FA1" w14:textId="77777777" w:rsidR="00F53D9E" w:rsidRPr="00F6524E" w:rsidRDefault="00AC555B" w:rsidP="00F53D9E">
      <w:pPr>
        <w:spacing w:after="120"/>
        <w:rPr>
          <w:rFonts w:cs="Arial"/>
          <w:szCs w:val="20"/>
        </w:rPr>
      </w:pPr>
      <w:r w:rsidRPr="00F6524E">
        <w:rPr>
          <w:rFonts w:cs="Arial"/>
          <w:szCs w:val="20"/>
        </w:rPr>
        <w:t>Inland Fisheries Commission (1993a). Changes to freshwater crayfish regulations. Inland Fisheries Commission Newsletter 22(2), 6.</w:t>
      </w:r>
    </w:p>
    <w:p w14:paraId="1B5C2FA2" w14:textId="77777777" w:rsidR="00F53D9E" w:rsidRPr="00F6524E" w:rsidRDefault="00AC555B" w:rsidP="00F53D9E">
      <w:pPr>
        <w:spacing w:after="120"/>
        <w:rPr>
          <w:rFonts w:cs="Arial"/>
          <w:szCs w:val="20"/>
        </w:rPr>
      </w:pPr>
      <w:r w:rsidRPr="00F6524E">
        <w:rPr>
          <w:rFonts w:cs="Arial"/>
          <w:szCs w:val="20"/>
        </w:rPr>
        <w:t>Inland Fisheries Commission (1993b). Fishing Code: Season ’93 - ’94. Inland Fisheries Commission, Hobart, Tasmania.</w:t>
      </w:r>
    </w:p>
    <w:p w14:paraId="1B5C2FA3" w14:textId="77777777" w:rsidR="00F53D9E" w:rsidRDefault="00AC555B" w:rsidP="00F53D9E">
      <w:pPr>
        <w:spacing w:after="120"/>
        <w:rPr>
          <w:rFonts w:cs="Arial"/>
          <w:szCs w:val="20"/>
        </w:rPr>
      </w:pPr>
      <w:r>
        <w:rPr>
          <w:rFonts w:cs="Arial"/>
          <w:szCs w:val="20"/>
        </w:rPr>
        <w:lastRenderedPageBreak/>
        <w:t xml:space="preserve">Inland Fisheries Service (IFS) (2016). </w:t>
      </w:r>
      <w:r w:rsidRPr="00F6524E">
        <w:rPr>
          <w:rFonts w:cs="Arial"/>
          <w:szCs w:val="20"/>
        </w:rPr>
        <w:t xml:space="preserve">Annual Reports. </w:t>
      </w:r>
      <w:r>
        <w:rPr>
          <w:rFonts w:cs="Arial"/>
          <w:szCs w:val="20"/>
        </w:rPr>
        <w:t xml:space="preserve">Inland Fisheries Service, Hobart, Tasmania. Available on the Internet at:  </w:t>
      </w:r>
      <w:hyperlink r:id="rId33" w:history="1">
        <w:r w:rsidRPr="00F6524E">
          <w:t>http://www.ifs.tas.gov.au/publications/annual-reports</w:t>
        </w:r>
      </w:hyperlink>
    </w:p>
    <w:p w14:paraId="1B5C2FA4" w14:textId="77777777" w:rsidR="00F53D9E" w:rsidRPr="00F6524E" w:rsidRDefault="00AC555B" w:rsidP="00F53D9E">
      <w:pPr>
        <w:spacing w:after="120"/>
        <w:rPr>
          <w:rFonts w:cs="Arial"/>
          <w:szCs w:val="20"/>
        </w:rPr>
      </w:pPr>
      <w:r w:rsidRPr="00F6524E">
        <w:rPr>
          <w:rFonts w:cs="Arial"/>
          <w:szCs w:val="20"/>
        </w:rPr>
        <w:t xml:space="preserve">Jackson JE and </w:t>
      </w:r>
      <w:proofErr w:type="spellStart"/>
      <w:r w:rsidRPr="00F6524E">
        <w:rPr>
          <w:rFonts w:cs="Arial"/>
          <w:szCs w:val="20"/>
        </w:rPr>
        <w:t>Blühdorn</w:t>
      </w:r>
      <w:proofErr w:type="spellEnd"/>
      <w:r w:rsidRPr="00F6524E">
        <w:rPr>
          <w:rFonts w:cs="Arial"/>
          <w:szCs w:val="20"/>
        </w:rPr>
        <w:t xml:space="preserve"> DR (1999). Draft Recovery Plan for the Tasmanian Giant Freshwater Lobster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9A734A">
        <w:rPr>
          <w:rFonts w:cs="Arial"/>
          <w:i/>
          <w:szCs w:val="20"/>
        </w:rPr>
        <w:t xml:space="preserve"> </w:t>
      </w:r>
      <w:r w:rsidRPr="00F6524E">
        <w:rPr>
          <w:rFonts w:cs="Arial"/>
          <w:szCs w:val="20"/>
        </w:rPr>
        <w:t>Clark. Natural Heritage Trust. Hobart, Tasmania: Inland fisheries Service.</w:t>
      </w:r>
    </w:p>
    <w:p w14:paraId="1B5C2FA5" w14:textId="77777777" w:rsidR="00F53D9E" w:rsidRPr="0011736D" w:rsidRDefault="00AC555B" w:rsidP="00F53D9E">
      <w:pPr>
        <w:spacing w:after="120"/>
        <w:rPr>
          <w:rFonts w:cs="Arial"/>
          <w:szCs w:val="20"/>
        </w:rPr>
      </w:pPr>
      <w:r>
        <w:rPr>
          <w:rFonts w:cs="Arial"/>
          <w:szCs w:val="20"/>
        </w:rPr>
        <w:t>Johnson LB and Host GE</w:t>
      </w:r>
      <w:r w:rsidRPr="0011736D">
        <w:rPr>
          <w:rFonts w:cs="Arial"/>
          <w:szCs w:val="20"/>
        </w:rPr>
        <w:t xml:space="preserve"> </w:t>
      </w:r>
      <w:r>
        <w:rPr>
          <w:rFonts w:cs="Arial"/>
          <w:szCs w:val="20"/>
        </w:rPr>
        <w:t>(</w:t>
      </w:r>
      <w:r w:rsidRPr="0011736D">
        <w:rPr>
          <w:rFonts w:cs="Arial"/>
          <w:szCs w:val="20"/>
        </w:rPr>
        <w:t>2010</w:t>
      </w:r>
      <w:r>
        <w:rPr>
          <w:rFonts w:cs="Arial"/>
          <w:szCs w:val="20"/>
        </w:rPr>
        <w:t>)</w:t>
      </w:r>
      <w:r w:rsidRPr="0011736D">
        <w:rPr>
          <w:rFonts w:cs="Arial"/>
          <w:szCs w:val="20"/>
        </w:rPr>
        <w:t>. Recent developments in landscape approaches for the</w:t>
      </w:r>
      <w:r>
        <w:rPr>
          <w:rFonts w:cs="Arial"/>
          <w:szCs w:val="20"/>
        </w:rPr>
        <w:t xml:space="preserve"> study of aquatic ecosystems. </w:t>
      </w:r>
      <w:r w:rsidRPr="008865DD">
        <w:rPr>
          <w:rFonts w:cs="Arial"/>
          <w:i/>
          <w:szCs w:val="20"/>
        </w:rPr>
        <w:t xml:space="preserve">Journal of the North American </w:t>
      </w:r>
      <w:proofErr w:type="spellStart"/>
      <w:r w:rsidRPr="008865DD">
        <w:rPr>
          <w:rFonts w:cs="Arial"/>
          <w:i/>
          <w:szCs w:val="20"/>
        </w:rPr>
        <w:t>Benthological</w:t>
      </w:r>
      <w:proofErr w:type="spellEnd"/>
      <w:r w:rsidRPr="008865DD">
        <w:rPr>
          <w:rFonts w:cs="Arial"/>
          <w:i/>
          <w:szCs w:val="20"/>
        </w:rPr>
        <w:t xml:space="preserve"> Society</w:t>
      </w:r>
      <w:r>
        <w:rPr>
          <w:rFonts w:cs="Arial"/>
          <w:szCs w:val="20"/>
        </w:rPr>
        <w:t xml:space="preserve"> 29,</w:t>
      </w:r>
      <w:r w:rsidRPr="0011736D">
        <w:rPr>
          <w:rFonts w:cs="Arial"/>
          <w:szCs w:val="20"/>
        </w:rPr>
        <w:t xml:space="preserve"> 41–66.</w:t>
      </w:r>
    </w:p>
    <w:p w14:paraId="1B5C2FA6" w14:textId="77777777" w:rsidR="00F53D9E" w:rsidRPr="0011736D" w:rsidRDefault="00AC555B" w:rsidP="00F53D9E">
      <w:pPr>
        <w:spacing w:after="120"/>
        <w:rPr>
          <w:highlight w:val="yellow"/>
        </w:rPr>
      </w:pPr>
      <w:r>
        <w:rPr>
          <w:bCs/>
        </w:rPr>
        <w:t>Lynch DD</w:t>
      </w:r>
      <w:r w:rsidRPr="0011736D">
        <w:rPr>
          <w:bCs/>
        </w:rPr>
        <w:t xml:space="preserve"> </w:t>
      </w:r>
      <w:r>
        <w:rPr>
          <w:bCs/>
        </w:rPr>
        <w:t>(</w:t>
      </w:r>
      <w:r w:rsidRPr="0011736D">
        <w:t>1967</w:t>
      </w:r>
      <w:r>
        <w:t>)</w:t>
      </w:r>
      <w:r w:rsidRPr="0011736D">
        <w:t xml:space="preserve">. A synopsis of biological data of the giant freshwater crayfish </w:t>
      </w:r>
      <w:proofErr w:type="spellStart"/>
      <w:r w:rsidRPr="00C95C88">
        <w:rPr>
          <w:i/>
        </w:rPr>
        <w:t>Astacopsis</w:t>
      </w:r>
      <w:proofErr w:type="spellEnd"/>
      <w:r w:rsidRPr="00C95C88">
        <w:rPr>
          <w:i/>
        </w:rPr>
        <w:t xml:space="preserve"> </w:t>
      </w:r>
      <w:proofErr w:type="spellStart"/>
      <w:r w:rsidRPr="00C95C88">
        <w:rPr>
          <w:i/>
        </w:rPr>
        <w:t>gouldi</w:t>
      </w:r>
      <w:proofErr w:type="spellEnd"/>
      <w:r w:rsidRPr="0011736D">
        <w:t xml:space="preserve"> Clark 1936. Inland Fisheries Commission, Hobart.</w:t>
      </w:r>
    </w:p>
    <w:p w14:paraId="1B5C2FA7" w14:textId="77777777" w:rsidR="00F53D9E" w:rsidRPr="00F6524E" w:rsidRDefault="00AC555B" w:rsidP="00F53D9E">
      <w:pPr>
        <w:spacing w:after="120"/>
        <w:rPr>
          <w:rFonts w:cs="Arial"/>
          <w:szCs w:val="20"/>
        </w:rPr>
      </w:pPr>
      <w:r w:rsidRPr="00F6524E">
        <w:rPr>
          <w:rFonts w:cs="Arial"/>
          <w:szCs w:val="20"/>
        </w:rPr>
        <w:t xml:space="preserve">Lynch T and </w:t>
      </w:r>
      <w:proofErr w:type="spellStart"/>
      <w:r w:rsidRPr="00F6524E">
        <w:rPr>
          <w:rFonts w:cs="Arial"/>
          <w:szCs w:val="20"/>
        </w:rPr>
        <w:t>Blühdorn</w:t>
      </w:r>
      <w:proofErr w:type="spellEnd"/>
      <w:r w:rsidRPr="00F6524E">
        <w:rPr>
          <w:rFonts w:cs="Arial"/>
          <w:szCs w:val="20"/>
        </w:rPr>
        <w:t xml:space="preserve"> DR (1997). Reservation assessment and habitat requirements of the giant Tasmanian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Report to the Tasmanian RFA Environment and Heritage Technical Committee, Hobart.</w:t>
      </w:r>
    </w:p>
    <w:p w14:paraId="1B5C2FA8" w14:textId="77777777" w:rsidR="00F53D9E" w:rsidRPr="00F6524E" w:rsidRDefault="00AC555B" w:rsidP="00F53D9E">
      <w:pPr>
        <w:spacing w:after="120"/>
        <w:rPr>
          <w:rFonts w:cs="Arial"/>
          <w:szCs w:val="20"/>
        </w:rPr>
      </w:pPr>
      <w:r w:rsidRPr="00F6524E">
        <w:rPr>
          <w:rFonts w:cs="Arial"/>
          <w:szCs w:val="20"/>
        </w:rPr>
        <w:t>Maxwell H, Nelson M and Fuller D (1997). Technical report: Ecological Recovery of the Great Forester River (1994-1996). Department of Primary Industries and Fisheries, Hobart.</w:t>
      </w:r>
    </w:p>
    <w:p w14:paraId="1B5C2FA9" w14:textId="77777777" w:rsidR="00F53D9E" w:rsidRPr="00F6524E" w:rsidRDefault="00AC555B" w:rsidP="00F53D9E">
      <w:pPr>
        <w:spacing w:after="120"/>
        <w:rPr>
          <w:rFonts w:cs="Arial"/>
          <w:szCs w:val="20"/>
        </w:rPr>
      </w:pPr>
      <w:r w:rsidRPr="00F6524E">
        <w:rPr>
          <w:rFonts w:cs="Arial"/>
          <w:szCs w:val="20"/>
        </w:rPr>
        <w:t>McIntosh PD (2004). New guidelines for the protection of Class 4 streams. Forest Practices Board, Hobart, Australia.</w:t>
      </w:r>
    </w:p>
    <w:p w14:paraId="1B5C2FAA" w14:textId="77777777" w:rsidR="00F53D9E" w:rsidRPr="00F6524E" w:rsidRDefault="00AC555B" w:rsidP="00F53D9E">
      <w:pPr>
        <w:spacing w:after="120"/>
        <w:rPr>
          <w:rFonts w:cs="Arial"/>
          <w:szCs w:val="20"/>
        </w:rPr>
      </w:pPr>
      <w:r w:rsidRPr="00F6524E">
        <w:rPr>
          <w:rFonts w:cs="Arial"/>
          <w:szCs w:val="20"/>
        </w:rPr>
        <w:t>McIntosh PD (2016). Earth Sciences Report on Oldina and Oonah Landslides and Kona Stream erosion following heavy rain, June 3–12, 2016. FPA report, 18 p.</w:t>
      </w:r>
    </w:p>
    <w:p w14:paraId="1B5C2FAB" w14:textId="77777777" w:rsidR="00F53D9E" w:rsidRPr="00F6524E" w:rsidRDefault="00AC555B" w:rsidP="00F53D9E">
      <w:pPr>
        <w:spacing w:after="120"/>
        <w:rPr>
          <w:rFonts w:cs="Arial"/>
          <w:szCs w:val="20"/>
        </w:rPr>
      </w:pPr>
      <w:r w:rsidRPr="00F6524E">
        <w:rPr>
          <w:rFonts w:cs="Arial"/>
          <w:szCs w:val="20"/>
        </w:rPr>
        <w:t xml:space="preserve">McIntosh PD and </w:t>
      </w:r>
      <w:proofErr w:type="gramStart"/>
      <w:r w:rsidRPr="00F6524E">
        <w:rPr>
          <w:rFonts w:cs="Arial"/>
          <w:szCs w:val="20"/>
        </w:rPr>
        <w:t>Laffan  MD</w:t>
      </w:r>
      <w:proofErr w:type="gramEnd"/>
      <w:r w:rsidRPr="00F6524E">
        <w:rPr>
          <w:rFonts w:cs="Arial"/>
          <w:szCs w:val="20"/>
        </w:rPr>
        <w:t xml:space="preserve"> (2005). Soil erodibility and erosion hazard: extending these cornerstone soil conservation concepts to headwater streams in the forestry estate in Tasmania. Forest Ecology and Management 220, 128–139.</w:t>
      </w:r>
    </w:p>
    <w:p w14:paraId="1B5C2FAC" w14:textId="77777777" w:rsidR="00F53D9E" w:rsidRPr="00F6524E" w:rsidRDefault="00AC555B" w:rsidP="00F53D9E">
      <w:pPr>
        <w:spacing w:after="120"/>
        <w:rPr>
          <w:rFonts w:cs="Arial"/>
          <w:szCs w:val="20"/>
        </w:rPr>
      </w:pPr>
      <w:r w:rsidRPr="00F6524E">
        <w:rPr>
          <w:rFonts w:cs="Arial"/>
          <w:szCs w:val="20"/>
        </w:rPr>
        <w:t xml:space="preserve">McIntosh PD, </w:t>
      </w:r>
      <w:proofErr w:type="spellStart"/>
      <w:r w:rsidRPr="00F6524E">
        <w:rPr>
          <w:rFonts w:cs="Arial"/>
          <w:szCs w:val="20"/>
        </w:rPr>
        <w:t>Ringk</w:t>
      </w:r>
      <w:proofErr w:type="spellEnd"/>
      <w:r w:rsidRPr="00F6524E">
        <w:rPr>
          <w:rFonts w:cs="Arial"/>
          <w:szCs w:val="20"/>
        </w:rPr>
        <w:t xml:space="preserve"> C and Richards K (2007). Stream Erosion in Saddleback Plantation Catchments following Heavy Rainfall in January 2004. FPA report, 35 p.</w:t>
      </w:r>
    </w:p>
    <w:p w14:paraId="1B5C2FAD" w14:textId="77777777" w:rsidR="00F53D9E" w:rsidRPr="00F6524E" w:rsidRDefault="00AC555B" w:rsidP="00F53D9E">
      <w:pPr>
        <w:spacing w:after="120"/>
        <w:rPr>
          <w:rFonts w:cs="Arial"/>
          <w:szCs w:val="20"/>
        </w:rPr>
      </w:pPr>
      <w:r w:rsidRPr="00F6524E">
        <w:rPr>
          <w:rFonts w:cs="Arial"/>
          <w:szCs w:val="20"/>
        </w:rPr>
        <w:t xml:space="preserve">McIntosh PD, </w:t>
      </w:r>
      <w:proofErr w:type="spellStart"/>
      <w:r w:rsidRPr="00F6524E">
        <w:rPr>
          <w:rFonts w:cs="Arial"/>
          <w:szCs w:val="20"/>
        </w:rPr>
        <w:t>Ringk</w:t>
      </w:r>
      <w:proofErr w:type="spellEnd"/>
      <w:r w:rsidRPr="00F6524E">
        <w:rPr>
          <w:rFonts w:cs="Arial"/>
          <w:szCs w:val="20"/>
        </w:rPr>
        <w:t xml:space="preserve"> C and </w:t>
      </w:r>
      <w:proofErr w:type="spellStart"/>
      <w:r w:rsidRPr="00F6524E">
        <w:rPr>
          <w:rFonts w:cs="Arial"/>
          <w:szCs w:val="20"/>
        </w:rPr>
        <w:t>Chuter</w:t>
      </w:r>
      <w:proofErr w:type="spellEnd"/>
      <w:r w:rsidRPr="00F6524E">
        <w:rPr>
          <w:rFonts w:cs="Arial"/>
          <w:szCs w:val="20"/>
        </w:rPr>
        <w:t xml:space="preserve"> A (2014). Sustainable plantation landscapes: field guide to Timberland’s landscape-scale revegetation project: 21 November 2014. Forest Practices Authority, Hobart and Timberlands Pacific Party Ltd, Launceston.</w:t>
      </w:r>
    </w:p>
    <w:p w14:paraId="1B5C2FAE" w14:textId="77777777" w:rsidR="00F53D9E" w:rsidRPr="00F6524E" w:rsidRDefault="00AC555B" w:rsidP="00F53D9E">
      <w:pPr>
        <w:spacing w:after="120"/>
        <w:rPr>
          <w:rFonts w:cs="Arial"/>
          <w:szCs w:val="20"/>
        </w:rPr>
      </w:pPr>
      <w:proofErr w:type="spellStart"/>
      <w:r w:rsidRPr="00F6524E">
        <w:rPr>
          <w:rFonts w:cs="Arial"/>
          <w:szCs w:val="20"/>
        </w:rPr>
        <w:t>Munks</w:t>
      </w:r>
      <w:proofErr w:type="spellEnd"/>
      <w:r w:rsidRPr="00F6524E">
        <w:rPr>
          <w:rFonts w:cs="Arial"/>
          <w:szCs w:val="20"/>
        </w:rPr>
        <w:t xml:space="preserve"> SA (</w:t>
      </w:r>
      <w:proofErr w:type="spellStart"/>
      <w:proofErr w:type="gramStart"/>
      <w:r w:rsidRPr="00F6524E">
        <w:rPr>
          <w:rFonts w:cs="Arial"/>
          <w:szCs w:val="20"/>
        </w:rPr>
        <w:t>ed</w:t>
      </w:r>
      <w:proofErr w:type="spellEnd"/>
      <w:proofErr w:type="gramEnd"/>
      <w:r w:rsidRPr="00F6524E">
        <w:rPr>
          <w:rFonts w:cs="Arial"/>
          <w:szCs w:val="20"/>
        </w:rPr>
        <w:t>) (1996). A Guide to Riparian Vegetation and its Management. Department of Primary Industry and Fisheries, Tasmania, Australia.</w:t>
      </w:r>
    </w:p>
    <w:p w14:paraId="1B5C2FAF" w14:textId="77777777" w:rsidR="00F53D9E" w:rsidRPr="00F6524E" w:rsidRDefault="00AC555B" w:rsidP="00F53D9E">
      <w:pPr>
        <w:spacing w:after="120"/>
        <w:rPr>
          <w:rFonts w:cs="Arial"/>
          <w:szCs w:val="20"/>
        </w:rPr>
      </w:pPr>
      <w:r w:rsidRPr="00F6524E">
        <w:rPr>
          <w:rFonts w:cs="Arial"/>
          <w:szCs w:val="20"/>
        </w:rPr>
        <w:t xml:space="preserve">National Water </w:t>
      </w:r>
      <w:proofErr w:type="spellStart"/>
      <w:r w:rsidRPr="00F6524E">
        <w:rPr>
          <w:rFonts w:cs="Arial"/>
          <w:szCs w:val="20"/>
        </w:rPr>
        <w:t>Commision</w:t>
      </w:r>
      <w:proofErr w:type="spellEnd"/>
      <w:r w:rsidRPr="00F6524E">
        <w:rPr>
          <w:rFonts w:cs="Arial"/>
          <w:szCs w:val="20"/>
        </w:rPr>
        <w:t xml:space="preserve"> (NWC) (2012). Assessing water stress in Australian catchments and aquifers. A report to the Australian Government. National Water Commission, Canberra.</w:t>
      </w:r>
    </w:p>
    <w:p w14:paraId="1B5C2FB0" w14:textId="77777777" w:rsidR="00F53D9E" w:rsidRPr="00F6524E" w:rsidRDefault="00AC555B" w:rsidP="00F53D9E">
      <w:pPr>
        <w:spacing w:after="120"/>
        <w:rPr>
          <w:rFonts w:cs="Arial"/>
          <w:szCs w:val="20"/>
        </w:rPr>
      </w:pPr>
      <w:proofErr w:type="spellStart"/>
      <w:r w:rsidRPr="00F6524E">
        <w:rPr>
          <w:rFonts w:cs="Arial"/>
          <w:szCs w:val="20"/>
        </w:rPr>
        <w:t>Pracejus</w:t>
      </w:r>
      <w:proofErr w:type="spellEnd"/>
      <w:r w:rsidRPr="00F6524E">
        <w:rPr>
          <w:rFonts w:cs="Arial"/>
          <w:szCs w:val="20"/>
        </w:rPr>
        <w:t xml:space="preserve"> A (2016). Improving study designs for assessing forestry impacts on the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Honours thesis, University of Tasmania.</w:t>
      </w:r>
    </w:p>
    <w:p w14:paraId="1B5C2FB1" w14:textId="77777777" w:rsidR="00F53D9E" w:rsidRDefault="00AC555B" w:rsidP="00F53D9E">
      <w:pPr>
        <w:spacing w:after="0"/>
        <w:rPr>
          <w:rFonts w:cs="Arial"/>
          <w:szCs w:val="20"/>
        </w:rPr>
      </w:pPr>
      <w:r w:rsidRPr="00F6524E">
        <w:rPr>
          <w:rFonts w:cs="Arial"/>
          <w:szCs w:val="20"/>
        </w:rPr>
        <w:t>Richman NI et al. (2015). Multiple drivers of decline in the global status of freshwater crayfish (</w:t>
      </w:r>
      <w:proofErr w:type="spellStart"/>
      <w:r w:rsidRPr="00F6524E">
        <w:rPr>
          <w:rFonts w:cs="Arial"/>
          <w:szCs w:val="20"/>
        </w:rPr>
        <w:t>Decapoda</w:t>
      </w:r>
      <w:proofErr w:type="spellEnd"/>
      <w:r w:rsidRPr="00F6524E">
        <w:rPr>
          <w:rFonts w:cs="Arial"/>
          <w:szCs w:val="20"/>
        </w:rPr>
        <w:t xml:space="preserve">: </w:t>
      </w:r>
      <w:proofErr w:type="spellStart"/>
      <w:r w:rsidRPr="00F6524E">
        <w:rPr>
          <w:rFonts w:cs="Arial"/>
          <w:szCs w:val="20"/>
        </w:rPr>
        <w:t>Astacidea</w:t>
      </w:r>
      <w:proofErr w:type="spellEnd"/>
      <w:r w:rsidRPr="00F6524E">
        <w:rPr>
          <w:rFonts w:cs="Arial"/>
          <w:szCs w:val="20"/>
        </w:rPr>
        <w:t xml:space="preserve">). Philosophical Transactions of the Royal Society B 370, 20140060. </w:t>
      </w:r>
    </w:p>
    <w:p w14:paraId="1B5C2FB2" w14:textId="77777777" w:rsidR="00F53D9E" w:rsidRPr="00F6524E" w:rsidRDefault="00AC555B" w:rsidP="00F53D9E">
      <w:pPr>
        <w:spacing w:after="120"/>
        <w:rPr>
          <w:rFonts w:cs="Arial"/>
          <w:szCs w:val="20"/>
        </w:rPr>
      </w:pPr>
      <w:r w:rsidRPr="00F6524E">
        <w:rPr>
          <w:rFonts w:cs="Arial"/>
          <w:szCs w:val="20"/>
        </w:rPr>
        <w:t xml:space="preserve">Available on the Internet at: </w:t>
      </w:r>
      <w:hyperlink r:id="rId34" w:history="1">
        <w:r w:rsidRPr="00F6524E">
          <w:rPr>
            <w:rFonts w:cs="Arial"/>
            <w:szCs w:val="20"/>
          </w:rPr>
          <w:t>http://dx.doi.org/10.1098/rstb.2014.0060</w:t>
        </w:r>
      </w:hyperlink>
      <w:r w:rsidRPr="00F6524E">
        <w:rPr>
          <w:rFonts w:cs="Arial"/>
          <w:szCs w:val="20"/>
        </w:rPr>
        <w:t>.</w:t>
      </w:r>
    </w:p>
    <w:p w14:paraId="1B5C2FB3" w14:textId="77777777" w:rsidR="00F53D9E" w:rsidRPr="00F6524E" w:rsidRDefault="00AC555B" w:rsidP="00F53D9E">
      <w:pPr>
        <w:spacing w:after="120"/>
        <w:rPr>
          <w:rFonts w:cs="Arial"/>
          <w:szCs w:val="20"/>
        </w:rPr>
      </w:pPr>
      <w:r w:rsidRPr="00F6524E">
        <w:rPr>
          <w:rFonts w:cs="Arial"/>
          <w:szCs w:val="20"/>
        </w:rPr>
        <w:t xml:space="preserve">Smith BJ, Davies PE and </w:t>
      </w:r>
      <w:proofErr w:type="spellStart"/>
      <w:r w:rsidRPr="00F6524E">
        <w:rPr>
          <w:rFonts w:cs="Arial"/>
          <w:szCs w:val="20"/>
        </w:rPr>
        <w:t>Munks</w:t>
      </w:r>
      <w:proofErr w:type="spellEnd"/>
      <w:r w:rsidRPr="00F6524E">
        <w:rPr>
          <w:rFonts w:cs="Arial"/>
          <w:szCs w:val="20"/>
        </w:rPr>
        <w:t xml:space="preserve"> SA (2009). Changes in benthic macroinvertebrate communities in upper catchment streams across a gradient of catchment forest operation history. Forest Ecology and Management 257, 2166–2174.</w:t>
      </w:r>
    </w:p>
    <w:p w14:paraId="1B5C2FB4" w14:textId="77777777" w:rsidR="00F53D9E" w:rsidRPr="0011736D" w:rsidRDefault="00AC555B" w:rsidP="00F53D9E">
      <w:pPr>
        <w:spacing w:after="120"/>
        <w:rPr>
          <w:rFonts w:cs="Arial"/>
          <w:szCs w:val="20"/>
        </w:rPr>
      </w:pPr>
      <w:r>
        <w:rPr>
          <w:rFonts w:cs="Arial"/>
          <w:szCs w:val="20"/>
        </w:rPr>
        <w:t>Thompson RM, Phillips NR and Townsend CR</w:t>
      </w:r>
      <w:r w:rsidRPr="0011736D">
        <w:rPr>
          <w:rFonts w:cs="Arial"/>
          <w:szCs w:val="20"/>
        </w:rPr>
        <w:t xml:space="preserve"> </w:t>
      </w:r>
      <w:r>
        <w:rPr>
          <w:rFonts w:cs="Arial"/>
          <w:szCs w:val="20"/>
        </w:rPr>
        <w:t>(</w:t>
      </w:r>
      <w:r w:rsidRPr="0011736D">
        <w:rPr>
          <w:rFonts w:cs="Arial"/>
          <w:szCs w:val="20"/>
        </w:rPr>
        <w:t>2009</w:t>
      </w:r>
      <w:r>
        <w:rPr>
          <w:rFonts w:cs="Arial"/>
          <w:szCs w:val="20"/>
        </w:rPr>
        <w:t>)</w:t>
      </w:r>
      <w:r w:rsidRPr="0011736D">
        <w:rPr>
          <w:rFonts w:cs="Arial"/>
          <w:szCs w:val="20"/>
        </w:rPr>
        <w:t>. Biological consequences of clear-cut logging around streams – moderating eff</w:t>
      </w:r>
      <w:r>
        <w:rPr>
          <w:rFonts w:cs="Arial"/>
          <w:szCs w:val="20"/>
        </w:rPr>
        <w:t xml:space="preserve">ects of management. </w:t>
      </w:r>
      <w:r w:rsidRPr="00F6524E">
        <w:rPr>
          <w:rFonts w:cs="Arial"/>
          <w:szCs w:val="20"/>
        </w:rPr>
        <w:t>Forest Ecology and Management</w:t>
      </w:r>
      <w:r>
        <w:rPr>
          <w:rFonts w:cs="Arial"/>
          <w:szCs w:val="20"/>
        </w:rPr>
        <w:t xml:space="preserve"> 257,</w:t>
      </w:r>
      <w:r w:rsidRPr="0011736D">
        <w:rPr>
          <w:rFonts w:cs="Arial"/>
          <w:szCs w:val="20"/>
        </w:rPr>
        <w:t xml:space="preserve"> 931-940.</w:t>
      </w:r>
    </w:p>
    <w:p w14:paraId="1B5C2FB5" w14:textId="77777777" w:rsidR="00F53D9E" w:rsidRDefault="00AC555B" w:rsidP="00F53D9E">
      <w:pPr>
        <w:spacing w:after="0"/>
        <w:rPr>
          <w:rFonts w:cs="Arial"/>
          <w:szCs w:val="20"/>
        </w:rPr>
      </w:pPr>
      <w:r w:rsidRPr="00F6524E">
        <w:rPr>
          <w:rFonts w:cs="Arial"/>
          <w:szCs w:val="20"/>
        </w:rPr>
        <w:t>Threatened Species Section (TSS) (2006). National Recovery Plan for the Tasmanian Giant Freshwater Crayfish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Hobart, Tasmania: Department of Primary Industries and Water. </w:t>
      </w:r>
    </w:p>
    <w:p w14:paraId="1B5C2FB6" w14:textId="77777777" w:rsidR="00F53D9E" w:rsidRPr="00F6524E" w:rsidRDefault="00AC555B" w:rsidP="00F53D9E">
      <w:pPr>
        <w:spacing w:after="120"/>
        <w:rPr>
          <w:rFonts w:cs="Arial"/>
          <w:szCs w:val="20"/>
        </w:rPr>
      </w:pPr>
      <w:r w:rsidRPr="00F6524E">
        <w:rPr>
          <w:rFonts w:cs="Arial"/>
          <w:szCs w:val="20"/>
        </w:rPr>
        <w:t xml:space="preserve">Available on the Internet at: </w:t>
      </w:r>
      <w:hyperlink r:id="rId35" w:history="1">
        <w:r w:rsidRPr="00F6524E">
          <w:rPr>
            <w:rFonts w:cs="Arial"/>
            <w:szCs w:val="20"/>
          </w:rPr>
          <w:t>http://www.environment.gov.au/biodiversity/threatened/publications/a-gouldi.html</w:t>
        </w:r>
      </w:hyperlink>
      <w:r w:rsidRPr="00F6524E">
        <w:rPr>
          <w:rFonts w:cs="Arial"/>
          <w:szCs w:val="20"/>
        </w:rPr>
        <w:t>.</w:t>
      </w:r>
    </w:p>
    <w:p w14:paraId="1B5C2FB7" w14:textId="77777777" w:rsidR="00F53D9E" w:rsidRPr="00F6524E" w:rsidRDefault="00AC555B" w:rsidP="00F53D9E">
      <w:pPr>
        <w:spacing w:after="120"/>
        <w:rPr>
          <w:rFonts w:cs="Arial"/>
          <w:szCs w:val="20"/>
        </w:rPr>
      </w:pPr>
      <w:r w:rsidRPr="00F6524E">
        <w:rPr>
          <w:rFonts w:cs="Arial"/>
          <w:szCs w:val="20"/>
        </w:rPr>
        <w:lastRenderedPageBreak/>
        <w:t xml:space="preserve">Walsh T and Nash W (2002). Factors influencing the health of the giant freshwater lobster in Tasmanian </w:t>
      </w:r>
      <w:proofErr w:type="gramStart"/>
      <w:r w:rsidRPr="00F6524E">
        <w:rPr>
          <w:rFonts w:cs="Arial"/>
          <w:szCs w:val="20"/>
        </w:rPr>
        <w:t>rivers</w:t>
      </w:r>
      <w:proofErr w:type="gramEnd"/>
      <w:r w:rsidRPr="00F6524E">
        <w:rPr>
          <w:rFonts w:cs="Arial"/>
          <w:szCs w:val="20"/>
        </w:rPr>
        <w:t>. Unpublished report, Inland Fisheries Service, Tasmania.</w:t>
      </w:r>
    </w:p>
    <w:p w14:paraId="1B5C2FB8" w14:textId="77777777" w:rsidR="00F53D9E" w:rsidRPr="00F6524E" w:rsidRDefault="00AC555B" w:rsidP="00F53D9E">
      <w:pPr>
        <w:spacing w:after="120"/>
        <w:rPr>
          <w:rFonts w:cs="Arial"/>
          <w:szCs w:val="20"/>
        </w:rPr>
      </w:pPr>
      <w:r w:rsidRPr="00F6524E">
        <w:rPr>
          <w:rFonts w:cs="Arial"/>
          <w:szCs w:val="20"/>
        </w:rPr>
        <w:t xml:space="preserve">Webb M (2001). Movement patterns and habitat use of adult </w:t>
      </w:r>
      <w:proofErr w:type="spellStart"/>
      <w:r w:rsidRPr="009A734A">
        <w:rPr>
          <w:rFonts w:cs="Arial"/>
          <w:i/>
          <w:szCs w:val="20"/>
        </w:rPr>
        <w:t>Astacopsis</w:t>
      </w:r>
      <w:proofErr w:type="spellEnd"/>
      <w:r w:rsidRPr="009A734A">
        <w:rPr>
          <w:rFonts w:cs="Arial"/>
          <w:i/>
          <w:szCs w:val="20"/>
        </w:rPr>
        <w:t xml:space="preserve"> </w:t>
      </w:r>
      <w:proofErr w:type="spellStart"/>
      <w:r w:rsidRPr="009A734A">
        <w:rPr>
          <w:rFonts w:cs="Arial"/>
          <w:i/>
          <w:szCs w:val="20"/>
        </w:rPr>
        <w:t>gouldi</w:t>
      </w:r>
      <w:proofErr w:type="spellEnd"/>
      <w:r w:rsidRPr="00F6524E">
        <w:rPr>
          <w:rFonts w:cs="Arial"/>
          <w:szCs w:val="20"/>
        </w:rPr>
        <w:t xml:space="preserve"> in the Dip River, north-west Tasmania. Unpublished Honours thesis, School of Zoology, University of Tasmania.</w:t>
      </w:r>
    </w:p>
    <w:p w14:paraId="1B5C2FB9" w14:textId="77777777" w:rsidR="00F53D9E" w:rsidRDefault="00AC555B" w:rsidP="00F53D9E">
      <w:r>
        <w:t>Webb M and</w:t>
      </w:r>
      <w:r w:rsidRPr="0011736D">
        <w:t xml:space="preserve"> Richardson </w:t>
      </w:r>
      <w:r>
        <w:t xml:space="preserve">A </w:t>
      </w:r>
      <w:r w:rsidRPr="0011736D">
        <w:t xml:space="preserve">(2004). A radio telemetry study of movement in the Giant Tasmanian Freshwater Crayfish, </w:t>
      </w:r>
      <w:proofErr w:type="spellStart"/>
      <w:r w:rsidRPr="0011736D">
        <w:rPr>
          <w:i/>
          <w:iCs/>
        </w:rPr>
        <w:t>Astacopsis</w:t>
      </w:r>
      <w:proofErr w:type="spellEnd"/>
      <w:r w:rsidRPr="0011736D">
        <w:rPr>
          <w:i/>
          <w:iCs/>
        </w:rPr>
        <w:t xml:space="preserve"> </w:t>
      </w:r>
      <w:proofErr w:type="spellStart"/>
      <w:r w:rsidRPr="0011736D">
        <w:rPr>
          <w:i/>
          <w:iCs/>
        </w:rPr>
        <w:t>gouldi</w:t>
      </w:r>
      <w:proofErr w:type="spellEnd"/>
      <w:r w:rsidRPr="0011736D">
        <w:t xml:space="preserve">. </w:t>
      </w:r>
      <w:r w:rsidRPr="0011736D">
        <w:rPr>
          <w:i/>
          <w:iCs/>
        </w:rPr>
        <w:t>Freshwater Crayfish</w:t>
      </w:r>
      <w:r>
        <w:t xml:space="preserve"> 14,</w:t>
      </w:r>
      <w:r w:rsidRPr="0011736D">
        <w:t>197-204.</w:t>
      </w:r>
    </w:p>
    <w:p w14:paraId="1B5C2FBA" w14:textId="77777777" w:rsidR="00F53D9E" w:rsidRDefault="00F53D9E" w:rsidP="00F53D9E"/>
    <w:p w14:paraId="1B5C2FBB" w14:textId="77777777" w:rsidR="00F53D9E" w:rsidRDefault="00F53D9E" w:rsidP="00F53D9E"/>
    <w:p w14:paraId="1B5C2FBC" w14:textId="77777777" w:rsidR="00F53D9E" w:rsidRPr="0011736D" w:rsidRDefault="00AC555B" w:rsidP="00F53D9E">
      <w:pPr>
        <w:jc w:val="center"/>
      </w:pPr>
      <w:r>
        <w:rPr>
          <w:noProof/>
        </w:rPr>
        <w:drawing>
          <wp:inline distT="0" distB="0" distL="0" distR="0" wp14:anchorId="1B5C2FC3" wp14:editId="1B5C2FC4">
            <wp:extent cx="3669472" cy="6523171"/>
            <wp:effectExtent l="19050" t="0" r="7178" b="0"/>
            <wp:docPr id="7" name="Picture 6" descr="20151030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101817.jpg"/>
                    <pic:cNvPicPr/>
                  </pic:nvPicPr>
                  <pic:blipFill>
                    <a:blip r:embed="rId36" cstate="print"/>
                    <a:stretch>
                      <a:fillRect/>
                    </a:stretch>
                  </pic:blipFill>
                  <pic:spPr>
                    <a:xfrm>
                      <a:off x="0" y="0"/>
                      <a:ext cx="3666233" cy="6517412"/>
                    </a:xfrm>
                    <a:prstGeom prst="rect">
                      <a:avLst/>
                    </a:prstGeom>
                  </pic:spPr>
                </pic:pic>
              </a:graphicData>
            </a:graphic>
          </wp:inline>
        </w:drawing>
      </w:r>
    </w:p>
    <w:sectPr w:rsidR="00F53D9E" w:rsidRPr="0011736D" w:rsidSect="00F53D9E">
      <w:pgSz w:w="11906" w:h="16838" w:code="9"/>
      <w:pgMar w:top="1440" w:right="1440" w:bottom="1440" w:left="1440"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C2FD2" w14:textId="77777777" w:rsidR="00F53D9E" w:rsidRDefault="00F53D9E">
      <w:pPr>
        <w:spacing w:after="0" w:line="240" w:lineRule="auto"/>
      </w:pPr>
      <w:r>
        <w:separator/>
      </w:r>
    </w:p>
  </w:endnote>
  <w:endnote w:type="continuationSeparator" w:id="0">
    <w:p w14:paraId="1B5C2FD4" w14:textId="77777777" w:rsidR="00F53D9E" w:rsidRDefault="00F53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59"/>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KAGS+Palatino-Roman">
    <w:altName w:val="Book Antiqua"/>
    <w:panose1 w:val="00000000000000000000"/>
    <w:charset w:val="00"/>
    <w:family w:val="roman"/>
    <w:notTrueType/>
    <w:pitch w:val="default"/>
    <w:sig w:usb0="00000003" w:usb1="00000000" w:usb2="00000000" w:usb3="00000000" w:csb0="00000001" w:csb1="00000000"/>
  </w:font>
  <w:font w:name="TUBBOC+Palatino-BoldItalic">
    <w:altName w:val="Book Antiqua"/>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rlito">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397C8" w14:textId="77777777" w:rsidR="00413BEF" w:rsidRDefault="00413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335969"/>
      <w:docPartObj>
        <w:docPartGallery w:val="Page Numbers (Bottom of Page)"/>
        <w:docPartUnique/>
      </w:docPartObj>
    </w:sdtPr>
    <w:sdtEndPr>
      <w:rPr>
        <w:noProof/>
      </w:rPr>
    </w:sdtEndPr>
    <w:sdtContent>
      <w:p w14:paraId="1B5C2FC6" w14:textId="77777777" w:rsidR="00F53D9E" w:rsidRDefault="00F53D9E">
        <w:pPr>
          <w:pStyle w:val="Footer"/>
          <w:jc w:val="center"/>
        </w:pPr>
        <w:r>
          <w:fldChar w:fldCharType="begin"/>
        </w:r>
        <w:r>
          <w:instrText xml:space="preserve"> PAGE   \* MERGEFORMAT </w:instrText>
        </w:r>
        <w:r>
          <w:fldChar w:fldCharType="separate"/>
        </w:r>
        <w:r w:rsidR="00413BEF">
          <w:rPr>
            <w:noProof/>
          </w:rPr>
          <w:t>21</w:t>
        </w:r>
        <w:r>
          <w:rPr>
            <w:noProof/>
          </w:rPr>
          <w:fldChar w:fldCharType="end"/>
        </w:r>
      </w:p>
    </w:sdtContent>
  </w:sdt>
  <w:p w14:paraId="1B5C2FC7" w14:textId="77777777" w:rsidR="00F53D9E" w:rsidRDefault="00F53D9E" w:rsidP="00F53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2FCA" w14:textId="398663D6" w:rsidR="00F53D9E" w:rsidRDefault="00F53D9E" w:rsidP="00F53D9E">
    <w:pPr>
      <w:pStyle w:val="Footer"/>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296283"/>
      <w:docPartObj>
        <w:docPartGallery w:val="Page Numbers (Bottom of Page)"/>
        <w:docPartUnique/>
      </w:docPartObj>
    </w:sdtPr>
    <w:sdtEndPr>
      <w:rPr>
        <w:noProof/>
      </w:rPr>
    </w:sdtEndPr>
    <w:sdtContent>
      <w:p w14:paraId="1B5C2FCC" w14:textId="77777777" w:rsidR="00F53D9E" w:rsidRDefault="00F53D9E">
        <w:pPr>
          <w:pStyle w:val="Footer"/>
          <w:jc w:val="center"/>
        </w:pPr>
        <w:r>
          <w:fldChar w:fldCharType="begin"/>
        </w:r>
        <w:r>
          <w:instrText xml:space="preserve"> PAGE   \* MERGEFORMAT </w:instrText>
        </w:r>
        <w:r>
          <w:fldChar w:fldCharType="separate"/>
        </w:r>
        <w:r w:rsidR="00413BEF">
          <w:rPr>
            <w:noProof/>
          </w:rPr>
          <w:t>18</w:t>
        </w:r>
        <w:r>
          <w:rPr>
            <w:noProof/>
          </w:rPr>
          <w:fldChar w:fldCharType="end"/>
        </w:r>
      </w:p>
    </w:sdtContent>
  </w:sdt>
  <w:p w14:paraId="1B5C2FCD" w14:textId="77777777" w:rsidR="00F53D9E" w:rsidRDefault="00F53D9E" w:rsidP="00F53D9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C2FCE" w14:textId="77777777" w:rsidR="00F53D9E" w:rsidRDefault="00F53D9E">
      <w:pPr>
        <w:spacing w:after="0" w:line="240" w:lineRule="auto"/>
      </w:pPr>
      <w:r>
        <w:separator/>
      </w:r>
    </w:p>
  </w:footnote>
  <w:footnote w:type="continuationSeparator" w:id="0">
    <w:p w14:paraId="1B5C2FD0" w14:textId="77777777" w:rsidR="00F53D9E" w:rsidRDefault="00F53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2FC5" w14:textId="77777777" w:rsidR="00F53D9E" w:rsidRDefault="00413BEF" w:rsidP="00F53D9E">
    <w:pPr>
      <w:pStyle w:val="Classification"/>
    </w:pPr>
    <w:r>
      <w:fldChar w:fldCharType="begin"/>
    </w:r>
    <w:r>
      <w:instrText xml:space="preserve"> DOCPROPERTY SecurityClassification \* MERGEFORMAT </w:instrText>
    </w:r>
    <w:r>
      <w:fldChar w:fldCharType="separate"/>
    </w:r>
    <w:r w:rsidR="00F53D9E">
      <w:rPr>
        <w:b/>
        <w:bCs/>
        <w:lang w:val="en-US"/>
      </w:rPr>
      <w:t xml:space="preserve">UNCLASSIFIED  </w:t>
    </w:r>
    <w:r>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390A0" w14:textId="77777777" w:rsidR="00413BEF" w:rsidRDefault="00413B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2FC8" w14:textId="77777777" w:rsidR="00F53D9E" w:rsidRDefault="00F53D9E" w:rsidP="00F53D9E">
    <w:pPr>
      <w:pStyle w:val="Header"/>
      <w:jc w:val="center"/>
    </w:pPr>
  </w:p>
  <w:p w14:paraId="1B5C2FC9" w14:textId="4079DC68" w:rsidR="00F53D9E" w:rsidRDefault="00F53D9E" w:rsidP="00F53D9E">
    <w:pPr>
      <w:pStyle w:val="Header"/>
      <w:ind w:left="-993" w:firstLine="851"/>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2FCB" w14:textId="77777777" w:rsidR="00F53D9E" w:rsidRDefault="00F53D9E" w:rsidP="00F53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2495"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27F73A8"/>
    <w:multiLevelType w:val="hybridMultilevel"/>
    <w:tmpl w:val="959284FA"/>
    <w:lvl w:ilvl="0" w:tplc="9970004E">
      <w:start w:val="1"/>
      <w:numFmt w:val="bullet"/>
      <w:lvlText w:val=""/>
      <w:lvlJc w:val="left"/>
      <w:pPr>
        <w:ind w:left="1004" w:hanging="360"/>
      </w:pPr>
      <w:rPr>
        <w:rFonts w:ascii="Symbol" w:hAnsi="Symbol" w:hint="default"/>
      </w:rPr>
    </w:lvl>
    <w:lvl w:ilvl="1" w:tplc="2E90A048" w:tentative="1">
      <w:start w:val="1"/>
      <w:numFmt w:val="bullet"/>
      <w:lvlText w:val="o"/>
      <w:lvlJc w:val="left"/>
      <w:pPr>
        <w:ind w:left="1724" w:hanging="360"/>
      </w:pPr>
      <w:rPr>
        <w:rFonts w:ascii="Courier New" w:hAnsi="Courier New" w:cs="Courier New" w:hint="default"/>
      </w:rPr>
    </w:lvl>
    <w:lvl w:ilvl="2" w:tplc="50C27E66" w:tentative="1">
      <w:start w:val="1"/>
      <w:numFmt w:val="bullet"/>
      <w:lvlText w:val=""/>
      <w:lvlJc w:val="left"/>
      <w:pPr>
        <w:ind w:left="2444" w:hanging="360"/>
      </w:pPr>
      <w:rPr>
        <w:rFonts w:ascii="Wingdings" w:hAnsi="Wingdings" w:hint="default"/>
      </w:rPr>
    </w:lvl>
    <w:lvl w:ilvl="3" w:tplc="8D3838F8" w:tentative="1">
      <w:start w:val="1"/>
      <w:numFmt w:val="bullet"/>
      <w:lvlText w:val=""/>
      <w:lvlJc w:val="left"/>
      <w:pPr>
        <w:ind w:left="3164" w:hanging="360"/>
      </w:pPr>
      <w:rPr>
        <w:rFonts w:ascii="Symbol" w:hAnsi="Symbol" w:hint="default"/>
      </w:rPr>
    </w:lvl>
    <w:lvl w:ilvl="4" w:tplc="F196BB38" w:tentative="1">
      <w:start w:val="1"/>
      <w:numFmt w:val="bullet"/>
      <w:lvlText w:val="o"/>
      <w:lvlJc w:val="left"/>
      <w:pPr>
        <w:ind w:left="3884" w:hanging="360"/>
      </w:pPr>
      <w:rPr>
        <w:rFonts w:ascii="Courier New" w:hAnsi="Courier New" w:cs="Courier New" w:hint="default"/>
      </w:rPr>
    </w:lvl>
    <w:lvl w:ilvl="5" w:tplc="F2F092CC" w:tentative="1">
      <w:start w:val="1"/>
      <w:numFmt w:val="bullet"/>
      <w:lvlText w:val=""/>
      <w:lvlJc w:val="left"/>
      <w:pPr>
        <w:ind w:left="4604" w:hanging="360"/>
      </w:pPr>
      <w:rPr>
        <w:rFonts w:ascii="Wingdings" w:hAnsi="Wingdings" w:hint="default"/>
      </w:rPr>
    </w:lvl>
    <w:lvl w:ilvl="6" w:tplc="2FC85E6A" w:tentative="1">
      <w:start w:val="1"/>
      <w:numFmt w:val="bullet"/>
      <w:lvlText w:val=""/>
      <w:lvlJc w:val="left"/>
      <w:pPr>
        <w:ind w:left="5324" w:hanging="360"/>
      </w:pPr>
      <w:rPr>
        <w:rFonts w:ascii="Symbol" w:hAnsi="Symbol" w:hint="default"/>
      </w:rPr>
    </w:lvl>
    <w:lvl w:ilvl="7" w:tplc="7604FD60" w:tentative="1">
      <w:start w:val="1"/>
      <w:numFmt w:val="bullet"/>
      <w:lvlText w:val="o"/>
      <w:lvlJc w:val="left"/>
      <w:pPr>
        <w:ind w:left="6044" w:hanging="360"/>
      </w:pPr>
      <w:rPr>
        <w:rFonts w:ascii="Courier New" w:hAnsi="Courier New" w:cs="Courier New" w:hint="default"/>
      </w:rPr>
    </w:lvl>
    <w:lvl w:ilvl="8" w:tplc="0CB6F4D0" w:tentative="1">
      <w:start w:val="1"/>
      <w:numFmt w:val="bullet"/>
      <w:lvlText w:val=""/>
      <w:lvlJc w:val="left"/>
      <w:pPr>
        <w:ind w:left="6764" w:hanging="360"/>
      </w:pPr>
      <w:rPr>
        <w:rFonts w:ascii="Wingdings" w:hAnsi="Wingdings" w:hint="default"/>
      </w:rPr>
    </w:lvl>
  </w:abstractNum>
  <w:abstractNum w:abstractNumId="2" w15:restartNumberingAfterBreak="0">
    <w:nsid w:val="02E83249"/>
    <w:multiLevelType w:val="hybridMultilevel"/>
    <w:tmpl w:val="8AF2F17E"/>
    <w:lvl w:ilvl="0" w:tplc="EBFE1498">
      <w:start w:val="1"/>
      <w:numFmt w:val="bullet"/>
      <w:lvlText w:val=""/>
      <w:lvlJc w:val="left"/>
      <w:pPr>
        <w:ind w:left="1004" w:hanging="360"/>
      </w:pPr>
      <w:rPr>
        <w:rFonts w:ascii="Symbol" w:hAnsi="Symbol" w:hint="default"/>
      </w:rPr>
    </w:lvl>
    <w:lvl w:ilvl="1" w:tplc="7BB42D8A" w:tentative="1">
      <w:start w:val="1"/>
      <w:numFmt w:val="bullet"/>
      <w:lvlText w:val="o"/>
      <w:lvlJc w:val="left"/>
      <w:pPr>
        <w:ind w:left="1724" w:hanging="360"/>
      </w:pPr>
      <w:rPr>
        <w:rFonts w:ascii="Courier New" w:hAnsi="Courier New" w:cs="Courier New" w:hint="default"/>
      </w:rPr>
    </w:lvl>
    <w:lvl w:ilvl="2" w:tplc="87C40ED2" w:tentative="1">
      <w:start w:val="1"/>
      <w:numFmt w:val="bullet"/>
      <w:lvlText w:val=""/>
      <w:lvlJc w:val="left"/>
      <w:pPr>
        <w:ind w:left="2444" w:hanging="360"/>
      </w:pPr>
      <w:rPr>
        <w:rFonts w:ascii="Wingdings" w:hAnsi="Wingdings" w:hint="default"/>
      </w:rPr>
    </w:lvl>
    <w:lvl w:ilvl="3" w:tplc="E1A61872" w:tentative="1">
      <w:start w:val="1"/>
      <w:numFmt w:val="bullet"/>
      <w:lvlText w:val=""/>
      <w:lvlJc w:val="left"/>
      <w:pPr>
        <w:ind w:left="3164" w:hanging="360"/>
      </w:pPr>
      <w:rPr>
        <w:rFonts w:ascii="Symbol" w:hAnsi="Symbol" w:hint="default"/>
      </w:rPr>
    </w:lvl>
    <w:lvl w:ilvl="4" w:tplc="136C6048" w:tentative="1">
      <w:start w:val="1"/>
      <w:numFmt w:val="bullet"/>
      <w:lvlText w:val="o"/>
      <w:lvlJc w:val="left"/>
      <w:pPr>
        <w:ind w:left="3884" w:hanging="360"/>
      </w:pPr>
      <w:rPr>
        <w:rFonts w:ascii="Courier New" w:hAnsi="Courier New" w:cs="Courier New" w:hint="default"/>
      </w:rPr>
    </w:lvl>
    <w:lvl w:ilvl="5" w:tplc="098210B4" w:tentative="1">
      <w:start w:val="1"/>
      <w:numFmt w:val="bullet"/>
      <w:lvlText w:val=""/>
      <w:lvlJc w:val="left"/>
      <w:pPr>
        <w:ind w:left="4604" w:hanging="360"/>
      </w:pPr>
      <w:rPr>
        <w:rFonts w:ascii="Wingdings" w:hAnsi="Wingdings" w:hint="default"/>
      </w:rPr>
    </w:lvl>
    <w:lvl w:ilvl="6" w:tplc="4D4CCE58" w:tentative="1">
      <w:start w:val="1"/>
      <w:numFmt w:val="bullet"/>
      <w:lvlText w:val=""/>
      <w:lvlJc w:val="left"/>
      <w:pPr>
        <w:ind w:left="5324" w:hanging="360"/>
      </w:pPr>
      <w:rPr>
        <w:rFonts w:ascii="Symbol" w:hAnsi="Symbol" w:hint="default"/>
      </w:rPr>
    </w:lvl>
    <w:lvl w:ilvl="7" w:tplc="8F3A1AFE" w:tentative="1">
      <w:start w:val="1"/>
      <w:numFmt w:val="bullet"/>
      <w:lvlText w:val="o"/>
      <w:lvlJc w:val="left"/>
      <w:pPr>
        <w:ind w:left="6044" w:hanging="360"/>
      </w:pPr>
      <w:rPr>
        <w:rFonts w:ascii="Courier New" w:hAnsi="Courier New" w:cs="Courier New" w:hint="default"/>
      </w:rPr>
    </w:lvl>
    <w:lvl w:ilvl="8" w:tplc="D7DCCB28" w:tentative="1">
      <w:start w:val="1"/>
      <w:numFmt w:val="bullet"/>
      <w:lvlText w:val=""/>
      <w:lvlJc w:val="left"/>
      <w:pPr>
        <w:ind w:left="6764" w:hanging="360"/>
      </w:pPr>
      <w:rPr>
        <w:rFonts w:ascii="Wingdings" w:hAnsi="Wingdings" w:hint="default"/>
      </w:rPr>
    </w:lvl>
  </w:abstractNum>
  <w:abstractNum w:abstractNumId="3" w15:restartNumberingAfterBreak="0">
    <w:nsid w:val="098139FF"/>
    <w:multiLevelType w:val="hybridMultilevel"/>
    <w:tmpl w:val="3788EA4E"/>
    <w:lvl w:ilvl="0" w:tplc="B50288EE">
      <w:start w:val="1"/>
      <w:numFmt w:val="bullet"/>
      <w:lvlText w:val=""/>
      <w:lvlJc w:val="left"/>
      <w:pPr>
        <w:ind w:left="1004" w:hanging="360"/>
      </w:pPr>
      <w:rPr>
        <w:rFonts w:ascii="Symbol" w:hAnsi="Symbol" w:hint="default"/>
      </w:rPr>
    </w:lvl>
    <w:lvl w:ilvl="1" w:tplc="91888AEA" w:tentative="1">
      <w:start w:val="1"/>
      <w:numFmt w:val="bullet"/>
      <w:lvlText w:val="o"/>
      <w:lvlJc w:val="left"/>
      <w:pPr>
        <w:ind w:left="1724" w:hanging="360"/>
      </w:pPr>
      <w:rPr>
        <w:rFonts w:ascii="Courier New" w:hAnsi="Courier New" w:cs="Courier New" w:hint="default"/>
      </w:rPr>
    </w:lvl>
    <w:lvl w:ilvl="2" w:tplc="A1523A88" w:tentative="1">
      <w:start w:val="1"/>
      <w:numFmt w:val="bullet"/>
      <w:lvlText w:val=""/>
      <w:lvlJc w:val="left"/>
      <w:pPr>
        <w:ind w:left="2444" w:hanging="360"/>
      </w:pPr>
      <w:rPr>
        <w:rFonts w:ascii="Wingdings" w:hAnsi="Wingdings" w:hint="default"/>
      </w:rPr>
    </w:lvl>
    <w:lvl w:ilvl="3" w:tplc="F19A5E4A" w:tentative="1">
      <w:start w:val="1"/>
      <w:numFmt w:val="bullet"/>
      <w:lvlText w:val=""/>
      <w:lvlJc w:val="left"/>
      <w:pPr>
        <w:ind w:left="3164" w:hanging="360"/>
      </w:pPr>
      <w:rPr>
        <w:rFonts w:ascii="Symbol" w:hAnsi="Symbol" w:hint="default"/>
      </w:rPr>
    </w:lvl>
    <w:lvl w:ilvl="4" w:tplc="C644D426" w:tentative="1">
      <w:start w:val="1"/>
      <w:numFmt w:val="bullet"/>
      <w:lvlText w:val="o"/>
      <w:lvlJc w:val="left"/>
      <w:pPr>
        <w:ind w:left="3884" w:hanging="360"/>
      </w:pPr>
      <w:rPr>
        <w:rFonts w:ascii="Courier New" w:hAnsi="Courier New" w:cs="Courier New" w:hint="default"/>
      </w:rPr>
    </w:lvl>
    <w:lvl w:ilvl="5" w:tplc="4336F548" w:tentative="1">
      <w:start w:val="1"/>
      <w:numFmt w:val="bullet"/>
      <w:lvlText w:val=""/>
      <w:lvlJc w:val="left"/>
      <w:pPr>
        <w:ind w:left="4604" w:hanging="360"/>
      </w:pPr>
      <w:rPr>
        <w:rFonts w:ascii="Wingdings" w:hAnsi="Wingdings" w:hint="default"/>
      </w:rPr>
    </w:lvl>
    <w:lvl w:ilvl="6" w:tplc="520642E4" w:tentative="1">
      <w:start w:val="1"/>
      <w:numFmt w:val="bullet"/>
      <w:lvlText w:val=""/>
      <w:lvlJc w:val="left"/>
      <w:pPr>
        <w:ind w:left="5324" w:hanging="360"/>
      </w:pPr>
      <w:rPr>
        <w:rFonts w:ascii="Symbol" w:hAnsi="Symbol" w:hint="default"/>
      </w:rPr>
    </w:lvl>
    <w:lvl w:ilvl="7" w:tplc="B63CA714" w:tentative="1">
      <w:start w:val="1"/>
      <w:numFmt w:val="bullet"/>
      <w:lvlText w:val="o"/>
      <w:lvlJc w:val="left"/>
      <w:pPr>
        <w:ind w:left="6044" w:hanging="360"/>
      </w:pPr>
      <w:rPr>
        <w:rFonts w:ascii="Courier New" w:hAnsi="Courier New" w:cs="Courier New" w:hint="default"/>
      </w:rPr>
    </w:lvl>
    <w:lvl w:ilvl="8" w:tplc="35DC8EAE" w:tentative="1">
      <w:start w:val="1"/>
      <w:numFmt w:val="bullet"/>
      <w:lvlText w:val=""/>
      <w:lvlJc w:val="left"/>
      <w:pPr>
        <w:ind w:left="6764" w:hanging="360"/>
      </w:pPr>
      <w:rPr>
        <w:rFonts w:ascii="Wingdings" w:hAnsi="Wingdings" w:hint="default"/>
      </w:rPr>
    </w:lvl>
  </w:abstractNum>
  <w:abstractNum w:abstractNumId="4" w15:restartNumberingAfterBreak="0">
    <w:nsid w:val="0AA62524"/>
    <w:multiLevelType w:val="hybridMultilevel"/>
    <w:tmpl w:val="42F07178"/>
    <w:lvl w:ilvl="0" w:tplc="C040F982">
      <w:start w:val="1"/>
      <w:numFmt w:val="bullet"/>
      <w:lvlText w:val=""/>
      <w:lvlJc w:val="left"/>
      <w:pPr>
        <w:ind w:left="1440" w:hanging="360"/>
      </w:pPr>
      <w:rPr>
        <w:rFonts w:ascii="Symbol" w:hAnsi="Symbol" w:hint="default"/>
      </w:rPr>
    </w:lvl>
    <w:lvl w:ilvl="1" w:tplc="9BCEA09C" w:tentative="1">
      <w:start w:val="1"/>
      <w:numFmt w:val="bullet"/>
      <w:lvlText w:val="o"/>
      <w:lvlJc w:val="left"/>
      <w:pPr>
        <w:ind w:left="2160" w:hanging="360"/>
      </w:pPr>
      <w:rPr>
        <w:rFonts w:ascii="Courier New" w:hAnsi="Courier New" w:cs="Courier New" w:hint="default"/>
      </w:rPr>
    </w:lvl>
    <w:lvl w:ilvl="2" w:tplc="3022FC10" w:tentative="1">
      <w:start w:val="1"/>
      <w:numFmt w:val="bullet"/>
      <w:lvlText w:val=""/>
      <w:lvlJc w:val="left"/>
      <w:pPr>
        <w:ind w:left="2880" w:hanging="360"/>
      </w:pPr>
      <w:rPr>
        <w:rFonts w:ascii="Wingdings" w:hAnsi="Wingdings" w:hint="default"/>
      </w:rPr>
    </w:lvl>
    <w:lvl w:ilvl="3" w:tplc="8716DB8E" w:tentative="1">
      <w:start w:val="1"/>
      <w:numFmt w:val="bullet"/>
      <w:lvlText w:val=""/>
      <w:lvlJc w:val="left"/>
      <w:pPr>
        <w:ind w:left="3600" w:hanging="360"/>
      </w:pPr>
      <w:rPr>
        <w:rFonts w:ascii="Symbol" w:hAnsi="Symbol" w:hint="default"/>
      </w:rPr>
    </w:lvl>
    <w:lvl w:ilvl="4" w:tplc="64BE4CDA" w:tentative="1">
      <w:start w:val="1"/>
      <w:numFmt w:val="bullet"/>
      <w:lvlText w:val="o"/>
      <w:lvlJc w:val="left"/>
      <w:pPr>
        <w:ind w:left="4320" w:hanging="360"/>
      </w:pPr>
      <w:rPr>
        <w:rFonts w:ascii="Courier New" w:hAnsi="Courier New" w:cs="Courier New" w:hint="default"/>
      </w:rPr>
    </w:lvl>
    <w:lvl w:ilvl="5" w:tplc="9AF63D4C" w:tentative="1">
      <w:start w:val="1"/>
      <w:numFmt w:val="bullet"/>
      <w:lvlText w:val=""/>
      <w:lvlJc w:val="left"/>
      <w:pPr>
        <w:ind w:left="5040" w:hanging="360"/>
      </w:pPr>
      <w:rPr>
        <w:rFonts w:ascii="Wingdings" w:hAnsi="Wingdings" w:hint="default"/>
      </w:rPr>
    </w:lvl>
    <w:lvl w:ilvl="6" w:tplc="DFAED274" w:tentative="1">
      <w:start w:val="1"/>
      <w:numFmt w:val="bullet"/>
      <w:lvlText w:val=""/>
      <w:lvlJc w:val="left"/>
      <w:pPr>
        <w:ind w:left="5760" w:hanging="360"/>
      </w:pPr>
      <w:rPr>
        <w:rFonts w:ascii="Symbol" w:hAnsi="Symbol" w:hint="default"/>
      </w:rPr>
    </w:lvl>
    <w:lvl w:ilvl="7" w:tplc="2D64DE82" w:tentative="1">
      <w:start w:val="1"/>
      <w:numFmt w:val="bullet"/>
      <w:lvlText w:val="o"/>
      <w:lvlJc w:val="left"/>
      <w:pPr>
        <w:ind w:left="6480" w:hanging="360"/>
      </w:pPr>
      <w:rPr>
        <w:rFonts w:ascii="Courier New" w:hAnsi="Courier New" w:cs="Courier New" w:hint="default"/>
      </w:rPr>
    </w:lvl>
    <w:lvl w:ilvl="8" w:tplc="C2560DD0" w:tentative="1">
      <w:start w:val="1"/>
      <w:numFmt w:val="bullet"/>
      <w:lvlText w:val=""/>
      <w:lvlJc w:val="left"/>
      <w:pPr>
        <w:ind w:left="7200" w:hanging="360"/>
      </w:pPr>
      <w:rPr>
        <w:rFonts w:ascii="Wingdings" w:hAnsi="Wingdings" w:hint="default"/>
      </w:rPr>
    </w:lvl>
  </w:abstractNum>
  <w:abstractNum w:abstractNumId="5" w15:restartNumberingAfterBreak="0">
    <w:nsid w:val="0D647A6D"/>
    <w:multiLevelType w:val="hybridMultilevel"/>
    <w:tmpl w:val="DE2E470C"/>
    <w:lvl w:ilvl="0" w:tplc="86A04CF8">
      <w:numFmt w:val="bullet"/>
      <w:lvlText w:val="-"/>
      <w:lvlJc w:val="left"/>
      <w:pPr>
        <w:ind w:left="720" w:hanging="360"/>
      </w:pPr>
      <w:rPr>
        <w:rFonts w:ascii="Times New Roman" w:eastAsia="Times New Roman" w:hAnsi="Times New Roman" w:cs="Times New Roman" w:hint="default"/>
      </w:rPr>
    </w:lvl>
    <w:lvl w:ilvl="1" w:tplc="57109D56" w:tentative="1">
      <w:start w:val="1"/>
      <w:numFmt w:val="bullet"/>
      <w:lvlText w:val="o"/>
      <w:lvlJc w:val="left"/>
      <w:pPr>
        <w:ind w:left="1800" w:hanging="360"/>
      </w:pPr>
      <w:rPr>
        <w:rFonts w:ascii="Courier New" w:hAnsi="Courier New" w:cs="Courier New" w:hint="default"/>
      </w:rPr>
    </w:lvl>
    <w:lvl w:ilvl="2" w:tplc="52D8BC66" w:tentative="1">
      <w:start w:val="1"/>
      <w:numFmt w:val="bullet"/>
      <w:lvlText w:val=""/>
      <w:lvlJc w:val="left"/>
      <w:pPr>
        <w:ind w:left="2520" w:hanging="360"/>
      </w:pPr>
      <w:rPr>
        <w:rFonts w:ascii="Wingdings" w:hAnsi="Wingdings" w:hint="default"/>
      </w:rPr>
    </w:lvl>
    <w:lvl w:ilvl="3" w:tplc="4998C0D2" w:tentative="1">
      <w:start w:val="1"/>
      <w:numFmt w:val="bullet"/>
      <w:lvlText w:val=""/>
      <w:lvlJc w:val="left"/>
      <w:pPr>
        <w:ind w:left="3240" w:hanging="360"/>
      </w:pPr>
      <w:rPr>
        <w:rFonts w:ascii="Symbol" w:hAnsi="Symbol" w:hint="default"/>
      </w:rPr>
    </w:lvl>
    <w:lvl w:ilvl="4" w:tplc="E71C9AF8" w:tentative="1">
      <w:start w:val="1"/>
      <w:numFmt w:val="bullet"/>
      <w:lvlText w:val="o"/>
      <w:lvlJc w:val="left"/>
      <w:pPr>
        <w:ind w:left="3960" w:hanging="360"/>
      </w:pPr>
      <w:rPr>
        <w:rFonts w:ascii="Courier New" w:hAnsi="Courier New" w:cs="Courier New" w:hint="default"/>
      </w:rPr>
    </w:lvl>
    <w:lvl w:ilvl="5" w:tplc="C8BEB60A" w:tentative="1">
      <w:start w:val="1"/>
      <w:numFmt w:val="bullet"/>
      <w:lvlText w:val=""/>
      <w:lvlJc w:val="left"/>
      <w:pPr>
        <w:ind w:left="4680" w:hanging="360"/>
      </w:pPr>
      <w:rPr>
        <w:rFonts w:ascii="Wingdings" w:hAnsi="Wingdings" w:hint="default"/>
      </w:rPr>
    </w:lvl>
    <w:lvl w:ilvl="6" w:tplc="44DE6E18" w:tentative="1">
      <w:start w:val="1"/>
      <w:numFmt w:val="bullet"/>
      <w:lvlText w:val=""/>
      <w:lvlJc w:val="left"/>
      <w:pPr>
        <w:ind w:left="5400" w:hanging="360"/>
      </w:pPr>
      <w:rPr>
        <w:rFonts w:ascii="Symbol" w:hAnsi="Symbol" w:hint="default"/>
      </w:rPr>
    </w:lvl>
    <w:lvl w:ilvl="7" w:tplc="1558581C" w:tentative="1">
      <w:start w:val="1"/>
      <w:numFmt w:val="bullet"/>
      <w:lvlText w:val="o"/>
      <w:lvlJc w:val="left"/>
      <w:pPr>
        <w:ind w:left="6120" w:hanging="360"/>
      </w:pPr>
      <w:rPr>
        <w:rFonts w:ascii="Courier New" w:hAnsi="Courier New" w:cs="Courier New" w:hint="default"/>
      </w:rPr>
    </w:lvl>
    <w:lvl w:ilvl="8" w:tplc="9670CB08" w:tentative="1">
      <w:start w:val="1"/>
      <w:numFmt w:val="bullet"/>
      <w:lvlText w:val=""/>
      <w:lvlJc w:val="left"/>
      <w:pPr>
        <w:ind w:left="6840" w:hanging="360"/>
      </w:pPr>
      <w:rPr>
        <w:rFonts w:ascii="Wingdings" w:hAnsi="Wingdings" w:hint="default"/>
      </w:rPr>
    </w:lvl>
  </w:abstractNum>
  <w:abstractNum w:abstractNumId="6" w15:restartNumberingAfterBreak="0">
    <w:nsid w:val="19E21BA3"/>
    <w:multiLevelType w:val="hybridMultilevel"/>
    <w:tmpl w:val="C616C256"/>
    <w:lvl w:ilvl="0" w:tplc="CA849ECA">
      <w:start w:val="1"/>
      <w:numFmt w:val="bullet"/>
      <w:lvlText w:val=""/>
      <w:lvlJc w:val="left"/>
      <w:pPr>
        <w:ind w:left="360" w:hanging="360"/>
      </w:pPr>
      <w:rPr>
        <w:rFonts w:ascii="Symbol" w:hAnsi="Symbol" w:hint="default"/>
      </w:rPr>
    </w:lvl>
    <w:lvl w:ilvl="1" w:tplc="4CC0EAE2" w:tentative="1">
      <w:start w:val="1"/>
      <w:numFmt w:val="bullet"/>
      <w:lvlText w:val="o"/>
      <w:lvlJc w:val="left"/>
      <w:pPr>
        <w:ind w:left="1080" w:hanging="360"/>
      </w:pPr>
      <w:rPr>
        <w:rFonts w:ascii="Courier New" w:hAnsi="Courier New" w:cs="Courier New" w:hint="default"/>
      </w:rPr>
    </w:lvl>
    <w:lvl w:ilvl="2" w:tplc="8F5A0FFE" w:tentative="1">
      <w:start w:val="1"/>
      <w:numFmt w:val="bullet"/>
      <w:lvlText w:val=""/>
      <w:lvlJc w:val="left"/>
      <w:pPr>
        <w:ind w:left="1800" w:hanging="360"/>
      </w:pPr>
      <w:rPr>
        <w:rFonts w:ascii="Wingdings" w:hAnsi="Wingdings" w:hint="default"/>
      </w:rPr>
    </w:lvl>
    <w:lvl w:ilvl="3" w:tplc="F034C4AC" w:tentative="1">
      <w:start w:val="1"/>
      <w:numFmt w:val="bullet"/>
      <w:lvlText w:val=""/>
      <w:lvlJc w:val="left"/>
      <w:pPr>
        <w:ind w:left="2520" w:hanging="360"/>
      </w:pPr>
      <w:rPr>
        <w:rFonts w:ascii="Symbol" w:hAnsi="Symbol" w:hint="default"/>
      </w:rPr>
    </w:lvl>
    <w:lvl w:ilvl="4" w:tplc="7422DA54" w:tentative="1">
      <w:start w:val="1"/>
      <w:numFmt w:val="bullet"/>
      <w:lvlText w:val="o"/>
      <w:lvlJc w:val="left"/>
      <w:pPr>
        <w:ind w:left="3240" w:hanging="360"/>
      </w:pPr>
      <w:rPr>
        <w:rFonts w:ascii="Courier New" w:hAnsi="Courier New" w:cs="Courier New" w:hint="default"/>
      </w:rPr>
    </w:lvl>
    <w:lvl w:ilvl="5" w:tplc="771A9EF2" w:tentative="1">
      <w:start w:val="1"/>
      <w:numFmt w:val="bullet"/>
      <w:lvlText w:val=""/>
      <w:lvlJc w:val="left"/>
      <w:pPr>
        <w:ind w:left="3960" w:hanging="360"/>
      </w:pPr>
      <w:rPr>
        <w:rFonts w:ascii="Wingdings" w:hAnsi="Wingdings" w:hint="default"/>
      </w:rPr>
    </w:lvl>
    <w:lvl w:ilvl="6" w:tplc="148C7F20" w:tentative="1">
      <w:start w:val="1"/>
      <w:numFmt w:val="bullet"/>
      <w:lvlText w:val=""/>
      <w:lvlJc w:val="left"/>
      <w:pPr>
        <w:ind w:left="4680" w:hanging="360"/>
      </w:pPr>
      <w:rPr>
        <w:rFonts w:ascii="Symbol" w:hAnsi="Symbol" w:hint="default"/>
      </w:rPr>
    </w:lvl>
    <w:lvl w:ilvl="7" w:tplc="6B0C1BD8" w:tentative="1">
      <w:start w:val="1"/>
      <w:numFmt w:val="bullet"/>
      <w:lvlText w:val="o"/>
      <w:lvlJc w:val="left"/>
      <w:pPr>
        <w:ind w:left="5400" w:hanging="360"/>
      </w:pPr>
      <w:rPr>
        <w:rFonts w:ascii="Courier New" w:hAnsi="Courier New" w:cs="Courier New" w:hint="default"/>
      </w:rPr>
    </w:lvl>
    <w:lvl w:ilvl="8" w:tplc="893431A4" w:tentative="1">
      <w:start w:val="1"/>
      <w:numFmt w:val="bullet"/>
      <w:lvlText w:val=""/>
      <w:lvlJc w:val="left"/>
      <w:pPr>
        <w:ind w:left="6120" w:hanging="360"/>
      </w:pPr>
      <w:rPr>
        <w:rFonts w:ascii="Wingdings" w:hAnsi="Wingdings" w:hint="default"/>
      </w:rPr>
    </w:lvl>
  </w:abstractNum>
  <w:abstractNum w:abstractNumId="7" w15:restartNumberingAfterBreak="0">
    <w:nsid w:val="1BD03F7C"/>
    <w:multiLevelType w:val="hybridMultilevel"/>
    <w:tmpl w:val="6A628ED6"/>
    <w:lvl w:ilvl="0" w:tplc="C890D3FE">
      <w:start w:val="1"/>
      <w:numFmt w:val="bullet"/>
      <w:lvlText w:val=""/>
      <w:lvlJc w:val="left"/>
      <w:pPr>
        <w:ind w:left="1440" w:hanging="360"/>
      </w:pPr>
      <w:rPr>
        <w:rFonts w:ascii="Symbol" w:hAnsi="Symbol" w:hint="default"/>
      </w:rPr>
    </w:lvl>
    <w:lvl w:ilvl="1" w:tplc="455C6CBC" w:tentative="1">
      <w:start w:val="1"/>
      <w:numFmt w:val="bullet"/>
      <w:lvlText w:val="o"/>
      <w:lvlJc w:val="left"/>
      <w:pPr>
        <w:ind w:left="2160" w:hanging="360"/>
      </w:pPr>
      <w:rPr>
        <w:rFonts w:ascii="Courier New" w:hAnsi="Courier New" w:cs="Courier New" w:hint="default"/>
      </w:rPr>
    </w:lvl>
    <w:lvl w:ilvl="2" w:tplc="FE9C51D2">
      <w:start w:val="1"/>
      <w:numFmt w:val="bullet"/>
      <w:lvlText w:val=""/>
      <w:lvlJc w:val="left"/>
      <w:pPr>
        <w:ind w:left="2880" w:hanging="360"/>
      </w:pPr>
      <w:rPr>
        <w:rFonts w:ascii="Wingdings" w:hAnsi="Wingdings" w:hint="default"/>
      </w:rPr>
    </w:lvl>
    <w:lvl w:ilvl="3" w:tplc="65FE3684" w:tentative="1">
      <w:start w:val="1"/>
      <w:numFmt w:val="bullet"/>
      <w:lvlText w:val=""/>
      <w:lvlJc w:val="left"/>
      <w:pPr>
        <w:ind w:left="3600" w:hanging="360"/>
      </w:pPr>
      <w:rPr>
        <w:rFonts w:ascii="Symbol" w:hAnsi="Symbol" w:hint="default"/>
      </w:rPr>
    </w:lvl>
    <w:lvl w:ilvl="4" w:tplc="E21AA252" w:tentative="1">
      <w:start w:val="1"/>
      <w:numFmt w:val="bullet"/>
      <w:lvlText w:val="o"/>
      <w:lvlJc w:val="left"/>
      <w:pPr>
        <w:ind w:left="4320" w:hanging="360"/>
      </w:pPr>
      <w:rPr>
        <w:rFonts w:ascii="Courier New" w:hAnsi="Courier New" w:cs="Courier New" w:hint="default"/>
      </w:rPr>
    </w:lvl>
    <w:lvl w:ilvl="5" w:tplc="9E50CC48" w:tentative="1">
      <w:start w:val="1"/>
      <w:numFmt w:val="bullet"/>
      <w:lvlText w:val=""/>
      <w:lvlJc w:val="left"/>
      <w:pPr>
        <w:ind w:left="5040" w:hanging="360"/>
      </w:pPr>
      <w:rPr>
        <w:rFonts w:ascii="Wingdings" w:hAnsi="Wingdings" w:hint="default"/>
      </w:rPr>
    </w:lvl>
    <w:lvl w:ilvl="6" w:tplc="9E5C9560" w:tentative="1">
      <w:start w:val="1"/>
      <w:numFmt w:val="bullet"/>
      <w:lvlText w:val=""/>
      <w:lvlJc w:val="left"/>
      <w:pPr>
        <w:ind w:left="5760" w:hanging="360"/>
      </w:pPr>
      <w:rPr>
        <w:rFonts w:ascii="Symbol" w:hAnsi="Symbol" w:hint="default"/>
      </w:rPr>
    </w:lvl>
    <w:lvl w:ilvl="7" w:tplc="F64C63D8" w:tentative="1">
      <w:start w:val="1"/>
      <w:numFmt w:val="bullet"/>
      <w:lvlText w:val="o"/>
      <w:lvlJc w:val="left"/>
      <w:pPr>
        <w:ind w:left="6480" w:hanging="360"/>
      </w:pPr>
      <w:rPr>
        <w:rFonts w:ascii="Courier New" w:hAnsi="Courier New" w:cs="Courier New" w:hint="default"/>
      </w:rPr>
    </w:lvl>
    <w:lvl w:ilvl="8" w:tplc="C6AC5694" w:tentative="1">
      <w:start w:val="1"/>
      <w:numFmt w:val="bullet"/>
      <w:lvlText w:val=""/>
      <w:lvlJc w:val="left"/>
      <w:pPr>
        <w:ind w:left="7200" w:hanging="360"/>
      </w:pPr>
      <w:rPr>
        <w:rFonts w:ascii="Wingdings" w:hAnsi="Wingdings" w:hint="default"/>
      </w:rPr>
    </w:lvl>
  </w:abstractNum>
  <w:abstractNum w:abstractNumId="8" w15:restartNumberingAfterBreak="0">
    <w:nsid w:val="23B16D53"/>
    <w:multiLevelType w:val="hybridMultilevel"/>
    <w:tmpl w:val="C48CCAB4"/>
    <w:lvl w:ilvl="0" w:tplc="F24CCC9E">
      <w:start w:val="1"/>
      <w:numFmt w:val="bullet"/>
      <w:lvlText w:val=""/>
      <w:lvlJc w:val="left"/>
      <w:pPr>
        <w:ind w:left="360" w:hanging="360"/>
      </w:pPr>
      <w:rPr>
        <w:rFonts w:ascii="Symbol" w:hAnsi="Symbol" w:hint="default"/>
      </w:rPr>
    </w:lvl>
    <w:lvl w:ilvl="1" w:tplc="71787358" w:tentative="1">
      <w:start w:val="1"/>
      <w:numFmt w:val="bullet"/>
      <w:lvlText w:val="o"/>
      <w:lvlJc w:val="left"/>
      <w:pPr>
        <w:ind w:left="1080" w:hanging="360"/>
      </w:pPr>
      <w:rPr>
        <w:rFonts w:ascii="Courier New" w:hAnsi="Courier New" w:cs="Courier New" w:hint="default"/>
      </w:rPr>
    </w:lvl>
    <w:lvl w:ilvl="2" w:tplc="8220A2AE" w:tentative="1">
      <w:start w:val="1"/>
      <w:numFmt w:val="bullet"/>
      <w:lvlText w:val=""/>
      <w:lvlJc w:val="left"/>
      <w:pPr>
        <w:ind w:left="1800" w:hanging="360"/>
      </w:pPr>
      <w:rPr>
        <w:rFonts w:ascii="Wingdings" w:hAnsi="Wingdings" w:hint="default"/>
      </w:rPr>
    </w:lvl>
    <w:lvl w:ilvl="3" w:tplc="54166404" w:tentative="1">
      <w:start w:val="1"/>
      <w:numFmt w:val="bullet"/>
      <w:lvlText w:val=""/>
      <w:lvlJc w:val="left"/>
      <w:pPr>
        <w:ind w:left="2520" w:hanging="360"/>
      </w:pPr>
      <w:rPr>
        <w:rFonts w:ascii="Symbol" w:hAnsi="Symbol" w:hint="default"/>
      </w:rPr>
    </w:lvl>
    <w:lvl w:ilvl="4" w:tplc="78CCCBF4" w:tentative="1">
      <w:start w:val="1"/>
      <w:numFmt w:val="bullet"/>
      <w:lvlText w:val="o"/>
      <w:lvlJc w:val="left"/>
      <w:pPr>
        <w:ind w:left="3240" w:hanging="360"/>
      </w:pPr>
      <w:rPr>
        <w:rFonts w:ascii="Courier New" w:hAnsi="Courier New" w:cs="Courier New" w:hint="default"/>
      </w:rPr>
    </w:lvl>
    <w:lvl w:ilvl="5" w:tplc="00D0630A" w:tentative="1">
      <w:start w:val="1"/>
      <w:numFmt w:val="bullet"/>
      <w:lvlText w:val=""/>
      <w:lvlJc w:val="left"/>
      <w:pPr>
        <w:ind w:left="3960" w:hanging="360"/>
      </w:pPr>
      <w:rPr>
        <w:rFonts w:ascii="Wingdings" w:hAnsi="Wingdings" w:hint="default"/>
      </w:rPr>
    </w:lvl>
    <w:lvl w:ilvl="6" w:tplc="D160DD4E" w:tentative="1">
      <w:start w:val="1"/>
      <w:numFmt w:val="bullet"/>
      <w:lvlText w:val=""/>
      <w:lvlJc w:val="left"/>
      <w:pPr>
        <w:ind w:left="4680" w:hanging="360"/>
      </w:pPr>
      <w:rPr>
        <w:rFonts w:ascii="Symbol" w:hAnsi="Symbol" w:hint="default"/>
      </w:rPr>
    </w:lvl>
    <w:lvl w:ilvl="7" w:tplc="7EF4B4E4" w:tentative="1">
      <w:start w:val="1"/>
      <w:numFmt w:val="bullet"/>
      <w:lvlText w:val="o"/>
      <w:lvlJc w:val="left"/>
      <w:pPr>
        <w:ind w:left="5400" w:hanging="360"/>
      </w:pPr>
      <w:rPr>
        <w:rFonts w:ascii="Courier New" w:hAnsi="Courier New" w:cs="Courier New" w:hint="default"/>
      </w:rPr>
    </w:lvl>
    <w:lvl w:ilvl="8" w:tplc="3A46F244" w:tentative="1">
      <w:start w:val="1"/>
      <w:numFmt w:val="bullet"/>
      <w:lvlText w:val=""/>
      <w:lvlJc w:val="left"/>
      <w:pPr>
        <w:ind w:left="6120" w:hanging="360"/>
      </w:pPr>
      <w:rPr>
        <w:rFonts w:ascii="Wingdings" w:hAnsi="Wingdings" w:hint="default"/>
      </w:rPr>
    </w:lvl>
  </w:abstractNum>
  <w:abstractNum w:abstractNumId="9" w15:restartNumberingAfterBreak="0">
    <w:nsid w:val="2CF03F63"/>
    <w:multiLevelType w:val="singleLevel"/>
    <w:tmpl w:val="0C090001"/>
    <w:lvl w:ilvl="0">
      <w:start w:val="1"/>
      <w:numFmt w:val="bullet"/>
      <w:pStyle w:val="ListBullet4"/>
      <w:lvlText w:val=""/>
      <w:lvlJc w:val="left"/>
      <w:pPr>
        <w:ind w:left="720" w:hanging="360"/>
      </w:pPr>
      <w:rPr>
        <w:rFonts w:ascii="Symbol" w:hAnsi="Symbol" w:hint="default"/>
      </w:rPr>
    </w:lvl>
  </w:abstractNum>
  <w:abstractNum w:abstractNumId="10" w15:restartNumberingAfterBreak="0">
    <w:nsid w:val="2F395439"/>
    <w:multiLevelType w:val="hybridMultilevel"/>
    <w:tmpl w:val="8834CEFA"/>
    <w:lvl w:ilvl="0" w:tplc="7736B3B2">
      <w:start w:val="1"/>
      <w:numFmt w:val="bullet"/>
      <w:lvlText w:val=""/>
      <w:lvlJc w:val="left"/>
      <w:pPr>
        <w:ind w:left="1004" w:hanging="360"/>
      </w:pPr>
      <w:rPr>
        <w:rFonts w:ascii="Symbol" w:hAnsi="Symbol" w:hint="default"/>
      </w:rPr>
    </w:lvl>
    <w:lvl w:ilvl="1" w:tplc="352C5936" w:tentative="1">
      <w:start w:val="1"/>
      <w:numFmt w:val="bullet"/>
      <w:lvlText w:val="o"/>
      <w:lvlJc w:val="left"/>
      <w:pPr>
        <w:ind w:left="1724" w:hanging="360"/>
      </w:pPr>
      <w:rPr>
        <w:rFonts w:ascii="Courier New" w:hAnsi="Courier New" w:cs="Courier New" w:hint="default"/>
      </w:rPr>
    </w:lvl>
    <w:lvl w:ilvl="2" w:tplc="F078B7A0" w:tentative="1">
      <w:start w:val="1"/>
      <w:numFmt w:val="bullet"/>
      <w:lvlText w:val=""/>
      <w:lvlJc w:val="left"/>
      <w:pPr>
        <w:ind w:left="2444" w:hanging="360"/>
      </w:pPr>
      <w:rPr>
        <w:rFonts w:ascii="Wingdings" w:hAnsi="Wingdings" w:hint="default"/>
      </w:rPr>
    </w:lvl>
    <w:lvl w:ilvl="3" w:tplc="2D988CA0" w:tentative="1">
      <w:start w:val="1"/>
      <w:numFmt w:val="bullet"/>
      <w:lvlText w:val=""/>
      <w:lvlJc w:val="left"/>
      <w:pPr>
        <w:ind w:left="3164" w:hanging="360"/>
      </w:pPr>
      <w:rPr>
        <w:rFonts w:ascii="Symbol" w:hAnsi="Symbol" w:hint="default"/>
      </w:rPr>
    </w:lvl>
    <w:lvl w:ilvl="4" w:tplc="7C067B16" w:tentative="1">
      <w:start w:val="1"/>
      <w:numFmt w:val="bullet"/>
      <w:lvlText w:val="o"/>
      <w:lvlJc w:val="left"/>
      <w:pPr>
        <w:ind w:left="3884" w:hanging="360"/>
      </w:pPr>
      <w:rPr>
        <w:rFonts w:ascii="Courier New" w:hAnsi="Courier New" w:cs="Courier New" w:hint="default"/>
      </w:rPr>
    </w:lvl>
    <w:lvl w:ilvl="5" w:tplc="91887D96" w:tentative="1">
      <w:start w:val="1"/>
      <w:numFmt w:val="bullet"/>
      <w:lvlText w:val=""/>
      <w:lvlJc w:val="left"/>
      <w:pPr>
        <w:ind w:left="4604" w:hanging="360"/>
      </w:pPr>
      <w:rPr>
        <w:rFonts w:ascii="Wingdings" w:hAnsi="Wingdings" w:hint="default"/>
      </w:rPr>
    </w:lvl>
    <w:lvl w:ilvl="6" w:tplc="5E124DFA" w:tentative="1">
      <w:start w:val="1"/>
      <w:numFmt w:val="bullet"/>
      <w:lvlText w:val=""/>
      <w:lvlJc w:val="left"/>
      <w:pPr>
        <w:ind w:left="5324" w:hanging="360"/>
      </w:pPr>
      <w:rPr>
        <w:rFonts w:ascii="Symbol" w:hAnsi="Symbol" w:hint="default"/>
      </w:rPr>
    </w:lvl>
    <w:lvl w:ilvl="7" w:tplc="E64A32E2" w:tentative="1">
      <w:start w:val="1"/>
      <w:numFmt w:val="bullet"/>
      <w:lvlText w:val="o"/>
      <w:lvlJc w:val="left"/>
      <w:pPr>
        <w:ind w:left="6044" w:hanging="360"/>
      </w:pPr>
      <w:rPr>
        <w:rFonts w:ascii="Courier New" w:hAnsi="Courier New" w:cs="Courier New" w:hint="default"/>
      </w:rPr>
    </w:lvl>
    <w:lvl w:ilvl="8" w:tplc="840422FE" w:tentative="1">
      <w:start w:val="1"/>
      <w:numFmt w:val="bullet"/>
      <w:lvlText w:val=""/>
      <w:lvlJc w:val="left"/>
      <w:pPr>
        <w:ind w:left="6764" w:hanging="360"/>
      </w:pPr>
      <w:rPr>
        <w:rFonts w:ascii="Wingdings" w:hAnsi="Wingdings" w:hint="default"/>
      </w:rPr>
    </w:lvl>
  </w:abstractNum>
  <w:abstractNum w:abstractNumId="11"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517656"/>
    <w:multiLevelType w:val="hybridMultilevel"/>
    <w:tmpl w:val="232CC594"/>
    <w:lvl w:ilvl="0" w:tplc="50D6803C">
      <w:start w:val="1"/>
      <w:numFmt w:val="bullet"/>
      <w:lvlText w:val=""/>
      <w:lvlJc w:val="left"/>
      <w:pPr>
        <w:ind w:left="765" w:hanging="360"/>
      </w:pPr>
      <w:rPr>
        <w:rFonts w:ascii="Symbol" w:hAnsi="Symbol" w:hint="default"/>
      </w:rPr>
    </w:lvl>
    <w:lvl w:ilvl="1" w:tplc="DFE62B92" w:tentative="1">
      <w:start w:val="1"/>
      <w:numFmt w:val="bullet"/>
      <w:lvlText w:val="o"/>
      <w:lvlJc w:val="left"/>
      <w:pPr>
        <w:ind w:left="1485" w:hanging="360"/>
      </w:pPr>
      <w:rPr>
        <w:rFonts w:ascii="Courier New" w:hAnsi="Courier New" w:cs="Courier New" w:hint="default"/>
      </w:rPr>
    </w:lvl>
    <w:lvl w:ilvl="2" w:tplc="DFBA9C82" w:tentative="1">
      <w:start w:val="1"/>
      <w:numFmt w:val="bullet"/>
      <w:lvlText w:val=""/>
      <w:lvlJc w:val="left"/>
      <w:pPr>
        <w:ind w:left="2205" w:hanging="360"/>
      </w:pPr>
      <w:rPr>
        <w:rFonts w:ascii="Wingdings" w:hAnsi="Wingdings" w:hint="default"/>
      </w:rPr>
    </w:lvl>
    <w:lvl w:ilvl="3" w:tplc="B764FD52" w:tentative="1">
      <w:start w:val="1"/>
      <w:numFmt w:val="bullet"/>
      <w:lvlText w:val=""/>
      <w:lvlJc w:val="left"/>
      <w:pPr>
        <w:ind w:left="2925" w:hanging="360"/>
      </w:pPr>
      <w:rPr>
        <w:rFonts w:ascii="Symbol" w:hAnsi="Symbol" w:hint="default"/>
      </w:rPr>
    </w:lvl>
    <w:lvl w:ilvl="4" w:tplc="B8CCE62E" w:tentative="1">
      <w:start w:val="1"/>
      <w:numFmt w:val="bullet"/>
      <w:lvlText w:val="o"/>
      <w:lvlJc w:val="left"/>
      <w:pPr>
        <w:ind w:left="3645" w:hanging="360"/>
      </w:pPr>
      <w:rPr>
        <w:rFonts w:ascii="Courier New" w:hAnsi="Courier New" w:cs="Courier New" w:hint="default"/>
      </w:rPr>
    </w:lvl>
    <w:lvl w:ilvl="5" w:tplc="339895B8" w:tentative="1">
      <w:start w:val="1"/>
      <w:numFmt w:val="bullet"/>
      <w:lvlText w:val=""/>
      <w:lvlJc w:val="left"/>
      <w:pPr>
        <w:ind w:left="4365" w:hanging="360"/>
      </w:pPr>
      <w:rPr>
        <w:rFonts w:ascii="Wingdings" w:hAnsi="Wingdings" w:hint="default"/>
      </w:rPr>
    </w:lvl>
    <w:lvl w:ilvl="6" w:tplc="37DC54A4" w:tentative="1">
      <w:start w:val="1"/>
      <w:numFmt w:val="bullet"/>
      <w:lvlText w:val=""/>
      <w:lvlJc w:val="left"/>
      <w:pPr>
        <w:ind w:left="5085" w:hanging="360"/>
      </w:pPr>
      <w:rPr>
        <w:rFonts w:ascii="Symbol" w:hAnsi="Symbol" w:hint="default"/>
      </w:rPr>
    </w:lvl>
    <w:lvl w:ilvl="7" w:tplc="6CC6657E" w:tentative="1">
      <w:start w:val="1"/>
      <w:numFmt w:val="bullet"/>
      <w:lvlText w:val="o"/>
      <w:lvlJc w:val="left"/>
      <w:pPr>
        <w:ind w:left="5805" w:hanging="360"/>
      </w:pPr>
      <w:rPr>
        <w:rFonts w:ascii="Courier New" w:hAnsi="Courier New" w:cs="Courier New" w:hint="default"/>
      </w:rPr>
    </w:lvl>
    <w:lvl w:ilvl="8" w:tplc="E90284B6" w:tentative="1">
      <w:start w:val="1"/>
      <w:numFmt w:val="bullet"/>
      <w:lvlText w:val=""/>
      <w:lvlJc w:val="left"/>
      <w:pPr>
        <w:ind w:left="6525" w:hanging="360"/>
      </w:pPr>
      <w:rPr>
        <w:rFonts w:ascii="Wingdings" w:hAnsi="Wingdings" w:hint="default"/>
      </w:rPr>
    </w:lvl>
  </w:abstractNum>
  <w:abstractNum w:abstractNumId="1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F53E92"/>
    <w:multiLevelType w:val="hybridMultilevel"/>
    <w:tmpl w:val="357898BA"/>
    <w:lvl w:ilvl="0" w:tplc="31D2A2A2">
      <w:start w:val="1"/>
      <w:numFmt w:val="bullet"/>
      <w:lvlText w:val=""/>
      <w:lvlJc w:val="left"/>
      <w:pPr>
        <w:ind w:left="720" w:hanging="360"/>
      </w:pPr>
      <w:rPr>
        <w:rFonts w:ascii="Symbol" w:hAnsi="Symbol" w:hint="default"/>
      </w:rPr>
    </w:lvl>
    <w:lvl w:ilvl="1" w:tplc="96E2DEEE">
      <w:start w:val="1"/>
      <w:numFmt w:val="bullet"/>
      <w:lvlText w:val="o"/>
      <w:lvlJc w:val="left"/>
      <w:pPr>
        <w:ind w:left="1440" w:hanging="360"/>
      </w:pPr>
      <w:rPr>
        <w:rFonts w:ascii="Courier New" w:hAnsi="Courier New" w:cs="Courier New" w:hint="default"/>
      </w:rPr>
    </w:lvl>
    <w:lvl w:ilvl="2" w:tplc="E202275A" w:tentative="1">
      <w:start w:val="1"/>
      <w:numFmt w:val="bullet"/>
      <w:lvlText w:val=""/>
      <w:lvlJc w:val="left"/>
      <w:pPr>
        <w:ind w:left="2160" w:hanging="360"/>
      </w:pPr>
      <w:rPr>
        <w:rFonts w:ascii="Wingdings" w:hAnsi="Wingdings" w:hint="default"/>
      </w:rPr>
    </w:lvl>
    <w:lvl w:ilvl="3" w:tplc="0B8EC664" w:tentative="1">
      <w:start w:val="1"/>
      <w:numFmt w:val="bullet"/>
      <w:lvlText w:val=""/>
      <w:lvlJc w:val="left"/>
      <w:pPr>
        <w:ind w:left="2880" w:hanging="360"/>
      </w:pPr>
      <w:rPr>
        <w:rFonts w:ascii="Symbol" w:hAnsi="Symbol" w:hint="default"/>
      </w:rPr>
    </w:lvl>
    <w:lvl w:ilvl="4" w:tplc="842C31A6" w:tentative="1">
      <w:start w:val="1"/>
      <w:numFmt w:val="bullet"/>
      <w:lvlText w:val="o"/>
      <w:lvlJc w:val="left"/>
      <w:pPr>
        <w:ind w:left="3600" w:hanging="360"/>
      </w:pPr>
      <w:rPr>
        <w:rFonts w:ascii="Courier New" w:hAnsi="Courier New" w:cs="Courier New" w:hint="default"/>
      </w:rPr>
    </w:lvl>
    <w:lvl w:ilvl="5" w:tplc="0F36D6E8" w:tentative="1">
      <w:start w:val="1"/>
      <w:numFmt w:val="bullet"/>
      <w:lvlText w:val=""/>
      <w:lvlJc w:val="left"/>
      <w:pPr>
        <w:ind w:left="4320" w:hanging="360"/>
      </w:pPr>
      <w:rPr>
        <w:rFonts w:ascii="Wingdings" w:hAnsi="Wingdings" w:hint="default"/>
      </w:rPr>
    </w:lvl>
    <w:lvl w:ilvl="6" w:tplc="283AB3D6" w:tentative="1">
      <w:start w:val="1"/>
      <w:numFmt w:val="bullet"/>
      <w:lvlText w:val=""/>
      <w:lvlJc w:val="left"/>
      <w:pPr>
        <w:ind w:left="5040" w:hanging="360"/>
      </w:pPr>
      <w:rPr>
        <w:rFonts w:ascii="Symbol" w:hAnsi="Symbol" w:hint="default"/>
      </w:rPr>
    </w:lvl>
    <w:lvl w:ilvl="7" w:tplc="BF92F15C" w:tentative="1">
      <w:start w:val="1"/>
      <w:numFmt w:val="bullet"/>
      <w:lvlText w:val="o"/>
      <w:lvlJc w:val="left"/>
      <w:pPr>
        <w:ind w:left="5760" w:hanging="360"/>
      </w:pPr>
      <w:rPr>
        <w:rFonts w:ascii="Courier New" w:hAnsi="Courier New" w:cs="Courier New" w:hint="default"/>
      </w:rPr>
    </w:lvl>
    <w:lvl w:ilvl="8" w:tplc="F96AFEBC" w:tentative="1">
      <w:start w:val="1"/>
      <w:numFmt w:val="bullet"/>
      <w:lvlText w:val=""/>
      <w:lvlJc w:val="left"/>
      <w:pPr>
        <w:ind w:left="6480" w:hanging="360"/>
      </w:pPr>
      <w:rPr>
        <w:rFonts w:ascii="Wingdings" w:hAnsi="Wingdings" w:hint="default"/>
      </w:rPr>
    </w:lvl>
  </w:abstractNum>
  <w:abstractNum w:abstractNumId="15" w15:restartNumberingAfterBreak="0">
    <w:nsid w:val="40873AC0"/>
    <w:multiLevelType w:val="hybridMultilevel"/>
    <w:tmpl w:val="4E941AA0"/>
    <w:lvl w:ilvl="0" w:tplc="FDF89D38">
      <w:start w:val="1"/>
      <w:numFmt w:val="bullet"/>
      <w:lvlText w:val=""/>
      <w:lvlJc w:val="left"/>
      <w:pPr>
        <w:ind w:left="360" w:hanging="360"/>
      </w:pPr>
      <w:rPr>
        <w:rFonts w:ascii="Symbol" w:hAnsi="Symbol" w:hint="default"/>
      </w:rPr>
    </w:lvl>
    <w:lvl w:ilvl="1" w:tplc="1D107548" w:tentative="1">
      <w:start w:val="1"/>
      <w:numFmt w:val="bullet"/>
      <w:lvlText w:val="o"/>
      <w:lvlJc w:val="left"/>
      <w:pPr>
        <w:ind w:left="1080" w:hanging="360"/>
      </w:pPr>
      <w:rPr>
        <w:rFonts w:ascii="Courier New" w:hAnsi="Courier New" w:cs="Courier New" w:hint="default"/>
      </w:rPr>
    </w:lvl>
    <w:lvl w:ilvl="2" w:tplc="CCE27AD4" w:tentative="1">
      <w:start w:val="1"/>
      <w:numFmt w:val="bullet"/>
      <w:lvlText w:val=""/>
      <w:lvlJc w:val="left"/>
      <w:pPr>
        <w:ind w:left="1800" w:hanging="360"/>
      </w:pPr>
      <w:rPr>
        <w:rFonts w:ascii="Wingdings" w:hAnsi="Wingdings" w:hint="default"/>
      </w:rPr>
    </w:lvl>
    <w:lvl w:ilvl="3" w:tplc="8A729F74" w:tentative="1">
      <w:start w:val="1"/>
      <w:numFmt w:val="bullet"/>
      <w:lvlText w:val=""/>
      <w:lvlJc w:val="left"/>
      <w:pPr>
        <w:ind w:left="2520" w:hanging="360"/>
      </w:pPr>
      <w:rPr>
        <w:rFonts w:ascii="Symbol" w:hAnsi="Symbol" w:hint="default"/>
      </w:rPr>
    </w:lvl>
    <w:lvl w:ilvl="4" w:tplc="8F1EE234" w:tentative="1">
      <w:start w:val="1"/>
      <w:numFmt w:val="bullet"/>
      <w:lvlText w:val="o"/>
      <w:lvlJc w:val="left"/>
      <w:pPr>
        <w:ind w:left="3240" w:hanging="360"/>
      </w:pPr>
      <w:rPr>
        <w:rFonts w:ascii="Courier New" w:hAnsi="Courier New" w:cs="Courier New" w:hint="default"/>
      </w:rPr>
    </w:lvl>
    <w:lvl w:ilvl="5" w:tplc="9CFE241C" w:tentative="1">
      <w:start w:val="1"/>
      <w:numFmt w:val="bullet"/>
      <w:lvlText w:val=""/>
      <w:lvlJc w:val="left"/>
      <w:pPr>
        <w:ind w:left="3960" w:hanging="360"/>
      </w:pPr>
      <w:rPr>
        <w:rFonts w:ascii="Wingdings" w:hAnsi="Wingdings" w:hint="default"/>
      </w:rPr>
    </w:lvl>
    <w:lvl w:ilvl="6" w:tplc="B09CD36E" w:tentative="1">
      <w:start w:val="1"/>
      <w:numFmt w:val="bullet"/>
      <w:lvlText w:val=""/>
      <w:lvlJc w:val="left"/>
      <w:pPr>
        <w:ind w:left="4680" w:hanging="360"/>
      </w:pPr>
      <w:rPr>
        <w:rFonts w:ascii="Symbol" w:hAnsi="Symbol" w:hint="default"/>
      </w:rPr>
    </w:lvl>
    <w:lvl w:ilvl="7" w:tplc="BE622E42" w:tentative="1">
      <w:start w:val="1"/>
      <w:numFmt w:val="bullet"/>
      <w:lvlText w:val="o"/>
      <w:lvlJc w:val="left"/>
      <w:pPr>
        <w:ind w:left="5400" w:hanging="360"/>
      </w:pPr>
      <w:rPr>
        <w:rFonts w:ascii="Courier New" w:hAnsi="Courier New" w:cs="Courier New" w:hint="default"/>
      </w:rPr>
    </w:lvl>
    <w:lvl w:ilvl="8" w:tplc="E7A8A0DA" w:tentative="1">
      <w:start w:val="1"/>
      <w:numFmt w:val="bullet"/>
      <w:lvlText w:val=""/>
      <w:lvlJc w:val="left"/>
      <w:pPr>
        <w:ind w:left="6120" w:hanging="360"/>
      </w:pPr>
      <w:rPr>
        <w:rFonts w:ascii="Wingdings" w:hAnsi="Wingdings" w:hint="default"/>
      </w:rPr>
    </w:lvl>
  </w:abstractNum>
  <w:abstractNum w:abstractNumId="16" w15:restartNumberingAfterBreak="0">
    <w:nsid w:val="466B4874"/>
    <w:multiLevelType w:val="hybridMultilevel"/>
    <w:tmpl w:val="961E8A6A"/>
    <w:lvl w:ilvl="0" w:tplc="B8923EA8">
      <w:start w:val="1"/>
      <w:numFmt w:val="bullet"/>
      <w:lvlText w:val=""/>
      <w:lvlJc w:val="left"/>
      <w:pPr>
        <w:ind w:left="1004" w:hanging="360"/>
      </w:pPr>
      <w:rPr>
        <w:rFonts w:ascii="Symbol" w:hAnsi="Symbol" w:hint="default"/>
      </w:rPr>
    </w:lvl>
    <w:lvl w:ilvl="1" w:tplc="26F6016E" w:tentative="1">
      <w:start w:val="1"/>
      <w:numFmt w:val="bullet"/>
      <w:lvlText w:val="o"/>
      <w:lvlJc w:val="left"/>
      <w:pPr>
        <w:ind w:left="1724" w:hanging="360"/>
      </w:pPr>
      <w:rPr>
        <w:rFonts w:ascii="Courier New" w:hAnsi="Courier New" w:cs="Courier New" w:hint="default"/>
      </w:rPr>
    </w:lvl>
    <w:lvl w:ilvl="2" w:tplc="51909316" w:tentative="1">
      <w:start w:val="1"/>
      <w:numFmt w:val="bullet"/>
      <w:lvlText w:val=""/>
      <w:lvlJc w:val="left"/>
      <w:pPr>
        <w:ind w:left="2444" w:hanging="360"/>
      </w:pPr>
      <w:rPr>
        <w:rFonts w:ascii="Wingdings" w:hAnsi="Wingdings" w:hint="default"/>
      </w:rPr>
    </w:lvl>
    <w:lvl w:ilvl="3" w:tplc="3FAACCE0" w:tentative="1">
      <w:start w:val="1"/>
      <w:numFmt w:val="bullet"/>
      <w:lvlText w:val=""/>
      <w:lvlJc w:val="left"/>
      <w:pPr>
        <w:ind w:left="3164" w:hanging="360"/>
      </w:pPr>
      <w:rPr>
        <w:rFonts w:ascii="Symbol" w:hAnsi="Symbol" w:hint="default"/>
      </w:rPr>
    </w:lvl>
    <w:lvl w:ilvl="4" w:tplc="25EE9E68" w:tentative="1">
      <w:start w:val="1"/>
      <w:numFmt w:val="bullet"/>
      <w:lvlText w:val="o"/>
      <w:lvlJc w:val="left"/>
      <w:pPr>
        <w:ind w:left="3884" w:hanging="360"/>
      </w:pPr>
      <w:rPr>
        <w:rFonts w:ascii="Courier New" w:hAnsi="Courier New" w:cs="Courier New" w:hint="default"/>
      </w:rPr>
    </w:lvl>
    <w:lvl w:ilvl="5" w:tplc="70A287F4" w:tentative="1">
      <w:start w:val="1"/>
      <w:numFmt w:val="bullet"/>
      <w:lvlText w:val=""/>
      <w:lvlJc w:val="left"/>
      <w:pPr>
        <w:ind w:left="4604" w:hanging="360"/>
      </w:pPr>
      <w:rPr>
        <w:rFonts w:ascii="Wingdings" w:hAnsi="Wingdings" w:hint="default"/>
      </w:rPr>
    </w:lvl>
    <w:lvl w:ilvl="6" w:tplc="3AF2B0AA" w:tentative="1">
      <w:start w:val="1"/>
      <w:numFmt w:val="bullet"/>
      <w:lvlText w:val=""/>
      <w:lvlJc w:val="left"/>
      <w:pPr>
        <w:ind w:left="5324" w:hanging="360"/>
      </w:pPr>
      <w:rPr>
        <w:rFonts w:ascii="Symbol" w:hAnsi="Symbol" w:hint="default"/>
      </w:rPr>
    </w:lvl>
    <w:lvl w:ilvl="7" w:tplc="027A420A" w:tentative="1">
      <w:start w:val="1"/>
      <w:numFmt w:val="bullet"/>
      <w:lvlText w:val="o"/>
      <w:lvlJc w:val="left"/>
      <w:pPr>
        <w:ind w:left="6044" w:hanging="360"/>
      </w:pPr>
      <w:rPr>
        <w:rFonts w:ascii="Courier New" w:hAnsi="Courier New" w:cs="Courier New" w:hint="default"/>
      </w:rPr>
    </w:lvl>
    <w:lvl w:ilvl="8" w:tplc="E22E7A12" w:tentative="1">
      <w:start w:val="1"/>
      <w:numFmt w:val="bullet"/>
      <w:lvlText w:val=""/>
      <w:lvlJc w:val="left"/>
      <w:pPr>
        <w:ind w:left="6764" w:hanging="360"/>
      </w:pPr>
      <w:rPr>
        <w:rFonts w:ascii="Wingdings" w:hAnsi="Wingdings" w:hint="default"/>
      </w:rPr>
    </w:lvl>
  </w:abstractNum>
  <w:abstractNum w:abstractNumId="17" w15:restartNumberingAfterBreak="0">
    <w:nsid w:val="4769591D"/>
    <w:multiLevelType w:val="hybridMultilevel"/>
    <w:tmpl w:val="0EDEC200"/>
    <w:lvl w:ilvl="0" w:tplc="B994DD9E">
      <w:start w:val="1"/>
      <w:numFmt w:val="bullet"/>
      <w:lvlText w:val=""/>
      <w:lvlJc w:val="left"/>
      <w:pPr>
        <w:ind w:left="360" w:hanging="360"/>
      </w:pPr>
      <w:rPr>
        <w:rFonts w:ascii="Symbol" w:hAnsi="Symbol" w:hint="default"/>
      </w:rPr>
    </w:lvl>
    <w:lvl w:ilvl="1" w:tplc="B53AE12E" w:tentative="1">
      <w:start w:val="1"/>
      <w:numFmt w:val="bullet"/>
      <w:lvlText w:val="o"/>
      <w:lvlJc w:val="left"/>
      <w:pPr>
        <w:ind w:left="1080" w:hanging="360"/>
      </w:pPr>
      <w:rPr>
        <w:rFonts w:ascii="Courier New" w:hAnsi="Courier New" w:cs="Courier New" w:hint="default"/>
      </w:rPr>
    </w:lvl>
    <w:lvl w:ilvl="2" w:tplc="3C76C4FA" w:tentative="1">
      <w:start w:val="1"/>
      <w:numFmt w:val="bullet"/>
      <w:lvlText w:val=""/>
      <w:lvlJc w:val="left"/>
      <w:pPr>
        <w:ind w:left="1800" w:hanging="360"/>
      </w:pPr>
      <w:rPr>
        <w:rFonts w:ascii="Wingdings" w:hAnsi="Wingdings" w:hint="default"/>
      </w:rPr>
    </w:lvl>
    <w:lvl w:ilvl="3" w:tplc="43EE8CD6" w:tentative="1">
      <w:start w:val="1"/>
      <w:numFmt w:val="bullet"/>
      <w:lvlText w:val=""/>
      <w:lvlJc w:val="left"/>
      <w:pPr>
        <w:ind w:left="2520" w:hanging="360"/>
      </w:pPr>
      <w:rPr>
        <w:rFonts w:ascii="Symbol" w:hAnsi="Symbol" w:hint="default"/>
      </w:rPr>
    </w:lvl>
    <w:lvl w:ilvl="4" w:tplc="5FC0BA66" w:tentative="1">
      <w:start w:val="1"/>
      <w:numFmt w:val="bullet"/>
      <w:lvlText w:val="o"/>
      <w:lvlJc w:val="left"/>
      <w:pPr>
        <w:ind w:left="3240" w:hanging="360"/>
      </w:pPr>
      <w:rPr>
        <w:rFonts w:ascii="Courier New" w:hAnsi="Courier New" w:cs="Courier New" w:hint="default"/>
      </w:rPr>
    </w:lvl>
    <w:lvl w:ilvl="5" w:tplc="94D054D4" w:tentative="1">
      <w:start w:val="1"/>
      <w:numFmt w:val="bullet"/>
      <w:lvlText w:val=""/>
      <w:lvlJc w:val="left"/>
      <w:pPr>
        <w:ind w:left="3960" w:hanging="360"/>
      </w:pPr>
      <w:rPr>
        <w:rFonts w:ascii="Wingdings" w:hAnsi="Wingdings" w:hint="default"/>
      </w:rPr>
    </w:lvl>
    <w:lvl w:ilvl="6" w:tplc="DB76BCFA" w:tentative="1">
      <w:start w:val="1"/>
      <w:numFmt w:val="bullet"/>
      <w:lvlText w:val=""/>
      <w:lvlJc w:val="left"/>
      <w:pPr>
        <w:ind w:left="4680" w:hanging="360"/>
      </w:pPr>
      <w:rPr>
        <w:rFonts w:ascii="Symbol" w:hAnsi="Symbol" w:hint="default"/>
      </w:rPr>
    </w:lvl>
    <w:lvl w:ilvl="7" w:tplc="72324176" w:tentative="1">
      <w:start w:val="1"/>
      <w:numFmt w:val="bullet"/>
      <w:lvlText w:val="o"/>
      <w:lvlJc w:val="left"/>
      <w:pPr>
        <w:ind w:left="5400" w:hanging="360"/>
      </w:pPr>
      <w:rPr>
        <w:rFonts w:ascii="Courier New" w:hAnsi="Courier New" w:cs="Courier New" w:hint="default"/>
      </w:rPr>
    </w:lvl>
    <w:lvl w:ilvl="8" w:tplc="B7582848" w:tentative="1">
      <w:start w:val="1"/>
      <w:numFmt w:val="bullet"/>
      <w:lvlText w:val=""/>
      <w:lvlJc w:val="left"/>
      <w:pPr>
        <w:ind w:left="6120" w:hanging="360"/>
      </w:pPr>
      <w:rPr>
        <w:rFonts w:ascii="Wingdings" w:hAnsi="Wingdings" w:hint="default"/>
      </w:rPr>
    </w:lvl>
  </w:abstractNum>
  <w:abstractNum w:abstractNumId="18" w15:restartNumberingAfterBreak="0">
    <w:nsid w:val="555200DD"/>
    <w:multiLevelType w:val="hybridMultilevel"/>
    <w:tmpl w:val="91E44E14"/>
    <w:lvl w:ilvl="0" w:tplc="6B3EC6B2">
      <w:start w:val="1"/>
      <w:numFmt w:val="bullet"/>
      <w:lvlText w:val=""/>
      <w:lvlJc w:val="left"/>
      <w:pPr>
        <w:ind w:left="1004" w:hanging="360"/>
      </w:pPr>
      <w:rPr>
        <w:rFonts w:ascii="Symbol" w:hAnsi="Symbol" w:hint="default"/>
      </w:rPr>
    </w:lvl>
    <w:lvl w:ilvl="1" w:tplc="4A8C6E68" w:tentative="1">
      <w:start w:val="1"/>
      <w:numFmt w:val="bullet"/>
      <w:lvlText w:val="o"/>
      <w:lvlJc w:val="left"/>
      <w:pPr>
        <w:ind w:left="1724" w:hanging="360"/>
      </w:pPr>
      <w:rPr>
        <w:rFonts w:ascii="Courier New" w:hAnsi="Courier New" w:cs="Courier New" w:hint="default"/>
      </w:rPr>
    </w:lvl>
    <w:lvl w:ilvl="2" w:tplc="2110D7EE" w:tentative="1">
      <w:start w:val="1"/>
      <w:numFmt w:val="bullet"/>
      <w:lvlText w:val=""/>
      <w:lvlJc w:val="left"/>
      <w:pPr>
        <w:ind w:left="2444" w:hanging="360"/>
      </w:pPr>
      <w:rPr>
        <w:rFonts w:ascii="Wingdings" w:hAnsi="Wingdings" w:hint="default"/>
      </w:rPr>
    </w:lvl>
    <w:lvl w:ilvl="3" w:tplc="79B45FB6" w:tentative="1">
      <w:start w:val="1"/>
      <w:numFmt w:val="bullet"/>
      <w:lvlText w:val=""/>
      <w:lvlJc w:val="left"/>
      <w:pPr>
        <w:ind w:left="3164" w:hanging="360"/>
      </w:pPr>
      <w:rPr>
        <w:rFonts w:ascii="Symbol" w:hAnsi="Symbol" w:hint="default"/>
      </w:rPr>
    </w:lvl>
    <w:lvl w:ilvl="4" w:tplc="67989F94" w:tentative="1">
      <w:start w:val="1"/>
      <w:numFmt w:val="bullet"/>
      <w:lvlText w:val="o"/>
      <w:lvlJc w:val="left"/>
      <w:pPr>
        <w:ind w:left="3884" w:hanging="360"/>
      </w:pPr>
      <w:rPr>
        <w:rFonts w:ascii="Courier New" w:hAnsi="Courier New" w:cs="Courier New" w:hint="default"/>
      </w:rPr>
    </w:lvl>
    <w:lvl w:ilvl="5" w:tplc="82B842C0" w:tentative="1">
      <w:start w:val="1"/>
      <w:numFmt w:val="bullet"/>
      <w:lvlText w:val=""/>
      <w:lvlJc w:val="left"/>
      <w:pPr>
        <w:ind w:left="4604" w:hanging="360"/>
      </w:pPr>
      <w:rPr>
        <w:rFonts w:ascii="Wingdings" w:hAnsi="Wingdings" w:hint="default"/>
      </w:rPr>
    </w:lvl>
    <w:lvl w:ilvl="6" w:tplc="1E2CDA98" w:tentative="1">
      <w:start w:val="1"/>
      <w:numFmt w:val="bullet"/>
      <w:lvlText w:val=""/>
      <w:lvlJc w:val="left"/>
      <w:pPr>
        <w:ind w:left="5324" w:hanging="360"/>
      </w:pPr>
      <w:rPr>
        <w:rFonts w:ascii="Symbol" w:hAnsi="Symbol" w:hint="default"/>
      </w:rPr>
    </w:lvl>
    <w:lvl w:ilvl="7" w:tplc="A322EB38" w:tentative="1">
      <w:start w:val="1"/>
      <w:numFmt w:val="bullet"/>
      <w:lvlText w:val="o"/>
      <w:lvlJc w:val="left"/>
      <w:pPr>
        <w:ind w:left="6044" w:hanging="360"/>
      </w:pPr>
      <w:rPr>
        <w:rFonts w:ascii="Courier New" w:hAnsi="Courier New" w:cs="Courier New" w:hint="default"/>
      </w:rPr>
    </w:lvl>
    <w:lvl w:ilvl="8" w:tplc="6FE4E482" w:tentative="1">
      <w:start w:val="1"/>
      <w:numFmt w:val="bullet"/>
      <w:lvlText w:val=""/>
      <w:lvlJc w:val="left"/>
      <w:pPr>
        <w:ind w:left="6764" w:hanging="360"/>
      </w:pPr>
      <w:rPr>
        <w:rFonts w:ascii="Wingdings" w:hAnsi="Wingdings" w:hint="default"/>
      </w:rPr>
    </w:lvl>
  </w:abstractNum>
  <w:abstractNum w:abstractNumId="19" w15:restartNumberingAfterBreak="0">
    <w:nsid w:val="579D6B3E"/>
    <w:multiLevelType w:val="hybridMultilevel"/>
    <w:tmpl w:val="E68E93EC"/>
    <w:lvl w:ilvl="0" w:tplc="9598851E">
      <w:start w:val="1"/>
      <w:numFmt w:val="bullet"/>
      <w:lvlText w:val=""/>
      <w:lvlJc w:val="left"/>
      <w:pPr>
        <w:ind w:left="1004" w:hanging="360"/>
      </w:pPr>
      <w:rPr>
        <w:rFonts w:ascii="Symbol" w:hAnsi="Symbol" w:hint="default"/>
      </w:rPr>
    </w:lvl>
    <w:lvl w:ilvl="1" w:tplc="41944416" w:tentative="1">
      <w:start w:val="1"/>
      <w:numFmt w:val="bullet"/>
      <w:lvlText w:val="o"/>
      <w:lvlJc w:val="left"/>
      <w:pPr>
        <w:ind w:left="1724" w:hanging="360"/>
      </w:pPr>
      <w:rPr>
        <w:rFonts w:ascii="Courier New" w:hAnsi="Courier New" w:cs="Courier New" w:hint="default"/>
      </w:rPr>
    </w:lvl>
    <w:lvl w:ilvl="2" w:tplc="5F2A625A" w:tentative="1">
      <w:start w:val="1"/>
      <w:numFmt w:val="bullet"/>
      <w:lvlText w:val=""/>
      <w:lvlJc w:val="left"/>
      <w:pPr>
        <w:ind w:left="2444" w:hanging="360"/>
      </w:pPr>
      <w:rPr>
        <w:rFonts w:ascii="Wingdings" w:hAnsi="Wingdings" w:hint="default"/>
      </w:rPr>
    </w:lvl>
    <w:lvl w:ilvl="3" w:tplc="78387A46" w:tentative="1">
      <w:start w:val="1"/>
      <w:numFmt w:val="bullet"/>
      <w:lvlText w:val=""/>
      <w:lvlJc w:val="left"/>
      <w:pPr>
        <w:ind w:left="3164" w:hanging="360"/>
      </w:pPr>
      <w:rPr>
        <w:rFonts w:ascii="Symbol" w:hAnsi="Symbol" w:hint="default"/>
      </w:rPr>
    </w:lvl>
    <w:lvl w:ilvl="4" w:tplc="687E332A" w:tentative="1">
      <w:start w:val="1"/>
      <w:numFmt w:val="bullet"/>
      <w:lvlText w:val="o"/>
      <w:lvlJc w:val="left"/>
      <w:pPr>
        <w:ind w:left="3884" w:hanging="360"/>
      </w:pPr>
      <w:rPr>
        <w:rFonts w:ascii="Courier New" w:hAnsi="Courier New" w:cs="Courier New" w:hint="default"/>
      </w:rPr>
    </w:lvl>
    <w:lvl w:ilvl="5" w:tplc="3CA4D6EE" w:tentative="1">
      <w:start w:val="1"/>
      <w:numFmt w:val="bullet"/>
      <w:lvlText w:val=""/>
      <w:lvlJc w:val="left"/>
      <w:pPr>
        <w:ind w:left="4604" w:hanging="360"/>
      </w:pPr>
      <w:rPr>
        <w:rFonts w:ascii="Wingdings" w:hAnsi="Wingdings" w:hint="default"/>
      </w:rPr>
    </w:lvl>
    <w:lvl w:ilvl="6" w:tplc="1DDCC926" w:tentative="1">
      <w:start w:val="1"/>
      <w:numFmt w:val="bullet"/>
      <w:lvlText w:val=""/>
      <w:lvlJc w:val="left"/>
      <w:pPr>
        <w:ind w:left="5324" w:hanging="360"/>
      </w:pPr>
      <w:rPr>
        <w:rFonts w:ascii="Symbol" w:hAnsi="Symbol" w:hint="default"/>
      </w:rPr>
    </w:lvl>
    <w:lvl w:ilvl="7" w:tplc="5D227994" w:tentative="1">
      <w:start w:val="1"/>
      <w:numFmt w:val="bullet"/>
      <w:lvlText w:val="o"/>
      <w:lvlJc w:val="left"/>
      <w:pPr>
        <w:ind w:left="6044" w:hanging="360"/>
      </w:pPr>
      <w:rPr>
        <w:rFonts w:ascii="Courier New" w:hAnsi="Courier New" w:cs="Courier New" w:hint="default"/>
      </w:rPr>
    </w:lvl>
    <w:lvl w:ilvl="8" w:tplc="877C3ADE" w:tentative="1">
      <w:start w:val="1"/>
      <w:numFmt w:val="bullet"/>
      <w:lvlText w:val=""/>
      <w:lvlJc w:val="left"/>
      <w:pPr>
        <w:ind w:left="6764" w:hanging="360"/>
      </w:pPr>
      <w:rPr>
        <w:rFonts w:ascii="Wingdings" w:hAnsi="Wingdings" w:hint="default"/>
      </w:rPr>
    </w:lvl>
  </w:abstractNum>
  <w:abstractNum w:abstractNumId="20" w15:restartNumberingAfterBreak="0">
    <w:nsid w:val="5BEA5CB1"/>
    <w:multiLevelType w:val="hybridMultilevel"/>
    <w:tmpl w:val="34505CF2"/>
    <w:lvl w:ilvl="0" w:tplc="A7306D68">
      <w:start w:val="1"/>
      <w:numFmt w:val="bullet"/>
      <w:pStyle w:val="Bullets1"/>
      <w:lvlText w:val=""/>
      <w:lvlJc w:val="left"/>
      <w:pPr>
        <w:ind w:left="360" w:hanging="360"/>
      </w:pPr>
      <w:rPr>
        <w:rFonts w:ascii="Symbol" w:hAnsi="Symbol" w:hint="default"/>
        <w:b w:val="0"/>
        <w:i w:val="0"/>
        <w:sz w:val="20"/>
      </w:rPr>
    </w:lvl>
    <w:lvl w:ilvl="1" w:tplc="B93E2BA8" w:tentative="1">
      <w:start w:val="1"/>
      <w:numFmt w:val="bullet"/>
      <w:lvlText w:val="o"/>
      <w:lvlJc w:val="left"/>
      <w:pPr>
        <w:ind w:left="1440" w:hanging="360"/>
      </w:pPr>
      <w:rPr>
        <w:rFonts w:ascii="Courier New" w:hAnsi="Courier New" w:hint="default"/>
      </w:rPr>
    </w:lvl>
    <w:lvl w:ilvl="2" w:tplc="34C84D28" w:tentative="1">
      <w:start w:val="1"/>
      <w:numFmt w:val="bullet"/>
      <w:lvlText w:val=""/>
      <w:lvlJc w:val="left"/>
      <w:pPr>
        <w:ind w:left="2160" w:hanging="360"/>
      </w:pPr>
      <w:rPr>
        <w:rFonts w:ascii="Wingdings" w:hAnsi="Wingdings" w:hint="default"/>
      </w:rPr>
    </w:lvl>
    <w:lvl w:ilvl="3" w:tplc="4DF87B5C" w:tentative="1">
      <w:start w:val="1"/>
      <w:numFmt w:val="bullet"/>
      <w:lvlText w:val=""/>
      <w:lvlJc w:val="left"/>
      <w:pPr>
        <w:ind w:left="2880" w:hanging="360"/>
      </w:pPr>
      <w:rPr>
        <w:rFonts w:ascii="Symbol" w:hAnsi="Symbol" w:hint="default"/>
      </w:rPr>
    </w:lvl>
    <w:lvl w:ilvl="4" w:tplc="1DBC0E94" w:tentative="1">
      <w:start w:val="1"/>
      <w:numFmt w:val="bullet"/>
      <w:lvlText w:val="o"/>
      <w:lvlJc w:val="left"/>
      <w:pPr>
        <w:ind w:left="3600" w:hanging="360"/>
      </w:pPr>
      <w:rPr>
        <w:rFonts w:ascii="Courier New" w:hAnsi="Courier New" w:hint="default"/>
      </w:rPr>
    </w:lvl>
    <w:lvl w:ilvl="5" w:tplc="A260DFE2" w:tentative="1">
      <w:start w:val="1"/>
      <w:numFmt w:val="bullet"/>
      <w:lvlText w:val=""/>
      <w:lvlJc w:val="left"/>
      <w:pPr>
        <w:ind w:left="4320" w:hanging="360"/>
      </w:pPr>
      <w:rPr>
        <w:rFonts w:ascii="Wingdings" w:hAnsi="Wingdings" w:hint="default"/>
      </w:rPr>
    </w:lvl>
    <w:lvl w:ilvl="6" w:tplc="5A7E3164" w:tentative="1">
      <w:start w:val="1"/>
      <w:numFmt w:val="bullet"/>
      <w:lvlText w:val=""/>
      <w:lvlJc w:val="left"/>
      <w:pPr>
        <w:ind w:left="5040" w:hanging="360"/>
      </w:pPr>
      <w:rPr>
        <w:rFonts w:ascii="Symbol" w:hAnsi="Symbol" w:hint="default"/>
      </w:rPr>
    </w:lvl>
    <w:lvl w:ilvl="7" w:tplc="4EF8E6F4" w:tentative="1">
      <w:start w:val="1"/>
      <w:numFmt w:val="bullet"/>
      <w:lvlText w:val="o"/>
      <w:lvlJc w:val="left"/>
      <w:pPr>
        <w:ind w:left="5760" w:hanging="360"/>
      </w:pPr>
      <w:rPr>
        <w:rFonts w:ascii="Courier New" w:hAnsi="Courier New" w:hint="default"/>
      </w:rPr>
    </w:lvl>
    <w:lvl w:ilvl="8" w:tplc="A3F68F0C" w:tentative="1">
      <w:start w:val="1"/>
      <w:numFmt w:val="bullet"/>
      <w:lvlText w:val=""/>
      <w:lvlJc w:val="left"/>
      <w:pPr>
        <w:ind w:left="6480" w:hanging="360"/>
      </w:pPr>
      <w:rPr>
        <w:rFonts w:ascii="Wingdings" w:hAnsi="Wingdings" w:hint="default"/>
      </w:rPr>
    </w:lvl>
  </w:abstractNum>
  <w:abstractNum w:abstractNumId="21" w15:restartNumberingAfterBreak="0">
    <w:nsid w:val="64142C36"/>
    <w:multiLevelType w:val="hybridMultilevel"/>
    <w:tmpl w:val="818EA97E"/>
    <w:lvl w:ilvl="0" w:tplc="052CA60C">
      <w:start w:val="1"/>
      <w:numFmt w:val="bullet"/>
      <w:lvlText w:val=""/>
      <w:lvlJc w:val="left"/>
      <w:pPr>
        <w:ind w:left="1004" w:hanging="360"/>
      </w:pPr>
      <w:rPr>
        <w:rFonts w:ascii="Symbol" w:hAnsi="Symbol" w:hint="default"/>
      </w:rPr>
    </w:lvl>
    <w:lvl w:ilvl="1" w:tplc="B46C3C96" w:tentative="1">
      <w:start w:val="1"/>
      <w:numFmt w:val="bullet"/>
      <w:lvlText w:val="o"/>
      <w:lvlJc w:val="left"/>
      <w:pPr>
        <w:ind w:left="1724" w:hanging="360"/>
      </w:pPr>
      <w:rPr>
        <w:rFonts w:ascii="Courier New" w:hAnsi="Courier New" w:cs="Courier New" w:hint="default"/>
      </w:rPr>
    </w:lvl>
    <w:lvl w:ilvl="2" w:tplc="AC8AAEF8" w:tentative="1">
      <w:start w:val="1"/>
      <w:numFmt w:val="bullet"/>
      <w:lvlText w:val=""/>
      <w:lvlJc w:val="left"/>
      <w:pPr>
        <w:ind w:left="2444" w:hanging="360"/>
      </w:pPr>
      <w:rPr>
        <w:rFonts w:ascii="Wingdings" w:hAnsi="Wingdings" w:hint="default"/>
      </w:rPr>
    </w:lvl>
    <w:lvl w:ilvl="3" w:tplc="DBE0D06A" w:tentative="1">
      <w:start w:val="1"/>
      <w:numFmt w:val="bullet"/>
      <w:lvlText w:val=""/>
      <w:lvlJc w:val="left"/>
      <w:pPr>
        <w:ind w:left="3164" w:hanging="360"/>
      </w:pPr>
      <w:rPr>
        <w:rFonts w:ascii="Symbol" w:hAnsi="Symbol" w:hint="default"/>
      </w:rPr>
    </w:lvl>
    <w:lvl w:ilvl="4" w:tplc="F2D456E8" w:tentative="1">
      <w:start w:val="1"/>
      <w:numFmt w:val="bullet"/>
      <w:lvlText w:val="o"/>
      <w:lvlJc w:val="left"/>
      <w:pPr>
        <w:ind w:left="3884" w:hanging="360"/>
      </w:pPr>
      <w:rPr>
        <w:rFonts w:ascii="Courier New" w:hAnsi="Courier New" w:cs="Courier New" w:hint="default"/>
      </w:rPr>
    </w:lvl>
    <w:lvl w:ilvl="5" w:tplc="8C949DA8" w:tentative="1">
      <w:start w:val="1"/>
      <w:numFmt w:val="bullet"/>
      <w:lvlText w:val=""/>
      <w:lvlJc w:val="left"/>
      <w:pPr>
        <w:ind w:left="4604" w:hanging="360"/>
      </w:pPr>
      <w:rPr>
        <w:rFonts w:ascii="Wingdings" w:hAnsi="Wingdings" w:hint="default"/>
      </w:rPr>
    </w:lvl>
    <w:lvl w:ilvl="6" w:tplc="B51EEAC6" w:tentative="1">
      <w:start w:val="1"/>
      <w:numFmt w:val="bullet"/>
      <w:lvlText w:val=""/>
      <w:lvlJc w:val="left"/>
      <w:pPr>
        <w:ind w:left="5324" w:hanging="360"/>
      </w:pPr>
      <w:rPr>
        <w:rFonts w:ascii="Symbol" w:hAnsi="Symbol" w:hint="default"/>
      </w:rPr>
    </w:lvl>
    <w:lvl w:ilvl="7" w:tplc="2FCE415A" w:tentative="1">
      <w:start w:val="1"/>
      <w:numFmt w:val="bullet"/>
      <w:lvlText w:val="o"/>
      <w:lvlJc w:val="left"/>
      <w:pPr>
        <w:ind w:left="6044" w:hanging="360"/>
      </w:pPr>
      <w:rPr>
        <w:rFonts w:ascii="Courier New" w:hAnsi="Courier New" w:cs="Courier New" w:hint="default"/>
      </w:rPr>
    </w:lvl>
    <w:lvl w:ilvl="8" w:tplc="7ECE45C4" w:tentative="1">
      <w:start w:val="1"/>
      <w:numFmt w:val="bullet"/>
      <w:lvlText w:val=""/>
      <w:lvlJc w:val="left"/>
      <w:pPr>
        <w:ind w:left="6764" w:hanging="360"/>
      </w:pPr>
      <w:rPr>
        <w:rFonts w:ascii="Wingdings" w:hAnsi="Wingdings" w:hint="default"/>
      </w:rPr>
    </w:lvl>
  </w:abstractNum>
  <w:abstractNum w:abstractNumId="22" w15:restartNumberingAfterBreak="0">
    <w:nsid w:val="65456429"/>
    <w:multiLevelType w:val="multilevel"/>
    <w:tmpl w:val="E898CC72"/>
    <w:numStyleLink w:val="KeyPoints"/>
  </w:abstractNum>
  <w:abstractNum w:abstractNumId="23" w15:restartNumberingAfterBreak="0">
    <w:nsid w:val="7547652C"/>
    <w:multiLevelType w:val="hybridMultilevel"/>
    <w:tmpl w:val="4678DBD2"/>
    <w:lvl w:ilvl="0" w:tplc="E488CD20">
      <w:start w:val="1"/>
      <w:numFmt w:val="bullet"/>
      <w:lvlText w:val=""/>
      <w:lvlJc w:val="left"/>
      <w:pPr>
        <w:ind w:left="360" w:hanging="360"/>
      </w:pPr>
      <w:rPr>
        <w:rFonts w:ascii="Symbol" w:hAnsi="Symbol" w:hint="default"/>
      </w:rPr>
    </w:lvl>
    <w:lvl w:ilvl="1" w:tplc="03F297E2" w:tentative="1">
      <w:start w:val="1"/>
      <w:numFmt w:val="bullet"/>
      <w:lvlText w:val="o"/>
      <w:lvlJc w:val="left"/>
      <w:pPr>
        <w:ind w:left="1080" w:hanging="360"/>
      </w:pPr>
      <w:rPr>
        <w:rFonts w:ascii="Courier New" w:hAnsi="Courier New" w:cs="Courier New" w:hint="default"/>
      </w:rPr>
    </w:lvl>
    <w:lvl w:ilvl="2" w:tplc="41CA76DA" w:tentative="1">
      <w:start w:val="1"/>
      <w:numFmt w:val="bullet"/>
      <w:lvlText w:val=""/>
      <w:lvlJc w:val="left"/>
      <w:pPr>
        <w:ind w:left="1800" w:hanging="360"/>
      </w:pPr>
      <w:rPr>
        <w:rFonts w:ascii="Wingdings" w:hAnsi="Wingdings" w:hint="default"/>
      </w:rPr>
    </w:lvl>
    <w:lvl w:ilvl="3" w:tplc="FF38CD78" w:tentative="1">
      <w:start w:val="1"/>
      <w:numFmt w:val="bullet"/>
      <w:lvlText w:val=""/>
      <w:lvlJc w:val="left"/>
      <w:pPr>
        <w:ind w:left="2520" w:hanging="360"/>
      </w:pPr>
      <w:rPr>
        <w:rFonts w:ascii="Symbol" w:hAnsi="Symbol" w:hint="default"/>
      </w:rPr>
    </w:lvl>
    <w:lvl w:ilvl="4" w:tplc="F0101EB0" w:tentative="1">
      <w:start w:val="1"/>
      <w:numFmt w:val="bullet"/>
      <w:lvlText w:val="o"/>
      <w:lvlJc w:val="left"/>
      <w:pPr>
        <w:ind w:left="3240" w:hanging="360"/>
      </w:pPr>
      <w:rPr>
        <w:rFonts w:ascii="Courier New" w:hAnsi="Courier New" w:cs="Courier New" w:hint="default"/>
      </w:rPr>
    </w:lvl>
    <w:lvl w:ilvl="5" w:tplc="C03076E4" w:tentative="1">
      <w:start w:val="1"/>
      <w:numFmt w:val="bullet"/>
      <w:lvlText w:val=""/>
      <w:lvlJc w:val="left"/>
      <w:pPr>
        <w:ind w:left="3960" w:hanging="360"/>
      </w:pPr>
      <w:rPr>
        <w:rFonts w:ascii="Wingdings" w:hAnsi="Wingdings" w:hint="default"/>
      </w:rPr>
    </w:lvl>
    <w:lvl w:ilvl="6" w:tplc="896427A2" w:tentative="1">
      <w:start w:val="1"/>
      <w:numFmt w:val="bullet"/>
      <w:lvlText w:val=""/>
      <w:lvlJc w:val="left"/>
      <w:pPr>
        <w:ind w:left="4680" w:hanging="360"/>
      </w:pPr>
      <w:rPr>
        <w:rFonts w:ascii="Symbol" w:hAnsi="Symbol" w:hint="default"/>
      </w:rPr>
    </w:lvl>
    <w:lvl w:ilvl="7" w:tplc="E6A265FE" w:tentative="1">
      <w:start w:val="1"/>
      <w:numFmt w:val="bullet"/>
      <w:lvlText w:val="o"/>
      <w:lvlJc w:val="left"/>
      <w:pPr>
        <w:ind w:left="5400" w:hanging="360"/>
      </w:pPr>
      <w:rPr>
        <w:rFonts w:ascii="Courier New" w:hAnsi="Courier New" w:cs="Courier New" w:hint="default"/>
      </w:rPr>
    </w:lvl>
    <w:lvl w:ilvl="8" w:tplc="1666CB2E" w:tentative="1">
      <w:start w:val="1"/>
      <w:numFmt w:val="bullet"/>
      <w:lvlText w:val=""/>
      <w:lvlJc w:val="left"/>
      <w:pPr>
        <w:ind w:left="6120" w:hanging="360"/>
      </w:pPr>
      <w:rPr>
        <w:rFonts w:ascii="Wingdings" w:hAnsi="Wingdings" w:hint="default"/>
      </w:rPr>
    </w:lvl>
  </w:abstractNum>
  <w:abstractNum w:abstractNumId="24" w15:restartNumberingAfterBreak="0">
    <w:nsid w:val="7563315B"/>
    <w:multiLevelType w:val="hybridMultilevel"/>
    <w:tmpl w:val="197058E2"/>
    <w:lvl w:ilvl="0" w:tplc="C3C4BB98">
      <w:start w:val="1"/>
      <w:numFmt w:val="bullet"/>
      <w:lvlText w:val=""/>
      <w:lvlJc w:val="left"/>
      <w:pPr>
        <w:ind w:left="1146" w:hanging="360"/>
      </w:pPr>
      <w:rPr>
        <w:rFonts w:ascii="Symbol" w:hAnsi="Symbol" w:hint="default"/>
      </w:rPr>
    </w:lvl>
    <w:lvl w:ilvl="1" w:tplc="56F461C4">
      <w:start w:val="1"/>
      <w:numFmt w:val="bullet"/>
      <w:lvlText w:val="o"/>
      <w:lvlJc w:val="left"/>
      <w:pPr>
        <w:ind w:left="1866" w:hanging="360"/>
      </w:pPr>
      <w:rPr>
        <w:rFonts w:ascii="Courier New" w:hAnsi="Courier New" w:cs="Courier New" w:hint="default"/>
      </w:rPr>
    </w:lvl>
    <w:lvl w:ilvl="2" w:tplc="04F234C6" w:tentative="1">
      <w:start w:val="1"/>
      <w:numFmt w:val="bullet"/>
      <w:lvlText w:val=""/>
      <w:lvlJc w:val="left"/>
      <w:pPr>
        <w:ind w:left="2586" w:hanging="360"/>
      </w:pPr>
      <w:rPr>
        <w:rFonts w:ascii="Wingdings" w:hAnsi="Wingdings" w:hint="default"/>
      </w:rPr>
    </w:lvl>
    <w:lvl w:ilvl="3" w:tplc="1BE81386" w:tentative="1">
      <w:start w:val="1"/>
      <w:numFmt w:val="bullet"/>
      <w:lvlText w:val=""/>
      <w:lvlJc w:val="left"/>
      <w:pPr>
        <w:ind w:left="3306" w:hanging="360"/>
      </w:pPr>
      <w:rPr>
        <w:rFonts w:ascii="Symbol" w:hAnsi="Symbol" w:hint="default"/>
      </w:rPr>
    </w:lvl>
    <w:lvl w:ilvl="4" w:tplc="6336827E" w:tentative="1">
      <w:start w:val="1"/>
      <w:numFmt w:val="bullet"/>
      <w:lvlText w:val="o"/>
      <w:lvlJc w:val="left"/>
      <w:pPr>
        <w:ind w:left="4026" w:hanging="360"/>
      </w:pPr>
      <w:rPr>
        <w:rFonts w:ascii="Courier New" w:hAnsi="Courier New" w:cs="Courier New" w:hint="default"/>
      </w:rPr>
    </w:lvl>
    <w:lvl w:ilvl="5" w:tplc="C316C246" w:tentative="1">
      <w:start w:val="1"/>
      <w:numFmt w:val="bullet"/>
      <w:lvlText w:val=""/>
      <w:lvlJc w:val="left"/>
      <w:pPr>
        <w:ind w:left="4746" w:hanging="360"/>
      </w:pPr>
      <w:rPr>
        <w:rFonts w:ascii="Wingdings" w:hAnsi="Wingdings" w:hint="default"/>
      </w:rPr>
    </w:lvl>
    <w:lvl w:ilvl="6" w:tplc="8B664538" w:tentative="1">
      <w:start w:val="1"/>
      <w:numFmt w:val="bullet"/>
      <w:lvlText w:val=""/>
      <w:lvlJc w:val="left"/>
      <w:pPr>
        <w:ind w:left="5466" w:hanging="360"/>
      </w:pPr>
      <w:rPr>
        <w:rFonts w:ascii="Symbol" w:hAnsi="Symbol" w:hint="default"/>
      </w:rPr>
    </w:lvl>
    <w:lvl w:ilvl="7" w:tplc="C2E0C288" w:tentative="1">
      <w:start w:val="1"/>
      <w:numFmt w:val="bullet"/>
      <w:lvlText w:val="o"/>
      <w:lvlJc w:val="left"/>
      <w:pPr>
        <w:ind w:left="6186" w:hanging="360"/>
      </w:pPr>
      <w:rPr>
        <w:rFonts w:ascii="Courier New" w:hAnsi="Courier New" w:cs="Courier New" w:hint="default"/>
      </w:rPr>
    </w:lvl>
    <w:lvl w:ilvl="8" w:tplc="7722B840" w:tentative="1">
      <w:start w:val="1"/>
      <w:numFmt w:val="bullet"/>
      <w:lvlText w:val=""/>
      <w:lvlJc w:val="left"/>
      <w:pPr>
        <w:ind w:left="6906"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88550B2"/>
    <w:multiLevelType w:val="hybridMultilevel"/>
    <w:tmpl w:val="15CED4B0"/>
    <w:lvl w:ilvl="0" w:tplc="B1EAF2EA">
      <w:start w:val="1"/>
      <w:numFmt w:val="bullet"/>
      <w:lvlText w:val=""/>
      <w:lvlJc w:val="left"/>
      <w:pPr>
        <w:ind w:left="360" w:hanging="360"/>
      </w:pPr>
      <w:rPr>
        <w:rFonts w:ascii="Symbol" w:hAnsi="Symbol" w:hint="default"/>
      </w:rPr>
    </w:lvl>
    <w:lvl w:ilvl="1" w:tplc="9A5E8E2C" w:tentative="1">
      <w:start w:val="1"/>
      <w:numFmt w:val="bullet"/>
      <w:lvlText w:val="o"/>
      <w:lvlJc w:val="left"/>
      <w:pPr>
        <w:ind w:left="1080" w:hanging="360"/>
      </w:pPr>
      <w:rPr>
        <w:rFonts w:ascii="Courier New" w:hAnsi="Courier New" w:cs="Courier New" w:hint="default"/>
      </w:rPr>
    </w:lvl>
    <w:lvl w:ilvl="2" w:tplc="A5AE7068" w:tentative="1">
      <w:start w:val="1"/>
      <w:numFmt w:val="bullet"/>
      <w:lvlText w:val=""/>
      <w:lvlJc w:val="left"/>
      <w:pPr>
        <w:ind w:left="1800" w:hanging="360"/>
      </w:pPr>
      <w:rPr>
        <w:rFonts w:ascii="Wingdings" w:hAnsi="Wingdings" w:hint="default"/>
      </w:rPr>
    </w:lvl>
    <w:lvl w:ilvl="3" w:tplc="CD862280" w:tentative="1">
      <w:start w:val="1"/>
      <w:numFmt w:val="bullet"/>
      <w:lvlText w:val=""/>
      <w:lvlJc w:val="left"/>
      <w:pPr>
        <w:ind w:left="2520" w:hanging="360"/>
      </w:pPr>
      <w:rPr>
        <w:rFonts w:ascii="Symbol" w:hAnsi="Symbol" w:hint="default"/>
      </w:rPr>
    </w:lvl>
    <w:lvl w:ilvl="4" w:tplc="F4C25A12" w:tentative="1">
      <w:start w:val="1"/>
      <w:numFmt w:val="bullet"/>
      <w:lvlText w:val="o"/>
      <w:lvlJc w:val="left"/>
      <w:pPr>
        <w:ind w:left="3240" w:hanging="360"/>
      </w:pPr>
      <w:rPr>
        <w:rFonts w:ascii="Courier New" w:hAnsi="Courier New" w:cs="Courier New" w:hint="default"/>
      </w:rPr>
    </w:lvl>
    <w:lvl w:ilvl="5" w:tplc="F4CA9362" w:tentative="1">
      <w:start w:val="1"/>
      <w:numFmt w:val="bullet"/>
      <w:lvlText w:val=""/>
      <w:lvlJc w:val="left"/>
      <w:pPr>
        <w:ind w:left="3960" w:hanging="360"/>
      </w:pPr>
      <w:rPr>
        <w:rFonts w:ascii="Wingdings" w:hAnsi="Wingdings" w:hint="default"/>
      </w:rPr>
    </w:lvl>
    <w:lvl w:ilvl="6" w:tplc="9916475A" w:tentative="1">
      <w:start w:val="1"/>
      <w:numFmt w:val="bullet"/>
      <w:lvlText w:val=""/>
      <w:lvlJc w:val="left"/>
      <w:pPr>
        <w:ind w:left="4680" w:hanging="360"/>
      </w:pPr>
      <w:rPr>
        <w:rFonts w:ascii="Symbol" w:hAnsi="Symbol" w:hint="default"/>
      </w:rPr>
    </w:lvl>
    <w:lvl w:ilvl="7" w:tplc="A1EEA696" w:tentative="1">
      <w:start w:val="1"/>
      <w:numFmt w:val="bullet"/>
      <w:lvlText w:val="o"/>
      <w:lvlJc w:val="left"/>
      <w:pPr>
        <w:ind w:left="5400" w:hanging="360"/>
      </w:pPr>
      <w:rPr>
        <w:rFonts w:ascii="Courier New" w:hAnsi="Courier New" w:cs="Courier New" w:hint="default"/>
      </w:rPr>
    </w:lvl>
    <w:lvl w:ilvl="8" w:tplc="4AAE49D8" w:tentative="1">
      <w:start w:val="1"/>
      <w:numFmt w:val="bullet"/>
      <w:lvlText w:val=""/>
      <w:lvlJc w:val="left"/>
      <w:pPr>
        <w:ind w:left="6120" w:hanging="360"/>
      </w:pPr>
      <w:rPr>
        <w:rFonts w:ascii="Wingdings" w:hAnsi="Wingdings" w:hint="default"/>
      </w:rPr>
    </w:lvl>
  </w:abstractNum>
  <w:abstractNum w:abstractNumId="27" w15:restartNumberingAfterBreak="0">
    <w:nsid w:val="7A1D0986"/>
    <w:multiLevelType w:val="hybridMultilevel"/>
    <w:tmpl w:val="6CEAC12A"/>
    <w:lvl w:ilvl="0" w:tplc="4C500768">
      <w:numFmt w:val="bullet"/>
      <w:lvlText w:val="-"/>
      <w:lvlJc w:val="left"/>
      <w:pPr>
        <w:ind w:left="720" w:hanging="360"/>
      </w:pPr>
      <w:rPr>
        <w:rFonts w:ascii="Times New Roman" w:eastAsia="Times New Roman" w:hAnsi="Times New Roman" w:cs="Times New Roman" w:hint="default"/>
      </w:rPr>
    </w:lvl>
    <w:lvl w:ilvl="1" w:tplc="A2F4F412" w:tentative="1">
      <w:start w:val="1"/>
      <w:numFmt w:val="bullet"/>
      <w:lvlText w:val="o"/>
      <w:lvlJc w:val="left"/>
      <w:pPr>
        <w:ind w:left="1440" w:hanging="360"/>
      </w:pPr>
      <w:rPr>
        <w:rFonts w:ascii="Courier New" w:hAnsi="Courier New" w:cs="Courier New" w:hint="default"/>
      </w:rPr>
    </w:lvl>
    <w:lvl w:ilvl="2" w:tplc="FD8CB1FE" w:tentative="1">
      <w:start w:val="1"/>
      <w:numFmt w:val="bullet"/>
      <w:lvlText w:val=""/>
      <w:lvlJc w:val="left"/>
      <w:pPr>
        <w:ind w:left="2160" w:hanging="360"/>
      </w:pPr>
      <w:rPr>
        <w:rFonts w:ascii="Wingdings" w:hAnsi="Wingdings" w:hint="default"/>
      </w:rPr>
    </w:lvl>
    <w:lvl w:ilvl="3" w:tplc="0ECADBBE" w:tentative="1">
      <w:start w:val="1"/>
      <w:numFmt w:val="bullet"/>
      <w:lvlText w:val=""/>
      <w:lvlJc w:val="left"/>
      <w:pPr>
        <w:ind w:left="2880" w:hanging="360"/>
      </w:pPr>
      <w:rPr>
        <w:rFonts w:ascii="Symbol" w:hAnsi="Symbol" w:hint="default"/>
      </w:rPr>
    </w:lvl>
    <w:lvl w:ilvl="4" w:tplc="82BCCB1C" w:tentative="1">
      <w:start w:val="1"/>
      <w:numFmt w:val="bullet"/>
      <w:lvlText w:val="o"/>
      <w:lvlJc w:val="left"/>
      <w:pPr>
        <w:ind w:left="3600" w:hanging="360"/>
      </w:pPr>
      <w:rPr>
        <w:rFonts w:ascii="Courier New" w:hAnsi="Courier New" w:cs="Courier New" w:hint="default"/>
      </w:rPr>
    </w:lvl>
    <w:lvl w:ilvl="5" w:tplc="7D4E8540" w:tentative="1">
      <w:start w:val="1"/>
      <w:numFmt w:val="bullet"/>
      <w:lvlText w:val=""/>
      <w:lvlJc w:val="left"/>
      <w:pPr>
        <w:ind w:left="4320" w:hanging="360"/>
      </w:pPr>
      <w:rPr>
        <w:rFonts w:ascii="Wingdings" w:hAnsi="Wingdings" w:hint="default"/>
      </w:rPr>
    </w:lvl>
    <w:lvl w:ilvl="6" w:tplc="7408B5A4" w:tentative="1">
      <w:start w:val="1"/>
      <w:numFmt w:val="bullet"/>
      <w:lvlText w:val=""/>
      <w:lvlJc w:val="left"/>
      <w:pPr>
        <w:ind w:left="5040" w:hanging="360"/>
      </w:pPr>
      <w:rPr>
        <w:rFonts w:ascii="Symbol" w:hAnsi="Symbol" w:hint="default"/>
      </w:rPr>
    </w:lvl>
    <w:lvl w:ilvl="7" w:tplc="CA968778" w:tentative="1">
      <w:start w:val="1"/>
      <w:numFmt w:val="bullet"/>
      <w:lvlText w:val="o"/>
      <w:lvlJc w:val="left"/>
      <w:pPr>
        <w:ind w:left="5760" w:hanging="360"/>
      </w:pPr>
      <w:rPr>
        <w:rFonts w:ascii="Courier New" w:hAnsi="Courier New" w:cs="Courier New" w:hint="default"/>
      </w:rPr>
    </w:lvl>
    <w:lvl w:ilvl="8" w:tplc="9A0E70F6"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3"/>
  </w:num>
  <w:num w:numId="4">
    <w:abstractNumId w:val="11"/>
  </w:num>
  <w:num w:numId="5">
    <w:abstractNumId w:val="22"/>
  </w:num>
  <w:num w:numId="6">
    <w:abstractNumId w:val="9"/>
  </w:num>
  <w:num w:numId="7">
    <w:abstractNumId w:val="20"/>
  </w:num>
  <w:num w:numId="8">
    <w:abstractNumId w:val="4"/>
  </w:num>
  <w:num w:numId="9">
    <w:abstractNumId w:val="7"/>
  </w:num>
  <w:num w:numId="10">
    <w:abstractNumId w:val="12"/>
  </w:num>
  <w:num w:numId="11">
    <w:abstractNumId w:val="8"/>
  </w:num>
  <w:num w:numId="12">
    <w:abstractNumId w:val="27"/>
  </w:num>
  <w:num w:numId="13">
    <w:abstractNumId w:val="5"/>
  </w:num>
  <w:num w:numId="14">
    <w:abstractNumId w:val="24"/>
  </w:num>
  <w:num w:numId="15">
    <w:abstractNumId w:val="18"/>
  </w:num>
  <w:num w:numId="16">
    <w:abstractNumId w:val="19"/>
  </w:num>
  <w:num w:numId="17">
    <w:abstractNumId w:val="10"/>
  </w:num>
  <w:num w:numId="18">
    <w:abstractNumId w:val="2"/>
  </w:num>
  <w:num w:numId="19">
    <w:abstractNumId w:val="1"/>
  </w:num>
  <w:num w:numId="20">
    <w:abstractNumId w:val="3"/>
  </w:num>
  <w:num w:numId="21">
    <w:abstractNumId w:val="14"/>
  </w:num>
  <w:num w:numId="22">
    <w:abstractNumId w:val="16"/>
  </w:num>
  <w:num w:numId="23">
    <w:abstractNumId w:val="17"/>
  </w:num>
  <w:num w:numId="24">
    <w:abstractNumId w:val="6"/>
  </w:num>
  <w:num w:numId="25">
    <w:abstractNumId w:val="23"/>
  </w:num>
  <w:num w:numId="26">
    <w:abstractNumId w:val="15"/>
  </w:num>
  <w:num w:numId="27">
    <w:abstractNumId w:val="2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F371AA"/>
    <w:rsid w:val="00413BEF"/>
    <w:rsid w:val="00692E9C"/>
    <w:rsid w:val="006F2D97"/>
    <w:rsid w:val="00AC555B"/>
    <w:rsid w:val="00CB0422"/>
    <w:rsid w:val="00CE5C6E"/>
    <w:rsid w:val="00D419B3"/>
    <w:rsid w:val="00F028A8"/>
    <w:rsid w:val="00F371AA"/>
    <w:rsid w:val="00F53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5C2B51"/>
  <w15:docId w15:val="{7FF2154D-78A3-4984-B74B-A291F9E2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B25DC"/>
    <w:pPr>
      <w:spacing w:after="200" w:line="276" w:lineRule="auto"/>
    </w:pPr>
    <w:rPr>
      <w:szCs w:val="22"/>
    </w:rPr>
  </w:style>
  <w:style w:type="paragraph" w:styleId="Heading1">
    <w:name w:val="heading 1"/>
    <w:basedOn w:val="Normal"/>
    <w:next w:val="Normal"/>
    <w:link w:val="Heading1Char"/>
    <w:uiPriority w:val="9"/>
    <w:qFormat/>
    <w:rsid w:val="008A77C2"/>
    <w:pPr>
      <w:keepNext/>
      <w:outlineLvl w:val="0"/>
    </w:pPr>
    <w:rPr>
      <w:rFonts w:ascii="Arial Bold" w:hAnsi="Arial Bold" w:cs="Arial"/>
      <w:b/>
      <w:color w:val="17365D" w:themeColor="text2" w:themeShade="BF"/>
      <w:sz w:val="44"/>
    </w:rPr>
  </w:style>
  <w:style w:type="paragraph" w:styleId="Heading2">
    <w:name w:val="heading 2"/>
    <w:basedOn w:val="Normal"/>
    <w:next w:val="Normal"/>
    <w:link w:val="Heading2Char"/>
    <w:uiPriority w:val="9"/>
    <w:qFormat/>
    <w:rsid w:val="00E05878"/>
    <w:pPr>
      <w:keepNext/>
      <w:outlineLvl w:val="1"/>
    </w:pPr>
    <w:rPr>
      <w:rFonts w:cs="Arial"/>
      <w:color w:val="808080" w:themeColor="background1" w:themeShade="80"/>
      <w:sz w:val="32"/>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rPr>
  </w:style>
  <w:style w:type="character" w:customStyle="1" w:styleId="Heading1Char">
    <w:name w:val="Heading 1 Char"/>
    <w:basedOn w:val="DefaultParagraphFont"/>
    <w:link w:val="Heading1"/>
    <w:uiPriority w:val="9"/>
    <w:rsid w:val="008A77C2"/>
    <w:rPr>
      <w:rFonts w:ascii="Arial Bold" w:hAnsi="Arial Bold" w:cs="Arial"/>
      <w:b/>
      <w:color w:val="17365D" w:themeColor="text2" w:themeShade="BF"/>
      <w:sz w:val="44"/>
      <w:szCs w:val="22"/>
    </w:rPr>
  </w:style>
  <w:style w:type="character" w:customStyle="1" w:styleId="Heading2Char">
    <w:name w:val="Heading 2 Char"/>
    <w:basedOn w:val="DefaultParagraphFont"/>
    <w:link w:val="Heading2"/>
    <w:uiPriority w:val="9"/>
    <w:rsid w:val="00E05878"/>
    <w:rPr>
      <w:rFonts w:cs="Arial"/>
      <w:color w:val="808080" w:themeColor="background1" w:themeShade="80"/>
      <w:sz w:val="32"/>
      <w:szCs w:val="22"/>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ind w:left="720" w:hanging="360"/>
    </w:pPr>
  </w:style>
  <w:style w:type="paragraph" w:styleId="ListBullet2">
    <w:name w:val="List Bullet 2"/>
    <w:basedOn w:val="Normal"/>
    <w:uiPriority w:val="99"/>
    <w:unhideWhenUsed/>
    <w:rsid w:val="00091608"/>
    <w:pPr>
      <w:numPr>
        <w:ilvl w:val="1"/>
        <w:numId w:val="6"/>
      </w:numPr>
      <w:ind w:left="737" w:hanging="368"/>
    </w:pPr>
  </w:style>
  <w:style w:type="paragraph" w:styleId="ListBullet3">
    <w:name w:val="List Bullet 3"/>
    <w:basedOn w:val="Normal"/>
    <w:uiPriority w:val="99"/>
    <w:unhideWhenUsed/>
    <w:rsid w:val="00091608"/>
    <w:pPr>
      <w:numPr>
        <w:ilvl w:val="2"/>
        <w:numId w:val="6"/>
      </w:numPr>
      <w:ind w:left="1106"/>
    </w:pPr>
  </w:style>
  <w:style w:type="paragraph" w:styleId="ListBullet4">
    <w:name w:val="List Bullet 4"/>
    <w:basedOn w:val="Normal"/>
    <w:uiPriority w:val="99"/>
    <w:unhideWhenUsed/>
    <w:rsid w:val="00091608"/>
    <w:pPr>
      <w:numPr>
        <w:ilvl w:val="3"/>
        <w:numId w:val="6"/>
      </w:numPr>
      <w:ind w:left="1474" w:hanging="368"/>
    </w:pPr>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8C2DF3"/>
    <w:pPr>
      <w:tabs>
        <w:tab w:val="left" w:pos="284"/>
        <w:tab w:val="right" w:leader="dot" w:pos="9202"/>
      </w:tabs>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rFonts w:eastAsia="Times New Roman" w:cs="Arial"/>
      <w:bCs/>
      <w:color w:val="000000"/>
      <w:spacing w:val="-6"/>
      <w:szCs w:val="20"/>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6F0B77"/>
    <w:rPr>
      <w:rFonts w:ascii="Times New Roman" w:eastAsia="Times New Roman" w:hAnsi="Times New Roman"/>
      <w:lang w:eastAsia="en-US"/>
    </w:rPr>
  </w:style>
  <w:style w:type="character" w:styleId="CommentReference">
    <w:name w:val="annotation reference"/>
    <w:uiPriority w:val="99"/>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PText">
    <w:name w:val="RPText"/>
    <w:basedOn w:val="Normal"/>
    <w:uiPriority w:val="99"/>
    <w:rsid w:val="00493706"/>
    <w:pPr>
      <w:widowControl w:val="0"/>
      <w:spacing w:before="60" w:after="120" w:line="240" w:lineRule="auto"/>
    </w:pPr>
    <w:rPr>
      <w:rFonts w:ascii="Times New Roman" w:eastAsia="Times New Roman" w:hAnsi="Times New Roman"/>
      <w:sz w:val="22"/>
      <w:szCs w:val="20"/>
      <w:lang w:val="en-GB" w:eastAsia="en-US"/>
    </w:rPr>
  </w:style>
  <w:style w:type="character" w:customStyle="1" w:styleId="A2">
    <w:name w:val="A2"/>
    <w:uiPriority w:val="99"/>
    <w:rsid w:val="00407861"/>
    <w:rPr>
      <w:rFonts w:cs="YUKAGS+Palatino-Roman"/>
      <w:color w:val="000000"/>
      <w:sz w:val="20"/>
      <w:szCs w:val="20"/>
    </w:rPr>
  </w:style>
  <w:style w:type="character" w:customStyle="1" w:styleId="A3">
    <w:name w:val="A3"/>
    <w:uiPriority w:val="99"/>
    <w:rsid w:val="00407861"/>
    <w:rPr>
      <w:rFonts w:cs="YUKAGS+Palatino-Roman"/>
      <w:color w:val="000000"/>
      <w:sz w:val="11"/>
      <w:szCs w:val="11"/>
    </w:rPr>
  </w:style>
  <w:style w:type="paragraph" w:customStyle="1" w:styleId="Pa1">
    <w:name w:val="Pa1"/>
    <w:basedOn w:val="Default"/>
    <w:next w:val="Default"/>
    <w:uiPriority w:val="99"/>
    <w:rsid w:val="00DA7280"/>
    <w:pPr>
      <w:spacing w:line="241" w:lineRule="atLeast"/>
    </w:pPr>
    <w:rPr>
      <w:rFonts w:ascii="YUKAGS+Palatino-Roman" w:hAnsi="YUKAGS+Palatino-Roman" w:cs="Times New Roman"/>
      <w:color w:val="auto"/>
    </w:rPr>
  </w:style>
  <w:style w:type="paragraph" w:customStyle="1" w:styleId="Pa12">
    <w:name w:val="Pa12"/>
    <w:basedOn w:val="Default"/>
    <w:next w:val="Default"/>
    <w:uiPriority w:val="99"/>
    <w:rsid w:val="00DA7280"/>
    <w:pPr>
      <w:spacing w:line="241" w:lineRule="atLeast"/>
    </w:pPr>
    <w:rPr>
      <w:rFonts w:ascii="YUKAGS+Palatino-Roman" w:hAnsi="YUKAGS+Palatino-Roman" w:cs="Times New Roman"/>
      <w:color w:val="auto"/>
    </w:rPr>
  </w:style>
  <w:style w:type="character" w:customStyle="1" w:styleId="A1">
    <w:name w:val="A1"/>
    <w:uiPriority w:val="99"/>
    <w:rsid w:val="00447442"/>
    <w:rPr>
      <w:rFonts w:ascii="TUBBOC+Palatino-BoldItalic" w:hAnsi="TUBBOC+Palatino-BoldItalic" w:cs="TUBBOC+Palatino-BoldItalic" w:hint="default"/>
      <w:b/>
      <w:bCs/>
      <w:color w:val="000000"/>
      <w:sz w:val="48"/>
      <w:szCs w:val="48"/>
    </w:rPr>
  </w:style>
  <w:style w:type="paragraph" w:styleId="Revision">
    <w:name w:val="Revision"/>
    <w:hidden/>
    <w:uiPriority w:val="99"/>
    <w:semiHidden/>
    <w:rsid w:val="001D617E"/>
    <w:rPr>
      <w:szCs w:val="22"/>
    </w:rPr>
  </w:style>
  <w:style w:type="character" w:customStyle="1" w:styleId="A4">
    <w:name w:val="A4"/>
    <w:rsid w:val="00983843"/>
    <w:rPr>
      <w:rFonts w:ascii="Palatino" w:hAnsi="Palatino" w:cs="Palatino"/>
      <w:color w:val="000000"/>
      <w:sz w:val="18"/>
      <w:szCs w:val="18"/>
    </w:rPr>
  </w:style>
  <w:style w:type="paragraph" w:styleId="NoSpacing">
    <w:name w:val="No Spacing"/>
    <w:link w:val="NoSpacingChar"/>
    <w:uiPriority w:val="1"/>
    <w:qFormat/>
    <w:rsid w:val="00D419B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419B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dx.doi.org/10.1098/rstb.2014.0060" TargetMode="Externa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hyperlink" Target="http://www.environment.gov.au/cgi-bin/sprat/public/sprat.pl" TargetMode="External"/><Relationship Id="rId25" Type="http://schemas.openxmlformats.org/officeDocument/2006/relationships/hyperlink" Target="http://www.fpa.tas.gov.au/__data/assets/pdf_file/0011/111404/Threatened_fauna_range_and_habitat_descriptions_April_2016.pdf" TargetMode="External"/><Relationship Id="rId33" Type="http://schemas.openxmlformats.org/officeDocument/2006/relationships/hyperlink" Target="http://www.ifs.tas.gov.au/publications/annual-report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www.thelaw.tas.gov.au/tocview/content.w3p;doc_id=+18+2007+AT@EN+20090514000000;rec=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environment.gov.au/cgi-bin/sprat/public/sprat.pl" TargetMode="External"/><Relationship Id="rId32" Type="http://schemas.openxmlformats.org/officeDocument/2006/relationships/hyperlink" Target="http://www.abc.net.au/news/2016-08-04/giant-fresh-water-crayfish/7690686"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environment.gov.au/resource/giant-freshwater-lobster-astacopsis-gouldi-recovery-plan-2006-2010" TargetMode="External"/><Relationship Id="rId28" Type="http://schemas.openxmlformats.org/officeDocument/2006/relationships/hyperlink" Target="http://www.environment.gov.au/about-us/grants-funding" TargetMode="External"/><Relationship Id="rId36"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s://creativecommons.org/licenses/by/4.0/" TargetMode="External"/><Relationship Id="rId31" Type="http://schemas.openxmlformats.org/officeDocument/2006/relationships/hyperlink" Target="http://www.environment.gov.au/cgi-bin/sprat/public/publicspecies.pl?taxon_id=644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fpa.tas.gov.au/__data/assets/pdf_file/0011/111404/Threatened_fauna_range_and_habitat_descriptions_April_2016.pdf" TargetMode="External"/><Relationship Id="rId27" Type="http://schemas.openxmlformats.org/officeDocument/2006/relationships/hyperlink" Target="http://www.stategrowth.tas.gov.au/forestry/native-forest" TargetMode="External"/><Relationship Id="rId30" Type="http://schemas.openxmlformats.org/officeDocument/2006/relationships/hyperlink" Target="https://www.naturalvaluesatlas.tas.gov.au/" TargetMode="External"/><Relationship Id="rId35" Type="http://schemas.openxmlformats.org/officeDocument/2006/relationships/hyperlink" Target="http://www.environment.gov.au/biodiversity/threatened/publications/a-gould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7076660E.dotm</Template>
  <TotalTime>1</TotalTime>
  <Pages>42</Pages>
  <Words>15507</Words>
  <Characters>88394</Characters>
  <Application>Microsoft Office Word</Application>
  <DocSecurity>4</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the Giant Freshwater Crayfish (Astacopsis gouldi)</dc:title>
  <dc:subject/>
  <dc:creator>Commonwealth of Australia</dc:creator>
  <dc:description/>
  <cp:lastModifiedBy>Durack, Bec</cp:lastModifiedBy>
  <cp:revision>2</cp:revision>
  <dcterms:created xsi:type="dcterms:W3CDTF">2017-08-15T08:34:00Z</dcterms:created>
  <dcterms:modified xsi:type="dcterms:W3CDTF">2017-08-15T08:34:00Z</dcterms:modified>
</cp:coreProperties>
</file>