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108" w:type="dxa"/>
        <w:tblLayout w:type="fixed"/>
        <w:tblLook w:val="0480" w:firstRow="0" w:lastRow="0" w:firstColumn="1" w:lastColumn="0" w:noHBand="0" w:noVBand="1"/>
      </w:tblPr>
      <w:tblGrid>
        <w:gridCol w:w="5102"/>
        <w:gridCol w:w="5104"/>
      </w:tblGrid>
      <w:tr w:rsidR="00E36021" w14:paraId="7C4C8234" w14:textId="77777777" w:rsidTr="00073DC5">
        <w:trPr>
          <w:trHeight w:val="454"/>
        </w:trPr>
        <w:tc>
          <w:tcPr>
            <w:tcW w:w="4819" w:type="dxa"/>
            <w:tcBorders>
              <w:top w:val="nil"/>
              <w:bottom w:val="nil"/>
            </w:tcBorders>
          </w:tcPr>
          <w:p w14:paraId="268C9783" w14:textId="5994849B" w:rsidR="00E36021" w:rsidRDefault="00703181" w:rsidP="00363D37">
            <w:r>
              <w:rPr>
                <w:rFonts w:ascii="Arial" w:hAnsi="Arial" w:cs="Arial"/>
                <w:noProof/>
                <w:color w:val="660066"/>
                <w:sz w:val="20"/>
                <w:szCs w:val="20"/>
                <w:bdr w:val="none" w:sz="0" w:space="0" w:color="auto" w:frame="1"/>
              </w:rPr>
              <w:drawing>
                <wp:inline distT="0" distB="0" distL="0" distR="0" wp14:anchorId="038422FE" wp14:editId="44E92C48">
                  <wp:extent cx="3102610" cy="589280"/>
                  <wp:effectExtent l="0" t="0" r="2540" b="1270"/>
                  <wp:docPr id="1" name="Picture 1" descr="Department of the Environment and Energy">
                    <a:hlinkClick xmlns:a="http://schemas.openxmlformats.org/drawingml/2006/main" r:id="rId8" tooltip="&quot;Department of the Environment and Energ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Department of the Environment and Energy">
                            <a:hlinkClick r:id="rId8" tooltip="&quot;Department of the Environment and Energy&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2610" cy="589280"/>
                          </a:xfrm>
                          <a:prstGeom prst="rect">
                            <a:avLst/>
                          </a:prstGeom>
                          <a:noFill/>
                          <a:ln>
                            <a:noFill/>
                          </a:ln>
                        </pic:spPr>
                      </pic:pic>
                    </a:graphicData>
                  </a:graphic>
                </wp:inline>
              </w:drawing>
            </w:r>
          </w:p>
        </w:tc>
        <w:tc>
          <w:tcPr>
            <w:tcW w:w="4820" w:type="dxa"/>
            <w:tcBorders>
              <w:top w:val="nil"/>
              <w:bottom w:val="nil"/>
            </w:tcBorders>
          </w:tcPr>
          <w:p w14:paraId="7A9D36CE" w14:textId="77777777" w:rsidR="00E36021" w:rsidRDefault="00E36021" w:rsidP="00073DC5">
            <w:pPr>
              <w:jc w:val="right"/>
            </w:pPr>
            <w:r>
              <w:rPr>
                <w:noProof/>
              </w:rPr>
              <w:drawing>
                <wp:inline distT="0" distB="0" distL="0" distR="0" wp14:anchorId="43CBC898" wp14:editId="7BDB4169">
                  <wp:extent cx="2512800" cy="475200"/>
                  <wp:effectExtent l="0" t="0" r="1905" b="1270"/>
                  <wp:docPr id="13" name="Picture 13" descr="C:\Users\Dan\Documents\SugarSync Shared Folders\Kyle O'Farrell\03 Office\03 Branding\SRU Brandmark CD\Positive\JPG\SRUMaster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Documents\SugarSync Shared Folders\Kyle O'Farrell\03 Office\03 Branding\SRU Brandmark CD\Positive\JPG\SRUMasterLogo_RG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2800" cy="475200"/>
                          </a:xfrm>
                          <a:prstGeom prst="rect">
                            <a:avLst/>
                          </a:prstGeom>
                          <a:noFill/>
                          <a:ln>
                            <a:noFill/>
                          </a:ln>
                        </pic:spPr>
                      </pic:pic>
                    </a:graphicData>
                  </a:graphic>
                </wp:inline>
              </w:drawing>
            </w:r>
          </w:p>
        </w:tc>
      </w:tr>
    </w:tbl>
    <w:p w14:paraId="1E2C1162" w14:textId="77777777" w:rsidR="004A3917" w:rsidRDefault="004A3917" w:rsidP="00363D37"/>
    <w:p w14:paraId="1BA3A642" w14:textId="77777777" w:rsidR="00267975" w:rsidRDefault="00267975" w:rsidP="00363D37"/>
    <w:p w14:paraId="702DFAA8" w14:textId="77777777" w:rsidR="00073DC5" w:rsidRDefault="00073DC5" w:rsidP="00AF3D7A"/>
    <w:p w14:paraId="2EF5E037" w14:textId="77777777" w:rsidR="00073DC5" w:rsidRDefault="00073DC5" w:rsidP="00363D37"/>
    <w:p w14:paraId="29A76816" w14:textId="77777777" w:rsidR="00073DC5" w:rsidRDefault="00073DC5" w:rsidP="00363D37"/>
    <w:tbl>
      <w:tblPr>
        <w:tblW w:w="10026" w:type="dxa"/>
        <w:tblInd w:w="108" w:type="dxa"/>
        <w:tblLook w:val="0480" w:firstRow="0" w:lastRow="0" w:firstColumn="1" w:lastColumn="0" w:noHBand="0" w:noVBand="1"/>
      </w:tblPr>
      <w:tblGrid>
        <w:gridCol w:w="10097"/>
      </w:tblGrid>
      <w:tr w:rsidR="004A3917" w14:paraId="618AD81E" w14:textId="77777777" w:rsidTr="00073DC5">
        <w:trPr>
          <w:trHeight w:val="3109"/>
        </w:trPr>
        <w:tc>
          <w:tcPr>
            <w:tcW w:w="10026" w:type="dxa"/>
            <w:tcBorders>
              <w:top w:val="nil"/>
              <w:bottom w:val="nil"/>
            </w:tcBorders>
          </w:tcPr>
          <w:p w14:paraId="1650E01F" w14:textId="53257B0E" w:rsidR="004A3917" w:rsidRDefault="009B5561" w:rsidP="0026116A">
            <w:pPr>
              <w:pStyle w:val="ReportTitle"/>
            </w:pPr>
            <w:r>
              <w:t>Recyclin</w:t>
            </w:r>
            <w:bookmarkStart w:id="0" w:name="_GoBack"/>
            <w:bookmarkEnd w:id="0"/>
            <w:r>
              <w:t xml:space="preserve">g market </w:t>
            </w:r>
            <w:r w:rsidR="008E0595">
              <w:t>situation</w:t>
            </w:r>
          </w:p>
          <w:p w14:paraId="37B2CDB8" w14:textId="3F9AC01A" w:rsidR="00C016F5" w:rsidRPr="00C016F5" w:rsidRDefault="00380D39" w:rsidP="0026116A">
            <w:pPr>
              <w:pStyle w:val="ReportSubtitle"/>
            </w:pPr>
            <w:r>
              <w:t>S</w:t>
            </w:r>
            <w:r w:rsidR="009B5561">
              <w:t>ummary</w:t>
            </w:r>
            <w:r>
              <w:t xml:space="preserve"> Review</w:t>
            </w:r>
          </w:p>
        </w:tc>
      </w:tr>
      <w:tr w:rsidR="004A3917" w14:paraId="483D3811" w14:textId="77777777" w:rsidTr="00073DC5">
        <w:trPr>
          <w:trHeight w:val="454"/>
        </w:trPr>
        <w:tc>
          <w:tcPr>
            <w:tcW w:w="10026" w:type="dxa"/>
            <w:tcBorders>
              <w:top w:val="nil"/>
              <w:bottom w:val="nil"/>
            </w:tcBorders>
          </w:tcPr>
          <w:p w14:paraId="2691F3A8" w14:textId="77777777" w:rsidR="004A3917" w:rsidRDefault="004A3917" w:rsidP="00363D37">
            <w:pPr>
              <w:rPr>
                <w:noProof/>
              </w:rPr>
            </w:pPr>
          </w:p>
        </w:tc>
      </w:tr>
      <w:tr w:rsidR="00267975" w14:paraId="6ACAF5C7" w14:textId="77777777" w:rsidTr="00073DC5">
        <w:trPr>
          <w:trHeight w:val="454"/>
        </w:trPr>
        <w:tc>
          <w:tcPr>
            <w:tcW w:w="10026" w:type="dxa"/>
            <w:tcBorders>
              <w:top w:val="nil"/>
              <w:bottom w:val="nil"/>
            </w:tcBorders>
          </w:tcPr>
          <w:p w14:paraId="6F9CBB51" w14:textId="2A1DDA9A" w:rsidR="00267975" w:rsidRDefault="00F07192" w:rsidP="00363D37">
            <w:r>
              <w:rPr>
                <w:noProof/>
              </w:rPr>
              <w:drawing>
                <wp:inline distT="0" distB="0" distL="0" distR="0" wp14:anchorId="6FDFC739" wp14:editId="38B59B91">
                  <wp:extent cx="6480175" cy="4352925"/>
                  <wp:effectExtent l="0" t="0" r="0" b="9525"/>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0175" cy="4352925"/>
                          </a:xfrm>
                          <a:prstGeom prst="rect">
                            <a:avLst/>
                          </a:prstGeom>
                          <a:noFill/>
                          <a:ln>
                            <a:noFill/>
                          </a:ln>
                        </pic:spPr>
                      </pic:pic>
                    </a:graphicData>
                  </a:graphic>
                </wp:inline>
              </w:drawing>
            </w:r>
          </w:p>
        </w:tc>
      </w:tr>
    </w:tbl>
    <w:p w14:paraId="0743CE1B" w14:textId="77777777" w:rsidR="003C6291" w:rsidRDefault="003C6291" w:rsidP="00363D37">
      <w:pPr>
        <w:sectPr w:rsidR="003C6291" w:rsidSect="0026116A">
          <w:headerReference w:type="even" r:id="rId12"/>
          <w:headerReference w:type="default" r:id="rId13"/>
          <w:footerReference w:type="even" r:id="rId14"/>
          <w:footerReference w:type="default" r:id="rId15"/>
          <w:headerReference w:type="first" r:id="rId16"/>
          <w:footerReference w:type="first" r:id="rId17"/>
          <w:pgSz w:w="11907" w:h="16840" w:code="9"/>
          <w:pgMar w:top="1418" w:right="851" w:bottom="567" w:left="851" w:header="567" w:footer="284" w:gutter="0"/>
          <w:cols w:space="708"/>
          <w:docGrid w:linePitch="360"/>
        </w:sectPr>
      </w:pPr>
    </w:p>
    <w:tbl>
      <w:tblPr>
        <w:tblpPr w:leftFromText="181" w:rightFromText="181" w:vertAnchor="page" w:horzAnchor="margin" w:tblpY="10774"/>
        <w:tblOverlap w:val="never"/>
        <w:tblW w:w="0" w:type="auto"/>
        <w:tblBorders>
          <w:top w:val="single" w:sz="4" w:space="0" w:color="00AD68"/>
          <w:bottom w:val="single" w:sz="4" w:space="0" w:color="00AD68"/>
          <w:insideH w:val="single" w:sz="4" w:space="0" w:color="00AD68"/>
        </w:tblBorders>
        <w:tblLook w:val="0480" w:firstRow="0" w:lastRow="0" w:firstColumn="1" w:lastColumn="0" w:noHBand="0" w:noVBand="1"/>
      </w:tblPr>
      <w:tblGrid>
        <w:gridCol w:w="2086"/>
        <w:gridCol w:w="2309"/>
        <w:gridCol w:w="4676"/>
      </w:tblGrid>
      <w:tr w:rsidR="002E7825" w:rsidRPr="00C5184A" w14:paraId="3E38705F" w14:textId="77777777" w:rsidTr="00400E65">
        <w:tc>
          <w:tcPr>
            <w:tcW w:w="2086" w:type="dxa"/>
          </w:tcPr>
          <w:p w14:paraId="4F468A32" w14:textId="77777777" w:rsidR="002E7825" w:rsidRPr="00C5184A" w:rsidRDefault="00AA4F4A" w:rsidP="00400E65">
            <w:pPr>
              <w:pStyle w:val="TableText"/>
            </w:pPr>
            <w:r>
              <w:lastRenderedPageBreak/>
              <w:t>Report</w:t>
            </w:r>
            <w:r w:rsidR="004A3917" w:rsidRPr="00C5184A">
              <w:t xml:space="preserve"> </w:t>
            </w:r>
            <w:r w:rsidR="003656AD" w:rsidRPr="00C5184A">
              <w:t>t</w:t>
            </w:r>
            <w:r w:rsidR="002E7825" w:rsidRPr="00C5184A">
              <w:t>itle:</w:t>
            </w:r>
          </w:p>
        </w:tc>
        <w:tc>
          <w:tcPr>
            <w:tcW w:w="6985" w:type="dxa"/>
            <w:gridSpan w:val="2"/>
          </w:tcPr>
          <w:p w14:paraId="60307654" w14:textId="7F637A76" w:rsidR="002E7825" w:rsidRPr="00C5184A" w:rsidRDefault="00F07192" w:rsidP="00400E65">
            <w:pPr>
              <w:pStyle w:val="TableText"/>
            </w:pPr>
            <w:r>
              <w:t>Recycling market development review</w:t>
            </w:r>
          </w:p>
        </w:tc>
      </w:tr>
      <w:tr w:rsidR="00CB76EA" w:rsidRPr="00C5184A" w14:paraId="3CD5176F" w14:textId="77777777" w:rsidTr="00400E65">
        <w:tc>
          <w:tcPr>
            <w:tcW w:w="2086" w:type="dxa"/>
          </w:tcPr>
          <w:p w14:paraId="163BD005" w14:textId="77777777" w:rsidR="00CB76EA" w:rsidRPr="00C5184A" w:rsidRDefault="00CB76EA" w:rsidP="00400E65">
            <w:pPr>
              <w:pStyle w:val="TableText"/>
            </w:pPr>
            <w:r w:rsidRPr="00C5184A">
              <w:t>Author:</w:t>
            </w:r>
          </w:p>
        </w:tc>
        <w:tc>
          <w:tcPr>
            <w:tcW w:w="6985" w:type="dxa"/>
            <w:gridSpan w:val="2"/>
          </w:tcPr>
          <w:p w14:paraId="0FA80BB0" w14:textId="430D5E54" w:rsidR="00CB76EA" w:rsidRPr="00C5184A" w:rsidRDefault="00F07192" w:rsidP="00400E65">
            <w:pPr>
              <w:pStyle w:val="TableText"/>
            </w:pPr>
            <w:r>
              <w:t>Peter Allan</w:t>
            </w:r>
          </w:p>
        </w:tc>
      </w:tr>
      <w:tr w:rsidR="002E7825" w:rsidRPr="00C5184A" w14:paraId="5957087E" w14:textId="77777777" w:rsidTr="00400E65">
        <w:trPr>
          <w:trHeight w:val="340"/>
        </w:trPr>
        <w:tc>
          <w:tcPr>
            <w:tcW w:w="2086" w:type="dxa"/>
          </w:tcPr>
          <w:p w14:paraId="216F580A" w14:textId="77777777" w:rsidR="002E7825" w:rsidRPr="00703181" w:rsidRDefault="002E7825" w:rsidP="00400E65">
            <w:pPr>
              <w:pStyle w:val="TableText"/>
            </w:pPr>
            <w:r w:rsidRPr="00703181">
              <w:t>Date:</w:t>
            </w:r>
          </w:p>
        </w:tc>
        <w:tc>
          <w:tcPr>
            <w:tcW w:w="2309" w:type="dxa"/>
          </w:tcPr>
          <w:p w14:paraId="47913C7E" w14:textId="59B7287F" w:rsidR="002E7825" w:rsidRPr="00703181" w:rsidRDefault="000B5D9A" w:rsidP="00400E65">
            <w:pPr>
              <w:pStyle w:val="TableText"/>
            </w:pPr>
            <w:r w:rsidRPr="00703181">
              <w:t>1</w:t>
            </w:r>
            <w:r w:rsidR="00380D39">
              <w:t>8</w:t>
            </w:r>
            <w:r w:rsidR="001D54B1">
              <w:t xml:space="preserve"> September</w:t>
            </w:r>
            <w:r w:rsidRPr="00703181">
              <w:t xml:space="preserve"> 2019</w:t>
            </w:r>
          </w:p>
        </w:tc>
        <w:tc>
          <w:tcPr>
            <w:tcW w:w="4676" w:type="dxa"/>
          </w:tcPr>
          <w:p w14:paraId="29CA84D7" w14:textId="77777777" w:rsidR="002E7825" w:rsidRPr="00F07192" w:rsidRDefault="002E7825" w:rsidP="00400E65">
            <w:pPr>
              <w:pStyle w:val="TableText"/>
              <w:rPr>
                <w:highlight w:val="yellow"/>
              </w:rPr>
            </w:pPr>
          </w:p>
        </w:tc>
      </w:tr>
      <w:tr w:rsidR="00703181" w:rsidRPr="00C5184A" w14:paraId="3E3DDB2D" w14:textId="77777777" w:rsidTr="00400E65">
        <w:trPr>
          <w:trHeight w:val="340"/>
        </w:trPr>
        <w:tc>
          <w:tcPr>
            <w:tcW w:w="2086" w:type="dxa"/>
          </w:tcPr>
          <w:p w14:paraId="2EBB86AD" w14:textId="77777777" w:rsidR="00703181" w:rsidRPr="00C5184A" w:rsidRDefault="00703181" w:rsidP="00400E65">
            <w:pPr>
              <w:pStyle w:val="TableText"/>
            </w:pPr>
          </w:p>
        </w:tc>
        <w:tc>
          <w:tcPr>
            <w:tcW w:w="2309" w:type="dxa"/>
          </w:tcPr>
          <w:p w14:paraId="6B2A6852" w14:textId="77777777" w:rsidR="00703181" w:rsidRPr="00703181" w:rsidRDefault="00703181" w:rsidP="00400E65">
            <w:pPr>
              <w:pStyle w:val="TableText"/>
            </w:pPr>
          </w:p>
        </w:tc>
        <w:tc>
          <w:tcPr>
            <w:tcW w:w="4676" w:type="dxa"/>
          </w:tcPr>
          <w:p w14:paraId="54F10AF2" w14:textId="77777777" w:rsidR="00703181" w:rsidRPr="00703181" w:rsidRDefault="00703181" w:rsidP="00400E65">
            <w:pPr>
              <w:pStyle w:val="TableText"/>
            </w:pPr>
          </w:p>
        </w:tc>
      </w:tr>
      <w:tr w:rsidR="00400E65" w:rsidRPr="00C5184A" w14:paraId="401E104C" w14:textId="77777777" w:rsidTr="00703181">
        <w:trPr>
          <w:trHeight w:val="340"/>
        </w:trPr>
        <w:tc>
          <w:tcPr>
            <w:tcW w:w="9071" w:type="dxa"/>
            <w:gridSpan w:val="3"/>
            <w:shd w:val="clear" w:color="auto" w:fill="auto"/>
          </w:tcPr>
          <w:p w14:paraId="7AEDA230" w14:textId="77777777" w:rsidR="00400E65" w:rsidRPr="00703181" w:rsidRDefault="00400E65" w:rsidP="00400E65">
            <w:pPr>
              <w:pStyle w:val="Disclaimer-footer"/>
              <w:spacing w:before="120" w:after="120" w:line="240" w:lineRule="auto"/>
            </w:pPr>
            <w:r w:rsidRPr="00703181">
              <w:t>Disclaimer</w:t>
            </w:r>
          </w:p>
          <w:p w14:paraId="0973F22B" w14:textId="2C16DD73" w:rsidR="00400E65" w:rsidRPr="00F07192" w:rsidRDefault="00400E65" w:rsidP="00400E65">
            <w:pPr>
              <w:pStyle w:val="TableText"/>
              <w:rPr>
                <w:highlight w:val="yellow"/>
              </w:rPr>
            </w:pPr>
            <w:r w:rsidRPr="00703181">
              <w:t xml:space="preserve">This report has been prepared on behalf of and for the exclusive use of the </w:t>
            </w:r>
            <w:r w:rsidR="00D9752A">
              <w:fldChar w:fldCharType="begin"/>
            </w:r>
            <w:r w:rsidR="00D9752A">
              <w:instrText xml:space="preserve"> DOCPROPERTY  Client  \* MERGEFORMAT </w:instrText>
            </w:r>
            <w:r w:rsidR="00D9752A">
              <w:fldChar w:fldCharType="separate"/>
            </w:r>
            <w:r w:rsidR="00703181" w:rsidRPr="00703181">
              <w:t>Dept. of Environment and Energy</w:t>
            </w:r>
            <w:r w:rsidR="00D9752A">
              <w:fldChar w:fldCharType="end"/>
            </w:r>
            <w:r w:rsidRPr="00703181">
              <w:t xml:space="preserve">, and is subject to and issued in accordance with the agreement between the </w:t>
            </w:r>
            <w:r w:rsidR="00D9752A">
              <w:fldChar w:fldCharType="begin"/>
            </w:r>
            <w:r w:rsidR="00D9752A">
              <w:instrText xml:space="preserve"> DOCPROPERTY  Client  \* MERGEFORMAT </w:instrText>
            </w:r>
            <w:r w:rsidR="00D9752A">
              <w:fldChar w:fldCharType="separate"/>
            </w:r>
            <w:r w:rsidR="00703181" w:rsidRPr="00703181">
              <w:t>Dept. of Environment and Energy</w:t>
            </w:r>
            <w:r w:rsidR="00D9752A">
              <w:fldChar w:fldCharType="end"/>
            </w:r>
            <w:proofErr w:type="gramStart"/>
            <w:r w:rsidR="00703181" w:rsidRPr="00703181">
              <w:t xml:space="preserve">, </w:t>
            </w:r>
            <w:r w:rsidRPr="00703181">
              <w:t xml:space="preserve"> and</w:t>
            </w:r>
            <w:proofErr w:type="gramEnd"/>
            <w:r w:rsidRPr="00703181">
              <w:t xml:space="preserve"> Sustainable Resource Use Pty Ltd. Sustainable Resource Use Pty Ltd accepts no liability or responsibility whatsoever for any use of or reliance upon this report by any third party.</w:t>
            </w:r>
          </w:p>
        </w:tc>
      </w:tr>
    </w:tbl>
    <w:p w14:paraId="5C6401AF" w14:textId="77777777" w:rsidR="004A3917" w:rsidRDefault="004A3917" w:rsidP="00363D37"/>
    <w:p w14:paraId="03A17AC2" w14:textId="77777777" w:rsidR="004A3917" w:rsidRDefault="004A3917" w:rsidP="00363D37">
      <w:r>
        <w:br w:type="page"/>
      </w:r>
    </w:p>
    <w:sdt>
      <w:sdtPr>
        <w:rPr>
          <w:rFonts w:ascii="Calibri" w:eastAsia="Times New Roman" w:hAnsi="Calibri" w:cs="Times New Roman"/>
          <w:color w:val="auto"/>
          <w:sz w:val="22"/>
          <w:szCs w:val="22"/>
          <w:lang w:val="en-AU" w:eastAsia="en-AU"/>
        </w:rPr>
        <w:id w:val="-76592085"/>
        <w:docPartObj>
          <w:docPartGallery w:val="Table of Contents"/>
          <w:docPartUnique/>
        </w:docPartObj>
      </w:sdtPr>
      <w:sdtEndPr>
        <w:rPr>
          <w:noProof/>
        </w:rPr>
      </w:sdtEndPr>
      <w:sdtContent>
        <w:p w14:paraId="75701124" w14:textId="511069D1" w:rsidR="00C91E67" w:rsidRDefault="00C91E67">
          <w:pPr>
            <w:pStyle w:val="TOCHeading"/>
          </w:pPr>
          <w:r>
            <w:t>Contents</w:t>
          </w:r>
        </w:p>
        <w:p w14:paraId="79DE3DF3" w14:textId="19DA2D59" w:rsidR="003475FC" w:rsidRDefault="00C91E67">
          <w:pPr>
            <w:pStyle w:val="TOC1"/>
            <w:rPr>
              <w:rFonts w:asciiTheme="minorHAnsi" w:eastAsiaTheme="minorEastAsia" w:hAnsiTheme="minorHAnsi" w:cstheme="minorBidi"/>
              <w:lang w:val="en-AU"/>
            </w:rPr>
          </w:pPr>
          <w:r>
            <w:fldChar w:fldCharType="begin"/>
          </w:r>
          <w:r>
            <w:instrText xml:space="preserve"> TOC \o "1-3" \h \z \u </w:instrText>
          </w:r>
          <w:r>
            <w:fldChar w:fldCharType="separate"/>
          </w:r>
          <w:hyperlink w:anchor="_Toc19708282" w:history="1">
            <w:r w:rsidR="003475FC" w:rsidRPr="00554A3D">
              <w:rPr>
                <w:rStyle w:val="Hyperlink"/>
              </w:rPr>
              <w:t>1</w:t>
            </w:r>
            <w:r w:rsidR="003475FC">
              <w:rPr>
                <w:rFonts w:asciiTheme="minorHAnsi" w:eastAsiaTheme="minorEastAsia" w:hAnsiTheme="minorHAnsi" w:cstheme="minorBidi"/>
                <w:lang w:val="en-AU"/>
              </w:rPr>
              <w:tab/>
            </w:r>
            <w:r w:rsidR="003475FC" w:rsidRPr="00554A3D">
              <w:rPr>
                <w:rStyle w:val="Hyperlink"/>
              </w:rPr>
              <w:t>OBJECTIVES</w:t>
            </w:r>
            <w:r w:rsidR="003475FC">
              <w:rPr>
                <w:webHidden/>
              </w:rPr>
              <w:tab/>
            </w:r>
            <w:r w:rsidR="003475FC">
              <w:rPr>
                <w:webHidden/>
              </w:rPr>
              <w:fldChar w:fldCharType="begin"/>
            </w:r>
            <w:r w:rsidR="003475FC">
              <w:rPr>
                <w:webHidden/>
              </w:rPr>
              <w:instrText xml:space="preserve"> PAGEREF _Toc19708282 \h </w:instrText>
            </w:r>
            <w:r w:rsidR="003475FC">
              <w:rPr>
                <w:webHidden/>
              </w:rPr>
            </w:r>
            <w:r w:rsidR="003475FC">
              <w:rPr>
                <w:webHidden/>
              </w:rPr>
              <w:fldChar w:fldCharType="separate"/>
            </w:r>
            <w:r w:rsidR="00FA46DB">
              <w:rPr>
                <w:webHidden/>
              </w:rPr>
              <w:t>4</w:t>
            </w:r>
            <w:r w:rsidR="003475FC">
              <w:rPr>
                <w:webHidden/>
              </w:rPr>
              <w:fldChar w:fldCharType="end"/>
            </w:r>
          </w:hyperlink>
        </w:p>
        <w:p w14:paraId="5DFB9BCC" w14:textId="40BC54E5" w:rsidR="003475FC" w:rsidRDefault="00D9752A">
          <w:pPr>
            <w:pStyle w:val="TOC2"/>
            <w:rPr>
              <w:rFonts w:asciiTheme="minorHAnsi" w:eastAsiaTheme="minorEastAsia" w:hAnsiTheme="minorHAnsi" w:cstheme="minorBidi"/>
              <w:lang w:val="en-AU"/>
            </w:rPr>
          </w:pPr>
          <w:hyperlink w:anchor="_Toc19708283" w:history="1">
            <w:r w:rsidR="003475FC" w:rsidRPr="00554A3D">
              <w:rPr>
                <w:rStyle w:val="Hyperlink"/>
              </w:rPr>
              <w:t>1.1</w:t>
            </w:r>
            <w:r w:rsidR="003475FC">
              <w:rPr>
                <w:rFonts w:asciiTheme="minorHAnsi" w:eastAsiaTheme="minorEastAsia" w:hAnsiTheme="minorHAnsi" w:cstheme="minorBidi"/>
                <w:lang w:val="en-AU"/>
              </w:rPr>
              <w:tab/>
            </w:r>
            <w:r w:rsidR="003475FC" w:rsidRPr="00554A3D">
              <w:rPr>
                <w:rStyle w:val="Hyperlink"/>
              </w:rPr>
              <w:t>Project overview</w:t>
            </w:r>
            <w:r w:rsidR="003475FC">
              <w:rPr>
                <w:webHidden/>
              </w:rPr>
              <w:tab/>
            </w:r>
            <w:r w:rsidR="003475FC">
              <w:rPr>
                <w:webHidden/>
              </w:rPr>
              <w:fldChar w:fldCharType="begin"/>
            </w:r>
            <w:r w:rsidR="003475FC">
              <w:rPr>
                <w:webHidden/>
              </w:rPr>
              <w:instrText xml:space="preserve"> PAGEREF _Toc19708283 \h </w:instrText>
            </w:r>
            <w:r w:rsidR="003475FC">
              <w:rPr>
                <w:webHidden/>
              </w:rPr>
            </w:r>
            <w:r w:rsidR="003475FC">
              <w:rPr>
                <w:webHidden/>
              </w:rPr>
              <w:fldChar w:fldCharType="separate"/>
            </w:r>
            <w:r w:rsidR="00FA46DB">
              <w:rPr>
                <w:webHidden/>
              </w:rPr>
              <w:t>4</w:t>
            </w:r>
            <w:r w:rsidR="003475FC">
              <w:rPr>
                <w:webHidden/>
              </w:rPr>
              <w:fldChar w:fldCharType="end"/>
            </w:r>
          </w:hyperlink>
        </w:p>
        <w:p w14:paraId="1894B927" w14:textId="0443E54A" w:rsidR="003475FC" w:rsidRDefault="00D9752A">
          <w:pPr>
            <w:pStyle w:val="TOC2"/>
            <w:rPr>
              <w:rFonts w:asciiTheme="minorHAnsi" w:eastAsiaTheme="minorEastAsia" w:hAnsiTheme="minorHAnsi" w:cstheme="minorBidi"/>
              <w:lang w:val="en-AU"/>
            </w:rPr>
          </w:pPr>
          <w:hyperlink w:anchor="_Toc19708284" w:history="1">
            <w:r w:rsidR="003475FC" w:rsidRPr="00554A3D">
              <w:rPr>
                <w:rStyle w:val="Hyperlink"/>
                <w:rFonts w:ascii="Helvetica" w:hAnsi="Helvetica"/>
              </w:rPr>
              <w:t>1.2</w:t>
            </w:r>
            <w:r w:rsidR="003475FC">
              <w:rPr>
                <w:rFonts w:asciiTheme="minorHAnsi" w:eastAsiaTheme="minorEastAsia" w:hAnsiTheme="minorHAnsi" w:cstheme="minorBidi"/>
                <w:lang w:val="en-AU"/>
              </w:rPr>
              <w:tab/>
            </w:r>
            <w:r w:rsidR="003475FC" w:rsidRPr="00554A3D">
              <w:rPr>
                <w:rStyle w:val="Hyperlink"/>
                <w:rFonts w:ascii="Helvetica" w:hAnsi="Helvetica"/>
              </w:rPr>
              <w:t>Project scope</w:t>
            </w:r>
            <w:r w:rsidR="003475FC">
              <w:rPr>
                <w:webHidden/>
              </w:rPr>
              <w:tab/>
            </w:r>
            <w:r w:rsidR="003475FC">
              <w:rPr>
                <w:webHidden/>
              </w:rPr>
              <w:fldChar w:fldCharType="begin"/>
            </w:r>
            <w:r w:rsidR="003475FC">
              <w:rPr>
                <w:webHidden/>
              </w:rPr>
              <w:instrText xml:space="preserve"> PAGEREF _Toc19708284 \h </w:instrText>
            </w:r>
            <w:r w:rsidR="003475FC">
              <w:rPr>
                <w:webHidden/>
              </w:rPr>
            </w:r>
            <w:r w:rsidR="003475FC">
              <w:rPr>
                <w:webHidden/>
              </w:rPr>
              <w:fldChar w:fldCharType="separate"/>
            </w:r>
            <w:r w:rsidR="00FA46DB">
              <w:rPr>
                <w:webHidden/>
              </w:rPr>
              <w:t>4</w:t>
            </w:r>
            <w:r w:rsidR="003475FC">
              <w:rPr>
                <w:webHidden/>
              </w:rPr>
              <w:fldChar w:fldCharType="end"/>
            </w:r>
          </w:hyperlink>
        </w:p>
        <w:p w14:paraId="1C8FD10E" w14:textId="5142B143" w:rsidR="003475FC" w:rsidRDefault="00D9752A">
          <w:pPr>
            <w:pStyle w:val="TOC1"/>
            <w:rPr>
              <w:rFonts w:asciiTheme="minorHAnsi" w:eastAsiaTheme="minorEastAsia" w:hAnsiTheme="minorHAnsi" w:cstheme="minorBidi"/>
              <w:lang w:val="en-AU"/>
            </w:rPr>
          </w:pPr>
          <w:hyperlink w:anchor="_Toc19708285" w:history="1">
            <w:r w:rsidR="003475FC" w:rsidRPr="00554A3D">
              <w:rPr>
                <w:rStyle w:val="Hyperlink"/>
              </w:rPr>
              <w:t>2</w:t>
            </w:r>
            <w:r w:rsidR="003475FC">
              <w:rPr>
                <w:rFonts w:asciiTheme="minorHAnsi" w:eastAsiaTheme="minorEastAsia" w:hAnsiTheme="minorHAnsi" w:cstheme="minorBidi"/>
                <w:lang w:val="en-AU"/>
              </w:rPr>
              <w:tab/>
            </w:r>
            <w:r w:rsidR="003475FC" w:rsidRPr="00554A3D">
              <w:rPr>
                <w:rStyle w:val="Hyperlink"/>
              </w:rPr>
              <w:t>SUMMARY</w:t>
            </w:r>
            <w:r w:rsidR="003475FC">
              <w:rPr>
                <w:webHidden/>
              </w:rPr>
              <w:tab/>
            </w:r>
            <w:r w:rsidR="003475FC">
              <w:rPr>
                <w:webHidden/>
              </w:rPr>
              <w:fldChar w:fldCharType="begin"/>
            </w:r>
            <w:r w:rsidR="003475FC">
              <w:rPr>
                <w:webHidden/>
              </w:rPr>
              <w:instrText xml:space="preserve"> PAGEREF _Toc19708285 \h </w:instrText>
            </w:r>
            <w:r w:rsidR="003475FC">
              <w:rPr>
                <w:webHidden/>
              </w:rPr>
            </w:r>
            <w:r w:rsidR="003475FC">
              <w:rPr>
                <w:webHidden/>
              </w:rPr>
              <w:fldChar w:fldCharType="separate"/>
            </w:r>
            <w:r w:rsidR="00FA46DB">
              <w:rPr>
                <w:webHidden/>
              </w:rPr>
              <w:t>6</w:t>
            </w:r>
            <w:r w:rsidR="003475FC">
              <w:rPr>
                <w:webHidden/>
              </w:rPr>
              <w:fldChar w:fldCharType="end"/>
            </w:r>
          </w:hyperlink>
        </w:p>
        <w:p w14:paraId="5453CF4A" w14:textId="735D2B53" w:rsidR="003475FC" w:rsidRDefault="00D9752A">
          <w:pPr>
            <w:pStyle w:val="TOC3"/>
            <w:tabs>
              <w:tab w:val="right" w:leader="dot" w:pos="9061"/>
            </w:tabs>
            <w:rPr>
              <w:rFonts w:asciiTheme="minorHAnsi" w:eastAsiaTheme="minorEastAsia" w:hAnsiTheme="minorHAnsi" w:cstheme="minorBidi"/>
              <w:noProof/>
              <w:color w:val="auto"/>
            </w:rPr>
          </w:pPr>
          <w:hyperlink w:anchor="_Toc19708286" w:history="1">
            <w:r w:rsidR="003475FC" w:rsidRPr="00554A3D">
              <w:rPr>
                <w:rStyle w:val="Hyperlink"/>
                <w:noProof/>
              </w:rPr>
              <w:t>Key opportunities</w:t>
            </w:r>
            <w:r w:rsidR="003475FC">
              <w:rPr>
                <w:noProof/>
                <w:webHidden/>
              </w:rPr>
              <w:tab/>
            </w:r>
            <w:r w:rsidR="003475FC">
              <w:rPr>
                <w:noProof/>
                <w:webHidden/>
              </w:rPr>
              <w:fldChar w:fldCharType="begin"/>
            </w:r>
            <w:r w:rsidR="003475FC">
              <w:rPr>
                <w:noProof/>
                <w:webHidden/>
              </w:rPr>
              <w:instrText xml:space="preserve"> PAGEREF _Toc19708286 \h </w:instrText>
            </w:r>
            <w:r w:rsidR="003475FC">
              <w:rPr>
                <w:noProof/>
                <w:webHidden/>
              </w:rPr>
            </w:r>
            <w:r w:rsidR="003475FC">
              <w:rPr>
                <w:noProof/>
                <w:webHidden/>
              </w:rPr>
              <w:fldChar w:fldCharType="separate"/>
            </w:r>
            <w:r w:rsidR="00FA46DB">
              <w:rPr>
                <w:noProof/>
                <w:webHidden/>
              </w:rPr>
              <w:t>6</w:t>
            </w:r>
            <w:r w:rsidR="003475FC">
              <w:rPr>
                <w:noProof/>
                <w:webHidden/>
              </w:rPr>
              <w:fldChar w:fldCharType="end"/>
            </w:r>
          </w:hyperlink>
        </w:p>
        <w:p w14:paraId="2E44357B" w14:textId="2BE9674A" w:rsidR="003475FC" w:rsidRDefault="00D9752A">
          <w:pPr>
            <w:pStyle w:val="TOC1"/>
            <w:rPr>
              <w:rFonts w:asciiTheme="minorHAnsi" w:eastAsiaTheme="minorEastAsia" w:hAnsiTheme="minorHAnsi" w:cstheme="minorBidi"/>
              <w:lang w:val="en-AU"/>
            </w:rPr>
          </w:pPr>
          <w:hyperlink w:anchor="_Toc19708287" w:history="1">
            <w:r w:rsidR="003475FC" w:rsidRPr="00554A3D">
              <w:rPr>
                <w:rStyle w:val="Hyperlink"/>
              </w:rPr>
              <w:t>3</w:t>
            </w:r>
            <w:r w:rsidR="003475FC">
              <w:rPr>
                <w:rFonts w:asciiTheme="minorHAnsi" w:eastAsiaTheme="minorEastAsia" w:hAnsiTheme="minorHAnsi" w:cstheme="minorBidi"/>
                <w:lang w:val="en-AU"/>
              </w:rPr>
              <w:tab/>
            </w:r>
            <w:r w:rsidR="003475FC" w:rsidRPr="00554A3D">
              <w:rPr>
                <w:rStyle w:val="Hyperlink"/>
              </w:rPr>
              <w:t>MARKET ASSESSMENT FOR PLASTICS</w:t>
            </w:r>
            <w:r w:rsidR="003475FC">
              <w:rPr>
                <w:webHidden/>
              </w:rPr>
              <w:tab/>
            </w:r>
            <w:r w:rsidR="003475FC">
              <w:rPr>
                <w:webHidden/>
              </w:rPr>
              <w:fldChar w:fldCharType="begin"/>
            </w:r>
            <w:r w:rsidR="003475FC">
              <w:rPr>
                <w:webHidden/>
              </w:rPr>
              <w:instrText xml:space="preserve"> PAGEREF _Toc19708287 \h </w:instrText>
            </w:r>
            <w:r w:rsidR="003475FC">
              <w:rPr>
                <w:webHidden/>
              </w:rPr>
            </w:r>
            <w:r w:rsidR="003475FC">
              <w:rPr>
                <w:webHidden/>
              </w:rPr>
              <w:fldChar w:fldCharType="separate"/>
            </w:r>
            <w:r w:rsidR="00FA46DB">
              <w:rPr>
                <w:webHidden/>
              </w:rPr>
              <w:t>8</w:t>
            </w:r>
            <w:r w:rsidR="003475FC">
              <w:rPr>
                <w:webHidden/>
              </w:rPr>
              <w:fldChar w:fldCharType="end"/>
            </w:r>
          </w:hyperlink>
        </w:p>
        <w:p w14:paraId="09C4833B" w14:textId="23494B15" w:rsidR="003475FC" w:rsidRDefault="00D9752A">
          <w:pPr>
            <w:pStyle w:val="TOC1"/>
            <w:rPr>
              <w:rFonts w:asciiTheme="minorHAnsi" w:eastAsiaTheme="minorEastAsia" w:hAnsiTheme="minorHAnsi" w:cstheme="minorBidi"/>
              <w:lang w:val="en-AU"/>
            </w:rPr>
          </w:pPr>
          <w:hyperlink w:anchor="_Toc19708288" w:history="1">
            <w:r w:rsidR="003475FC" w:rsidRPr="00554A3D">
              <w:rPr>
                <w:rStyle w:val="Hyperlink"/>
              </w:rPr>
              <w:t>4</w:t>
            </w:r>
            <w:r w:rsidR="003475FC">
              <w:rPr>
                <w:rFonts w:asciiTheme="minorHAnsi" w:eastAsiaTheme="minorEastAsia" w:hAnsiTheme="minorHAnsi" w:cstheme="minorBidi"/>
                <w:lang w:val="en-AU"/>
              </w:rPr>
              <w:tab/>
            </w:r>
            <w:r w:rsidR="003475FC" w:rsidRPr="00554A3D">
              <w:rPr>
                <w:rStyle w:val="Hyperlink"/>
              </w:rPr>
              <w:t>MARKET ASSESSMENT FOR PAPER AND CARDBOARD</w:t>
            </w:r>
            <w:r w:rsidR="003475FC">
              <w:rPr>
                <w:webHidden/>
              </w:rPr>
              <w:tab/>
            </w:r>
            <w:r w:rsidR="003475FC">
              <w:rPr>
                <w:webHidden/>
              </w:rPr>
              <w:fldChar w:fldCharType="begin"/>
            </w:r>
            <w:r w:rsidR="003475FC">
              <w:rPr>
                <w:webHidden/>
              </w:rPr>
              <w:instrText xml:space="preserve"> PAGEREF _Toc19708288 \h </w:instrText>
            </w:r>
            <w:r w:rsidR="003475FC">
              <w:rPr>
                <w:webHidden/>
              </w:rPr>
            </w:r>
            <w:r w:rsidR="003475FC">
              <w:rPr>
                <w:webHidden/>
              </w:rPr>
              <w:fldChar w:fldCharType="separate"/>
            </w:r>
            <w:r w:rsidR="00FA46DB">
              <w:rPr>
                <w:webHidden/>
              </w:rPr>
              <w:t>14</w:t>
            </w:r>
            <w:r w:rsidR="003475FC">
              <w:rPr>
                <w:webHidden/>
              </w:rPr>
              <w:fldChar w:fldCharType="end"/>
            </w:r>
          </w:hyperlink>
        </w:p>
        <w:p w14:paraId="52EB3637" w14:textId="1188E340" w:rsidR="003475FC" w:rsidRDefault="00D9752A">
          <w:pPr>
            <w:pStyle w:val="TOC1"/>
            <w:rPr>
              <w:rFonts w:asciiTheme="minorHAnsi" w:eastAsiaTheme="minorEastAsia" w:hAnsiTheme="minorHAnsi" w:cstheme="minorBidi"/>
              <w:lang w:val="en-AU"/>
            </w:rPr>
          </w:pPr>
          <w:hyperlink w:anchor="_Toc19708289" w:history="1">
            <w:r w:rsidR="003475FC" w:rsidRPr="00554A3D">
              <w:rPr>
                <w:rStyle w:val="Hyperlink"/>
              </w:rPr>
              <w:t>5</w:t>
            </w:r>
            <w:r w:rsidR="003475FC">
              <w:rPr>
                <w:rFonts w:asciiTheme="minorHAnsi" w:eastAsiaTheme="minorEastAsia" w:hAnsiTheme="minorHAnsi" w:cstheme="minorBidi"/>
                <w:lang w:val="en-AU"/>
              </w:rPr>
              <w:tab/>
            </w:r>
            <w:r w:rsidR="003475FC" w:rsidRPr="00554A3D">
              <w:rPr>
                <w:rStyle w:val="Hyperlink"/>
              </w:rPr>
              <w:t>MARKET ASSESSMENT FOR RUBBER</w:t>
            </w:r>
            <w:r w:rsidR="003475FC">
              <w:rPr>
                <w:webHidden/>
              </w:rPr>
              <w:tab/>
            </w:r>
            <w:r w:rsidR="003475FC">
              <w:rPr>
                <w:webHidden/>
              </w:rPr>
              <w:fldChar w:fldCharType="begin"/>
            </w:r>
            <w:r w:rsidR="003475FC">
              <w:rPr>
                <w:webHidden/>
              </w:rPr>
              <w:instrText xml:space="preserve"> PAGEREF _Toc19708289 \h </w:instrText>
            </w:r>
            <w:r w:rsidR="003475FC">
              <w:rPr>
                <w:webHidden/>
              </w:rPr>
            </w:r>
            <w:r w:rsidR="003475FC">
              <w:rPr>
                <w:webHidden/>
              </w:rPr>
              <w:fldChar w:fldCharType="separate"/>
            </w:r>
            <w:r w:rsidR="00FA46DB">
              <w:rPr>
                <w:webHidden/>
              </w:rPr>
              <w:t>18</w:t>
            </w:r>
            <w:r w:rsidR="003475FC">
              <w:rPr>
                <w:webHidden/>
              </w:rPr>
              <w:fldChar w:fldCharType="end"/>
            </w:r>
          </w:hyperlink>
        </w:p>
        <w:p w14:paraId="248BB645" w14:textId="7165F8B7" w:rsidR="003475FC" w:rsidRDefault="00D9752A">
          <w:pPr>
            <w:pStyle w:val="TOC2"/>
            <w:rPr>
              <w:rFonts w:asciiTheme="minorHAnsi" w:eastAsiaTheme="minorEastAsia" w:hAnsiTheme="minorHAnsi" w:cstheme="minorBidi"/>
              <w:lang w:val="en-AU"/>
            </w:rPr>
          </w:pPr>
          <w:hyperlink w:anchor="_Toc19708290" w:history="1">
            <w:r w:rsidR="003475FC" w:rsidRPr="00554A3D">
              <w:rPr>
                <w:rStyle w:val="Hyperlink"/>
              </w:rPr>
              <w:t>5.1</w:t>
            </w:r>
            <w:r w:rsidR="003475FC">
              <w:rPr>
                <w:rFonts w:asciiTheme="minorHAnsi" w:eastAsiaTheme="minorEastAsia" w:hAnsiTheme="minorHAnsi" w:cstheme="minorBidi"/>
                <w:lang w:val="en-AU"/>
              </w:rPr>
              <w:tab/>
            </w:r>
            <w:r w:rsidR="003475FC" w:rsidRPr="00554A3D">
              <w:rPr>
                <w:rStyle w:val="Hyperlink"/>
              </w:rPr>
              <w:t>Tyre consumption and waste generation</w:t>
            </w:r>
            <w:r w:rsidR="003475FC">
              <w:rPr>
                <w:webHidden/>
              </w:rPr>
              <w:tab/>
            </w:r>
            <w:r w:rsidR="003475FC">
              <w:rPr>
                <w:webHidden/>
              </w:rPr>
              <w:fldChar w:fldCharType="begin"/>
            </w:r>
            <w:r w:rsidR="003475FC">
              <w:rPr>
                <w:webHidden/>
              </w:rPr>
              <w:instrText xml:space="preserve"> PAGEREF _Toc19708290 \h </w:instrText>
            </w:r>
            <w:r w:rsidR="003475FC">
              <w:rPr>
                <w:webHidden/>
              </w:rPr>
            </w:r>
            <w:r w:rsidR="003475FC">
              <w:rPr>
                <w:webHidden/>
              </w:rPr>
              <w:fldChar w:fldCharType="separate"/>
            </w:r>
            <w:r w:rsidR="00FA46DB">
              <w:rPr>
                <w:webHidden/>
              </w:rPr>
              <w:t>18</w:t>
            </w:r>
            <w:r w:rsidR="003475FC">
              <w:rPr>
                <w:webHidden/>
              </w:rPr>
              <w:fldChar w:fldCharType="end"/>
            </w:r>
          </w:hyperlink>
        </w:p>
        <w:p w14:paraId="1EDC4A30" w14:textId="503CF3CF" w:rsidR="003475FC" w:rsidRDefault="00D9752A">
          <w:pPr>
            <w:pStyle w:val="TOC2"/>
            <w:rPr>
              <w:rFonts w:asciiTheme="minorHAnsi" w:eastAsiaTheme="minorEastAsia" w:hAnsiTheme="minorHAnsi" w:cstheme="minorBidi"/>
              <w:lang w:val="en-AU"/>
            </w:rPr>
          </w:pPr>
          <w:hyperlink w:anchor="_Toc19708291" w:history="1">
            <w:r w:rsidR="003475FC" w:rsidRPr="00554A3D">
              <w:rPr>
                <w:rStyle w:val="Hyperlink"/>
              </w:rPr>
              <w:t>5.2</w:t>
            </w:r>
            <w:r w:rsidR="003475FC">
              <w:rPr>
                <w:rFonts w:asciiTheme="minorHAnsi" w:eastAsiaTheme="minorEastAsia" w:hAnsiTheme="minorHAnsi" w:cstheme="minorBidi"/>
                <w:lang w:val="en-AU"/>
              </w:rPr>
              <w:tab/>
            </w:r>
            <w:r w:rsidR="003475FC" w:rsidRPr="00554A3D">
              <w:rPr>
                <w:rStyle w:val="Hyperlink"/>
              </w:rPr>
              <w:t>Market Barriers</w:t>
            </w:r>
            <w:r w:rsidR="003475FC">
              <w:rPr>
                <w:webHidden/>
              </w:rPr>
              <w:tab/>
            </w:r>
            <w:r w:rsidR="003475FC">
              <w:rPr>
                <w:webHidden/>
              </w:rPr>
              <w:fldChar w:fldCharType="begin"/>
            </w:r>
            <w:r w:rsidR="003475FC">
              <w:rPr>
                <w:webHidden/>
              </w:rPr>
              <w:instrText xml:space="preserve"> PAGEREF _Toc19708291 \h </w:instrText>
            </w:r>
            <w:r w:rsidR="003475FC">
              <w:rPr>
                <w:webHidden/>
              </w:rPr>
            </w:r>
            <w:r w:rsidR="003475FC">
              <w:rPr>
                <w:webHidden/>
              </w:rPr>
              <w:fldChar w:fldCharType="separate"/>
            </w:r>
            <w:r w:rsidR="00FA46DB">
              <w:rPr>
                <w:webHidden/>
              </w:rPr>
              <w:t>18</w:t>
            </w:r>
            <w:r w:rsidR="003475FC">
              <w:rPr>
                <w:webHidden/>
              </w:rPr>
              <w:fldChar w:fldCharType="end"/>
            </w:r>
          </w:hyperlink>
        </w:p>
        <w:p w14:paraId="0416D41B" w14:textId="49C19AA6" w:rsidR="003475FC" w:rsidRDefault="00D9752A">
          <w:pPr>
            <w:pStyle w:val="TOC2"/>
            <w:rPr>
              <w:rFonts w:asciiTheme="minorHAnsi" w:eastAsiaTheme="minorEastAsia" w:hAnsiTheme="minorHAnsi" w:cstheme="minorBidi"/>
              <w:lang w:val="en-AU"/>
            </w:rPr>
          </w:pPr>
          <w:hyperlink w:anchor="_Toc19708292" w:history="1">
            <w:r w:rsidR="003475FC" w:rsidRPr="00554A3D">
              <w:rPr>
                <w:rStyle w:val="Hyperlink"/>
              </w:rPr>
              <w:t>5.3</w:t>
            </w:r>
            <w:r w:rsidR="003475FC">
              <w:rPr>
                <w:rFonts w:asciiTheme="minorHAnsi" w:eastAsiaTheme="minorEastAsia" w:hAnsiTheme="minorHAnsi" w:cstheme="minorBidi"/>
                <w:lang w:val="en-AU"/>
              </w:rPr>
              <w:tab/>
            </w:r>
            <w:r w:rsidR="003475FC" w:rsidRPr="00554A3D">
              <w:rPr>
                <w:rStyle w:val="Hyperlink"/>
              </w:rPr>
              <w:t>Opportunities</w:t>
            </w:r>
            <w:r w:rsidR="003475FC">
              <w:rPr>
                <w:webHidden/>
              </w:rPr>
              <w:tab/>
            </w:r>
            <w:r w:rsidR="003475FC">
              <w:rPr>
                <w:webHidden/>
              </w:rPr>
              <w:fldChar w:fldCharType="begin"/>
            </w:r>
            <w:r w:rsidR="003475FC">
              <w:rPr>
                <w:webHidden/>
              </w:rPr>
              <w:instrText xml:space="preserve"> PAGEREF _Toc19708292 \h </w:instrText>
            </w:r>
            <w:r w:rsidR="003475FC">
              <w:rPr>
                <w:webHidden/>
              </w:rPr>
            </w:r>
            <w:r w:rsidR="003475FC">
              <w:rPr>
                <w:webHidden/>
              </w:rPr>
              <w:fldChar w:fldCharType="separate"/>
            </w:r>
            <w:r w:rsidR="00FA46DB">
              <w:rPr>
                <w:webHidden/>
              </w:rPr>
              <w:t>19</w:t>
            </w:r>
            <w:r w:rsidR="003475FC">
              <w:rPr>
                <w:webHidden/>
              </w:rPr>
              <w:fldChar w:fldCharType="end"/>
            </w:r>
          </w:hyperlink>
        </w:p>
        <w:p w14:paraId="7AD3B9EA" w14:textId="4FC91118" w:rsidR="003475FC" w:rsidRDefault="00D9752A">
          <w:pPr>
            <w:pStyle w:val="TOC1"/>
            <w:rPr>
              <w:rFonts w:asciiTheme="minorHAnsi" w:eastAsiaTheme="minorEastAsia" w:hAnsiTheme="minorHAnsi" w:cstheme="minorBidi"/>
              <w:lang w:val="en-AU"/>
            </w:rPr>
          </w:pPr>
          <w:hyperlink w:anchor="_Toc19708293" w:history="1">
            <w:r w:rsidR="003475FC" w:rsidRPr="00554A3D">
              <w:rPr>
                <w:rStyle w:val="Hyperlink"/>
              </w:rPr>
              <w:t>6</w:t>
            </w:r>
            <w:r w:rsidR="003475FC">
              <w:rPr>
                <w:rFonts w:asciiTheme="minorHAnsi" w:eastAsiaTheme="minorEastAsia" w:hAnsiTheme="minorHAnsi" w:cstheme="minorBidi"/>
                <w:lang w:val="en-AU"/>
              </w:rPr>
              <w:tab/>
            </w:r>
            <w:r w:rsidR="003475FC" w:rsidRPr="00554A3D">
              <w:rPr>
                <w:rStyle w:val="Hyperlink"/>
              </w:rPr>
              <w:t>MARKET ASSESSMENT FOR GLASS</w:t>
            </w:r>
            <w:r w:rsidR="003475FC">
              <w:rPr>
                <w:webHidden/>
              </w:rPr>
              <w:tab/>
            </w:r>
            <w:r w:rsidR="003475FC">
              <w:rPr>
                <w:webHidden/>
              </w:rPr>
              <w:fldChar w:fldCharType="begin"/>
            </w:r>
            <w:r w:rsidR="003475FC">
              <w:rPr>
                <w:webHidden/>
              </w:rPr>
              <w:instrText xml:space="preserve"> PAGEREF _Toc19708293 \h </w:instrText>
            </w:r>
            <w:r w:rsidR="003475FC">
              <w:rPr>
                <w:webHidden/>
              </w:rPr>
            </w:r>
            <w:r w:rsidR="003475FC">
              <w:rPr>
                <w:webHidden/>
              </w:rPr>
              <w:fldChar w:fldCharType="separate"/>
            </w:r>
            <w:r w:rsidR="00FA46DB">
              <w:rPr>
                <w:webHidden/>
              </w:rPr>
              <w:t>21</w:t>
            </w:r>
            <w:r w:rsidR="003475FC">
              <w:rPr>
                <w:webHidden/>
              </w:rPr>
              <w:fldChar w:fldCharType="end"/>
            </w:r>
          </w:hyperlink>
        </w:p>
        <w:p w14:paraId="2790495C" w14:textId="2855ECE5" w:rsidR="003475FC" w:rsidRDefault="00D9752A">
          <w:pPr>
            <w:pStyle w:val="TOC3"/>
            <w:tabs>
              <w:tab w:val="left" w:pos="880"/>
              <w:tab w:val="right" w:leader="dot" w:pos="9061"/>
            </w:tabs>
            <w:rPr>
              <w:rFonts w:asciiTheme="minorHAnsi" w:eastAsiaTheme="minorEastAsia" w:hAnsiTheme="minorHAnsi" w:cstheme="minorBidi"/>
              <w:noProof/>
              <w:color w:val="auto"/>
            </w:rPr>
          </w:pPr>
          <w:hyperlink w:anchor="_Toc19708294" w:history="1">
            <w:r w:rsidR="003475FC" w:rsidRPr="00554A3D">
              <w:rPr>
                <w:rStyle w:val="Hyperlink"/>
                <w:noProof/>
              </w:rPr>
              <w:t>6.1.1</w:t>
            </w:r>
            <w:r w:rsidR="003475FC">
              <w:rPr>
                <w:rFonts w:asciiTheme="minorHAnsi" w:eastAsiaTheme="minorEastAsia" w:hAnsiTheme="minorHAnsi" w:cstheme="minorBidi"/>
                <w:noProof/>
                <w:color w:val="auto"/>
              </w:rPr>
              <w:tab/>
            </w:r>
            <w:r w:rsidR="003475FC" w:rsidRPr="00554A3D">
              <w:rPr>
                <w:rStyle w:val="Hyperlink"/>
                <w:noProof/>
              </w:rPr>
              <w:t>Opportunities for increased recyclate take</w:t>
            </w:r>
            <w:r w:rsidR="003475FC">
              <w:rPr>
                <w:noProof/>
                <w:webHidden/>
              </w:rPr>
              <w:tab/>
            </w:r>
            <w:r w:rsidR="003475FC">
              <w:rPr>
                <w:noProof/>
                <w:webHidden/>
              </w:rPr>
              <w:fldChar w:fldCharType="begin"/>
            </w:r>
            <w:r w:rsidR="003475FC">
              <w:rPr>
                <w:noProof/>
                <w:webHidden/>
              </w:rPr>
              <w:instrText xml:space="preserve"> PAGEREF _Toc19708294 \h </w:instrText>
            </w:r>
            <w:r w:rsidR="003475FC">
              <w:rPr>
                <w:noProof/>
                <w:webHidden/>
              </w:rPr>
            </w:r>
            <w:r w:rsidR="003475FC">
              <w:rPr>
                <w:noProof/>
                <w:webHidden/>
              </w:rPr>
              <w:fldChar w:fldCharType="separate"/>
            </w:r>
            <w:r w:rsidR="00FA46DB">
              <w:rPr>
                <w:noProof/>
                <w:webHidden/>
              </w:rPr>
              <w:t>23</w:t>
            </w:r>
            <w:r w:rsidR="003475FC">
              <w:rPr>
                <w:noProof/>
                <w:webHidden/>
              </w:rPr>
              <w:fldChar w:fldCharType="end"/>
            </w:r>
          </w:hyperlink>
        </w:p>
        <w:p w14:paraId="655B11EE" w14:textId="29F47333" w:rsidR="003475FC" w:rsidRDefault="00D9752A">
          <w:pPr>
            <w:pStyle w:val="TOC1"/>
            <w:rPr>
              <w:rFonts w:asciiTheme="minorHAnsi" w:eastAsiaTheme="minorEastAsia" w:hAnsiTheme="minorHAnsi" w:cstheme="minorBidi"/>
              <w:lang w:val="en-AU"/>
            </w:rPr>
          </w:pPr>
          <w:hyperlink w:anchor="_Toc19708295" w:history="1">
            <w:r w:rsidR="003475FC" w:rsidRPr="00554A3D">
              <w:rPr>
                <w:rStyle w:val="Hyperlink"/>
              </w:rPr>
              <w:t>7</w:t>
            </w:r>
            <w:r w:rsidR="003475FC">
              <w:rPr>
                <w:rFonts w:asciiTheme="minorHAnsi" w:eastAsiaTheme="minorEastAsia" w:hAnsiTheme="minorHAnsi" w:cstheme="minorBidi"/>
                <w:lang w:val="en-AU"/>
              </w:rPr>
              <w:tab/>
            </w:r>
            <w:r w:rsidR="003475FC" w:rsidRPr="00554A3D">
              <w:rPr>
                <w:rStyle w:val="Hyperlink"/>
              </w:rPr>
              <w:t>KEY FINDINGS</w:t>
            </w:r>
            <w:r w:rsidR="003475FC">
              <w:rPr>
                <w:webHidden/>
              </w:rPr>
              <w:tab/>
            </w:r>
            <w:r w:rsidR="003475FC">
              <w:rPr>
                <w:webHidden/>
              </w:rPr>
              <w:fldChar w:fldCharType="begin"/>
            </w:r>
            <w:r w:rsidR="003475FC">
              <w:rPr>
                <w:webHidden/>
              </w:rPr>
              <w:instrText xml:space="preserve"> PAGEREF _Toc19708295 \h </w:instrText>
            </w:r>
            <w:r w:rsidR="003475FC">
              <w:rPr>
                <w:webHidden/>
              </w:rPr>
            </w:r>
            <w:r w:rsidR="003475FC">
              <w:rPr>
                <w:webHidden/>
              </w:rPr>
              <w:fldChar w:fldCharType="separate"/>
            </w:r>
            <w:r w:rsidR="00FA46DB">
              <w:rPr>
                <w:webHidden/>
              </w:rPr>
              <w:t>24</w:t>
            </w:r>
            <w:r w:rsidR="003475FC">
              <w:rPr>
                <w:webHidden/>
              </w:rPr>
              <w:fldChar w:fldCharType="end"/>
            </w:r>
          </w:hyperlink>
        </w:p>
        <w:p w14:paraId="71CBCA8C" w14:textId="33103914" w:rsidR="003475FC" w:rsidRDefault="00D9752A">
          <w:pPr>
            <w:pStyle w:val="TOC2"/>
            <w:rPr>
              <w:rFonts w:asciiTheme="minorHAnsi" w:eastAsiaTheme="minorEastAsia" w:hAnsiTheme="minorHAnsi" w:cstheme="minorBidi"/>
              <w:lang w:val="en-AU"/>
            </w:rPr>
          </w:pPr>
          <w:hyperlink w:anchor="_Toc19708296" w:history="1">
            <w:r w:rsidR="003475FC" w:rsidRPr="00554A3D">
              <w:rPr>
                <w:rStyle w:val="Hyperlink"/>
              </w:rPr>
              <w:t>7.1</w:t>
            </w:r>
            <w:r w:rsidR="003475FC">
              <w:rPr>
                <w:rFonts w:asciiTheme="minorHAnsi" w:eastAsiaTheme="minorEastAsia" w:hAnsiTheme="minorHAnsi" w:cstheme="minorBidi"/>
                <w:lang w:val="en-AU"/>
              </w:rPr>
              <w:tab/>
            </w:r>
            <w:r w:rsidR="003475FC" w:rsidRPr="00554A3D">
              <w:rPr>
                <w:rStyle w:val="Hyperlink"/>
              </w:rPr>
              <w:t>Plastics</w:t>
            </w:r>
            <w:r w:rsidR="003475FC">
              <w:rPr>
                <w:webHidden/>
              </w:rPr>
              <w:tab/>
            </w:r>
            <w:r w:rsidR="003475FC">
              <w:rPr>
                <w:webHidden/>
              </w:rPr>
              <w:fldChar w:fldCharType="begin"/>
            </w:r>
            <w:r w:rsidR="003475FC">
              <w:rPr>
                <w:webHidden/>
              </w:rPr>
              <w:instrText xml:space="preserve"> PAGEREF _Toc19708296 \h </w:instrText>
            </w:r>
            <w:r w:rsidR="003475FC">
              <w:rPr>
                <w:webHidden/>
              </w:rPr>
            </w:r>
            <w:r w:rsidR="003475FC">
              <w:rPr>
                <w:webHidden/>
              </w:rPr>
              <w:fldChar w:fldCharType="separate"/>
            </w:r>
            <w:r w:rsidR="00FA46DB">
              <w:rPr>
                <w:webHidden/>
              </w:rPr>
              <w:t>24</w:t>
            </w:r>
            <w:r w:rsidR="003475FC">
              <w:rPr>
                <w:webHidden/>
              </w:rPr>
              <w:fldChar w:fldCharType="end"/>
            </w:r>
          </w:hyperlink>
        </w:p>
        <w:p w14:paraId="32265D10" w14:textId="64056607" w:rsidR="003475FC" w:rsidRDefault="00D9752A">
          <w:pPr>
            <w:pStyle w:val="TOC2"/>
            <w:rPr>
              <w:rFonts w:asciiTheme="minorHAnsi" w:eastAsiaTheme="minorEastAsia" w:hAnsiTheme="minorHAnsi" w:cstheme="minorBidi"/>
              <w:lang w:val="en-AU"/>
            </w:rPr>
          </w:pPr>
          <w:hyperlink w:anchor="_Toc19708297" w:history="1">
            <w:r w:rsidR="003475FC" w:rsidRPr="00554A3D">
              <w:rPr>
                <w:rStyle w:val="Hyperlink"/>
              </w:rPr>
              <w:t>7.2</w:t>
            </w:r>
            <w:r w:rsidR="003475FC">
              <w:rPr>
                <w:rFonts w:asciiTheme="minorHAnsi" w:eastAsiaTheme="minorEastAsia" w:hAnsiTheme="minorHAnsi" w:cstheme="minorBidi"/>
                <w:lang w:val="en-AU"/>
              </w:rPr>
              <w:tab/>
            </w:r>
            <w:r w:rsidR="003475FC" w:rsidRPr="00554A3D">
              <w:rPr>
                <w:rStyle w:val="Hyperlink"/>
              </w:rPr>
              <w:t>Glass</w:t>
            </w:r>
            <w:r w:rsidR="003475FC">
              <w:rPr>
                <w:webHidden/>
              </w:rPr>
              <w:tab/>
            </w:r>
            <w:r w:rsidR="003475FC">
              <w:rPr>
                <w:webHidden/>
              </w:rPr>
              <w:fldChar w:fldCharType="begin"/>
            </w:r>
            <w:r w:rsidR="003475FC">
              <w:rPr>
                <w:webHidden/>
              </w:rPr>
              <w:instrText xml:space="preserve"> PAGEREF _Toc19708297 \h </w:instrText>
            </w:r>
            <w:r w:rsidR="003475FC">
              <w:rPr>
                <w:webHidden/>
              </w:rPr>
            </w:r>
            <w:r w:rsidR="003475FC">
              <w:rPr>
                <w:webHidden/>
              </w:rPr>
              <w:fldChar w:fldCharType="separate"/>
            </w:r>
            <w:r w:rsidR="00FA46DB">
              <w:rPr>
                <w:webHidden/>
              </w:rPr>
              <w:t>25</w:t>
            </w:r>
            <w:r w:rsidR="003475FC">
              <w:rPr>
                <w:webHidden/>
              </w:rPr>
              <w:fldChar w:fldCharType="end"/>
            </w:r>
          </w:hyperlink>
        </w:p>
        <w:p w14:paraId="04CD0090" w14:textId="2288AF38" w:rsidR="003475FC" w:rsidRDefault="00D9752A">
          <w:pPr>
            <w:pStyle w:val="TOC2"/>
            <w:rPr>
              <w:rFonts w:asciiTheme="minorHAnsi" w:eastAsiaTheme="minorEastAsia" w:hAnsiTheme="minorHAnsi" w:cstheme="minorBidi"/>
              <w:lang w:val="en-AU"/>
            </w:rPr>
          </w:pPr>
          <w:hyperlink w:anchor="_Toc19708298" w:history="1">
            <w:r w:rsidR="003475FC" w:rsidRPr="00554A3D">
              <w:rPr>
                <w:rStyle w:val="Hyperlink"/>
              </w:rPr>
              <w:t>7.3</w:t>
            </w:r>
            <w:r w:rsidR="003475FC">
              <w:rPr>
                <w:rFonts w:asciiTheme="minorHAnsi" w:eastAsiaTheme="minorEastAsia" w:hAnsiTheme="minorHAnsi" w:cstheme="minorBidi"/>
                <w:lang w:val="en-AU"/>
              </w:rPr>
              <w:tab/>
            </w:r>
            <w:r w:rsidR="003475FC" w:rsidRPr="00554A3D">
              <w:rPr>
                <w:rStyle w:val="Hyperlink"/>
              </w:rPr>
              <w:t>Paper and cardboard</w:t>
            </w:r>
            <w:r w:rsidR="003475FC">
              <w:rPr>
                <w:webHidden/>
              </w:rPr>
              <w:tab/>
            </w:r>
            <w:r w:rsidR="003475FC">
              <w:rPr>
                <w:webHidden/>
              </w:rPr>
              <w:fldChar w:fldCharType="begin"/>
            </w:r>
            <w:r w:rsidR="003475FC">
              <w:rPr>
                <w:webHidden/>
              </w:rPr>
              <w:instrText xml:space="preserve"> PAGEREF _Toc19708298 \h </w:instrText>
            </w:r>
            <w:r w:rsidR="003475FC">
              <w:rPr>
                <w:webHidden/>
              </w:rPr>
            </w:r>
            <w:r w:rsidR="003475FC">
              <w:rPr>
                <w:webHidden/>
              </w:rPr>
              <w:fldChar w:fldCharType="separate"/>
            </w:r>
            <w:r w:rsidR="00FA46DB">
              <w:rPr>
                <w:webHidden/>
              </w:rPr>
              <w:t>25</w:t>
            </w:r>
            <w:r w:rsidR="003475FC">
              <w:rPr>
                <w:webHidden/>
              </w:rPr>
              <w:fldChar w:fldCharType="end"/>
            </w:r>
          </w:hyperlink>
        </w:p>
        <w:p w14:paraId="479B4E4F" w14:textId="2B428646" w:rsidR="003475FC" w:rsidRDefault="00D9752A">
          <w:pPr>
            <w:pStyle w:val="TOC1"/>
            <w:rPr>
              <w:rFonts w:asciiTheme="minorHAnsi" w:eastAsiaTheme="minorEastAsia" w:hAnsiTheme="minorHAnsi" w:cstheme="minorBidi"/>
              <w:lang w:val="en-AU"/>
            </w:rPr>
          </w:pPr>
          <w:hyperlink w:anchor="_Toc19708299" w:history="1">
            <w:r w:rsidR="003475FC" w:rsidRPr="00554A3D">
              <w:rPr>
                <w:rStyle w:val="Hyperlink"/>
              </w:rPr>
              <w:t>8</w:t>
            </w:r>
            <w:r w:rsidR="003475FC">
              <w:rPr>
                <w:rFonts w:asciiTheme="minorHAnsi" w:eastAsiaTheme="minorEastAsia" w:hAnsiTheme="minorHAnsi" w:cstheme="minorBidi"/>
                <w:lang w:val="en-AU"/>
              </w:rPr>
              <w:tab/>
            </w:r>
            <w:r w:rsidR="003475FC" w:rsidRPr="00554A3D">
              <w:rPr>
                <w:rStyle w:val="Hyperlink"/>
              </w:rPr>
              <w:t>SUMMARY</w:t>
            </w:r>
            <w:r w:rsidR="003475FC">
              <w:rPr>
                <w:webHidden/>
              </w:rPr>
              <w:tab/>
            </w:r>
            <w:r w:rsidR="003475FC">
              <w:rPr>
                <w:webHidden/>
              </w:rPr>
              <w:fldChar w:fldCharType="begin"/>
            </w:r>
            <w:r w:rsidR="003475FC">
              <w:rPr>
                <w:webHidden/>
              </w:rPr>
              <w:instrText xml:space="preserve"> PAGEREF _Toc19708299 \h </w:instrText>
            </w:r>
            <w:r w:rsidR="003475FC">
              <w:rPr>
                <w:webHidden/>
              </w:rPr>
            </w:r>
            <w:r w:rsidR="003475FC">
              <w:rPr>
                <w:webHidden/>
              </w:rPr>
              <w:fldChar w:fldCharType="separate"/>
            </w:r>
            <w:r w:rsidR="00FA46DB">
              <w:rPr>
                <w:webHidden/>
              </w:rPr>
              <w:t>26</w:t>
            </w:r>
            <w:r w:rsidR="003475FC">
              <w:rPr>
                <w:webHidden/>
              </w:rPr>
              <w:fldChar w:fldCharType="end"/>
            </w:r>
          </w:hyperlink>
        </w:p>
        <w:p w14:paraId="2C17F6CE" w14:textId="736C2A5D" w:rsidR="003475FC" w:rsidRDefault="00D9752A">
          <w:pPr>
            <w:pStyle w:val="TOC1"/>
            <w:rPr>
              <w:rFonts w:asciiTheme="minorHAnsi" w:eastAsiaTheme="minorEastAsia" w:hAnsiTheme="minorHAnsi" w:cstheme="minorBidi"/>
              <w:lang w:val="en-AU"/>
            </w:rPr>
          </w:pPr>
          <w:hyperlink w:anchor="_Toc19708300" w:history="1">
            <w:r w:rsidR="003475FC" w:rsidRPr="00554A3D">
              <w:rPr>
                <w:rStyle w:val="Hyperlink"/>
              </w:rPr>
              <w:t>9</w:t>
            </w:r>
            <w:r w:rsidR="003475FC">
              <w:rPr>
                <w:rFonts w:asciiTheme="minorHAnsi" w:eastAsiaTheme="minorEastAsia" w:hAnsiTheme="minorHAnsi" w:cstheme="minorBidi"/>
                <w:lang w:val="en-AU"/>
              </w:rPr>
              <w:tab/>
            </w:r>
            <w:r w:rsidR="003475FC" w:rsidRPr="00554A3D">
              <w:rPr>
                <w:rStyle w:val="Hyperlink"/>
              </w:rPr>
              <w:t>REFERENCES</w:t>
            </w:r>
            <w:r w:rsidR="003475FC">
              <w:rPr>
                <w:webHidden/>
              </w:rPr>
              <w:tab/>
            </w:r>
            <w:r w:rsidR="003475FC">
              <w:rPr>
                <w:webHidden/>
              </w:rPr>
              <w:fldChar w:fldCharType="begin"/>
            </w:r>
            <w:r w:rsidR="003475FC">
              <w:rPr>
                <w:webHidden/>
              </w:rPr>
              <w:instrText xml:space="preserve"> PAGEREF _Toc19708300 \h </w:instrText>
            </w:r>
            <w:r w:rsidR="003475FC">
              <w:rPr>
                <w:webHidden/>
              </w:rPr>
            </w:r>
            <w:r w:rsidR="003475FC">
              <w:rPr>
                <w:webHidden/>
              </w:rPr>
              <w:fldChar w:fldCharType="separate"/>
            </w:r>
            <w:r w:rsidR="00FA46DB">
              <w:rPr>
                <w:webHidden/>
              </w:rPr>
              <w:t>27</w:t>
            </w:r>
            <w:r w:rsidR="003475FC">
              <w:rPr>
                <w:webHidden/>
              </w:rPr>
              <w:fldChar w:fldCharType="end"/>
            </w:r>
          </w:hyperlink>
        </w:p>
        <w:p w14:paraId="674E87B7" w14:textId="1E59E621" w:rsidR="00C91E67" w:rsidRDefault="00C91E67">
          <w:r>
            <w:rPr>
              <w:b/>
              <w:bCs/>
              <w:noProof/>
            </w:rPr>
            <w:fldChar w:fldCharType="end"/>
          </w:r>
        </w:p>
        <w:p w14:paraId="32BBA0C4" w14:textId="245A9B32" w:rsidR="00396C3A" w:rsidRPr="00396C3A" w:rsidRDefault="00D9752A" w:rsidP="00396C3A"/>
      </w:sdtContent>
    </w:sdt>
    <w:p w14:paraId="6313519F" w14:textId="77777777" w:rsidR="0026116A" w:rsidRDefault="0026116A" w:rsidP="0026116A"/>
    <w:p w14:paraId="772F3978" w14:textId="77777777" w:rsidR="0026116A" w:rsidRDefault="0026116A" w:rsidP="0026116A"/>
    <w:p w14:paraId="69BCA255" w14:textId="77777777" w:rsidR="003656AD" w:rsidRPr="0026116A" w:rsidRDefault="003656AD" w:rsidP="0026116A">
      <w:pPr>
        <w:sectPr w:rsidR="003656AD" w:rsidRPr="0026116A" w:rsidSect="0026116A">
          <w:headerReference w:type="default" r:id="rId18"/>
          <w:footerReference w:type="default" r:id="rId19"/>
          <w:headerReference w:type="first" r:id="rId20"/>
          <w:footerReference w:type="first" r:id="rId21"/>
          <w:pgSz w:w="11907" w:h="16840" w:code="9"/>
          <w:pgMar w:top="1418" w:right="1418" w:bottom="567" w:left="1418" w:header="567" w:footer="284" w:gutter="0"/>
          <w:pgNumType w:fmt="lowerRoman"/>
          <w:cols w:space="708"/>
          <w:docGrid w:linePitch="360"/>
        </w:sectPr>
      </w:pPr>
    </w:p>
    <w:p w14:paraId="2C15414B" w14:textId="64284111" w:rsidR="001206AE" w:rsidRDefault="001206AE" w:rsidP="0015095C">
      <w:pPr>
        <w:pStyle w:val="Heading2"/>
        <w:numPr>
          <w:ilvl w:val="0"/>
          <w:numId w:val="0"/>
        </w:numPr>
        <w:ind w:left="1134"/>
      </w:pPr>
      <w:bookmarkStart w:id="1" w:name="_Toc19708282"/>
      <w:r>
        <w:lastRenderedPageBreak/>
        <w:t>Errata</w:t>
      </w:r>
    </w:p>
    <w:p w14:paraId="775517FE" w14:textId="2E34668E" w:rsidR="001206AE" w:rsidRPr="001206AE" w:rsidRDefault="00B036A9" w:rsidP="001206AE">
      <w:pPr>
        <w:rPr>
          <w:lang w:val="en-US"/>
        </w:rPr>
      </w:pPr>
      <w:r>
        <w:rPr>
          <w:lang w:val="en-US"/>
        </w:rPr>
        <w:t>In a previous edition of this report a typographical mistake on page</w:t>
      </w:r>
      <w:r w:rsidR="001678CD">
        <w:rPr>
          <w:lang w:val="en-US"/>
        </w:rPr>
        <w:t>s</w:t>
      </w:r>
      <w:r>
        <w:rPr>
          <w:lang w:val="en-US"/>
        </w:rPr>
        <w:t xml:space="preserve"> 8</w:t>
      </w:r>
      <w:r w:rsidR="001678CD">
        <w:rPr>
          <w:lang w:val="en-US"/>
        </w:rPr>
        <w:t xml:space="preserve"> </w:t>
      </w:r>
      <w:r w:rsidR="006A52AE">
        <w:rPr>
          <w:lang w:val="en-US"/>
        </w:rPr>
        <w:t xml:space="preserve">and </w:t>
      </w:r>
      <w:r w:rsidR="001678CD">
        <w:rPr>
          <w:lang w:val="en-US"/>
        </w:rPr>
        <w:t>13</w:t>
      </w:r>
      <w:r>
        <w:rPr>
          <w:lang w:val="en-US"/>
        </w:rPr>
        <w:t xml:space="preserve"> listed the plastics </w:t>
      </w:r>
      <w:r w:rsidR="00C41D3B">
        <w:rPr>
          <w:lang w:val="en-US"/>
        </w:rPr>
        <w:t>packaging</w:t>
      </w:r>
      <w:r w:rsidR="00566E30">
        <w:rPr>
          <w:lang w:val="en-US"/>
        </w:rPr>
        <w:t xml:space="preserve"> recycling rate as 27.6% rather than 20.6%</w:t>
      </w:r>
      <w:r w:rsidR="00C41D3B">
        <w:rPr>
          <w:lang w:val="en-US"/>
        </w:rPr>
        <w:t xml:space="preserve">. This has been rectified to align with the </w:t>
      </w:r>
      <w:r w:rsidR="00D80AEA">
        <w:rPr>
          <w:lang w:val="en-US"/>
        </w:rPr>
        <w:t xml:space="preserve">other data references in the </w:t>
      </w:r>
      <w:r w:rsidR="00877560">
        <w:rPr>
          <w:lang w:val="en-US"/>
        </w:rPr>
        <w:t>report.</w:t>
      </w:r>
    </w:p>
    <w:p w14:paraId="45CAFB13" w14:textId="03C4B30A" w:rsidR="001E48BA" w:rsidRDefault="00731812" w:rsidP="0002608E">
      <w:pPr>
        <w:pStyle w:val="Heading1"/>
      </w:pPr>
      <w:r>
        <w:t>OBJECTIVES</w:t>
      </w:r>
      <w:bookmarkEnd w:id="1"/>
    </w:p>
    <w:p w14:paraId="170ED442" w14:textId="77777777" w:rsidR="001E48BA" w:rsidRPr="001E48BA" w:rsidRDefault="001E48BA" w:rsidP="0002608E">
      <w:pPr>
        <w:pStyle w:val="Heading2"/>
      </w:pPr>
      <w:bookmarkStart w:id="2" w:name="_Toc15660409"/>
      <w:bookmarkStart w:id="3" w:name="_Toc19708283"/>
      <w:r w:rsidRPr="0033087E">
        <w:t>Project</w:t>
      </w:r>
      <w:r w:rsidR="001D2261">
        <w:t xml:space="preserve"> </w:t>
      </w:r>
      <w:r w:rsidR="001D2261" w:rsidRPr="001D2261">
        <w:t>o</w:t>
      </w:r>
      <w:r w:rsidRPr="001D2261">
        <w:t>verview</w:t>
      </w:r>
      <w:bookmarkEnd w:id="2"/>
      <w:bookmarkEnd w:id="3"/>
    </w:p>
    <w:p w14:paraId="2EF19EFA" w14:textId="5BA31FB5" w:rsidR="00FE1DF5" w:rsidRPr="001D5FD3" w:rsidRDefault="00595175" w:rsidP="001D2261">
      <w:pPr>
        <w:rPr>
          <w:rFonts w:ascii="Helvetica" w:hAnsi="Helvetica"/>
        </w:rPr>
      </w:pPr>
      <w:r>
        <w:rPr>
          <w:rFonts w:ascii="Helvetica" w:hAnsi="Helvetica"/>
        </w:rPr>
        <w:t>The Department</w:t>
      </w:r>
      <w:r w:rsidR="00D54311">
        <w:rPr>
          <w:rFonts w:ascii="Helvetica" w:hAnsi="Helvetica"/>
        </w:rPr>
        <w:t xml:space="preserve"> of Envi</w:t>
      </w:r>
      <w:r w:rsidR="002C72AA">
        <w:rPr>
          <w:rFonts w:ascii="Helvetica" w:hAnsi="Helvetica"/>
        </w:rPr>
        <w:t>ronment</w:t>
      </w:r>
      <w:r w:rsidR="00703181">
        <w:rPr>
          <w:rFonts w:ascii="Helvetica" w:hAnsi="Helvetica"/>
        </w:rPr>
        <w:t xml:space="preserve"> and Energy</w:t>
      </w:r>
      <w:r>
        <w:rPr>
          <w:rFonts w:ascii="Helvetica" w:hAnsi="Helvetica"/>
        </w:rPr>
        <w:t xml:space="preserve"> has stated that to assist </w:t>
      </w:r>
      <w:r w:rsidR="00315EF8" w:rsidRPr="001D5FD3">
        <w:rPr>
          <w:rFonts w:ascii="Helvetica" w:hAnsi="Helvetica"/>
        </w:rPr>
        <w:t xml:space="preserve">work on an action plan for the updated national waste policy, the taskforce has agreed </w:t>
      </w:r>
      <w:r w:rsidR="00951C98">
        <w:rPr>
          <w:rFonts w:ascii="Helvetica" w:hAnsi="Helvetica"/>
        </w:rPr>
        <w:t xml:space="preserve">to </w:t>
      </w:r>
      <w:r w:rsidR="00ED638D">
        <w:rPr>
          <w:rFonts w:ascii="Helvetica" w:hAnsi="Helvetica"/>
        </w:rPr>
        <w:t xml:space="preserve">a literature review </w:t>
      </w:r>
      <w:r w:rsidR="005F6B78">
        <w:rPr>
          <w:rFonts w:ascii="Helvetica" w:hAnsi="Helvetica"/>
        </w:rPr>
        <w:t>of</w:t>
      </w:r>
      <w:r w:rsidR="00997C32">
        <w:rPr>
          <w:rFonts w:ascii="Helvetica" w:hAnsi="Helvetica"/>
        </w:rPr>
        <w:t xml:space="preserve"> opportunities to grow markets </w:t>
      </w:r>
      <w:r w:rsidR="00315EF8" w:rsidRPr="001D5FD3">
        <w:rPr>
          <w:rFonts w:ascii="Helvetica" w:hAnsi="Helvetica"/>
        </w:rPr>
        <w:t>in recycled glass, plastics and rubber</w:t>
      </w:r>
      <w:r w:rsidR="009824CD">
        <w:rPr>
          <w:rFonts w:ascii="Helvetica" w:hAnsi="Helvetica"/>
        </w:rPr>
        <w:t xml:space="preserve"> and paper</w:t>
      </w:r>
      <w:r w:rsidR="00B826C4">
        <w:rPr>
          <w:rFonts w:ascii="Helvetica" w:hAnsi="Helvetica"/>
        </w:rPr>
        <w:t xml:space="preserve"> </w:t>
      </w:r>
      <w:r w:rsidR="009824CD">
        <w:rPr>
          <w:rFonts w:ascii="Helvetica" w:hAnsi="Helvetica"/>
        </w:rPr>
        <w:t>&amp;</w:t>
      </w:r>
      <w:r w:rsidR="00B826C4">
        <w:rPr>
          <w:rFonts w:ascii="Helvetica" w:hAnsi="Helvetica"/>
        </w:rPr>
        <w:t xml:space="preserve"> </w:t>
      </w:r>
      <w:r w:rsidR="009824CD">
        <w:rPr>
          <w:rFonts w:ascii="Helvetica" w:hAnsi="Helvetica"/>
        </w:rPr>
        <w:t>cardboard</w:t>
      </w:r>
      <w:r w:rsidR="00315EF8" w:rsidRPr="001D5FD3">
        <w:rPr>
          <w:rFonts w:ascii="Helvetica" w:hAnsi="Helvetica"/>
        </w:rPr>
        <w:t xml:space="preserve">. </w:t>
      </w:r>
    </w:p>
    <w:p w14:paraId="6CA610CD" w14:textId="77777777" w:rsidR="002D211B" w:rsidRPr="0027604D" w:rsidRDefault="002D211B" w:rsidP="002D211B">
      <w:pPr>
        <w:pStyle w:val="Heading2"/>
        <w:rPr>
          <w:rFonts w:ascii="Helvetica" w:hAnsi="Helvetica"/>
        </w:rPr>
      </w:pPr>
      <w:bookmarkStart w:id="4" w:name="_Toc15660410"/>
      <w:bookmarkStart w:id="5" w:name="_Toc19708284"/>
      <w:r w:rsidRPr="0027604D">
        <w:rPr>
          <w:rFonts w:ascii="Helvetica" w:hAnsi="Helvetica"/>
        </w:rPr>
        <w:t>Project scope</w:t>
      </w:r>
      <w:bookmarkEnd w:id="4"/>
      <w:bookmarkEnd w:id="5"/>
    </w:p>
    <w:p w14:paraId="6C2D6704" w14:textId="77777777" w:rsidR="005F6B78" w:rsidRDefault="004158C0" w:rsidP="001D2261">
      <w:pPr>
        <w:rPr>
          <w:rFonts w:ascii="Helvetica" w:hAnsi="Helvetica"/>
        </w:rPr>
      </w:pPr>
      <w:r w:rsidRPr="0027604D">
        <w:rPr>
          <w:rFonts w:ascii="Helvetica" w:hAnsi="Helvetica"/>
        </w:rPr>
        <w:t xml:space="preserve">SRU has assessed a range of </w:t>
      </w:r>
      <w:r w:rsidR="00473DB4" w:rsidRPr="0027604D">
        <w:rPr>
          <w:rFonts w:ascii="Helvetica" w:hAnsi="Helvetica"/>
        </w:rPr>
        <w:t>publicly</w:t>
      </w:r>
      <w:r w:rsidRPr="0027604D">
        <w:rPr>
          <w:rFonts w:ascii="Helvetica" w:hAnsi="Helvetica"/>
        </w:rPr>
        <w:t xml:space="preserve"> available </w:t>
      </w:r>
      <w:r w:rsidR="00995976" w:rsidRPr="0027604D">
        <w:rPr>
          <w:rFonts w:ascii="Helvetica" w:hAnsi="Helvetica"/>
        </w:rPr>
        <w:t>reports that have been produced</w:t>
      </w:r>
      <w:r w:rsidR="00473DB4" w:rsidRPr="0027604D">
        <w:rPr>
          <w:rFonts w:ascii="Helvetica" w:hAnsi="Helvetica"/>
        </w:rPr>
        <w:t xml:space="preserve"> on the state of </w:t>
      </w:r>
      <w:r w:rsidR="00AE156D" w:rsidRPr="0027604D">
        <w:rPr>
          <w:rFonts w:ascii="Helvetica" w:hAnsi="Helvetica"/>
        </w:rPr>
        <w:t>markets for recycled materials.</w:t>
      </w:r>
      <w:r w:rsidR="00026C8E" w:rsidRPr="0027604D">
        <w:rPr>
          <w:rFonts w:ascii="Helvetica" w:hAnsi="Helvetica"/>
        </w:rPr>
        <w:t xml:space="preserve"> These have generally been </w:t>
      </w:r>
      <w:r w:rsidR="006F069E" w:rsidRPr="0027604D">
        <w:rPr>
          <w:rFonts w:ascii="Helvetica" w:hAnsi="Helvetica"/>
        </w:rPr>
        <w:t>initiated following challenging conditions for the export of collected recycl</w:t>
      </w:r>
      <w:r w:rsidR="007610D2" w:rsidRPr="0027604D">
        <w:rPr>
          <w:rFonts w:ascii="Helvetica" w:hAnsi="Helvetica"/>
        </w:rPr>
        <w:t xml:space="preserve">ables. The reports are mostly focussed on </w:t>
      </w:r>
      <w:r w:rsidR="00C97289" w:rsidRPr="0027604D">
        <w:rPr>
          <w:rFonts w:ascii="Helvetica" w:hAnsi="Helvetica"/>
        </w:rPr>
        <w:t xml:space="preserve">the range of materials collected through household kerbside systems. This includes </w:t>
      </w:r>
      <w:r w:rsidR="0059539E" w:rsidRPr="0027604D">
        <w:rPr>
          <w:rFonts w:ascii="Helvetica" w:hAnsi="Helvetica"/>
        </w:rPr>
        <w:t xml:space="preserve">packaging made from </w:t>
      </w:r>
      <w:r w:rsidR="00C97289" w:rsidRPr="0027604D">
        <w:rPr>
          <w:rFonts w:ascii="Helvetica" w:hAnsi="Helvetica"/>
        </w:rPr>
        <w:t>paper and cardboard, plastic</w:t>
      </w:r>
      <w:r w:rsidR="0059539E" w:rsidRPr="0027604D">
        <w:rPr>
          <w:rFonts w:ascii="Helvetica" w:hAnsi="Helvetica"/>
        </w:rPr>
        <w:t>s</w:t>
      </w:r>
      <w:r w:rsidR="00C97289" w:rsidRPr="0027604D">
        <w:rPr>
          <w:rFonts w:ascii="Helvetica" w:hAnsi="Helvetica"/>
        </w:rPr>
        <w:t>, glass</w:t>
      </w:r>
      <w:r w:rsidR="00165EE0" w:rsidRPr="0027604D">
        <w:rPr>
          <w:rFonts w:ascii="Helvetica" w:hAnsi="Helvetica"/>
        </w:rPr>
        <w:t>, steel and aluminium</w:t>
      </w:r>
      <w:r w:rsidR="0059539E" w:rsidRPr="0027604D">
        <w:rPr>
          <w:rFonts w:ascii="Helvetica" w:hAnsi="Helvetica"/>
        </w:rPr>
        <w:t xml:space="preserve">. </w:t>
      </w:r>
    </w:p>
    <w:p w14:paraId="7A7A2820" w14:textId="1C044DE7" w:rsidR="00AE156D" w:rsidRDefault="0059539E" w:rsidP="001D2261">
      <w:pPr>
        <w:rPr>
          <w:rFonts w:ascii="Helvetica" w:hAnsi="Helvetica"/>
        </w:rPr>
      </w:pPr>
      <w:r w:rsidRPr="0027604D">
        <w:rPr>
          <w:rFonts w:ascii="Helvetica" w:hAnsi="Helvetica"/>
        </w:rPr>
        <w:t xml:space="preserve">The </w:t>
      </w:r>
      <w:r w:rsidR="00EB2932" w:rsidRPr="0027604D">
        <w:rPr>
          <w:rFonts w:ascii="Helvetica" w:hAnsi="Helvetica"/>
        </w:rPr>
        <w:t xml:space="preserve">scope is generally to </w:t>
      </w:r>
      <w:r w:rsidR="00D051EF" w:rsidRPr="0027604D">
        <w:rPr>
          <w:rFonts w:ascii="Helvetica" w:hAnsi="Helvetica"/>
        </w:rPr>
        <w:t>provide contemporary information on the market flows and conditions for each of these materials</w:t>
      </w:r>
      <w:r w:rsidR="003678BD">
        <w:rPr>
          <w:rFonts w:ascii="Helvetica" w:hAnsi="Helvetica"/>
        </w:rPr>
        <w:t xml:space="preserve"> and for rubber</w:t>
      </w:r>
      <w:r w:rsidR="00D051EF" w:rsidRPr="0027604D">
        <w:rPr>
          <w:rFonts w:ascii="Helvetica" w:hAnsi="Helvetica"/>
        </w:rPr>
        <w:t xml:space="preserve">. As </w:t>
      </w:r>
      <w:r w:rsidR="007D3535" w:rsidRPr="0027604D">
        <w:rPr>
          <w:rFonts w:ascii="Helvetica" w:hAnsi="Helvetica"/>
        </w:rPr>
        <w:t xml:space="preserve">steel and aluminium </w:t>
      </w:r>
      <w:r w:rsidR="00F10B95">
        <w:rPr>
          <w:rFonts w:ascii="Helvetica" w:hAnsi="Helvetica"/>
        </w:rPr>
        <w:t>are</w:t>
      </w:r>
      <w:r w:rsidR="00F10B95" w:rsidRPr="0027604D">
        <w:rPr>
          <w:rFonts w:ascii="Helvetica" w:hAnsi="Helvetica"/>
        </w:rPr>
        <w:t xml:space="preserve"> </w:t>
      </w:r>
      <w:r w:rsidR="007D3535" w:rsidRPr="0027604D">
        <w:rPr>
          <w:rFonts w:ascii="Helvetica" w:hAnsi="Helvetica"/>
        </w:rPr>
        <w:t xml:space="preserve">a small component of the kerbside system, and are largely unaffected by trade conditions, these are not </w:t>
      </w:r>
      <w:r w:rsidR="00E65036" w:rsidRPr="0027604D">
        <w:rPr>
          <w:rFonts w:ascii="Helvetica" w:hAnsi="Helvetica"/>
        </w:rPr>
        <w:t>always a focus of the studies behind these reports</w:t>
      </w:r>
      <w:r w:rsidR="00D22931" w:rsidRPr="0027604D">
        <w:rPr>
          <w:rFonts w:ascii="Helvetica" w:hAnsi="Helvetica"/>
        </w:rPr>
        <w:t xml:space="preserve">. </w:t>
      </w:r>
      <w:r w:rsidR="00C66B16">
        <w:rPr>
          <w:rFonts w:ascii="Helvetica" w:hAnsi="Helvetica"/>
        </w:rPr>
        <w:t>This report draws extensively</w:t>
      </w:r>
      <w:r w:rsidR="005060E5">
        <w:rPr>
          <w:rFonts w:ascii="Helvetica" w:hAnsi="Helvetica"/>
        </w:rPr>
        <w:t xml:space="preserve"> on</w:t>
      </w:r>
      <w:r w:rsidR="0059630D">
        <w:rPr>
          <w:rFonts w:ascii="Helvetica" w:hAnsi="Helvetica"/>
        </w:rPr>
        <w:t>, and quotes from,</w:t>
      </w:r>
      <w:r w:rsidR="005060E5">
        <w:rPr>
          <w:rFonts w:ascii="Helvetica" w:hAnsi="Helvetica"/>
        </w:rPr>
        <w:t xml:space="preserve"> the findings of the reports listed in the reference section and acknowledges the </w:t>
      </w:r>
      <w:r w:rsidR="007A4405">
        <w:rPr>
          <w:rFonts w:ascii="Helvetica" w:hAnsi="Helvetica"/>
        </w:rPr>
        <w:t xml:space="preserve">work of the following </w:t>
      </w:r>
      <w:r w:rsidR="002958F0">
        <w:rPr>
          <w:rFonts w:ascii="Helvetica" w:hAnsi="Helvetica"/>
        </w:rPr>
        <w:t>authors</w:t>
      </w:r>
      <w:r w:rsidR="007A4405">
        <w:rPr>
          <w:rFonts w:ascii="Helvetica" w:hAnsi="Helvetica"/>
        </w:rPr>
        <w:t>:</w:t>
      </w:r>
    </w:p>
    <w:p w14:paraId="6F5DAB1E" w14:textId="69138ECE" w:rsidR="007A4405" w:rsidRPr="000000BE" w:rsidRDefault="007A4405" w:rsidP="000000BE">
      <w:pPr>
        <w:pStyle w:val="ListParagraph"/>
        <w:numPr>
          <w:ilvl w:val="0"/>
          <w:numId w:val="6"/>
        </w:numPr>
        <w:spacing w:line="360" w:lineRule="auto"/>
        <w:rPr>
          <w:rFonts w:ascii="Helvetica" w:hAnsi="Helvetica"/>
        </w:rPr>
      </w:pPr>
      <w:r w:rsidRPr="000000BE">
        <w:rPr>
          <w:rFonts w:ascii="Helvetica" w:hAnsi="Helvetica"/>
        </w:rPr>
        <w:t>Envisage Works</w:t>
      </w:r>
    </w:p>
    <w:p w14:paraId="2E5A7304" w14:textId="3E2CF29A" w:rsidR="007A4405" w:rsidRPr="000000BE" w:rsidRDefault="007A4405" w:rsidP="000000BE">
      <w:pPr>
        <w:pStyle w:val="ListParagraph"/>
        <w:numPr>
          <w:ilvl w:val="0"/>
          <w:numId w:val="6"/>
        </w:numPr>
        <w:spacing w:line="360" w:lineRule="auto"/>
        <w:rPr>
          <w:rFonts w:ascii="Helvetica" w:hAnsi="Helvetica"/>
        </w:rPr>
      </w:pPr>
      <w:r w:rsidRPr="000000BE">
        <w:rPr>
          <w:rFonts w:ascii="Helvetica" w:hAnsi="Helvetica"/>
        </w:rPr>
        <w:t>Sustainable Resource Use</w:t>
      </w:r>
    </w:p>
    <w:p w14:paraId="5D63DD8D" w14:textId="77826F1C" w:rsidR="007A4405" w:rsidRPr="000000BE" w:rsidRDefault="007A4405" w:rsidP="000000BE">
      <w:pPr>
        <w:pStyle w:val="ListParagraph"/>
        <w:numPr>
          <w:ilvl w:val="0"/>
          <w:numId w:val="6"/>
        </w:numPr>
        <w:spacing w:line="360" w:lineRule="auto"/>
        <w:rPr>
          <w:rFonts w:ascii="Helvetica" w:hAnsi="Helvetica"/>
        </w:rPr>
      </w:pPr>
      <w:r w:rsidRPr="000000BE">
        <w:rPr>
          <w:rFonts w:ascii="Helvetica" w:hAnsi="Helvetica"/>
        </w:rPr>
        <w:t>Helen Lewis Consulting</w:t>
      </w:r>
    </w:p>
    <w:p w14:paraId="61ED8021" w14:textId="75389CBA" w:rsidR="007A4405" w:rsidRDefault="007A4405" w:rsidP="000000BE">
      <w:pPr>
        <w:pStyle w:val="ListParagraph"/>
        <w:numPr>
          <w:ilvl w:val="0"/>
          <w:numId w:val="6"/>
        </w:numPr>
        <w:spacing w:line="360" w:lineRule="auto"/>
        <w:rPr>
          <w:rFonts w:ascii="Helvetica" w:hAnsi="Helvetica"/>
        </w:rPr>
      </w:pPr>
      <w:r w:rsidRPr="000000BE">
        <w:rPr>
          <w:rFonts w:ascii="Helvetica" w:hAnsi="Helvetica"/>
        </w:rPr>
        <w:t>Industry Edge</w:t>
      </w:r>
    </w:p>
    <w:p w14:paraId="17E194C4" w14:textId="6D574C70" w:rsidR="00183E08" w:rsidRPr="000000BE" w:rsidRDefault="00183E08" w:rsidP="000000BE">
      <w:pPr>
        <w:pStyle w:val="ListParagraph"/>
        <w:numPr>
          <w:ilvl w:val="0"/>
          <w:numId w:val="6"/>
        </w:numPr>
        <w:spacing w:line="360" w:lineRule="auto"/>
        <w:rPr>
          <w:rFonts w:ascii="Helvetica" w:hAnsi="Helvetica"/>
        </w:rPr>
      </w:pPr>
      <w:r>
        <w:rPr>
          <w:rFonts w:ascii="Helvetica" w:hAnsi="Helvetica"/>
        </w:rPr>
        <w:t>Blue Environment</w:t>
      </w:r>
    </w:p>
    <w:p w14:paraId="6F74CFF3" w14:textId="2CDADD20" w:rsidR="007A4405" w:rsidRPr="000000BE" w:rsidRDefault="007A4405" w:rsidP="000000BE">
      <w:pPr>
        <w:pStyle w:val="ListParagraph"/>
        <w:numPr>
          <w:ilvl w:val="0"/>
          <w:numId w:val="6"/>
        </w:numPr>
        <w:spacing w:line="360" w:lineRule="auto"/>
        <w:rPr>
          <w:rFonts w:ascii="Helvetica" w:hAnsi="Helvetica"/>
        </w:rPr>
      </w:pPr>
      <w:r w:rsidRPr="000000BE">
        <w:rPr>
          <w:rFonts w:ascii="Helvetica" w:hAnsi="Helvetica"/>
        </w:rPr>
        <w:t>M</w:t>
      </w:r>
      <w:r w:rsidR="008442CF" w:rsidRPr="000000BE">
        <w:rPr>
          <w:rFonts w:ascii="Helvetica" w:hAnsi="Helvetica"/>
        </w:rPr>
        <w:t>RA Consulting</w:t>
      </w:r>
      <w:r w:rsidR="00FC4B29" w:rsidRPr="000000BE">
        <w:rPr>
          <w:rFonts w:ascii="Helvetica" w:hAnsi="Helvetica"/>
        </w:rPr>
        <w:t xml:space="preserve"> Group</w:t>
      </w:r>
    </w:p>
    <w:p w14:paraId="6361E8FE" w14:textId="7FFC5F3F" w:rsidR="0059630D" w:rsidRPr="000000BE" w:rsidRDefault="0059630D" w:rsidP="000000BE">
      <w:pPr>
        <w:pStyle w:val="ListParagraph"/>
        <w:numPr>
          <w:ilvl w:val="0"/>
          <w:numId w:val="6"/>
        </w:numPr>
        <w:spacing w:line="360" w:lineRule="auto"/>
        <w:rPr>
          <w:rFonts w:ascii="Helvetica" w:hAnsi="Helvetica"/>
        </w:rPr>
      </w:pPr>
      <w:r w:rsidRPr="000000BE">
        <w:rPr>
          <w:rFonts w:ascii="Helvetica" w:hAnsi="Helvetica"/>
        </w:rPr>
        <w:t xml:space="preserve">Steve </w:t>
      </w:r>
      <w:proofErr w:type="spellStart"/>
      <w:r w:rsidRPr="000000BE">
        <w:rPr>
          <w:rFonts w:ascii="Helvetica" w:hAnsi="Helvetica"/>
        </w:rPr>
        <w:t>Balmforth</w:t>
      </w:r>
      <w:proofErr w:type="spellEnd"/>
    </w:p>
    <w:p w14:paraId="2CA8C125" w14:textId="683F6C0C" w:rsidR="00A37F8C" w:rsidRDefault="00D22931" w:rsidP="001D2261">
      <w:pPr>
        <w:rPr>
          <w:rFonts w:ascii="Helvetica" w:hAnsi="Helvetica"/>
        </w:rPr>
      </w:pPr>
      <w:r w:rsidRPr="0027604D">
        <w:rPr>
          <w:rFonts w:ascii="Helvetica" w:hAnsi="Helvetica"/>
        </w:rPr>
        <w:t xml:space="preserve">As it is export markets that have undergone the major changes, these are </w:t>
      </w:r>
      <w:r w:rsidR="00F159BB" w:rsidRPr="0027604D">
        <w:rPr>
          <w:rFonts w:ascii="Helvetica" w:hAnsi="Helvetica"/>
        </w:rPr>
        <w:t xml:space="preserve">often the primary focus of the reports. Glass packaging is not </w:t>
      </w:r>
      <w:r w:rsidR="002C72AA">
        <w:rPr>
          <w:rFonts w:ascii="Helvetica" w:hAnsi="Helvetica"/>
        </w:rPr>
        <w:t xml:space="preserve">widely </w:t>
      </w:r>
      <w:r w:rsidR="00F159BB" w:rsidRPr="0027604D">
        <w:rPr>
          <w:rFonts w:ascii="Helvetica" w:hAnsi="Helvetica"/>
        </w:rPr>
        <w:t xml:space="preserve">exported and therefore </w:t>
      </w:r>
      <w:r w:rsidR="002829B6" w:rsidRPr="0027604D">
        <w:rPr>
          <w:rFonts w:ascii="Helvetica" w:hAnsi="Helvetica"/>
        </w:rPr>
        <w:t>is not deal</w:t>
      </w:r>
      <w:r w:rsidR="003A070F" w:rsidRPr="0027604D">
        <w:rPr>
          <w:rFonts w:ascii="Helvetica" w:hAnsi="Helvetica"/>
        </w:rPr>
        <w:t>t</w:t>
      </w:r>
      <w:r w:rsidR="002829B6" w:rsidRPr="0027604D">
        <w:rPr>
          <w:rFonts w:ascii="Helvetica" w:hAnsi="Helvetica"/>
        </w:rPr>
        <w:t xml:space="preserve"> with in analysis on </w:t>
      </w:r>
      <w:r w:rsidR="000C1C6D" w:rsidRPr="0027604D">
        <w:rPr>
          <w:rFonts w:ascii="Helvetica" w:hAnsi="Helvetica"/>
        </w:rPr>
        <w:t xml:space="preserve">changes to </w:t>
      </w:r>
      <w:r w:rsidR="002829B6" w:rsidRPr="0027604D">
        <w:rPr>
          <w:rFonts w:ascii="Helvetica" w:hAnsi="Helvetica"/>
        </w:rPr>
        <w:t>export</w:t>
      </w:r>
      <w:r w:rsidR="000C1C6D" w:rsidRPr="0027604D">
        <w:rPr>
          <w:rFonts w:ascii="Helvetica" w:hAnsi="Helvetica"/>
        </w:rPr>
        <w:t xml:space="preserve"> </w:t>
      </w:r>
      <w:r w:rsidR="001D5FD3" w:rsidRPr="0027604D">
        <w:rPr>
          <w:rFonts w:ascii="Helvetica" w:hAnsi="Helvetica"/>
        </w:rPr>
        <w:t>markets.</w:t>
      </w:r>
      <w:r w:rsidR="00794834" w:rsidRPr="0027604D">
        <w:rPr>
          <w:rFonts w:ascii="Helvetica" w:hAnsi="Helvetica"/>
        </w:rPr>
        <w:t xml:space="preserve">  Glass is, however, a </w:t>
      </w:r>
      <w:r w:rsidR="00924D46" w:rsidRPr="0027604D">
        <w:rPr>
          <w:rFonts w:ascii="Helvetica" w:hAnsi="Helvetica"/>
        </w:rPr>
        <w:t xml:space="preserve">major component of kerbside systems, accounting for 30% of collected material by weight. It is </w:t>
      </w:r>
      <w:r w:rsidR="002808BB" w:rsidRPr="0027604D">
        <w:rPr>
          <w:rFonts w:ascii="Helvetica" w:hAnsi="Helvetica"/>
        </w:rPr>
        <w:t xml:space="preserve">also a product with recycling market difficulties </w:t>
      </w:r>
      <w:r w:rsidR="00965448">
        <w:rPr>
          <w:rFonts w:ascii="Helvetica" w:hAnsi="Helvetica"/>
        </w:rPr>
        <w:t>reflecting</w:t>
      </w:r>
      <w:r w:rsidR="002808BB" w:rsidRPr="0027604D">
        <w:rPr>
          <w:rFonts w:ascii="Helvetica" w:hAnsi="Helvetica"/>
        </w:rPr>
        <w:t xml:space="preserve"> the </w:t>
      </w:r>
      <w:r w:rsidR="00390E27" w:rsidRPr="0027604D">
        <w:rPr>
          <w:rFonts w:ascii="Helvetica" w:hAnsi="Helvetica"/>
        </w:rPr>
        <w:t>lack of revenue for MRF operators</w:t>
      </w:r>
      <w:r w:rsidR="003A070F" w:rsidRPr="0027604D">
        <w:rPr>
          <w:rFonts w:ascii="Helvetica" w:hAnsi="Helvetica"/>
        </w:rPr>
        <w:t xml:space="preserve"> </w:t>
      </w:r>
      <w:r w:rsidR="002B13E2" w:rsidRPr="0027604D">
        <w:rPr>
          <w:rFonts w:ascii="Helvetica" w:hAnsi="Helvetica"/>
        </w:rPr>
        <w:t xml:space="preserve">due to the cost of preparing </w:t>
      </w:r>
      <w:r w:rsidR="00414EE4">
        <w:rPr>
          <w:rFonts w:ascii="Helvetica" w:hAnsi="Helvetica"/>
        </w:rPr>
        <w:t>to the specification for</w:t>
      </w:r>
      <w:r w:rsidR="002B13E2" w:rsidRPr="0027604D">
        <w:rPr>
          <w:rFonts w:ascii="Helvetica" w:hAnsi="Helvetica"/>
        </w:rPr>
        <w:t xml:space="preserve"> use </w:t>
      </w:r>
      <w:r w:rsidR="00D40A2B">
        <w:rPr>
          <w:rFonts w:ascii="Helvetica" w:hAnsi="Helvetica"/>
        </w:rPr>
        <w:t xml:space="preserve">back </w:t>
      </w:r>
      <w:r w:rsidR="002B13E2" w:rsidRPr="0027604D">
        <w:rPr>
          <w:rFonts w:ascii="Helvetica" w:hAnsi="Helvetica"/>
        </w:rPr>
        <w:t>in</w:t>
      </w:r>
      <w:r w:rsidR="00D40A2B">
        <w:rPr>
          <w:rFonts w:ascii="Helvetica" w:hAnsi="Helvetica"/>
        </w:rPr>
        <w:t>to</w:t>
      </w:r>
      <w:r w:rsidR="002B13E2" w:rsidRPr="0027604D">
        <w:rPr>
          <w:rFonts w:ascii="Helvetica" w:hAnsi="Helvetica"/>
        </w:rPr>
        <w:t xml:space="preserve"> packaging</w:t>
      </w:r>
      <w:r w:rsidR="001228DE" w:rsidRPr="0027604D">
        <w:rPr>
          <w:rFonts w:ascii="Helvetica" w:hAnsi="Helvetica"/>
        </w:rPr>
        <w:t xml:space="preserve">. For this </w:t>
      </w:r>
      <w:r w:rsidR="001D5FD3" w:rsidRPr="0027604D">
        <w:rPr>
          <w:rFonts w:ascii="Helvetica" w:hAnsi="Helvetica"/>
        </w:rPr>
        <w:t>reason,</w:t>
      </w:r>
      <w:r w:rsidR="001228DE" w:rsidRPr="0027604D">
        <w:rPr>
          <w:rFonts w:ascii="Helvetica" w:hAnsi="Helvetica"/>
        </w:rPr>
        <w:t xml:space="preserve"> it is a key focus of much of the recycling </w:t>
      </w:r>
      <w:r w:rsidR="00634639" w:rsidRPr="0027604D">
        <w:rPr>
          <w:rFonts w:ascii="Helvetica" w:hAnsi="Helvetica"/>
        </w:rPr>
        <w:t>analysis</w:t>
      </w:r>
      <w:r w:rsidR="00594E82">
        <w:rPr>
          <w:rFonts w:ascii="Helvetica" w:hAnsi="Helvetica"/>
        </w:rPr>
        <w:t xml:space="preserve"> and is included for focus in this report</w:t>
      </w:r>
      <w:r w:rsidR="00634639" w:rsidRPr="0027604D">
        <w:rPr>
          <w:rFonts w:ascii="Helvetica" w:hAnsi="Helvetica"/>
        </w:rPr>
        <w:t xml:space="preserve">. </w:t>
      </w:r>
    </w:p>
    <w:p w14:paraId="06930C20" w14:textId="678677A4" w:rsidR="00FE34F3" w:rsidRPr="0027604D" w:rsidRDefault="00634639" w:rsidP="001D2261">
      <w:pPr>
        <w:rPr>
          <w:rFonts w:ascii="Helvetica" w:hAnsi="Helvetica"/>
        </w:rPr>
      </w:pPr>
      <w:r w:rsidRPr="0027604D">
        <w:rPr>
          <w:rFonts w:ascii="Helvetica" w:hAnsi="Helvetica"/>
        </w:rPr>
        <w:t xml:space="preserve">The two products that have been most </w:t>
      </w:r>
      <w:r w:rsidR="00640736" w:rsidRPr="0027604D">
        <w:rPr>
          <w:rFonts w:ascii="Helvetica" w:hAnsi="Helvetica"/>
        </w:rPr>
        <w:t xml:space="preserve">profoundly hit by export market restrictions are mixed grade paper and mixed polymer plastics. These are </w:t>
      </w:r>
      <w:r w:rsidR="002805A6" w:rsidRPr="0027604D">
        <w:rPr>
          <w:rFonts w:ascii="Helvetica" w:hAnsi="Helvetica"/>
        </w:rPr>
        <w:t>therefore of primary focus in several reports</w:t>
      </w:r>
      <w:r w:rsidR="00FE34F3" w:rsidRPr="0027604D">
        <w:rPr>
          <w:rFonts w:ascii="Helvetica" w:hAnsi="Helvetica"/>
        </w:rPr>
        <w:t>.</w:t>
      </w:r>
    </w:p>
    <w:p w14:paraId="4C69FF1F" w14:textId="6C5C71EC" w:rsidR="00EA3DA0" w:rsidRDefault="00FE34F3" w:rsidP="001D2261">
      <w:pPr>
        <w:rPr>
          <w:rFonts w:ascii="Helvetica" w:hAnsi="Helvetica"/>
        </w:rPr>
      </w:pPr>
      <w:r w:rsidRPr="0027604D">
        <w:rPr>
          <w:rFonts w:ascii="Helvetica" w:hAnsi="Helvetica"/>
        </w:rPr>
        <w:t>The Australian recycling collection, sorting and processing</w:t>
      </w:r>
      <w:r w:rsidR="00B36810">
        <w:rPr>
          <w:rFonts w:ascii="Helvetica" w:hAnsi="Helvetica"/>
        </w:rPr>
        <w:t xml:space="preserve"> system</w:t>
      </w:r>
      <w:r w:rsidRPr="0027604D">
        <w:rPr>
          <w:rFonts w:ascii="Helvetica" w:hAnsi="Helvetica"/>
        </w:rPr>
        <w:t xml:space="preserve"> is </w:t>
      </w:r>
      <w:r w:rsidR="00F95958" w:rsidRPr="0027604D">
        <w:rPr>
          <w:rFonts w:ascii="Helvetica" w:hAnsi="Helvetica"/>
        </w:rPr>
        <w:t>very broad in activity covering materials as diverse as concrete</w:t>
      </w:r>
      <w:r w:rsidR="00FE39CE" w:rsidRPr="0027604D">
        <w:rPr>
          <w:rFonts w:ascii="Helvetica" w:hAnsi="Helvetica"/>
        </w:rPr>
        <w:t xml:space="preserve">, steel, paper, food organics and </w:t>
      </w:r>
      <w:r w:rsidR="00B36810">
        <w:rPr>
          <w:rFonts w:ascii="Helvetica" w:hAnsi="Helvetica"/>
        </w:rPr>
        <w:t>textiles</w:t>
      </w:r>
      <w:r w:rsidR="0046645D" w:rsidRPr="0027604D">
        <w:rPr>
          <w:rFonts w:ascii="Helvetica" w:hAnsi="Helvetica"/>
        </w:rPr>
        <w:t xml:space="preserve">. </w:t>
      </w:r>
      <w:r w:rsidR="00F64E51" w:rsidRPr="0027604D">
        <w:rPr>
          <w:rFonts w:ascii="Helvetica" w:hAnsi="Helvetica"/>
        </w:rPr>
        <w:t xml:space="preserve">In scale it </w:t>
      </w:r>
      <w:r w:rsidR="00F64E51" w:rsidRPr="0027604D">
        <w:rPr>
          <w:rFonts w:ascii="Helvetica" w:hAnsi="Helvetica"/>
        </w:rPr>
        <w:lastRenderedPageBreak/>
        <w:t xml:space="preserve">is much larger than the kerbside recycling activity. </w:t>
      </w:r>
      <w:r w:rsidR="00CA5D1C" w:rsidRPr="0027604D">
        <w:rPr>
          <w:rFonts w:ascii="Helvetica" w:hAnsi="Helvetica"/>
        </w:rPr>
        <w:t xml:space="preserve">Much of what is handled outside the kerbside system is largely unaffected by the </w:t>
      </w:r>
      <w:r w:rsidR="00A7449F" w:rsidRPr="0027604D">
        <w:rPr>
          <w:rFonts w:ascii="Helvetica" w:hAnsi="Helvetica"/>
        </w:rPr>
        <w:t>restrictions imposed by China and others.</w:t>
      </w:r>
    </w:p>
    <w:p w14:paraId="00D4106C" w14:textId="204F7397" w:rsidR="00D22931" w:rsidRDefault="0027604D" w:rsidP="001D2261">
      <w:pPr>
        <w:rPr>
          <w:rFonts w:ascii="Helvetica" w:hAnsi="Helvetica"/>
        </w:rPr>
      </w:pPr>
      <w:r>
        <w:rPr>
          <w:rFonts w:ascii="Helvetica" w:hAnsi="Helvetica"/>
        </w:rPr>
        <w:t xml:space="preserve">Media reports </w:t>
      </w:r>
      <w:r w:rsidR="00121F62">
        <w:rPr>
          <w:rFonts w:ascii="Helvetica" w:hAnsi="Helvetica"/>
        </w:rPr>
        <w:t>have sometimes failed to convey this</w:t>
      </w:r>
      <w:r w:rsidR="00B36810">
        <w:rPr>
          <w:rFonts w:ascii="Helvetica" w:hAnsi="Helvetica"/>
        </w:rPr>
        <w:t>,</w:t>
      </w:r>
      <w:r w:rsidR="00121F62">
        <w:rPr>
          <w:rFonts w:ascii="Helvetica" w:hAnsi="Helvetica"/>
        </w:rPr>
        <w:t xml:space="preserve"> and many in the community would be surprised that m</w:t>
      </w:r>
      <w:r w:rsidR="00604AA4">
        <w:rPr>
          <w:rFonts w:ascii="Helvetica" w:hAnsi="Helvetica"/>
        </w:rPr>
        <w:t>any millions of tonnes of recycling</w:t>
      </w:r>
      <w:r w:rsidR="00390E27" w:rsidRPr="0027604D">
        <w:rPr>
          <w:rFonts w:ascii="Helvetica" w:hAnsi="Helvetica"/>
        </w:rPr>
        <w:t xml:space="preserve"> </w:t>
      </w:r>
      <w:r w:rsidR="00146807">
        <w:rPr>
          <w:rFonts w:ascii="Helvetica" w:hAnsi="Helvetica"/>
        </w:rPr>
        <w:t>continue</w:t>
      </w:r>
      <w:r w:rsidR="00C91ABE">
        <w:rPr>
          <w:rFonts w:ascii="Helvetica" w:hAnsi="Helvetica"/>
        </w:rPr>
        <w:t xml:space="preserve"> to be processed</w:t>
      </w:r>
      <w:r w:rsidR="00604AA4">
        <w:rPr>
          <w:rFonts w:ascii="Helvetica" w:hAnsi="Helvetica"/>
        </w:rPr>
        <w:t xml:space="preserve"> </w:t>
      </w:r>
      <w:r w:rsidR="00F9364C">
        <w:rPr>
          <w:rFonts w:ascii="Helvetica" w:hAnsi="Helvetica"/>
        </w:rPr>
        <w:t>in Australia unaffected</w:t>
      </w:r>
      <w:r w:rsidR="00A37F8C">
        <w:rPr>
          <w:rFonts w:ascii="Helvetica" w:hAnsi="Helvetica"/>
        </w:rPr>
        <w:t xml:space="preserve"> by </w:t>
      </w:r>
      <w:r w:rsidR="008B7EA4">
        <w:rPr>
          <w:rFonts w:ascii="Helvetica" w:hAnsi="Helvetica"/>
        </w:rPr>
        <w:t>China restrictions and associated developments</w:t>
      </w:r>
      <w:r w:rsidR="00F9364C">
        <w:rPr>
          <w:rFonts w:ascii="Helvetica" w:hAnsi="Helvetica"/>
        </w:rPr>
        <w:t xml:space="preserve">. Similarly, many of the non-kerbside collected </w:t>
      </w:r>
      <w:r w:rsidR="0058714D">
        <w:rPr>
          <w:rFonts w:ascii="Helvetica" w:hAnsi="Helvetica"/>
        </w:rPr>
        <w:t xml:space="preserve">paper and plastic </w:t>
      </w:r>
      <w:r w:rsidR="00F9364C">
        <w:rPr>
          <w:rFonts w:ascii="Helvetica" w:hAnsi="Helvetica"/>
        </w:rPr>
        <w:t>material</w:t>
      </w:r>
      <w:r w:rsidR="008D6F09">
        <w:rPr>
          <w:rFonts w:ascii="Helvetica" w:hAnsi="Helvetica"/>
        </w:rPr>
        <w:t xml:space="preserve">s continue to be exported without the same difficulty </w:t>
      </w:r>
      <w:r w:rsidR="00BD7196">
        <w:rPr>
          <w:rFonts w:ascii="Helvetica" w:hAnsi="Helvetica"/>
        </w:rPr>
        <w:t xml:space="preserve">that </w:t>
      </w:r>
      <w:r w:rsidR="00EA3DA0">
        <w:rPr>
          <w:rFonts w:ascii="Helvetica" w:hAnsi="Helvetica"/>
        </w:rPr>
        <w:t xml:space="preserve">some </w:t>
      </w:r>
      <w:r w:rsidR="00BD7196">
        <w:rPr>
          <w:rFonts w:ascii="Helvetica" w:hAnsi="Helvetica"/>
        </w:rPr>
        <w:t xml:space="preserve">household sourced materials face. </w:t>
      </w:r>
      <w:r w:rsidR="00D02AE2">
        <w:rPr>
          <w:rFonts w:ascii="Helvetica" w:hAnsi="Helvetica"/>
        </w:rPr>
        <w:t xml:space="preserve">In the following section there is a summary of the key findings and </w:t>
      </w:r>
      <w:r w:rsidR="00104CE1">
        <w:rPr>
          <w:rFonts w:ascii="Helvetica" w:hAnsi="Helvetica"/>
        </w:rPr>
        <w:t xml:space="preserve">reporting on each of the kerbside materials. </w:t>
      </w:r>
    </w:p>
    <w:p w14:paraId="720843FF" w14:textId="03BA4995" w:rsidR="001113A2" w:rsidRDefault="001113A2" w:rsidP="001D2261">
      <w:pPr>
        <w:rPr>
          <w:rFonts w:ascii="Helvetica" w:hAnsi="Helvetica"/>
        </w:rPr>
      </w:pPr>
      <w:r>
        <w:rPr>
          <w:rFonts w:ascii="Helvetica" w:hAnsi="Helvetica"/>
        </w:rPr>
        <w:t xml:space="preserve">Reference to consumption in the report is the total amount of the material entering </w:t>
      </w:r>
      <w:r w:rsidR="00D5046B">
        <w:rPr>
          <w:rFonts w:ascii="Helvetica" w:hAnsi="Helvetica"/>
        </w:rPr>
        <w:t>use on an annual basis</w:t>
      </w:r>
      <w:r w:rsidR="00490FE3">
        <w:rPr>
          <w:rFonts w:ascii="Helvetica" w:hAnsi="Helvetica"/>
        </w:rPr>
        <w:t>, whether sourced locally or through export.</w:t>
      </w:r>
      <w:r w:rsidR="0063728A">
        <w:rPr>
          <w:rFonts w:ascii="Helvetica" w:hAnsi="Helvetica"/>
        </w:rPr>
        <w:t xml:space="preserve"> Some of this material will </w:t>
      </w:r>
      <w:r w:rsidR="00737756">
        <w:rPr>
          <w:rFonts w:ascii="Helvetica" w:hAnsi="Helvetica"/>
        </w:rPr>
        <w:t xml:space="preserve">be </w:t>
      </w:r>
      <w:r w:rsidR="006F61BD">
        <w:rPr>
          <w:rFonts w:ascii="Helvetica" w:hAnsi="Helvetica"/>
        </w:rPr>
        <w:t xml:space="preserve">of a </w:t>
      </w:r>
      <w:r w:rsidR="003475FC">
        <w:rPr>
          <w:rFonts w:ascii="Helvetica" w:hAnsi="Helvetica"/>
        </w:rPr>
        <w:t>long-term</w:t>
      </w:r>
      <w:r w:rsidR="006F61BD">
        <w:rPr>
          <w:rFonts w:ascii="Helvetica" w:hAnsi="Helvetica"/>
        </w:rPr>
        <w:t xml:space="preserve"> </w:t>
      </w:r>
      <w:r w:rsidR="00737756">
        <w:rPr>
          <w:rFonts w:ascii="Helvetica" w:hAnsi="Helvetica"/>
        </w:rPr>
        <w:t xml:space="preserve">durable </w:t>
      </w:r>
      <w:r w:rsidR="006F61BD">
        <w:rPr>
          <w:rFonts w:ascii="Helvetica" w:hAnsi="Helvetica"/>
        </w:rPr>
        <w:t xml:space="preserve">nature </w:t>
      </w:r>
      <w:r w:rsidR="00737756">
        <w:rPr>
          <w:rFonts w:ascii="Helvetica" w:hAnsi="Helvetica"/>
        </w:rPr>
        <w:t>and will therefore not necessarily result in waste generation</w:t>
      </w:r>
      <w:r w:rsidR="007D3FD7">
        <w:rPr>
          <w:rFonts w:ascii="Helvetica" w:hAnsi="Helvetica"/>
        </w:rPr>
        <w:t xml:space="preserve"> at the same levels.</w:t>
      </w:r>
    </w:p>
    <w:p w14:paraId="1CA58856" w14:textId="27053712" w:rsidR="00EF0813" w:rsidRDefault="00EF0813">
      <w:pPr>
        <w:spacing w:after="0" w:line="240" w:lineRule="auto"/>
        <w:rPr>
          <w:rFonts w:ascii="Helvetica" w:hAnsi="Helvetica"/>
        </w:rPr>
      </w:pPr>
      <w:r>
        <w:rPr>
          <w:rFonts w:ascii="Helvetica" w:hAnsi="Helvetica"/>
        </w:rPr>
        <w:br w:type="page"/>
      </w:r>
    </w:p>
    <w:p w14:paraId="0E1E8249" w14:textId="77777777" w:rsidR="00EF0813" w:rsidRPr="0027604D" w:rsidRDefault="00EF0813" w:rsidP="001D2261">
      <w:pPr>
        <w:rPr>
          <w:rFonts w:ascii="Helvetica" w:hAnsi="Helvetica"/>
        </w:rPr>
      </w:pPr>
    </w:p>
    <w:p w14:paraId="79F23779" w14:textId="77777777" w:rsidR="00B771BC" w:rsidRDefault="00B771BC" w:rsidP="00B771BC">
      <w:pPr>
        <w:pStyle w:val="Heading1"/>
      </w:pPr>
      <w:bookmarkStart w:id="6" w:name="_Toc19708285"/>
      <w:r>
        <w:t>SUMMARY</w:t>
      </w:r>
      <w:bookmarkEnd w:id="6"/>
    </w:p>
    <w:p w14:paraId="5C4708C7" w14:textId="77777777" w:rsidR="00B771BC" w:rsidRDefault="00B771BC" w:rsidP="00B771BC">
      <w:pPr>
        <w:pStyle w:val="Heading4"/>
      </w:pPr>
      <w:r>
        <w:t>Market</w:t>
      </w:r>
    </w:p>
    <w:p w14:paraId="2C28A2D2" w14:textId="77777777" w:rsidR="00B771BC" w:rsidRDefault="00B771BC" w:rsidP="00B771BC">
      <w:r>
        <w:t xml:space="preserve">In summary, the local and global markets for the recyclable materials - paper and cardboard, plastics, and glass are all volatile in 2019. This is largely due to regulatory restrictions on the import of recycled material into China, and then into some other Asian nations. The market security and pricing for recyclables is strongly linked to the availability of markets back into new product, either as packaging or durable goods. </w:t>
      </w:r>
    </w:p>
    <w:p w14:paraId="2DFB14AD" w14:textId="77777777" w:rsidR="00B771BC" w:rsidRDefault="00B771BC" w:rsidP="00B771BC">
      <w:r>
        <w:t xml:space="preserve">There is a recognition that government and major brands have a role in procuring recycled content product in order to create the market pull for a healthy circular outcome. </w:t>
      </w:r>
    </w:p>
    <w:p w14:paraId="14550824" w14:textId="77777777" w:rsidR="00B771BC" w:rsidRDefault="00B771BC" w:rsidP="00B771BC">
      <w:r>
        <w:t>It is unlikely that Australia will have the same opportunities to export recyclable materials in either the quantity or quality that existed previously. If the recycling system is to remain robust and national targets for packaging are to be met, then each of the stakeholders will need to address the issues raised here.</w:t>
      </w:r>
    </w:p>
    <w:p w14:paraId="1D261802" w14:textId="77777777" w:rsidR="00B771BC" w:rsidRDefault="00B771BC" w:rsidP="00B771BC">
      <w:pPr>
        <w:pStyle w:val="Heading4"/>
      </w:pPr>
      <w:r>
        <w:t>Stakeholder roles</w:t>
      </w:r>
    </w:p>
    <w:p w14:paraId="5973D0C7" w14:textId="77777777" w:rsidR="00B771BC" w:rsidRDefault="00B771BC" w:rsidP="00B771BC">
      <w:r>
        <w:t>Challenges are apparent for consumers to present recyclables clean and free of contaminant material. Local government is facing uncertainty in collection and sorting pricing and is under challenge to commit to procurement of recycled material. It is also facing calls for greater effort to control contaminants and to adjust collections to accommodate soft plastics and collect glass separately.</w:t>
      </w:r>
    </w:p>
    <w:p w14:paraId="4B1D4A25" w14:textId="77777777" w:rsidR="00B771BC" w:rsidRDefault="00B771BC" w:rsidP="00B771BC">
      <w:r>
        <w:t xml:space="preserve">State and federal governments are being challenged to play a strong role in procurement of recycled content product, particularly in road and parks agency works. There are also calls for funding assistance to support new reprocessing infrastructure and modifications to sorting and collection systems. </w:t>
      </w:r>
    </w:p>
    <w:p w14:paraId="3DB23DD7" w14:textId="77777777" w:rsidR="00B771BC" w:rsidRDefault="00B771BC" w:rsidP="00B771BC">
      <w:r>
        <w:t xml:space="preserve">Brand owners and retailers are being challenged to modify their packaging to conform </w:t>
      </w:r>
      <w:proofErr w:type="gramStart"/>
      <w:r>
        <w:t>with</w:t>
      </w:r>
      <w:proofErr w:type="gramEnd"/>
      <w:r>
        <w:t xml:space="preserve"> recyclability and to utilise recycled content, particularly in plastics. </w:t>
      </w:r>
    </w:p>
    <w:p w14:paraId="4D024F39" w14:textId="7CA7DD2C" w:rsidR="002D211B" w:rsidRDefault="003E6980" w:rsidP="001838BE">
      <w:pPr>
        <w:pStyle w:val="Heading3"/>
        <w:numPr>
          <w:ilvl w:val="0"/>
          <w:numId w:val="0"/>
        </w:numPr>
        <w:ind w:left="1134"/>
      </w:pPr>
      <w:bookmarkStart w:id="7" w:name="_Toc19708286"/>
      <w:r>
        <w:t>Key opportunities</w:t>
      </w:r>
      <w:bookmarkEnd w:id="7"/>
    </w:p>
    <w:p w14:paraId="4EDCE78E" w14:textId="22635106" w:rsidR="000E3199" w:rsidRPr="000E3199" w:rsidRDefault="000E3199" w:rsidP="000E3199">
      <w:pPr>
        <w:rPr>
          <w:lang w:val="en-US"/>
        </w:rPr>
      </w:pPr>
      <w:r>
        <w:rPr>
          <w:lang w:val="en-US"/>
        </w:rPr>
        <w:t xml:space="preserve">The following opportunities for increased recovery and recycling </w:t>
      </w:r>
      <w:r w:rsidR="00C503C9">
        <w:rPr>
          <w:lang w:val="en-US"/>
        </w:rPr>
        <w:t xml:space="preserve">are covered in each section of this report. </w:t>
      </w:r>
    </w:p>
    <w:tbl>
      <w:tblPr>
        <w:tblStyle w:val="TableGrid"/>
        <w:tblW w:w="0" w:type="auto"/>
        <w:tblLook w:val="04A0" w:firstRow="1" w:lastRow="0" w:firstColumn="1" w:lastColumn="0" w:noHBand="0" w:noVBand="1"/>
      </w:tblPr>
      <w:tblGrid>
        <w:gridCol w:w="2547"/>
        <w:gridCol w:w="6514"/>
      </w:tblGrid>
      <w:tr w:rsidR="00734745" w14:paraId="0206FDBF" w14:textId="77777777" w:rsidTr="00734745">
        <w:tc>
          <w:tcPr>
            <w:tcW w:w="2547" w:type="dxa"/>
            <w:vMerge w:val="restart"/>
          </w:tcPr>
          <w:p w14:paraId="18287F5C" w14:textId="2A4B8EE3" w:rsidR="00734745" w:rsidRDefault="00734745" w:rsidP="002A32C8">
            <w:pPr>
              <w:pStyle w:val="Heading4"/>
            </w:pPr>
            <w:r>
              <w:t>Plastics</w:t>
            </w:r>
          </w:p>
        </w:tc>
        <w:tc>
          <w:tcPr>
            <w:tcW w:w="6514" w:type="dxa"/>
          </w:tcPr>
          <w:p w14:paraId="64AAA84A" w14:textId="327EFDB4" w:rsidR="00734745" w:rsidRDefault="00734745" w:rsidP="002A32C8">
            <w:pPr>
              <w:rPr>
                <w:lang w:val="en-US"/>
              </w:rPr>
            </w:pPr>
            <w:r>
              <w:rPr>
                <w:rFonts w:asciiTheme="minorHAnsi" w:hAnsiTheme="minorHAnsi" w:cstheme="minorHAnsi"/>
                <w:bCs/>
              </w:rPr>
              <w:t>Expansion of chemical recycling capacity for PET</w:t>
            </w:r>
          </w:p>
        </w:tc>
      </w:tr>
      <w:tr w:rsidR="00734745" w14:paraId="5C14B3CD" w14:textId="77777777" w:rsidTr="00734745">
        <w:tc>
          <w:tcPr>
            <w:tcW w:w="2547" w:type="dxa"/>
            <w:vMerge/>
          </w:tcPr>
          <w:p w14:paraId="61413A36" w14:textId="77777777" w:rsidR="00734745" w:rsidRDefault="00734745" w:rsidP="002A32C8">
            <w:pPr>
              <w:rPr>
                <w:lang w:val="en-US"/>
              </w:rPr>
            </w:pPr>
          </w:p>
        </w:tc>
        <w:tc>
          <w:tcPr>
            <w:tcW w:w="6514" w:type="dxa"/>
          </w:tcPr>
          <w:p w14:paraId="1E6321CF" w14:textId="4CD7BACF" w:rsidR="00734745" w:rsidRDefault="00734745" w:rsidP="002A32C8">
            <w:pPr>
              <w:rPr>
                <w:lang w:val="en-US"/>
              </w:rPr>
            </w:pPr>
            <w:r>
              <w:rPr>
                <w:rFonts w:asciiTheme="minorHAnsi" w:hAnsiTheme="minorHAnsi" w:cstheme="minorHAnsi"/>
                <w:bCs/>
              </w:rPr>
              <w:t>Development of chemical recycling capacity for PE</w:t>
            </w:r>
          </w:p>
        </w:tc>
      </w:tr>
      <w:tr w:rsidR="00734745" w14:paraId="57A71AE9" w14:textId="77777777" w:rsidTr="00734745">
        <w:tc>
          <w:tcPr>
            <w:tcW w:w="2547" w:type="dxa"/>
            <w:vMerge/>
          </w:tcPr>
          <w:p w14:paraId="2142A2C1" w14:textId="77777777" w:rsidR="00734745" w:rsidRDefault="00734745" w:rsidP="002A32C8">
            <w:pPr>
              <w:rPr>
                <w:lang w:val="en-US"/>
              </w:rPr>
            </w:pPr>
          </w:p>
        </w:tc>
        <w:tc>
          <w:tcPr>
            <w:tcW w:w="6514" w:type="dxa"/>
          </w:tcPr>
          <w:p w14:paraId="146A9371" w14:textId="0B266E92" w:rsidR="00734745" w:rsidRDefault="00734745" w:rsidP="002A32C8">
            <w:pPr>
              <w:rPr>
                <w:lang w:val="en-US"/>
              </w:rPr>
            </w:pPr>
            <w:r>
              <w:rPr>
                <w:rFonts w:asciiTheme="minorHAnsi" w:hAnsiTheme="minorHAnsi" w:cstheme="minorHAnsi"/>
                <w:bCs/>
              </w:rPr>
              <w:t>Expansion of mechanical recycling capacity with a focus on post-consumer PE and PP material</w:t>
            </w:r>
          </w:p>
        </w:tc>
      </w:tr>
      <w:tr w:rsidR="00734745" w14:paraId="374F9248" w14:textId="77777777" w:rsidTr="00734745">
        <w:tc>
          <w:tcPr>
            <w:tcW w:w="2547" w:type="dxa"/>
            <w:vMerge/>
          </w:tcPr>
          <w:p w14:paraId="40C033B6" w14:textId="77777777" w:rsidR="00734745" w:rsidRDefault="00734745" w:rsidP="002A32C8">
            <w:pPr>
              <w:rPr>
                <w:lang w:val="en-US"/>
              </w:rPr>
            </w:pPr>
          </w:p>
        </w:tc>
        <w:tc>
          <w:tcPr>
            <w:tcW w:w="6514" w:type="dxa"/>
          </w:tcPr>
          <w:p w14:paraId="288CA981" w14:textId="5C6C8292" w:rsidR="00734745" w:rsidRDefault="00734745" w:rsidP="002A32C8">
            <w:pPr>
              <w:rPr>
                <w:lang w:val="en-US"/>
              </w:rPr>
            </w:pPr>
            <w:r>
              <w:rPr>
                <w:rFonts w:asciiTheme="minorHAnsi" w:hAnsiTheme="minorHAnsi" w:cstheme="minorHAnsi"/>
                <w:bCs/>
              </w:rPr>
              <w:t>Development of recycling strategies for each significant durable plastic product</w:t>
            </w:r>
          </w:p>
        </w:tc>
      </w:tr>
      <w:tr w:rsidR="00734745" w14:paraId="04D1CA45" w14:textId="77777777" w:rsidTr="00734745">
        <w:tc>
          <w:tcPr>
            <w:tcW w:w="2547" w:type="dxa"/>
            <w:vMerge/>
          </w:tcPr>
          <w:p w14:paraId="02AB9486" w14:textId="77777777" w:rsidR="00734745" w:rsidRDefault="00734745" w:rsidP="002A32C8">
            <w:pPr>
              <w:rPr>
                <w:lang w:val="en-US"/>
              </w:rPr>
            </w:pPr>
          </w:p>
        </w:tc>
        <w:tc>
          <w:tcPr>
            <w:tcW w:w="6514" w:type="dxa"/>
          </w:tcPr>
          <w:p w14:paraId="0B6D8D48" w14:textId="49DA0955" w:rsidR="00734745" w:rsidRDefault="00734745" w:rsidP="002A32C8">
            <w:pPr>
              <w:rPr>
                <w:lang w:val="en-US"/>
              </w:rPr>
            </w:pPr>
            <w:r>
              <w:rPr>
                <w:rFonts w:asciiTheme="minorHAnsi" w:hAnsiTheme="minorHAnsi" w:cstheme="minorHAnsi"/>
                <w:bCs/>
              </w:rPr>
              <w:t>Inclusion of flexible plastic packaging in kerbside collections</w:t>
            </w:r>
          </w:p>
        </w:tc>
      </w:tr>
      <w:tr w:rsidR="00734745" w14:paraId="753CA12B" w14:textId="77777777" w:rsidTr="00734745">
        <w:tc>
          <w:tcPr>
            <w:tcW w:w="2547" w:type="dxa"/>
            <w:vMerge/>
          </w:tcPr>
          <w:p w14:paraId="7F496BA1" w14:textId="77777777" w:rsidR="00734745" w:rsidRDefault="00734745" w:rsidP="002A32C8">
            <w:pPr>
              <w:rPr>
                <w:lang w:val="en-US"/>
              </w:rPr>
            </w:pPr>
          </w:p>
        </w:tc>
        <w:tc>
          <w:tcPr>
            <w:tcW w:w="6514" w:type="dxa"/>
          </w:tcPr>
          <w:p w14:paraId="3EB307BD" w14:textId="4CA4EA1B" w:rsidR="00734745" w:rsidRDefault="00734745" w:rsidP="002A32C8">
            <w:pPr>
              <w:rPr>
                <w:lang w:val="en-US"/>
              </w:rPr>
            </w:pPr>
            <w:r>
              <w:rPr>
                <w:rFonts w:asciiTheme="minorHAnsi" w:hAnsiTheme="minorHAnsi" w:cstheme="minorHAnsi"/>
                <w:bCs/>
              </w:rPr>
              <w:t xml:space="preserve">Committed procurement of </w:t>
            </w:r>
            <w:proofErr w:type="spellStart"/>
            <w:r>
              <w:rPr>
                <w:rFonts w:asciiTheme="minorHAnsi" w:hAnsiTheme="minorHAnsi" w:cstheme="minorHAnsi"/>
                <w:bCs/>
              </w:rPr>
              <w:t>recyclate</w:t>
            </w:r>
            <w:proofErr w:type="spellEnd"/>
            <w:r>
              <w:rPr>
                <w:rFonts w:asciiTheme="minorHAnsi" w:hAnsiTheme="minorHAnsi" w:cstheme="minorHAnsi"/>
                <w:bCs/>
              </w:rPr>
              <w:t xml:space="preserve"> by governments</w:t>
            </w:r>
          </w:p>
        </w:tc>
      </w:tr>
      <w:tr w:rsidR="00734745" w14:paraId="776374AC" w14:textId="77777777" w:rsidTr="00734745">
        <w:tc>
          <w:tcPr>
            <w:tcW w:w="2547" w:type="dxa"/>
            <w:vMerge/>
          </w:tcPr>
          <w:p w14:paraId="31FFE1B6" w14:textId="77777777" w:rsidR="00734745" w:rsidRDefault="00734745" w:rsidP="002A32C8">
            <w:pPr>
              <w:rPr>
                <w:lang w:val="en-US"/>
              </w:rPr>
            </w:pPr>
          </w:p>
        </w:tc>
        <w:tc>
          <w:tcPr>
            <w:tcW w:w="6514" w:type="dxa"/>
          </w:tcPr>
          <w:p w14:paraId="4082DCF5" w14:textId="6DB5DAAF" w:rsidR="00734745" w:rsidRDefault="00734745" w:rsidP="002A32C8">
            <w:pPr>
              <w:rPr>
                <w:lang w:val="en-US"/>
              </w:rPr>
            </w:pPr>
            <w:r>
              <w:rPr>
                <w:rFonts w:asciiTheme="minorHAnsi" w:hAnsiTheme="minorHAnsi" w:cstheme="minorHAnsi"/>
                <w:bCs/>
              </w:rPr>
              <w:t xml:space="preserve">Committed procurement of </w:t>
            </w:r>
            <w:proofErr w:type="spellStart"/>
            <w:r>
              <w:rPr>
                <w:rFonts w:asciiTheme="minorHAnsi" w:hAnsiTheme="minorHAnsi" w:cstheme="minorHAnsi"/>
                <w:bCs/>
              </w:rPr>
              <w:t>recyclate</w:t>
            </w:r>
            <w:proofErr w:type="spellEnd"/>
            <w:r>
              <w:rPr>
                <w:rFonts w:asciiTheme="minorHAnsi" w:hAnsiTheme="minorHAnsi" w:cstheme="minorHAnsi"/>
                <w:bCs/>
              </w:rPr>
              <w:t xml:space="preserve"> into packaging by consumer brands</w:t>
            </w:r>
          </w:p>
        </w:tc>
      </w:tr>
      <w:tr w:rsidR="00734745" w14:paraId="03342598" w14:textId="77777777" w:rsidTr="00734745">
        <w:tc>
          <w:tcPr>
            <w:tcW w:w="2547" w:type="dxa"/>
            <w:vMerge w:val="restart"/>
          </w:tcPr>
          <w:p w14:paraId="3D7FEA3D" w14:textId="6938E1A0" w:rsidR="00734745" w:rsidRDefault="00734745" w:rsidP="005A0936">
            <w:pPr>
              <w:pStyle w:val="Heading4"/>
            </w:pPr>
            <w:r>
              <w:lastRenderedPageBreak/>
              <w:t>Paper and Cardboard</w:t>
            </w:r>
          </w:p>
        </w:tc>
        <w:tc>
          <w:tcPr>
            <w:tcW w:w="6514" w:type="dxa"/>
          </w:tcPr>
          <w:p w14:paraId="6F49F475" w14:textId="3A22B068" w:rsidR="00734745" w:rsidRDefault="00734745" w:rsidP="005A0936">
            <w:pPr>
              <w:rPr>
                <w:lang w:val="en-US"/>
              </w:rPr>
            </w:pPr>
            <w:r>
              <w:rPr>
                <w:rFonts w:asciiTheme="minorHAnsi" w:hAnsiTheme="minorHAnsi" w:cstheme="minorHAnsi"/>
                <w:bCs/>
              </w:rPr>
              <w:t>Separate collection of glass for improved kerbside paper quality</w:t>
            </w:r>
          </w:p>
        </w:tc>
      </w:tr>
      <w:tr w:rsidR="00734745" w14:paraId="03677C91" w14:textId="77777777" w:rsidTr="00734745">
        <w:tc>
          <w:tcPr>
            <w:tcW w:w="2547" w:type="dxa"/>
            <w:vMerge/>
          </w:tcPr>
          <w:p w14:paraId="3A9E7B27" w14:textId="77777777" w:rsidR="00734745" w:rsidRDefault="00734745" w:rsidP="005A0936">
            <w:pPr>
              <w:rPr>
                <w:lang w:val="en-US"/>
              </w:rPr>
            </w:pPr>
          </w:p>
        </w:tc>
        <w:tc>
          <w:tcPr>
            <w:tcW w:w="6514" w:type="dxa"/>
          </w:tcPr>
          <w:p w14:paraId="6CE76055" w14:textId="5FD65EDF" w:rsidR="00734745" w:rsidRDefault="00734745" w:rsidP="005A0936">
            <w:pPr>
              <w:rPr>
                <w:lang w:val="en-US"/>
              </w:rPr>
            </w:pPr>
            <w:r>
              <w:rPr>
                <w:rFonts w:asciiTheme="minorHAnsi" w:hAnsiTheme="minorHAnsi" w:cstheme="minorHAnsi"/>
                <w:bCs/>
              </w:rPr>
              <w:t>Subsequent sorting of mixed paper streams</w:t>
            </w:r>
          </w:p>
        </w:tc>
      </w:tr>
      <w:tr w:rsidR="00734745" w14:paraId="7E2D376B" w14:textId="77777777" w:rsidTr="00734745">
        <w:tc>
          <w:tcPr>
            <w:tcW w:w="2547" w:type="dxa"/>
            <w:vMerge/>
          </w:tcPr>
          <w:p w14:paraId="252126E7" w14:textId="77777777" w:rsidR="00734745" w:rsidRDefault="00734745" w:rsidP="005A0936">
            <w:pPr>
              <w:rPr>
                <w:lang w:val="en-US"/>
              </w:rPr>
            </w:pPr>
          </w:p>
        </w:tc>
        <w:tc>
          <w:tcPr>
            <w:tcW w:w="6514" w:type="dxa"/>
          </w:tcPr>
          <w:p w14:paraId="03DE31E8" w14:textId="3E0269BA" w:rsidR="00734745" w:rsidRDefault="00734745" w:rsidP="005A0936">
            <w:pPr>
              <w:rPr>
                <w:lang w:val="en-US"/>
              </w:rPr>
            </w:pPr>
            <w:r>
              <w:rPr>
                <w:rFonts w:asciiTheme="minorHAnsi" w:hAnsiTheme="minorHAnsi" w:cstheme="minorHAnsi"/>
                <w:bCs/>
              </w:rPr>
              <w:t>More stringent sorting of paper grades at MRF</w:t>
            </w:r>
          </w:p>
        </w:tc>
      </w:tr>
      <w:tr w:rsidR="00734745" w14:paraId="12848F43" w14:textId="77777777" w:rsidTr="00734745">
        <w:tc>
          <w:tcPr>
            <w:tcW w:w="2547" w:type="dxa"/>
            <w:vMerge/>
          </w:tcPr>
          <w:p w14:paraId="239D5F4D" w14:textId="77777777" w:rsidR="00734745" w:rsidRDefault="00734745" w:rsidP="005A0936">
            <w:pPr>
              <w:rPr>
                <w:lang w:val="en-US"/>
              </w:rPr>
            </w:pPr>
          </w:p>
        </w:tc>
        <w:tc>
          <w:tcPr>
            <w:tcW w:w="6514" w:type="dxa"/>
          </w:tcPr>
          <w:p w14:paraId="675DBF66" w14:textId="7D9EE0CE" w:rsidR="00734745" w:rsidRDefault="00734745" w:rsidP="005A0936">
            <w:pPr>
              <w:rPr>
                <w:lang w:val="en-US"/>
              </w:rPr>
            </w:pPr>
            <w:r>
              <w:rPr>
                <w:rFonts w:asciiTheme="minorHAnsi" w:hAnsiTheme="minorHAnsi" w:cstheme="minorHAnsi"/>
                <w:bCs/>
              </w:rPr>
              <w:t>Screening and certifying of paper for export</w:t>
            </w:r>
          </w:p>
        </w:tc>
      </w:tr>
      <w:tr w:rsidR="00734745" w14:paraId="586739AF" w14:textId="77777777" w:rsidTr="00734745">
        <w:tc>
          <w:tcPr>
            <w:tcW w:w="2547" w:type="dxa"/>
            <w:vMerge w:val="restart"/>
          </w:tcPr>
          <w:p w14:paraId="6F60EA6B" w14:textId="75D0F2A0" w:rsidR="00734745" w:rsidRDefault="00734745" w:rsidP="00B8550E">
            <w:pPr>
              <w:pStyle w:val="Heading4"/>
            </w:pPr>
            <w:r>
              <w:t>Rubber</w:t>
            </w:r>
          </w:p>
        </w:tc>
        <w:tc>
          <w:tcPr>
            <w:tcW w:w="6514" w:type="dxa"/>
          </w:tcPr>
          <w:p w14:paraId="740E01C8" w14:textId="7FFEE2FA" w:rsidR="00734745" w:rsidRDefault="00734745" w:rsidP="00B8550E">
            <w:pPr>
              <w:rPr>
                <w:lang w:val="en-US"/>
              </w:rPr>
            </w:pPr>
            <w:r>
              <w:rPr>
                <w:rFonts w:asciiTheme="minorHAnsi" w:hAnsiTheme="minorHAnsi" w:cstheme="minorHAnsi"/>
                <w:bCs/>
              </w:rPr>
              <w:t>Tyre derived aggregate</w:t>
            </w:r>
          </w:p>
        </w:tc>
      </w:tr>
      <w:tr w:rsidR="00734745" w14:paraId="000D742C" w14:textId="77777777" w:rsidTr="00734745">
        <w:tc>
          <w:tcPr>
            <w:tcW w:w="2547" w:type="dxa"/>
            <w:vMerge/>
          </w:tcPr>
          <w:p w14:paraId="75CA668B" w14:textId="77777777" w:rsidR="00734745" w:rsidRDefault="00734745" w:rsidP="00B8550E">
            <w:pPr>
              <w:rPr>
                <w:lang w:val="en-US"/>
              </w:rPr>
            </w:pPr>
          </w:p>
        </w:tc>
        <w:tc>
          <w:tcPr>
            <w:tcW w:w="6514" w:type="dxa"/>
          </w:tcPr>
          <w:p w14:paraId="70CCE8D7" w14:textId="70569C2F" w:rsidR="00734745" w:rsidRDefault="00734745" w:rsidP="00B8550E">
            <w:pPr>
              <w:rPr>
                <w:lang w:val="en-US"/>
              </w:rPr>
            </w:pPr>
            <w:r>
              <w:rPr>
                <w:rFonts w:asciiTheme="minorHAnsi" w:hAnsiTheme="minorHAnsi" w:cstheme="minorHAnsi"/>
                <w:bCs/>
              </w:rPr>
              <w:t>Pyrolysis</w:t>
            </w:r>
          </w:p>
        </w:tc>
      </w:tr>
      <w:tr w:rsidR="00734745" w14:paraId="34C18AC5" w14:textId="77777777" w:rsidTr="00734745">
        <w:tc>
          <w:tcPr>
            <w:tcW w:w="2547" w:type="dxa"/>
            <w:vMerge/>
          </w:tcPr>
          <w:p w14:paraId="2FC72BD3" w14:textId="77777777" w:rsidR="00734745" w:rsidRDefault="00734745" w:rsidP="00B8550E">
            <w:pPr>
              <w:rPr>
                <w:lang w:val="en-US"/>
              </w:rPr>
            </w:pPr>
          </w:p>
        </w:tc>
        <w:tc>
          <w:tcPr>
            <w:tcW w:w="6514" w:type="dxa"/>
          </w:tcPr>
          <w:p w14:paraId="06E90716" w14:textId="45B2B195" w:rsidR="00734745" w:rsidRDefault="00734745" w:rsidP="00B8550E">
            <w:pPr>
              <w:rPr>
                <w:lang w:val="en-US"/>
              </w:rPr>
            </w:pPr>
            <w:r>
              <w:rPr>
                <w:rFonts w:asciiTheme="minorHAnsi" w:hAnsiTheme="minorHAnsi" w:cstheme="minorHAnsi"/>
                <w:bCs/>
              </w:rPr>
              <w:t>Spray seals</w:t>
            </w:r>
          </w:p>
        </w:tc>
      </w:tr>
      <w:tr w:rsidR="00734745" w14:paraId="7BA8BB9D" w14:textId="77777777" w:rsidTr="00734745">
        <w:tc>
          <w:tcPr>
            <w:tcW w:w="2547" w:type="dxa"/>
            <w:vMerge/>
          </w:tcPr>
          <w:p w14:paraId="603BF0D4" w14:textId="77777777" w:rsidR="00734745" w:rsidRDefault="00734745" w:rsidP="00B8550E">
            <w:pPr>
              <w:rPr>
                <w:lang w:val="en-US"/>
              </w:rPr>
            </w:pPr>
          </w:p>
        </w:tc>
        <w:tc>
          <w:tcPr>
            <w:tcW w:w="6514" w:type="dxa"/>
          </w:tcPr>
          <w:p w14:paraId="7692E003" w14:textId="73537A5E" w:rsidR="00734745" w:rsidRDefault="00734745" w:rsidP="00B8550E">
            <w:pPr>
              <w:rPr>
                <w:lang w:val="en-US"/>
              </w:rPr>
            </w:pPr>
            <w:r>
              <w:rPr>
                <w:rFonts w:asciiTheme="minorHAnsi" w:hAnsiTheme="minorHAnsi" w:cstheme="minorHAnsi"/>
                <w:bCs/>
              </w:rPr>
              <w:t>Adhesives</w:t>
            </w:r>
          </w:p>
        </w:tc>
      </w:tr>
      <w:tr w:rsidR="00734745" w14:paraId="277F3694" w14:textId="77777777" w:rsidTr="00734745">
        <w:tc>
          <w:tcPr>
            <w:tcW w:w="2547" w:type="dxa"/>
            <w:vMerge/>
          </w:tcPr>
          <w:p w14:paraId="2C733DC1" w14:textId="77777777" w:rsidR="00734745" w:rsidRDefault="00734745" w:rsidP="00B8550E">
            <w:pPr>
              <w:rPr>
                <w:lang w:val="en-US"/>
              </w:rPr>
            </w:pPr>
          </w:p>
        </w:tc>
        <w:tc>
          <w:tcPr>
            <w:tcW w:w="6514" w:type="dxa"/>
          </w:tcPr>
          <w:p w14:paraId="5C14DD6B" w14:textId="648A4ECC" w:rsidR="00734745" w:rsidRDefault="00734745" w:rsidP="00B8550E">
            <w:pPr>
              <w:rPr>
                <w:lang w:val="en-US"/>
              </w:rPr>
            </w:pPr>
            <w:r>
              <w:rPr>
                <w:rFonts w:asciiTheme="minorHAnsi" w:hAnsiTheme="minorHAnsi" w:cstheme="minorHAnsi"/>
                <w:bCs/>
              </w:rPr>
              <w:t>Explosives</w:t>
            </w:r>
          </w:p>
        </w:tc>
      </w:tr>
      <w:tr w:rsidR="00734745" w14:paraId="3FD0F9EE" w14:textId="77777777" w:rsidTr="00734745">
        <w:tc>
          <w:tcPr>
            <w:tcW w:w="2547" w:type="dxa"/>
            <w:vMerge/>
          </w:tcPr>
          <w:p w14:paraId="630AB38E" w14:textId="77777777" w:rsidR="00734745" w:rsidRDefault="00734745" w:rsidP="00B8550E">
            <w:pPr>
              <w:rPr>
                <w:lang w:val="en-US"/>
              </w:rPr>
            </w:pPr>
          </w:p>
        </w:tc>
        <w:tc>
          <w:tcPr>
            <w:tcW w:w="6514" w:type="dxa"/>
          </w:tcPr>
          <w:p w14:paraId="2C9734CA" w14:textId="28FDE29E" w:rsidR="00734745" w:rsidRDefault="00734745" w:rsidP="00B8550E">
            <w:pPr>
              <w:rPr>
                <w:lang w:val="en-US"/>
              </w:rPr>
            </w:pPr>
            <w:r>
              <w:rPr>
                <w:rFonts w:asciiTheme="minorHAnsi" w:hAnsiTheme="minorHAnsi" w:cstheme="minorHAnsi"/>
                <w:bCs/>
              </w:rPr>
              <w:t>Playgrounds</w:t>
            </w:r>
          </w:p>
        </w:tc>
      </w:tr>
      <w:tr w:rsidR="00734745" w14:paraId="318A942F" w14:textId="77777777" w:rsidTr="00734745">
        <w:tc>
          <w:tcPr>
            <w:tcW w:w="2547" w:type="dxa"/>
            <w:vMerge/>
          </w:tcPr>
          <w:p w14:paraId="72BC81AB" w14:textId="77777777" w:rsidR="00734745" w:rsidRDefault="00734745" w:rsidP="00B8550E">
            <w:pPr>
              <w:rPr>
                <w:lang w:val="en-US"/>
              </w:rPr>
            </w:pPr>
          </w:p>
        </w:tc>
        <w:tc>
          <w:tcPr>
            <w:tcW w:w="6514" w:type="dxa"/>
          </w:tcPr>
          <w:p w14:paraId="44C76C17" w14:textId="2EEBA091" w:rsidR="00734745" w:rsidRDefault="00734745" w:rsidP="00B8550E">
            <w:pPr>
              <w:rPr>
                <w:lang w:val="en-US"/>
              </w:rPr>
            </w:pPr>
            <w:r>
              <w:rPr>
                <w:rFonts w:asciiTheme="minorHAnsi" w:hAnsiTheme="minorHAnsi" w:cstheme="minorHAnsi"/>
                <w:bCs/>
              </w:rPr>
              <w:t>Asphalt</w:t>
            </w:r>
          </w:p>
        </w:tc>
      </w:tr>
      <w:tr w:rsidR="00734745" w14:paraId="7A869452" w14:textId="77777777" w:rsidTr="00734745">
        <w:tc>
          <w:tcPr>
            <w:tcW w:w="2547" w:type="dxa"/>
            <w:vMerge/>
          </w:tcPr>
          <w:p w14:paraId="31311505" w14:textId="77777777" w:rsidR="00734745" w:rsidRDefault="00734745" w:rsidP="00B8550E">
            <w:pPr>
              <w:rPr>
                <w:lang w:val="en-US"/>
              </w:rPr>
            </w:pPr>
          </w:p>
        </w:tc>
        <w:tc>
          <w:tcPr>
            <w:tcW w:w="6514" w:type="dxa"/>
          </w:tcPr>
          <w:p w14:paraId="4300388F" w14:textId="207B9400" w:rsidR="00734745" w:rsidRDefault="00734745" w:rsidP="00B8550E">
            <w:pPr>
              <w:rPr>
                <w:lang w:val="en-US"/>
              </w:rPr>
            </w:pPr>
            <w:r>
              <w:rPr>
                <w:rFonts w:asciiTheme="minorHAnsi" w:hAnsiTheme="minorHAnsi" w:cstheme="minorHAnsi"/>
                <w:bCs/>
              </w:rPr>
              <w:t>others</w:t>
            </w:r>
          </w:p>
        </w:tc>
      </w:tr>
      <w:tr w:rsidR="00734745" w14:paraId="4CD08E88" w14:textId="77777777" w:rsidTr="00734745">
        <w:tc>
          <w:tcPr>
            <w:tcW w:w="2547" w:type="dxa"/>
            <w:vMerge w:val="restart"/>
          </w:tcPr>
          <w:p w14:paraId="1A891B65" w14:textId="6FFF7E72" w:rsidR="00734745" w:rsidRDefault="00734745" w:rsidP="00734745">
            <w:pPr>
              <w:pStyle w:val="Heading4"/>
            </w:pPr>
            <w:r>
              <w:t>Glass</w:t>
            </w:r>
          </w:p>
        </w:tc>
        <w:tc>
          <w:tcPr>
            <w:tcW w:w="6514" w:type="dxa"/>
          </w:tcPr>
          <w:p w14:paraId="18ECBB0D" w14:textId="0E2B0F19" w:rsidR="00734745" w:rsidRDefault="00734745" w:rsidP="00734745">
            <w:pPr>
              <w:rPr>
                <w:lang w:val="en-US"/>
              </w:rPr>
            </w:pPr>
            <w:r>
              <w:rPr>
                <w:rFonts w:asciiTheme="minorHAnsi" w:hAnsiTheme="minorHAnsi" w:cstheme="minorHAnsi"/>
                <w:bCs/>
              </w:rPr>
              <w:t>Geographic expansion of CDS schemes</w:t>
            </w:r>
          </w:p>
        </w:tc>
      </w:tr>
      <w:tr w:rsidR="00734745" w14:paraId="5824468C" w14:textId="77777777" w:rsidTr="00734745">
        <w:tc>
          <w:tcPr>
            <w:tcW w:w="2547" w:type="dxa"/>
            <w:vMerge/>
          </w:tcPr>
          <w:p w14:paraId="02511B8E" w14:textId="77777777" w:rsidR="00734745" w:rsidRDefault="00734745" w:rsidP="00734745">
            <w:pPr>
              <w:rPr>
                <w:lang w:val="en-US"/>
              </w:rPr>
            </w:pPr>
          </w:p>
        </w:tc>
        <w:tc>
          <w:tcPr>
            <w:tcW w:w="6514" w:type="dxa"/>
          </w:tcPr>
          <w:p w14:paraId="7C9AC27E" w14:textId="24EEEE1A" w:rsidR="00734745" w:rsidRDefault="00734745" w:rsidP="00734745">
            <w:pPr>
              <w:rPr>
                <w:lang w:val="en-US"/>
              </w:rPr>
            </w:pPr>
            <w:r>
              <w:rPr>
                <w:rFonts w:asciiTheme="minorHAnsi" w:hAnsiTheme="minorHAnsi" w:cstheme="minorHAnsi"/>
                <w:bCs/>
              </w:rPr>
              <w:t>Expansion of CDS eligible glass to wine and food</w:t>
            </w:r>
          </w:p>
        </w:tc>
      </w:tr>
      <w:tr w:rsidR="00734745" w14:paraId="3C92B2C9" w14:textId="77777777" w:rsidTr="00734745">
        <w:tc>
          <w:tcPr>
            <w:tcW w:w="2547" w:type="dxa"/>
            <w:vMerge/>
          </w:tcPr>
          <w:p w14:paraId="0CFBB9EE" w14:textId="77777777" w:rsidR="00734745" w:rsidRDefault="00734745" w:rsidP="00734745">
            <w:pPr>
              <w:rPr>
                <w:lang w:val="en-US"/>
              </w:rPr>
            </w:pPr>
          </w:p>
        </w:tc>
        <w:tc>
          <w:tcPr>
            <w:tcW w:w="6514" w:type="dxa"/>
          </w:tcPr>
          <w:p w14:paraId="3018A585" w14:textId="7D3121E0" w:rsidR="00734745" w:rsidRDefault="00734745" w:rsidP="00734745">
            <w:pPr>
              <w:rPr>
                <w:lang w:val="en-US"/>
              </w:rPr>
            </w:pPr>
            <w:r>
              <w:rPr>
                <w:rFonts w:asciiTheme="minorHAnsi" w:hAnsiTheme="minorHAnsi" w:cstheme="minorHAnsi"/>
                <w:bCs/>
              </w:rPr>
              <w:t>Separate collection of glass at kerbside</w:t>
            </w:r>
          </w:p>
        </w:tc>
      </w:tr>
      <w:tr w:rsidR="00734745" w14:paraId="286687FD" w14:textId="77777777" w:rsidTr="00734745">
        <w:tc>
          <w:tcPr>
            <w:tcW w:w="2547" w:type="dxa"/>
            <w:vMerge/>
          </w:tcPr>
          <w:p w14:paraId="09537826" w14:textId="77777777" w:rsidR="00734745" w:rsidRDefault="00734745" w:rsidP="00734745">
            <w:pPr>
              <w:rPr>
                <w:lang w:val="en-US"/>
              </w:rPr>
            </w:pPr>
          </w:p>
        </w:tc>
        <w:tc>
          <w:tcPr>
            <w:tcW w:w="6514" w:type="dxa"/>
          </w:tcPr>
          <w:p w14:paraId="62350DFD" w14:textId="60ED84AF" w:rsidR="00734745" w:rsidRDefault="00734745" w:rsidP="00734745">
            <w:pPr>
              <w:rPr>
                <w:lang w:val="en-US"/>
              </w:rPr>
            </w:pPr>
            <w:r>
              <w:rPr>
                <w:rFonts w:asciiTheme="minorHAnsi" w:hAnsiTheme="minorHAnsi" w:cstheme="minorHAnsi"/>
                <w:bCs/>
              </w:rPr>
              <w:t>Brand owner commitment for increased recycled content</w:t>
            </w:r>
          </w:p>
        </w:tc>
      </w:tr>
    </w:tbl>
    <w:p w14:paraId="066C9CBD" w14:textId="6A8F846A" w:rsidR="001D2261" w:rsidRPr="001D2261" w:rsidRDefault="001D2261" w:rsidP="001D2261">
      <w:r>
        <w:br w:type="page"/>
      </w:r>
    </w:p>
    <w:p w14:paraId="3C851AB3" w14:textId="77777777" w:rsidR="00DE199F" w:rsidRDefault="00DE199F" w:rsidP="00E1233D"/>
    <w:p w14:paraId="428AE1B9" w14:textId="7799A548" w:rsidR="00835750" w:rsidRDefault="00731812" w:rsidP="00835750">
      <w:pPr>
        <w:pStyle w:val="Heading1"/>
      </w:pPr>
      <w:bookmarkStart w:id="8" w:name="_Toc19708287"/>
      <w:r>
        <w:t>MARKET ASSESSMENT FOR PLASTICS</w:t>
      </w:r>
      <w:bookmarkEnd w:id="8"/>
    </w:p>
    <w:p w14:paraId="619D6D7B" w14:textId="77777777" w:rsidR="00FB29DC" w:rsidRDefault="00FB29DC" w:rsidP="00FB29DC">
      <w:pPr>
        <w:pStyle w:val="Heading4"/>
      </w:pPr>
      <w:r>
        <w:t>Production and Consumption</w:t>
      </w:r>
    </w:p>
    <w:p w14:paraId="1ED3C032" w14:textId="088B3A4D" w:rsidR="00AD738A" w:rsidRDefault="00C530B2" w:rsidP="00363D37">
      <w:r>
        <w:t>According to the Austra</w:t>
      </w:r>
      <w:r w:rsidR="00AD738A">
        <w:t xml:space="preserve">lian Plastics Recycling Survey report, in </w:t>
      </w:r>
      <w:r w:rsidR="00DE199F">
        <w:t>2017-18</w:t>
      </w:r>
      <w:r w:rsidR="00717485">
        <w:t xml:space="preserve"> total</w:t>
      </w:r>
      <w:r w:rsidR="00A17582">
        <w:t xml:space="preserve"> plastics use was 3,</w:t>
      </w:r>
      <w:r w:rsidR="00835611">
        <w:t>407</w:t>
      </w:r>
      <w:r w:rsidR="00D540D9">
        <w:t>,3</w:t>
      </w:r>
      <w:r w:rsidR="00A17582">
        <w:t>00 tonnes. Of this</w:t>
      </w:r>
      <w:r w:rsidR="00717485">
        <w:t xml:space="preserve">, </w:t>
      </w:r>
      <w:r w:rsidR="00D540D9">
        <w:t>320,0</w:t>
      </w:r>
      <w:r w:rsidR="00A17582">
        <w:t>00 tonnes w</w:t>
      </w:r>
      <w:r w:rsidR="00717485">
        <w:t xml:space="preserve">ere </w:t>
      </w:r>
      <w:r w:rsidR="00A17582">
        <w:t>recovered and recycled</w:t>
      </w:r>
      <w:r w:rsidR="004444EC">
        <w:t xml:space="preserve">. This gives a recycling rate of </w:t>
      </w:r>
      <w:r w:rsidR="00D540D9">
        <w:t>9.4</w:t>
      </w:r>
      <w:r w:rsidR="004444EC">
        <w:t xml:space="preserve">%. </w:t>
      </w:r>
      <w:r w:rsidR="006975FD">
        <w:t xml:space="preserve">The consumption and recovery rates </w:t>
      </w:r>
      <w:r w:rsidR="00717485">
        <w:t xml:space="preserve">for each individual polymer varied </w:t>
      </w:r>
      <w:r w:rsidR="00886B63">
        <w:t>significantly as shown in the following table</w:t>
      </w:r>
      <w:r w:rsidR="00872FDE">
        <w:t>.</w:t>
      </w:r>
    </w:p>
    <w:p w14:paraId="60484B40" w14:textId="193D23BA" w:rsidR="00AE60BA" w:rsidRDefault="00AE60BA" w:rsidP="00363D37">
      <w:r>
        <w:t xml:space="preserve">While rubber can be classified as a plastic, </w:t>
      </w:r>
      <w:r w:rsidR="00336250">
        <w:t>this can cause some confusion and therefore rubber is not included in plastics consum</w:t>
      </w:r>
      <w:r w:rsidR="00F2408E">
        <w:t>ption or recycling numbers</w:t>
      </w:r>
      <w:r w:rsidR="009112D8">
        <w:t xml:space="preserve"> (See </w:t>
      </w:r>
      <w:r w:rsidR="00A9342C">
        <w:t xml:space="preserve">section </w:t>
      </w:r>
      <w:r w:rsidR="006869FD">
        <w:t>4</w:t>
      </w:r>
      <w:r w:rsidR="00A9342C">
        <w:t>)</w:t>
      </w:r>
      <w:r w:rsidR="00F2408E">
        <w:t>.</w:t>
      </w:r>
    </w:p>
    <w:tbl>
      <w:tblPr>
        <w:tblStyle w:val="SRUTable"/>
        <w:tblW w:w="9288" w:type="dxa"/>
        <w:jc w:val="center"/>
        <w:tblBorders>
          <w:top w:val="none" w:sz="0" w:space="0" w:color="auto"/>
          <w:bottom w:val="none" w:sz="0" w:space="0" w:color="auto"/>
          <w:insideV w:val="single" w:sz="4" w:space="0" w:color="00B082"/>
        </w:tblBorders>
        <w:tblLook w:val="04A0" w:firstRow="1" w:lastRow="0" w:firstColumn="1" w:lastColumn="0" w:noHBand="0" w:noVBand="1"/>
      </w:tblPr>
      <w:tblGrid>
        <w:gridCol w:w="9288"/>
      </w:tblGrid>
      <w:tr w:rsidR="00835611" w:rsidRPr="00DB1035" w14:paraId="5F3FB4B4" w14:textId="77777777" w:rsidTr="00CB60D7">
        <w:trPr>
          <w:cnfStyle w:val="100000000000" w:firstRow="1" w:lastRow="0" w:firstColumn="0" w:lastColumn="0" w:oddVBand="0" w:evenVBand="0" w:oddHBand="0" w:evenHBand="0" w:firstRowFirstColumn="0" w:firstRowLastColumn="0" w:lastRowFirstColumn="0" w:lastRowLastColumn="0"/>
          <w:jc w:val="center"/>
        </w:trPr>
        <w:tc>
          <w:tcPr>
            <w:tcW w:w="9288" w:type="dxa"/>
            <w:tcBorders>
              <w:bottom w:val="none" w:sz="0" w:space="0" w:color="auto"/>
            </w:tcBorders>
          </w:tcPr>
          <w:p w14:paraId="70D61064" w14:textId="628E9AC1" w:rsidR="00835611" w:rsidRPr="009D5D86" w:rsidRDefault="00835611" w:rsidP="00CB60D7">
            <w:pPr>
              <w:pStyle w:val="Caption"/>
              <w:spacing w:before="60"/>
              <w:rPr>
                <w:b/>
              </w:rPr>
            </w:pPr>
            <w:r w:rsidRPr="009D5D86">
              <w:rPr>
                <w:b/>
              </w:rPr>
              <w:t xml:space="preserve"> Plastics consumption and recovery by polymer type in </w:t>
            </w:r>
            <w:r>
              <w:rPr>
                <w:b/>
              </w:rPr>
              <w:t>2017–18</w:t>
            </w:r>
            <w:r w:rsidRPr="009D5D86">
              <w:rPr>
                <w:b/>
              </w:rPr>
              <w:t xml:space="preserve"> (tonnes and % recycling rate)</w:t>
            </w:r>
          </w:p>
        </w:tc>
      </w:tr>
      <w:tr w:rsidR="00835611" w:rsidRPr="00DB1035" w14:paraId="7EEFE24B" w14:textId="77777777" w:rsidTr="00CB60D7">
        <w:trPr>
          <w:trHeight w:val="3339"/>
          <w:jc w:val="center"/>
        </w:trPr>
        <w:tc>
          <w:tcPr>
            <w:tcW w:w="9288" w:type="dxa"/>
            <w:vAlign w:val="center"/>
          </w:tcPr>
          <w:p w14:paraId="2A043848" w14:textId="77777777" w:rsidR="00835611" w:rsidRPr="00DB1035" w:rsidRDefault="00835611" w:rsidP="00CB60D7">
            <w:pPr>
              <w:spacing w:before="60" w:after="60"/>
              <w:rPr>
                <w:rFonts w:asciiTheme="minorHAnsi" w:hAnsiTheme="minorHAnsi"/>
              </w:rPr>
            </w:pPr>
            <w:r>
              <w:rPr>
                <w:rFonts w:asciiTheme="minorHAnsi" w:hAnsiTheme="minorHAnsi"/>
                <w:noProof/>
              </w:rPr>
              <w:drawing>
                <wp:inline distT="0" distB="0" distL="0" distR="0" wp14:anchorId="53C943AB" wp14:editId="6B35CAAA">
                  <wp:extent cx="5760000" cy="3616965"/>
                  <wp:effectExtent l="0" t="0" r="0" b="254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000" cy="3616965"/>
                          </a:xfrm>
                          <a:prstGeom prst="rect">
                            <a:avLst/>
                          </a:prstGeom>
                          <a:noFill/>
                        </pic:spPr>
                      </pic:pic>
                    </a:graphicData>
                  </a:graphic>
                </wp:inline>
              </w:drawing>
            </w:r>
          </w:p>
        </w:tc>
      </w:tr>
    </w:tbl>
    <w:p w14:paraId="7522D7F9" w14:textId="54C46284" w:rsidR="00872FDE" w:rsidRDefault="00872FDE" w:rsidP="00363D37"/>
    <w:p w14:paraId="66578BA8" w14:textId="652C9E21" w:rsidR="00011984" w:rsidRDefault="000C1540" w:rsidP="00363D37">
      <w:r>
        <w:t>Of the total plastics consumption</w:t>
      </w:r>
      <w:r w:rsidR="00C34737">
        <w:t xml:space="preserve"> of 3,</w:t>
      </w:r>
      <w:r w:rsidR="009C1FF4">
        <w:t xml:space="preserve">407,300 </w:t>
      </w:r>
      <w:r w:rsidR="003B3D36">
        <w:t>tonnes</w:t>
      </w:r>
      <w:r>
        <w:t xml:space="preserve">, </w:t>
      </w:r>
      <w:r w:rsidR="00A0603B">
        <w:t>790,2</w:t>
      </w:r>
      <w:r w:rsidR="00C34737">
        <w:t>00</w:t>
      </w:r>
      <w:r w:rsidR="003B3D36">
        <w:t xml:space="preserve"> tonnes </w:t>
      </w:r>
      <w:r w:rsidR="007C46AF">
        <w:t>were</w:t>
      </w:r>
      <w:r w:rsidR="003B3D36">
        <w:t xml:space="preserve"> </w:t>
      </w:r>
      <w:r w:rsidR="00FF7940">
        <w:t xml:space="preserve">municipal or domestic packaging, </w:t>
      </w:r>
      <w:r w:rsidR="00D22B66">
        <w:t>with 1</w:t>
      </w:r>
      <w:r w:rsidR="00A0603B">
        <w:t>63</w:t>
      </w:r>
      <w:r w:rsidR="00D22B66">
        <w:t>,</w:t>
      </w:r>
      <w:r w:rsidR="0052580A">
        <w:t>4</w:t>
      </w:r>
      <w:r w:rsidR="00D22B66">
        <w:t xml:space="preserve">00 tonnes </w:t>
      </w:r>
      <w:r w:rsidR="005E60B1">
        <w:t xml:space="preserve">of domestic packaging </w:t>
      </w:r>
      <w:r w:rsidR="00D22B66">
        <w:t>recycled</w:t>
      </w:r>
      <w:r w:rsidR="00410CE2">
        <w:t xml:space="preserve">, </w:t>
      </w:r>
      <w:r w:rsidR="00FF7940">
        <w:t xml:space="preserve">while a further </w:t>
      </w:r>
      <w:r w:rsidR="0052580A">
        <w:t>304,3</w:t>
      </w:r>
      <w:r w:rsidR="007C46AF">
        <w:t>00 tonnes went into commercial and industrial packaging</w:t>
      </w:r>
      <w:r w:rsidR="00410CE2">
        <w:t>,</w:t>
      </w:r>
      <w:r w:rsidR="005E60B1">
        <w:t xml:space="preserve"> with</w:t>
      </w:r>
      <w:r w:rsidR="00410CE2">
        <w:t xml:space="preserve"> </w:t>
      </w:r>
      <w:r w:rsidR="0052580A">
        <w:t>62,3</w:t>
      </w:r>
      <w:r w:rsidR="00410CE2">
        <w:t>00 tonnes recycled</w:t>
      </w:r>
      <w:r w:rsidR="007C46AF">
        <w:t xml:space="preserve">. </w:t>
      </w:r>
    </w:p>
    <w:p w14:paraId="326B6384" w14:textId="32CD78D0" w:rsidR="00011984" w:rsidRDefault="00011984" w:rsidP="00011984">
      <w:r>
        <w:t xml:space="preserve">The overall plastic packaging recycling rate </w:t>
      </w:r>
      <w:r w:rsidR="00D81CD1">
        <w:t>was</w:t>
      </w:r>
      <w:r>
        <w:t xml:space="preserve"> 2</w:t>
      </w:r>
      <w:r w:rsidR="000E2733">
        <w:t>0</w:t>
      </w:r>
      <w:r>
        <w:t xml:space="preserve">.6%. </w:t>
      </w:r>
    </w:p>
    <w:p w14:paraId="6E33CB73" w14:textId="0C1BA6B3" w:rsidR="001D2261" w:rsidRDefault="00410CE2" w:rsidP="00BA7737">
      <w:pPr>
        <w:shd w:val="clear" w:color="auto" w:fill="FFFFFF"/>
        <w:spacing w:before="270" w:after="0" w:line="240" w:lineRule="auto"/>
      </w:pPr>
      <w:r>
        <w:t xml:space="preserve">The following table shows the </w:t>
      </w:r>
      <w:r w:rsidR="008C3C12">
        <w:t>consumption and recovery for each plastics application area.</w:t>
      </w:r>
    </w:p>
    <w:p w14:paraId="5CB395EC" w14:textId="40AC2019" w:rsidR="00A0603B" w:rsidRPr="00B71F2F" w:rsidRDefault="00A0603B" w:rsidP="00A0603B">
      <w:pPr>
        <w:pStyle w:val="Caption"/>
      </w:pPr>
      <w:r>
        <w:lastRenderedPageBreak/>
        <w:t xml:space="preserve"> P</w:t>
      </w:r>
      <w:r w:rsidRPr="000F0801">
        <w:t xml:space="preserve">lastics consumption and recovery by </w:t>
      </w:r>
      <w:r>
        <w:t>application area</w:t>
      </w:r>
      <w:r w:rsidRPr="000F0801">
        <w:t xml:space="preserve"> in </w:t>
      </w:r>
      <w:r>
        <w:t>2017–18</w:t>
      </w:r>
      <w:r w:rsidRPr="000F0801">
        <w:t xml:space="preserve"> (tonnes and % recycling rate)</w:t>
      </w:r>
    </w:p>
    <w:tbl>
      <w:tblPr>
        <w:tblW w:w="7379" w:type="dxa"/>
        <w:tblInd w:w="108" w:type="dxa"/>
        <w:tblBorders>
          <w:top w:val="single" w:sz="4" w:space="0" w:color="00613F"/>
          <w:bottom w:val="single" w:sz="4" w:space="0" w:color="00613F"/>
          <w:insideH w:val="single" w:sz="4" w:space="0" w:color="00613F"/>
        </w:tblBorders>
        <w:tblLayout w:type="fixed"/>
        <w:tblLook w:val="04A0" w:firstRow="1" w:lastRow="0" w:firstColumn="1" w:lastColumn="0" w:noHBand="0" w:noVBand="1"/>
      </w:tblPr>
      <w:tblGrid>
        <w:gridCol w:w="2302"/>
        <w:gridCol w:w="1692"/>
        <w:gridCol w:w="1693"/>
        <w:gridCol w:w="1692"/>
      </w:tblGrid>
      <w:tr w:rsidR="00A0603B" w:rsidRPr="00B71F2F" w14:paraId="7A67679E" w14:textId="77777777" w:rsidTr="00CB60D7">
        <w:tc>
          <w:tcPr>
            <w:tcW w:w="2302" w:type="dxa"/>
            <w:tcBorders>
              <w:top w:val="single" w:sz="8" w:space="0" w:color="0096BC"/>
            </w:tcBorders>
            <w:shd w:val="clear" w:color="auto" w:fill="D9D9D9" w:themeFill="background1" w:themeFillShade="D9"/>
            <w:vAlign w:val="center"/>
          </w:tcPr>
          <w:p w14:paraId="708B69A8" w14:textId="77777777" w:rsidR="00A0603B" w:rsidRPr="004D584A" w:rsidRDefault="00A0603B" w:rsidP="00CB60D7">
            <w:pPr>
              <w:pStyle w:val="TableHeading"/>
              <w:keepNext/>
              <w:keepLines/>
            </w:pPr>
            <w:r>
              <w:t>Application area</w:t>
            </w:r>
          </w:p>
        </w:tc>
        <w:tc>
          <w:tcPr>
            <w:tcW w:w="1692" w:type="dxa"/>
            <w:tcBorders>
              <w:top w:val="single" w:sz="8" w:space="0" w:color="0096BC"/>
              <w:bottom w:val="single" w:sz="8" w:space="0" w:color="0096BC"/>
            </w:tcBorders>
            <w:shd w:val="clear" w:color="auto" w:fill="D9D9D9" w:themeFill="background1" w:themeFillShade="D9"/>
            <w:vAlign w:val="center"/>
          </w:tcPr>
          <w:p w14:paraId="2F613397" w14:textId="77777777" w:rsidR="00A0603B" w:rsidRPr="00BE5C85" w:rsidRDefault="00A0603B" w:rsidP="00CB60D7">
            <w:pPr>
              <w:pStyle w:val="TableHeading"/>
            </w:pPr>
            <w:r w:rsidRPr="00BE5C85">
              <w:t>Recovery</w:t>
            </w:r>
          </w:p>
        </w:tc>
        <w:tc>
          <w:tcPr>
            <w:tcW w:w="1693" w:type="dxa"/>
            <w:tcBorders>
              <w:top w:val="single" w:sz="8" w:space="0" w:color="0096BC"/>
              <w:bottom w:val="single" w:sz="8" w:space="0" w:color="0096BC"/>
            </w:tcBorders>
            <w:shd w:val="clear" w:color="auto" w:fill="D9D9D9" w:themeFill="background1" w:themeFillShade="D9"/>
            <w:vAlign w:val="center"/>
          </w:tcPr>
          <w:p w14:paraId="3F04EE83" w14:textId="77777777" w:rsidR="00A0603B" w:rsidRPr="00BE5C85" w:rsidRDefault="00A0603B" w:rsidP="00CB60D7">
            <w:pPr>
              <w:pStyle w:val="TableHeading"/>
            </w:pPr>
            <w:r w:rsidRPr="00BE5C85">
              <w:t>Consumption</w:t>
            </w:r>
          </w:p>
        </w:tc>
        <w:tc>
          <w:tcPr>
            <w:tcW w:w="1692" w:type="dxa"/>
            <w:tcBorders>
              <w:top w:val="single" w:sz="8" w:space="0" w:color="0096BC"/>
              <w:bottom w:val="single" w:sz="8" w:space="0" w:color="0096BC"/>
            </w:tcBorders>
            <w:shd w:val="clear" w:color="auto" w:fill="D9D9D9" w:themeFill="background1" w:themeFillShade="D9"/>
            <w:vAlign w:val="center"/>
          </w:tcPr>
          <w:p w14:paraId="3B3EFC72" w14:textId="77777777" w:rsidR="00A0603B" w:rsidRPr="00BE5C85" w:rsidRDefault="00A0603B" w:rsidP="00CB60D7">
            <w:pPr>
              <w:pStyle w:val="TableHeading"/>
            </w:pPr>
            <w:r w:rsidRPr="00BE5C85">
              <w:t>Recycling rate</w:t>
            </w:r>
          </w:p>
        </w:tc>
      </w:tr>
      <w:tr w:rsidR="00A0603B" w:rsidRPr="00B71F2F" w14:paraId="4A78BC95" w14:textId="77777777" w:rsidTr="00CB60D7">
        <w:tc>
          <w:tcPr>
            <w:tcW w:w="2302" w:type="dxa"/>
            <w:tcBorders>
              <w:top w:val="single" w:sz="8" w:space="0" w:color="0096BC"/>
              <w:bottom w:val="nil"/>
            </w:tcBorders>
            <w:shd w:val="clear" w:color="auto" w:fill="auto"/>
            <w:vAlign w:val="center"/>
          </w:tcPr>
          <w:p w14:paraId="6BFF202B" w14:textId="77777777" w:rsidR="00A0603B" w:rsidRPr="00B71F2F" w:rsidRDefault="00A0603B" w:rsidP="00CB60D7">
            <w:pPr>
              <w:pStyle w:val="TableText"/>
              <w:keepNext/>
              <w:keepLines/>
            </w:pPr>
            <w:r>
              <w:rPr>
                <w:rFonts w:ascii="Calibri" w:hAnsi="Calibri" w:cs="Calibri"/>
                <w:color w:val="000000"/>
                <w:szCs w:val="20"/>
              </w:rPr>
              <w:t>Agriculture</w:t>
            </w:r>
          </w:p>
        </w:tc>
        <w:tc>
          <w:tcPr>
            <w:tcW w:w="1692" w:type="dxa"/>
            <w:tcBorders>
              <w:top w:val="single" w:sz="8" w:space="0" w:color="0096BC"/>
              <w:bottom w:val="nil"/>
            </w:tcBorders>
            <w:vAlign w:val="center"/>
          </w:tcPr>
          <w:p w14:paraId="3581F08E" w14:textId="77777777" w:rsidR="00A0603B" w:rsidRPr="00B71F2F" w:rsidRDefault="00A0603B" w:rsidP="00CB60D7">
            <w:pPr>
              <w:pStyle w:val="TableText"/>
              <w:keepNext/>
              <w:keepLines/>
              <w:jc w:val="right"/>
            </w:pPr>
            <w:r>
              <w:rPr>
                <w:rFonts w:ascii="Calibri" w:hAnsi="Calibri" w:cs="Calibri"/>
                <w:color w:val="000000"/>
                <w:szCs w:val="20"/>
              </w:rPr>
              <w:t xml:space="preserve"> 6 400</w:t>
            </w:r>
          </w:p>
        </w:tc>
        <w:tc>
          <w:tcPr>
            <w:tcW w:w="1693" w:type="dxa"/>
            <w:tcBorders>
              <w:top w:val="single" w:sz="8" w:space="0" w:color="0096BC"/>
              <w:bottom w:val="nil"/>
            </w:tcBorders>
            <w:shd w:val="clear" w:color="auto" w:fill="auto"/>
            <w:vAlign w:val="center"/>
          </w:tcPr>
          <w:p w14:paraId="54F656D2" w14:textId="77777777" w:rsidR="00A0603B" w:rsidRPr="00B71F2F" w:rsidRDefault="00A0603B" w:rsidP="00CB60D7">
            <w:pPr>
              <w:pStyle w:val="TableText"/>
              <w:keepNext/>
              <w:keepLines/>
              <w:jc w:val="right"/>
            </w:pPr>
            <w:r>
              <w:rPr>
                <w:rFonts w:ascii="Calibri" w:hAnsi="Calibri" w:cs="Calibri"/>
                <w:color w:val="000000"/>
                <w:szCs w:val="20"/>
              </w:rPr>
              <w:t xml:space="preserve"> 90 900</w:t>
            </w:r>
          </w:p>
        </w:tc>
        <w:tc>
          <w:tcPr>
            <w:tcW w:w="1692" w:type="dxa"/>
            <w:tcBorders>
              <w:top w:val="single" w:sz="8" w:space="0" w:color="0096BC"/>
              <w:bottom w:val="nil"/>
            </w:tcBorders>
            <w:vAlign w:val="center"/>
          </w:tcPr>
          <w:p w14:paraId="096D8AF6" w14:textId="77777777" w:rsidR="00A0603B" w:rsidRPr="00663CAC" w:rsidRDefault="00A0603B" w:rsidP="00CB60D7">
            <w:pPr>
              <w:pStyle w:val="TableText"/>
              <w:keepNext/>
              <w:keepLines/>
              <w:jc w:val="right"/>
              <w:rPr>
                <w:b/>
              </w:rPr>
            </w:pPr>
            <w:r>
              <w:rPr>
                <w:rFonts w:ascii="Calibri" w:hAnsi="Calibri" w:cs="Calibri"/>
                <w:b/>
                <w:bCs/>
                <w:color w:val="000000"/>
                <w:szCs w:val="20"/>
              </w:rPr>
              <w:t>7.0%</w:t>
            </w:r>
          </w:p>
        </w:tc>
      </w:tr>
      <w:tr w:rsidR="00A0603B" w:rsidRPr="00B71F2F" w14:paraId="1D2E20D0" w14:textId="77777777" w:rsidTr="00CB60D7">
        <w:tc>
          <w:tcPr>
            <w:tcW w:w="2302" w:type="dxa"/>
            <w:tcBorders>
              <w:top w:val="nil"/>
              <w:bottom w:val="nil"/>
            </w:tcBorders>
            <w:shd w:val="clear" w:color="auto" w:fill="auto"/>
            <w:vAlign w:val="center"/>
          </w:tcPr>
          <w:p w14:paraId="14E78955" w14:textId="77777777" w:rsidR="00A0603B" w:rsidRPr="00B71F2F" w:rsidRDefault="00A0603B" w:rsidP="00CB60D7">
            <w:pPr>
              <w:pStyle w:val="TableText"/>
              <w:keepNext/>
              <w:keepLines/>
            </w:pPr>
            <w:r>
              <w:rPr>
                <w:rFonts w:ascii="Calibri" w:hAnsi="Calibri" w:cs="Calibri"/>
                <w:color w:val="000000"/>
                <w:szCs w:val="20"/>
              </w:rPr>
              <w:t>Automotive</w:t>
            </w:r>
          </w:p>
        </w:tc>
        <w:tc>
          <w:tcPr>
            <w:tcW w:w="1692" w:type="dxa"/>
            <w:tcBorders>
              <w:top w:val="nil"/>
              <w:bottom w:val="nil"/>
            </w:tcBorders>
            <w:vAlign w:val="center"/>
          </w:tcPr>
          <w:p w14:paraId="118C3642" w14:textId="77777777" w:rsidR="00A0603B" w:rsidRPr="00B71F2F" w:rsidRDefault="00A0603B" w:rsidP="00CB60D7">
            <w:pPr>
              <w:pStyle w:val="TableText"/>
              <w:keepNext/>
              <w:keepLines/>
              <w:jc w:val="right"/>
            </w:pPr>
            <w:r>
              <w:rPr>
                <w:rFonts w:ascii="Calibri" w:hAnsi="Calibri" w:cs="Calibri"/>
                <w:color w:val="000000"/>
                <w:szCs w:val="20"/>
              </w:rPr>
              <w:t xml:space="preserve">  600</w:t>
            </w:r>
          </w:p>
        </w:tc>
        <w:tc>
          <w:tcPr>
            <w:tcW w:w="1693" w:type="dxa"/>
            <w:tcBorders>
              <w:top w:val="nil"/>
              <w:bottom w:val="nil"/>
            </w:tcBorders>
            <w:shd w:val="clear" w:color="auto" w:fill="auto"/>
            <w:vAlign w:val="center"/>
          </w:tcPr>
          <w:p w14:paraId="4B0A342E" w14:textId="77777777" w:rsidR="00A0603B" w:rsidRPr="00B71F2F" w:rsidRDefault="00A0603B" w:rsidP="00CB60D7">
            <w:pPr>
              <w:pStyle w:val="TableText"/>
              <w:keepNext/>
              <w:keepLines/>
              <w:jc w:val="right"/>
            </w:pPr>
            <w:r>
              <w:rPr>
                <w:rFonts w:ascii="Calibri" w:hAnsi="Calibri" w:cs="Calibri"/>
                <w:color w:val="000000"/>
                <w:szCs w:val="20"/>
              </w:rPr>
              <w:t xml:space="preserve"> 219 700</w:t>
            </w:r>
          </w:p>
        </w:tc>
        <w:tc>
          <w:tcPr>
            <w:tcW w:w="1692" w:type="dxa"/>
            <w:tcBorders>
              <w:top w:val="nil"/>
              <w:bottom w:val="nil"/>
            </w:tcBorders>
            <w:vAlign w:val="center"/>
          </w:tcPr>
          <w:p w14:paraId="61809702" w14:textId="77777777" w:rsidR="00A0603B" w:rsidRPr="00663CAC" w:rsidRDefault="00A0603B" w:rsidP="00CB60D7">
            <w:pPr>
              <w:pStyle w:val="TableText"/>
              <w:keepNext/>
              <w:keepLines/>
              <w:jc w:val="right"/>
              <w:rPr>
                <w:b/>
              </w:rPr>
            </w:pPr>
            <w:r>
              <w:rPr>
                <w:rFonts w:ascii="Calibri" w:hAnsi="Calibri" w:cs="Calibri"/>
                <w:b/>
                <w:bCs/>
                <w:color w:val="000000"/>
                <w:szCs w:val="20"/>
              </w:rPr>
              <w:t>0.3%</w:t>
            </w:r>
          </w:p>
        </w:tc>
      </w:tr>
      <w:tr w:rsidR="00A0603B" w:rsidRPr="00B71F2F" w14:paraId="7A3AE03A" w14:textId="77777777" w:rsidTr="00CB60D7">
        <w:tc>
          <w:tcPr>
            <w:tcW w:w="2302" w:type="dxa"/>
            <w:tcBorders>
              <w:top w:val="nil"/>
              <w:bottom w:val="nil"/>
            </w:tcBorders>
            <w:shd w:val="clear" w:color="auto" w:fill="auto"/>
            <w:vAlign w:val="center"/>
          </w:tcPr>
          <w:p w14:paraId="0DAD936C" w14:textId="77777777" w:rsidR="00A0603B" w:rsidRPr="00B71F2F" w:rsidRDefault="00A0603B" w:rsidP="00CB60D7">
            <w:pPr>
              <w:pStyle w:val="TableText"/>
              <w:keepNext/>
              <w:keepLines/>
            </w:pPr>
            <w:r>
              <w:rPr>
                <w:rFonts w:ascii="Calibri" w:hAnsi="Calibri" w:cs="Calibri"/>
                <w:color w:val="000000"/>
                <w:szCs w:val="20"/>
              </w:rPr>
              <w:t>Built environment</w:t>
            </w:r>
          </w:p>
        </w:tc>
        <w:tc>
          <w:tcPr>
            <w:tcW w:w="1692" w:type="dxa"/>
            <w:tcBorders>
              <w:top w:val="nil"/>
              <w:bottom w:val="nil"/>
            </w:tcBorders>
            <w:vAlign w:val="center"/>
          </w:tcPr>
          <w:p w14:paraId="56FD5120" w14:textId="77777777" w:rsidR="00A0603B" w:rsidRPr="00B71F2F" w:rsidRDefault="00A0603B" w:rsidP="00CB60D7">
            <w:pPr>
              <w:pStyle w:val="TableText"/>
              <w:keepNext/>
              <w:keepLines/>
              <w:jc w:val="right"/>
            </w:pPr>
            <w:r>
              <w:rPr>
                <w:rFonts w:ascii="Calibri" w:hAnsi="Calibri" w:cs="Calibri"/>
                <w:color w:val="000000"/>
                <w:szCs w:val="20"/>
              </w:rPr>
              <w:t xml:space="preserve"> 5 800</w:t>
            </w:r>
          </w:p>
        </w:tc>
        <w:tc>
          <w:tcPr>
            <w:tcW w:w="1693" w:type="dxa"/>
            <w:tcBorders>
              <w:top w:val="nil"/>
              <w:bottom w:val="nil"/>
            </w:tcBorders>
            <w:shd w:val="clear" w:color="auto" w:fill="auto"/>
            <w:vAlign w:val="center"/>
          </w:tcPr>
          <w:p w14:paraId="4F1E2FFC" w14:textId="77777777" w:rsidR="00A0603B" w:rsidRPr="00B71F2F" w:rsidRDefault="00A0603B" w:rsidP="00CB60D7">
            <w:pPr>
              <w:pStyle w:val="TableText"/>
              <w:keepNext/>
              <w:keepLines/>
              <w:jc w:val="right"/>
            </w:pPr>
            <w:r>
              <w:rPr>
                <w:rFonts w:ascii="Calibri" w:hAnsi="Calibri" w:cs="Calibri"/>
                <w:color w:val="000000"/>
                <w:szCs w:val="20"/>
              </w:rPr>
              <w:t xml:space="preserve"> 579 300</w:t>
            </w:r>
          </w:p>
        </w:tc>
        <w:tc>
          <w:tcPr>
            <w:tcW w:w="1692" w:type="dxa"/>
            <w:tcBorders>
              <w:top w:val="nil"/>
              <w:bottom w:val="nil"/>
            </w:tcBorders>
            <w:vAlign w:val="center"/>
          </w:tcPr>
          <w:p w14:paraId="5423BDF2" w14:textId="77777777" w:rsidR="00A0603B" w:rsidRPr="00663CAC" w:rsidRDefault="00A0603B" w:rsidP="00CB60D7">
            <w:pPr>
              <w:pStyle w:val="TableText"/>
              <w:keepNext/>
              <w:keepLines/>
              <w:jc w:val="right"/>
              <w:rPr>
                <w:b/>
              </w:rPr>
            </w:pPr>
            <w:r>
              <w:rPr>
                <w:rFonts w:ascii="Calibri" w:hAnsi="Calibri" w:cs="Calibri"/>
                <w:b/>
                <w:bCs/>
                <w:color w:val="000000"/>
                <w:szCs w:val="20"/>
              </w:rPr>
              <w:t>1.0%</w:t>
            </w:r>
          </w:p>
        </w:tc>
      </w:tr>
      <w:tr w:rsidR="00A0603B" w:rsidRPr="00B71F2F" w14:paraId="76532E46" w14:textId="77777777" w:rsidTr="00CB60D7">
        <w:tc>
          <w:tcPr>
            <w:tcW w:w="2302" w:type="dxa"/>
            <w:tcBorders>
              <w:top w:val="nil"/>
              <w:bottom w:val="nil"/>
            </w:tcBorders>
            <w:shd w:val="clear" w:color="auto" w:fill="auto"/>
            <w:vAlign w:val="center"/>
          </w:tcPr>
          <w:p w14:paraId="3FB8FFD1" w14:textId="77777777" w:rsidR="00A0603B" w:rsidRPr="00B71F2F" w:rsidRDefault="00A0603B" w:rsidP="00CB60D7">
            <w:pPr>
              <w:pStyle w:val="TableText"/>
              <w:keepNext/>
              <w:keepLines/>
            </w:pPr>
            <w:r>
              <w:rPr>
                <w:rFonts w:ascii="Calibri" w:hAnsi="Calibri" w:cs="Calibri"/>
                <w:color w:val="000000"/>
                <w:szCs w:val="20"/>
              </w:rPr>
              <w:t>Electrical &amp; electronic</w:t>
            </w:r>
          </w:p>
        </w:tc>
        <w:tc>
          <w:tcPr>
            <w:tcW w:w="1692" w:type="dxa"/>
            <w:tcBorders>
              <w:top w:val="nil"/>
              <w:bottom w:val="nil"/>
            </w:tcBorders>
            <w:vAlign w:val="center"/>
          </w:tcPr>
          <w:p w14:paraId="373ABA63" w14:textId="77777777" w:rsidR="00A0603B" w:rsidRPr="00B71F2F" w:rsidRDefault="00A0603B" w:rsidP="00CB60D7">
            <w:pPr>
              <w:pStyle w:val="TableText"/>
              <w:keepNext/>
              <w:keepLines/>
              <w:jc w:val="right"/>
            </w:pPr>
            <w:r>
              <w:rPr>
                <w:rFonts w:ascii="Calibri" w:hAnsi="Calibri" w:cs="Calibri"/>
                <w:color w:val="000000"/>
                <w:szCs w:val="20"/>
              </w:rPr>
              <w:t xml:space="preserve"> 10 500</w:t>
            </w:r>
          </w:p>
        </w:tc>
        <w:tc>
          <w:tcPr>
            <w:tcW w:w="1693" w:type="dxa"/>
            <w:tcBorders>
              <w:top w:val="nil"/>
              <w:bottom w:val="nil"/>
            </w:tcBorders>
            <w:shd w:val="clear" w:color="auto" w:fill="auto"/>
            <w:vAlign w:val="center"/>
          </w:tcPr>
          <w:p w14:paraId="630D2A0D" w14:textId="77777777" w:rsidR="00A0603B" w:rsidRPr="00B71F2F" w:rsidRDefault="00A0603B" w:rsidP="00CB60D7">
            <w:pPr>
              <w:pStyle w:val="TableText"/>
              <w:keepNext/>
              <w:keepLines/>
              <w:jc w:val="right"/>
            </w:pPr>
            <w:r>
              <w:rPr>
                <w:rFonts w:ascii="Calibri" w:hAnsi="Calibri" w:cs="Calibri"/>
                <w:color w:val="000000"/>
                <w:szCs w:val="20"/>
              </w:rPr>
              <w:t xml:space="preserve"> 188 900</w:t>
            </w:r>
          </w:p>
        </w:tc>
        <w:tc>
          <w:tcPr>
            <w:tcW w:w="1692" w:type="dxa"/>
            <w:tcBorders>
              <w:top w:val="nil"/>
              <w:bottom w:val="nil"/>
            </w:tcBorders>
            <w:vAlign w:val="center"/>
          </w:tcPr>
          <w:p w14:paraId="0B131682" w14:textId="77777777" w:rsidR="00A0603B" w:rsidRPr="00663CAC" w:rsidRDefault="00A0603B" w:rsidP="00CB60D7">
            <w:pPr>
              <w:pStyle w:val="TableText"/>
              <w:keepNext/>
              <w:keepLines/>
              <w:jc w:val="right"/>
              <w:rPr>
                <w:b/>
              </w:rPr>
            </w:pPr>
            <w:r>
              <w:rPr>
                <w:rFonts w:ascii="Calibri" w:hAnsi="Calibri" w:cs="Calibri"/>
                <w:b/>
                <w:bCs/>
                <w:color w:val="000000"/>
                <w:szCs w:val="20"/>
              </w:rPr>
              <w:t>5.5%</w:t>
            </w:r>
          </w:p>
        </w:tc>
      </w:tr>
      <w:tr w:rsidR="00A0603B" w:rsidRPr="00B71F2F" w14:paraId="757EBEC5" w14:textId="77777777" w:rsidTr="00CB60D7">
        <w:tc>
          <w:tcPr>
            <w:tcW w:w="2302" w:type="dxa"/>
            <w:tcBorders>
              <w:top w:val="nil"/>
              <w:bottom w:val="nil"/>
            </w:tcBorders>
            <w:shd w:val="clear" w:color="auto" w:fill="auto"/>
            <w:vAlign w:val="center"/>
          </w:tcPr>
          <w:p w14:paraId="70232458" w14:textId="77777777" w:rsidR="00A0603B" w:rsidRPr="00B71F2F" w:rsidRDefault="00A0603B" w:rsidP="00CB60D7">
            <w:pPr>
              <w:pStyle w:val="TableText"/>
              <w:keepNext/>
              <w:keepLines/>
            </w:pPr>
            <w:r>
              <w:rPr>
                <w:rFonts w:ascii="Calibri" w:hAnsi="Calibri" w:cs="Calibri"/>
                <w:color w:val="000000"/>
                <w:szCs w:val="20"/>
              </w:rPr>
              <w:t>Packaging – municipal</w:t>
            </w:r>
          </w:p>
        </w:tc>
        <w:tc>
          <w:tcPr>
            <w:tcW w:w="1692" w:type="dxa"/>
            <w:tcBorders>
              <w:top w:val="nil"/>
              <w:bottom w:val="nil"/>
            </w:tcBorders>
            <w:vAlign w:val="center"/>
          </w:tcPr>
          <w:p w14:paraId="0F3639FC" w14:textId="77777777" w:rsidR="00A0603B" w:rsidRPr="00B71F2F" w:rsidRDefault="00A0603B" w:rsidP="00CB60D7">
            <w:pPr>
              <w:pStyle w:val="TableText"/>
              <w:keepNext/>
              <w:keepLines/>
              <w:jc w:val="right"/>
            </w:pPr>
            <w:r>
              <w:rPr>
                <w:rFonts w:ascii="Calibri" w:hAnsi="Calibri" w:cs="Calibri"/>
                <w:color w:val="000000"/>
                <w:szCs w:val="20"/>
              </w:rPr>
              <w:t xml:space="preserve"> 163 400</w:t>
            </w:r>
          </w:p>
        </w:tc>
        <w:tc>
          <w:tcPr>
            <w:tcW w:w="1693" w:type="dxa"/>
            <w:tcBorders>
              <w:top w:val="nil"/>
              <w:bottom w:val="nil"/>
            </w:tcBorders>
            <w:shd w:val="clear" w:color="auto" w:fill="auto"/>
            <w:vAlign w:val="center"/>
          </w:tcPr>
          <w:p w14:paraId="2E5B2F52" w14:textId="77777777" w:rsidR="00A0603B" w:rsidRPr="005C475B" w:rsidRDefault="00A0603B" w:rsidP="00CB60D7">
            <w:pPr>
              <w:pStyle w:val="TableText"/>
              <w:keepNext/>
              <w:keepLines/>
              <w:jc w:val="right"/>
            </w:pPr>
            <w:r>
              <w:rPr>
                <w:rFonts w:ascii="Calibri" w:hAnsi="Calibri" w:cs="Calibri"/>
                <w:color w:val="000000"/>
                <w:szCs w:val="20"/>
              </w:rPr>
              <w:t xml:space="preserve"> 790 200</w:t>
            </w:r>
          </w:p>
        </w:tc>
        <w:tc>
          <w:tcPr>
            <w:tcW w:w="1692" w:type="dxa"/>
            <w:tcBorders>
              <w:top w:val="nil"/>
              <w:bottom w:val="nil"/>
            </w:tcBorders>
            <w:vAlign w:val="center"/>
          </w:tcPr>
          <w:p w14:paraId="7B332E28" w14:textId="77777777" w:rsidR="00A0603B" w:rsidRPr="00663CAC" w:rsidRDefault="00A0603B" w:rsidP="00CB60D7">
            <w:pPr>
              <w:pStyle w:val="TableText"/>
              <w:keepNext/>
              <w:keepLines/>
              <w:jc w:val="right"/>
              <w:rPr>
                <w:b/>
              </w:rPr>
            </w:pPr>
            <w:r>
              <w:rPr>
                <w:rFonts w:ascii="Calibri" w:hAnsi="Calibri" w:cs="Calibri"/>
                <w:b/>
                <w:bCs/>
                <w:color w:val="000000"/>
                <w:szCs w:val="20"/>
              </w:rPr>
              <w:t>20.7%</w:t>
            </w:r>
          </w:p>
        </w:tc>
      </w:tr>
      <w:tr w:rsidR="00A0603B" w:rsidRPr="00B71F2F" w14:paraId="339F8416" w14:textId="77777777" w:rsidTr="00CB60D7">
        <w:tc>
          <w:tcPr>
            <w:tcW w:w="2302" w:type="dxa"/>
            <w:tcBorders>
              <w:top w:val="nil"/>
              <w:bottom w:val="nil"/>
            </w:tcBorders>
            <w:shd w:val="clear" w:color="auto" w:fill="auto"/>
            <w:vAlign w:val="center"/>
          </w:tcPr>
          <w:p w14:paraId="1A6990B7" w14:textId="77777777" w:rsidR="00A0603B" w:rsidRDefault="00A0603B" w:rsidP="00CB60D7">
            <w:pPr>
              <w:pStyle w:val="TableText"/>
              <w:keepNext/>
              <w:keepLines/>
              <w:rPr>
                <w:rFonts w:ascii="Calibri" w:hAnsi="Calibri" w:cs="Calibri"/>
                <w:color w:val="000000"/>
                <w:szCs w:val="20"/>
              </w:rPr>
            </w:pPr>
            <w:r>
              <w:rPr>
                <w:rFonts w:ascii="Calibri" w:hAnsi="Calibri" w:cs="Calibri"/>
                <w:color w:val="000000"/>
                <w:szCs w:val="20"/>
              </w:rPr>
              <w:t>Packaging – C&amp;I</w:t>
            </w:r>
          </w:p>
        </w:tc>
        <w:tc>
          <w:tcPr>
            <w:tcW w:w="1692" w:type="dxa"/>
            <w:tcBorders>
              <w:top w:val="nil"/>
              <w:bottom w:val="nil"/>
            </w:tcBorders>
            <w:vAlign w:val="center"/>
          </w:tcPr>
          <w:p w14:paraId="5EE18DC7" w14:textId="77777777" w:rsidR="00A0603B" w:rsidRDefault="00A0603B" w:rsidP="00CB60D7">
            <w:pPr>
              <w:pStyle w:val="TableText"/>
              <w:keepNext/>
              <w:keepLines/>
              <w:jc w:val="right"/>
              <w:rPr>
                <w:rFonts w:ascii="Calibri" w:hAnsi="Calibri" w:cs="Calibri"/>
                <w:color w:val="000000"/>
                <w:szCs w:val="20"/>
              </w:rPr>
            </w:pPr>
            <w:r>
              <w:rPr>
                <w:rFonts w:ascii="Calibri" w:hAnsi="Calibri" w:cs="Calibri"/>
                <w:color w:val="000000"/>
                <w:szCs w:val="20"/>
              </w:rPr>
              <w:t xml:space="preserve"> 62 300</w:t>
            </w:r>
          </w:p>
        </w:tc>
        <w:tc>
          <w:tcPr>
            <w:tcW w:w="1693" w:type="dxa"/>
            <w:tcBorders>
              <w:top w:val="nil"/>
              <w:bottom w:val="nil"/>
            </w:tcBorders>
            <w:shd w:val="clear" w:color="auto" w:fill="auto"/>
            <w:vAlign w:val="center"/>
          </w:tcPr>
          <w:p w14:paraId="0E08E835" w14:textId="77777777" w:rsidR="00A0603B" w:rsidRDefault="00A0603B" w:rsidP="00CB60D7">
            <w:pPr>
              <w:pStyle w:val="TableText"/>
              <w:keepNext/>
              <w:keepLines/>
              <w:jc w:val="right"/>
              <w:rPr>
                <w:rFonts w:ascii="Calibri" w:hAnsi="Calibri" w:cs="Calibri"/>
                <w:color w:val="000000"/>
                <w:szCs w:val="20"/>
              </w:rPr>
            </w:pPr>
            <w:r>
              <w:rPr>
                <w:rFonts w:ascii="Calibri" w:hAnsi="Calibri" w:cs="Calibri"/>
                <w:color w:val="000000"/>
                <w:szCs w:val="20"/>
              </w:rPr>
              <w:t xml:space="preserve"> 304 300</w:t>
            </w:r>
          </w:p>
        </w:tc>
        <w:tc>
          <w:tcPr>
            <w:tcW w:w="1692" w:type="dxa"/>
            <w:tcBorders>
              <w:top w:val="nil"/>
              <w:bottom w:val="nil"/>
            </w:tcBorders>
            <w:vAlign w:val="center"/>
          </w:tcPr>
          <w:p w14:paraId="06C0F5BA" w14:textId="77777777" w:rsidR="00A0603B" w:rsidRDefault="00A0603B" w:rsidP="00CB60D7">
            <w:pPr>
              <w:pStyle w:val="TableText"/>
              <w:keepNext/>
              <w:keepLines/>
              <w:jc w:val="right"/>
              <w:rPr>
                <w:rFonts w:ascii="Calibri" w:hAnsi="Calibri" w:cs="Calibri"/>
                <w:color w:val="000000"/>
                <w:szCs w:val="20"/>
              </w:rPr>
            </w:pPr>
            <w:r>
              <w:rPr>
                <w:rFonts w:ascii="Calibri" w:hAnsi="Calibri" w:cs="Calibri"/>
                <w:b/>
                <w:bCs/>
                <w:color w:val="000000"/>
                <w:szCs w:val="20"/>
              </w:rPr>
              <w:t>20.5%</w:t>
            </w:r>
          </w:p>
        </w:tc>
      </w:tr>
      <w:tr w:rsidR="00A0603B" w:rsidRPr="00B71F2F" w14:paraId="47E3290B" w14:textId="77777777" w:rsidTr="00CB60D7">
        <w:tc>
          <w:tcPr>
            <w:tcW w:w="2302" w:type="dxa"/>
            <w:tcBorders>
              <w:top w:val="nil"/>
              <w:bottom w:val="nil"/>
            </w:tcBorders>
            <w:shd w:val="clear" w:color="auto" w:fill="auto"/>
            <w:vAlign w:val="center"/>
          </w:tcPr>
          <w:p w14:paraId="099B1D95" w14:textId="77777777" w:rsidR="00A0603B" w:rsidRPr="00B71F2F" w:rsidRDefault="00A0603B" w:rsidP="00CB60D7">
            <w:pPr>
              <w:pStyle w:val="TableText"/>
              <w:keepNext/>
              <w:keepLines/>
            </w:pPr>
            <w:r>
              <w:rPr>
                <w:rFonts w:ascii="Calibri" w:hAnsi="Calibri" w:cs="Calibri"/>
                <w:color w:val="000000"/>
                <w:szCs w:val="20"/>
              </w:rPr>
              <w:t>Other application area</w:t>
            </w:r>
          </w:p>
        </w:tc>
        <w:tc>
          <w:tcPr>
            <w:tcW w:w="1692" w:type="dxa"/>
            <w:tcBorders>
              <w:top w:val="nil"/>
              <w:bottom w:val="nil"/>
            </w:tcBorders>
            <w:vAlign w:val="center"/>
          </w:tcPr>
          <w:p w14:paraId="1ECA8B96" w14:textId="77777777" w:rsidR="00A0603B" w:rsidRPr="00B71F2F" w:rsidRDefault="00A0603B" w:rsidP="00CB60D7">
            <w:pPr>
              <w:pStyle w:val="TableText"/>
              <w:keepNext/>
              <w:keepLines/>
              <w:jc w:val="right"/>
            </w:pPr>
            <w:r>
              <w:rPr>
                <w:rFonts w:ascii="Calibri" w:hAnsi="Calibri" w:cs="Calibri"/>
                <w:color w:val="000000"/>
                <w:szCs w:val="20"/>
              </w:rPr>
              <w:t xml:space="preserve"> 58 300</w:t>
            </w:r>
          </w:p>
        </w:tc>
        <w:tc>
          <w:tcPr>
            <w:tcW w:w="1693" w:type="dxa"/>
            <w:tcBorders>
              <w:top w:val="nil"/>
              <w:bottom w:val="nil"/>
            </w:tcBorders>
            <w:shd w:val="clear" w:color="auto" w:fill="auto"/>
            <w:vAlign w:val="center"/>
          </w:tcPr>
          <w:p w14:paraId="5B59C4A5" w14:textId="77777777" w:rsidR="00A0603B" w:rsidRPr="005C475B" w:rsidRDefault="00A0603B" w:rsidP="00CB60D7">
            <w:pPr>
              <w:pStyle w:val="TableText"/>
              <w:keepNext/>
              <w:keepLines/>
              <w:jc w:val="right"/>
            </w:pPr>
            <w:r>
              <w:rPr>
                <w:rFonts w:ascii="Calibri" w:hAnsi="Calibri" w:cs="Calibri"/>
                <w:color w:val="000000"/>
                <w:szCs w:val="20"/>
              </w:rPr>
              <w:t xml:space="preserve"> 837 500</w:t>
            </w:r>
          </w:p>
        </w:tc>
        <w:tc>
          <w:tcPr>
            <w:tcW w:w="1692" w:type="dxa"/>
            <w:tcBorders>
              <w:top w:val="nil"/>
              <w:bottom w:val="nil"/>
            </w:tcBorders>
            <w:vAlign w:val="center"/>
          </w:tcPr>
          <w:p w14:paraId="1DD9CEE7" w14:textId="77777777" w:rsidR="00A0603B" w:rsidRPr="00663CAC" w:rsidRDefault="00A0603B" w:rsidP="00CB60D7">
            <w:pPr>
              <w:pStyle w:val="TableText"/>
              <w:keepNext/>
              <w:keepLines/>
              <w:jc w:val="right"/>
              <w:rPr>
                <w:b/>
              </w:rPr>
            </w:pPr>
            <w:r>
              <w:rPr>
                <w:rFonts w:ascii="Calibri" w:hAnsi="Calibri" w:cs="Calibri"/>
                <w:b/>
                <w:bCs/>
                <w:color w:val="000000"/>
                <w:szCs w:val="20"/>
              </w:rPr>
              <w:t>7.0%</w:t>
            </w:r>
          </w:p>
        </w:tc>
      </w:tr>
      <w:tr w:rsidR="00A0603B" w:rsidRPr="00B71F2F" w14:paraId="4E4BC357" w14:textId="77777777" w:rsidTr="00CB60D7">
        <w:tc>
          <w:tcPr>
            <w:tcW w:w="2302" w:type="dxa"/>
            <w:tcBorders>
              <w:top w:val="nil"/>
              <w:bottom w:val="nil"/>
            </w:tcBorders>
            <w:shd w:val="clear" w:color="auto" w:fill="auto"/>
            <w:vAlign w:val="center"/>
          </w:tcPr>
          <w:p w14:paraId="70AA5C84" w14:textId="77777777" w:rsidR="00A0603B" w:rsidRPr="00B71F2F" w:rsidRDefault="00A0603B" w:rsidP="00CB60D7">
            <w:pPr>
              <w:pStyle w:val="TableText"/>
              <w:keepNext/>
              <w:keepLines/>
            </w:pPr>
            <w:r>
              <w:rPr>
                <w:rFonts w:ascii="Calibri" w:hAnsi="Calibri" w:cs="Calibri"/>
                <w:color w:val="000000"/>
                <w:szCs w:val="20"/>
              </w:rPr>
              <w:t>Unidentified applications</w:t>
            </w:r>
          </w:p>
        </w:tc>
        <w:tc>
          <w:tcPr>
            <w:tcW w:w="1692" w:type="dxa"/>
            <w:tcBorders>
              <w:top w:val="nil"/>
              <w:bottom w:val="nil"/>
            </w:tcBorders>
            <w:vAlign w:val="center"/>
          </w:tcPr>
          <w:p w14:paraId="52AC25C5" w14:textId="77777777" w:rsidR="00A0603B" w:rsidRPr="00B71F2F" w:rsidRDefault="00A0603B" w:rsidP="00CB60D7">
            <w:pPr>
              <w:pStyle w:val="TableText"/>
              <w:keepNext/>
              <w:keepLines/>
              <w:jc w:val="right"/>
            </w:pPr>
            <w:r>
              <w:rPr>
                <w:rFonts w:ascii="Calibri" w:hAnsi="Calibri" w:cs="Calibri"/>
                <w:color w:val="000000"/>
                <w:szCs w:val="20"/>
              </w:rPr>
              <w:t xml:space="preserve"> 12 800</w:t>
            </w:r>
          </w:p>
        </w:tc>
        <w:tc>
          <w:tcPr>
            <w:tcW w:w="1693" w:type="dxa"/>
            <w:tcBorders>
              <w:top w:val="nil"/>
              <w:bottom w:val="nil"/>
            </w:tcBorders>
            <w:shd w:val="clear" w:color="auto" w:fill="auto"/>
            <w:vAlign w:val="center"/>
          </w:tcPr>
          <w:p w14:paraId="3131CD1C" w14:textId="77777777" w:rsidR="00A0603B" w:rsidRPr="00B71F2F" w:rsidRDefault="00A0603B" w:rsidP="00CB60D7">
            <w:pPr>
              <w:pStyle w:val="TableText"/>
              <w:keepNext/>
              <w:keepLines/>
              <w:jc w:val="right"/>
            </w:pPr>
            <w:r>
              <w:rPr>
                <w:rFonts w:ascii="Calibri" w:hAnsi="Calibri" w:cs="Calibri"/>
                <w:color w:val="000000"/>
                <w:szCs w:val="20"/>
              </w:rPr>
              <w:t xml:space="preserve"> 396 500</w:t>
            </w:r>
          </w:p>
        </w:tc>
        <w:tc>
          <w:tcPr>
            <w:tcW w:w="1692" w:type="dxa"/>
            <w:tcBorders>
              <w:top w:val="nil"/>
              <w:bottom w:val="nil"/>
            </w:tcBorders>
            <w:vAlign w:val="center"/>
          </w:tcPr>
          <w:p w14:paraId="5E967D24" w14:textId="77777777" w:rsidR="00A0603B" w:rsidRPr="00663CAC" w:rsidRDefault="00A0603B" w:rsidP="00CB60D7">
            <w:pPr>
              <w:pStyle w:val="TableText"/>
              <w:keepNext/>
              <w:keepLines/>
              <w:jc w:val="right"/>
              <w:rPr>
                <w:b/>
              </w:rPr>
            </w:pPr>
            <w:r>
              <w:rPr>
                <w:rFonts w:ascii="Calibri" w:hAnsi="Calibri" w:cs="Calibri"/>
                <w:b/>
                <w:bCs/>
                <w:color w:val="000000"/>
                <w:szCs w:val="20"/>
              </w:rPr>
              <w:t>3.2%</w:t>
            </w:r>
          </w:p>
        </w:tc>
      </w:tr>
      <w:tr w:rsidR="00A0603B" w:rsidRPr="00B71F2F" w14:paraId="37A4A552" w14:textId="77777777" w:rsidTr="00CB60D7">
        <w:tc>
          <w:tcPr>
            <w:tcW w:w="2302" w:type="dxa"/>
            <w:tcBorders>
              <w:top w:val="nil"/>
              <w:bottom w:val="single" w:sz="8" w:space="0" w:color="0096BC"/>
            </w:tcBorders>
            <w:shd w:val="clear" w:color="auto" w:fill="D9D9D9" w:themeFill="background1" w:themeFillShade="D9"/>
            <w:vAlign w:val="center"/>
          </w:tcPr>
          <w:p w14:paraId="4B91C4B6" w14:textId="77777777" w:rsidR="00A0603B" w:rsidRPr="00B71F2F" w:rsidRDefault="00A0603B" w:rsidP="00CB60D7">
            <w:pPr>
              <w:pStyle w:val="TableText"/>
              <w:keepNext/>
              <w:keepLines/>
              <w:rPr>
                <w:b/>
              </w:rPr>
            </w:pPr>
            <w:r w:rsidRPr="00B71F2F">
              <w:rPr>
                <w:b/>
              </w:rPr>
              <w:t>Total</w:t>
            </w:r>
          </w:p>
        </w:tc>
        <w:tc>
          <w:tcPr>
            <w:tcW w:w="1692" w:type="dxa"/>
            <w:tcBorders>
              <w:top w:val="nil"/>
              <w:bottom w:val="single" w:sz="8" w:space="0" w:color="0096BC"/>
            </w:tcBorders>
            <w:shd w:val="clear" w:color="auto" w:fill="D9D9D9" w:themeFill="background1" w:themeFillShade="D9"/>
            <w:vAlign w:val="center"/>
          </w:tcPr>
          <w:p w14:paraId="3234475F" w14:textId="77777777" w:rsidR="00A0603B" w:rsidRPr="00B71F2F" w:rsidRDefault="00A0603B" w:rsidP="00CB60D7">
            <w:pPr>
              <w:pStyle w:val="TableText"/>
              <w:keepNext/>
              <w:keepLines/>
              <w:jc w:val="right"/>
              <w:rPr>
                <w:b/>
              </w:rPr>
            </w:pPr>
            <w:r>
              <w:rPr>
                <w:rFonts w:ascii="Calibri" w:hAnsi="Calibri" w:cs="Calibri"/>
                <w:b/>
                <w:bCs/>
                <w:color w:val="000000"/>
                <w:szCs w:val="20"/>
              </w:rPr>
              <w:t xml:space="preserve"> 320 000</w:t>
            </w:r>
          </w:p>
        </w:tc>
        <w:tc>
          <w:tcPr>
            <w:tcW w:w="1693" w:type="dxa"/>
            <w:tcBorders>
              <w:top w:val="nil"/>
              <w:bottom w:val="single" w:sz="8" w:space="0" w:color="0096BC"/>
            </w:tcBorders>
            <w:shd w:val="clear" w:color="auto" w:fill="D9D9D9" w:themeFill="background1" w:themeFillShade="D9"/>
            <w:vAlign w:val="center"/>
          </w:tcPr>
          <w:p w14:paraId="1AA2C568" w14:textId="77777777" w:rsidR="00A0603B" w:rsidRPr="005C475B" w:rsidRDefault="00A0603B" w:rsidP="00CB60D7">
            <w:pPr>
              <w:pStyle w:val="TableText"/>
              <w:keepNext/>
              <w:keepLines/>
              <w:jc w:val="right"/>
            </w:pPr>
            <w:r>
              <w:rPr>
                <w:rFonts w:ascii="Calibri" w:hAnsi="Calibri" w:cs="Calibri"/>
                <w:b/>
                <w:bCs/>
                <w:color w:val="000000"/>
                <w:szCs w:val="20"/>
              </w:rPr>
              <w:t>3 407 300</w:t>
            </w:r>
          </w:p>
        </w:tc>
        <w:tc>
          <w:tcPr>
            <w:tcW w:w="1692" w:type="dxa"/>
            <w:tcBorders>
              <w:top w:val="nil"/>
              <w:bottom w:val="single" w:sz="8" w:space="0" w:color="0096BC"/>
            </w:tcBorders>
            <w:shd w:val="clear" w:color="auto" w:fill="D9D9D9" w:themeFill="background1" w:themeFillShade="D9"/>
            <w:vAlign w:val="center"/>
          </w:tcPr>
          <w:p w14:paraId="717BDB9A" w14:textId="77777777" w:rsidR="00A0603B" w:rsidRPr="005C475B" w:rsidRDefault="00A0603B" w:rsidP="00CB60D7">
            <w:pPr>
              <w:pStyle w:val="TableText"/>
              <w:keepNext/>
              <w:keepLines/>
              <w:jc w:val="right"/>
            </w:pPr>
            <w:r>
              <w:rPr>
                <w:rFonts w:ascii="Calibri" w:hAnsi="Calibri" w:cs="Calibri"/>
                <w:b/>
                <w:bCs/>
                <w:color w:val="000000"/>
                <w:szCs w:val="20"/>
              </w:rPr>
              <w:t>9.4%</w:t>
            </w:r>
          </w:p>
        </w:tc>
      </w:tr>
    </w:tbl>
    <w:p w14:paraId="426716BA" w14:textId="77777777" w:rsidR="00A0603B" w:rsidRDefault="00A0603B" w:rsidP="00A0603B"/>
    <w:p w14:paraId="58142E8C" w14:textId="695FED56" w:rsidR="001D433C" w:rsidRDefault="00B04862" w:rsidP="00363D37">
      <w:r>
        <w:t xml:space="preserve">The following chart </w:t>
      </w:r>
      <w:r w:rsidR="002C3A34">
        <w:t xml:space="preserve">indicates the relative </w:t>
      </w:r>
      <w:r w:rsidR="006025EB">
        <w:t xml:space="preserve">size of consumption for each plastic polymer and the recovery rate. </w:t>
      </w:r>
    </w:p>
    <w:p w14:paraId="0ED6C50D" w14:textId="284B4904" w:rsidR="00261B26" w:rsidRPr="009D5D86" w:rsidRDefault="00261B26" w:rsidP="00261B26">
      <w:pPr>
        <w:pStyle w:val="Caption"/>
      </w:pPr>
      <w:r w:rsidRPr="009D5D86">
        <w:t xml:space="preserve">Plastics consumption and recovery by polymer type in </w:t>
      </w:r>
      <w:r>
        <w:t>2017–18</w:t>
      </w:r>
      <w:r w:rsidRPr="009D5D86">
        <w:t xml:space="preserve"> (tonnes and % recycling rate)</w:t>
      </w:r>
    </w:p>
    <w:tbl>
      <w:tblPr>
        <w:tblW w:w="7379" w:type="dxa"/>
        <w:tblInd w:w="108" w:type="dxa"/>
        <w:tblBorders>
          <w:top w:val="single" w:sz="4" w:space="0" w:color="00613F"/>
          <w:bottom w:val="single" w:sz="4" w:space="0" w:color="00613F"/>
          <w:insideH w:val="single" w:sz="4" w:space="0" w:color="00613F"/>
        </w:tblBorders>
        <w:tblLayout w:type="fixed"/>
        <w:tblLook w:val="04A0" w:firstRow="1" w:lastRow="0" w:firstColumn="1" w:lastColumn="0" w:noHBand="0" w:noVBand="1"/>
      </w:tblPr>
      <w:tblGrid>
        <w:gridCol w:w="2302"/>
        <w:gridCol w:w="1692"/>
        <w:gridCol w:w="1693"/>
        <w:gridCol w:w="1692"/>
      </w:tblGrid>
      <w:tr w:rsidR="00261B26" w:rsidRPr="00B71F2F" w14:paraId="6AA61E7A" w14:textId="77777777" w:rsidTr="00CB60D7">
        <w:tc>
          <w:tcPr>
            <w:tcW w:w="2302" w:type="dxa"/>
            <w:tcBorders>
              <w:top w:val="single" w:sz="8" w:space="0" w:color="0096BC"/>
            </w:tcBorders>
            <w:shd w:val="clear" w:color="auto" w:fill="D9D9D9" w:themeFill="background1" w:themeFillShade="D9"/>
            <w:vAlign w:val="center"/>
          </w:tcPr>
          <w:p w14:paraId="60524DC0" w14:textId="77777777" w:rsidR="00261B26" w:rsidRPr="004D584A" w:rsidRDefault="00261B26" w:rsidP="00CB60D7">
            <w:pPr>
              <w:pStyle w:val="TableHeading"/>
              <w:keepNext/>
              <w:keepLines/>
            </w:pPr>
            <w:r w:rsidRPr="004D584A">
              <w:t>Polymer type</w:t>
            </w:r>
          </w:p>
        </w:tc>
        <w:tc>
          <w:tcPr>
            <w:tcW w:w="1692" w:type="dxa"/>
            <w:tcBorders>
              <w:top w:val="single" w:sz="8" w:space="0" w:color="0096BC"/>
              <w:bottom w:val="single" w:sz="8" w:space="0" w:color="0096BC"/>
            </w:tcBorders>
            <w:shd w:val="clear" w:color="auto" w:fill="D9D9D9" w:themeFill="background1" w:themeFillShade="D9"/>
            <w:vAlign w:val="center"/>
          </w:tcPr>
          <w:p w14:paraId="507DAA45" w14:textId="77777777" w:rsidR="00261B26" w:rsidRPr="00BE5C85" w:rsidRDefault="00261B26" w:rsidP="00CB60D7">
            <w:pPr>
              <w:pStyle w:val="TableHeading"/>
            </w:pPr>
            <w:r w:rsidRPr="00BE5C85">
              <w:t>Recovery</w:t>
            </w:r>
          </w:p>
        </w:tc>
        <w:tc>
          <w:tcPr>
            <w:tcW w:w="1693" w:type="dxa"/>
            <w:tcBorders>
              <w:top w:val="single" w:sz="8" w:space="0" w:color="0096BC"/>
              <w:bottom w:val="single" w:sz="8" w:space="0" w:color="0096BC"/>
            </w:tcBorders>
            <w:shd w:val="clear" w:color="auto" w:fill="D9D9D9" w:themeFill="background1" w:themeFillShade="D9"/>
            <w:vAlign w:val="center"/>
          </w:tcPr>
          <w:p w14:paraId="7FFA0C01" w14:textId="77777777" w:rsidR="00261B26" w:rsidRPr="00BE5C85" w:rsidRDefault="00261B26" w:rsidP="00CB60D7">
            <w:pPr>
              <w:pStyle w:val="TableHeading"/>
            </w:pPr>
            <w:r w:rsidRPr="00BE5C85">
              <w:t>Consumption</w:t>
            </w:r>
          </w:p>
        </w:tc>
        <w:tc>
          <w:tcPr>
            <w:tcW w:w="1692" w:type="dxa"/>
            <w:tcBorders>
              <w:top w:val="single" w:sz="8" w:space="0" w:color="0096BC"/>
              <w:bottom w:val="single" w:sz="8" w:space="0" w:color="0096BC"/>
            </w:tcBorders>
            <w:shd w:val="clear" w:color="auto" w:fill="D9D9D9" w:themeFill="background1" w:themeFillShade="D9"/>
            <w:vAlign w:val="center"/>
          </w:tcPr>
          <w:p w14:paraId="36AB74A1" w14:textId="77777777" w:rsidR="00261B26" w:rsidRPr="00BE5C85" w:rsidRDefault="00261B26" w:rsidP="00CB60D7">
            <w:pPr>
              <w:pStyle w:val="TableHeading"/>
            </w:pPr>
            <w:r w:rsidRPr="00BE5C85">
              <w:t>Recycling rate</w:t>
            </w:r>
          </w:p>
        </w:tc>
      </w:tr>
      <w:tr w:rsidR="00261B26" w:rsidRPr="00B71F2F" w14:paraId="1CC2B6E2" w14:textId="77777777" w:rsidTr="00CB60D7">
        <w:tc>
          <w:tcPr>
            <w:tcW w:w="2302" w:type="dxa"/>
            <w:tcBorders>
              <w:top w:val="single" w:sz="8" w:space="0" w:color="0096BC"/>
              <w:bottom w:val="nil"/>
            </w:tcBorders>
            <w:shd w:val="clear" w:color="auto" w:fill="auto"/>
            <w:vAlign w:val="center"/>
          </w:tcPr>
          <w:p w14:paraId="01EC0DEF" w14:textId="77777777" w:rsidR="00261B26" w:rsidRPr="00B71F2F" w:rsidRDefault="00261B26" w:rsidP="00CB60D7">
            <w:pPr>
              <w:pStyle w:val="TableText"/>
              <w:keepNext/>
              <w:keepLines/>
            </w:pPr>
            <w:r>
              <w:rPr>
                <w:rFonts w:ascii="Calibri" w:hAnsi="Calibri" w:cs="Calibri"/>
                <w:color w:val="000000"/>
                <w:szCs w:val="20"/>
              </w:rPr>
              <w:t>PET (1)</w:t>
            </w:r>
          </w:p>
        </w:tc>
        <w:tc>
          <w:tcPr>
            <w:tcW w:w="1692" w:type="dxa"/>
            <w:tcBorders>
              <w:top w:val="single" w:sz="8" w:space="0" w:color="0096BC"/>
              <w:bottom w:val="nil"/>
            </w:tcBorders>
            <w:vAlign w:val="center"/>
          </w:tcPr>
          <w:p w14:paraId="57DF349B" w14:textId="77777777" w:rsidR="00261B26" w:rsidRPr="00B71F2F" w:rsidRDefault="00261B26" w:rsidP="00CB60D7">
            <w:pPr>
              <w:pStyle w:val="TableText"/>
              <w:keepNext/>
              <w:keepLines/>
              <w:jc w:val="right"/>
            </w:pPr>
            <w:r>
              <w:rPr>
                <w:rFonts w:ascii="Calibri" w:hAnsi="Calibri" w:cs="Calibri"/>
                <w:color w:val="000000"/>
                <w:szCs w:val="20"/>
              </w:rPr>
              <w:t xml:space="preserve"> 74 900</w:t>
            </w:r>
          </w:p>
        </w:tc>
        <w:tc>
          <w:tcPr>
            <w:tcW w:w="1693" w:type="dxa"/>
            <w:tcBorders>
              <w:top w:val="single" w:sz="8" w:space="0" w:color="0096BC"/>
              <w:bottom w:val="nil"/>
            </w:tcBorders>
            <w:shd w:val="clear" w:color="auto" w:fill="auto"/>
            <w:vAlign w:val="center"/>
          </w:tcPr>
          <w:p w14:paraId="28F213A6" w14:textId="77777777" w:rsidR="00261B26" w:rsidRPr="00B71F2F" w:rsidRDefault="00261B26" w:rsidP="00CB60D7">
            <w:pPr>
              <w:pStyle w:val="TableText"/>
              <w:keepNext/>
              <w:keepLines/>
              <w:jc w:val="right"/>
            </w:pPr>
            <w:r>
              <w:rPr>
                <w:rFonts w:ascii="Calibri" w:hAnsi="Calibri" w:cs="Calibri"/>
                <w:color w:val="000000"/>
                <w:szCs w:val="20"/>
              </w:rPr>
              <w:t xml:space="preserve"> 355 300</w:t>
            </w:r>
          </w:p>
        </w:tc>
        <w:tc>
          <w:tcPr>
            <w:tcW w:w="1692" w:type="dxa"/>
            <w:tcBorders>
              <w:top w:val="single" w:sz="8" w:space="0" w:color="0096BC"/>
              <w:bottom w:val="nil"/>
            </w:tcBorders>
            <w:vAlign w:val="center"/>
          </w:tcPr>
          <w:p w14:paraId="69E8A304" w14:textId="77777777" w:rsidR="00261B26" w:rsidRPr="00663CAC" w:rsidRDefault="00261B26" w:rsidP="00CB60D7">
            <w:pPr>
              <w:pStyle w:val="TableText"/>
              <w:keepNext/>
              <w:keepLines/>
              <w:jc w:val="right"/>
              <w:rPr>
                <w:b/>
              </w:rPr>
            </w:pPr>
            <w:r>
              <w:rPr>
                <w:rFonts w:ascii="Calibri" w:hAnsi="Calibri" w:cs="Calibri"/>
                <w:color w:val="000000"/>
                <w:szCs w:val="20"/>
              </w:rPr>
              <w:t>21.1%</w:t>
            </w:r>
          </w:p>
        </w:tc>
      </w:tr>
      <w:tr w:rsidR="00261B26" w:rsidRPr="00B71F2F" w14:paraId="2DFF029D" w14:textId="77777777" w:rsidTr="00CB60D7">
        <w:tc>
          <w:tcPr>
            <w:tcW w:w="2302" w:type="dxa"/>
            <w:tcBorders>
              <w:top w:val="nil"/>
              <w:bottom w:val="nil"/>
            </w:tcBorders>
            <w:shd w:val="clear" w:color="auto" w:fill="auto"/>
            <w:vAlign w:val="center"/>
          </w:tcPr>
          <w:p w14:paraId="74EEBB30" w14:textId="77777777" w:rsidR="00261B26" w:rsidRPr="00B71F2F" w:rsidRDefault="00261B26" w:rsidP="00CB60D7">
            <w:pPr>
              <w:pStyle w:val="TableText"/>
              <w:keepNext/>
              <w:keepLines/>
            </w:pPr>
            <w:r>
              <w:rPr>
                <w:rFonts w:ascii="Calibri" w:hAnsi="Calibri" w:cs="Calibri"/>
                <w:color w:val="000000"/>
                <w:szCs w:val="20"/>
              </w:rPr>
              <w:t>PE-HD (2)</w:t>
            </w:r>
          </w:p>
        </w:tc>
        <w:tc>
          <w:tcPr>
            <w:tcW w:w="1692" w:type="dxa"/>
            <w:tcBorders>
              <w:top w:val="nil"/>
              <w:bottom w:val="nil"/>
            </w:tcBorders>
            <w:vAlign w:val="center"/>
          </w:tcPr>
          <w:p w14:paraId="05901E65" w14:textId="77777777" w:rsidR="00261B26" w:rsidRPr="00B71F2F" w:rsidRDefault="00261B26" w:rsidP="00CB60D7">
            <w:pPr>
              <w:pStyle w:val="TableText"/>
              <w:keepNext/>
              <w:keepLines/>
              <w:jc w:val="right"/>
            </w:pPr>
            <w:r>
              <w:rPr>
                <w:rFonts w:ascii="Calibri" w:hAnsi="Calibri" w:cs="Calibri"/>
                <w:color w:val="000000"/>
                <w:szCs w:val="20"/>
              </w:rPr>
              <w:t xml:space="preserve"> 98 100</w:t>
            </w:r>
          </w:p>
        </w:tc>
        <w:tc>
          <w:tcPr>
            <w:tcW w:w="1693" w:type="dxa"/>
            <w:tcBorders>
              <w:top w:val="nil"/>
              <w:bottom w:val="nil"/>
            </w:tcBorders>
            <w:shd w:val="clear" w:color="auto" w:fill="auto"/>
            <w:vAlign w:val="center"/>
          </w:tcPr>
          <w:p w14:paraId="04EAC935" w14:textId="77777777" w:rsidR="00261B26" w:rsidRPr="00B71F2F" w:rsidRDefault="00261B26" w:rsidP="00CB60D7">
            <w:pPr>
              <w:pStyle w:val="TableText"/>
              <w:keepNext/>
              <w:keepLines/>
              <w:jc w:val="right"/>
            </w:pPr>
            <w:r>
              <w:rPr>
                <w:rFonts w:ascii="Calibri" w:hAnsi="Calibri" w:cs="Calibri"/>
                <w:color w:val="000000"/>
                <w:szCs w:val="20"/>
              </w:rPr>
              <w:t xml:space="preserve"> 656 500</w:t>
            </w:r>
          </w:p>
        </w:tc>
        <w:tc>
          <w:tcPr>
            <w:tcW w:w="1692" w:type="dxa"/>
            <w:tcBorders>
              <w:top w:val="nil"/>
              <w:bottom w:val="nil"/>
            </w:tcBorders>
            <w:vAlign w:val="center"/>
          </w:tcPr>
          <w:p w14:paraId="3E35B8CA" w14:textId="77777777" w:rsidR="00261B26" w:rsidRPr="00663CAC" w:rsidRDefault="00261B26" w:rsidP="00CB60D7">
            <w:pPr>
              <w:pStyle w:val="TableText"/>
              <w:keepNext/>
              <w:keepLines/>
              <w:jc w:val="right"/>
              <w:rPr>
                <w:b/>
              </w:rPr>
            </w:pPr>
            <w:r>
              <w:rPr>
                <w:rFonts w:ascii="Calibri" w:hAnsi="Calibri" w:cs="Calibri"/>
                <w:color w:val="000000"/>
                <w:szCs w:val="20"/>
              </w:rPr>
              <w:t>15.0%</w:t>
            </w:r>
          </w:p>
        </w:tc>
      </w:tr>
      <w:tr w:rsidR="00261B26" w:rsidRPr="00B71F2F" w14:paraId="2E6A6A8E" w14:textId="77777777" w:rsidTr="00CB60D7">
        <w:tc>
          <w:tcPr>
            <w:tcW w:w="2302" w:type="dxa"/>
            <w:tcBorders>
              <w:top w:val="nil"/>
              <w:bottom w:val="nil"/>
            </w:tcBorders>
            <w:shd w:val="clear" w:color="auto" w:fill="auto"/>
            <w:vAlign w:val="center"/>
          </w:tcPr>
          <w:p w14:paraId="2B1403B9" w14:textId="77777777" w:rsidR="00261B26" w:rsidRPr="00B71F2F" w:rsidRDefault="00261B26" w:rsidP="00CB60D7">
            <w:pPr>
              <w:pStyle w:val="TableText"/>
              <w:keepNext/>
              <w:keepLines/>
            </w:pPr>
            <w:r>
              <w:rPr>
                <w:rFonts w:ascii="Calibri" w:hAnsi="Calibri" w:cs="Calibri"/>
                <w:color w:val="000000"/>
                <w:szCs w:val="20"/>
              </w:rPr>
              <w:t>PVC (3)</w:t>
            </w:r>
          </w:p>
        </w:tc>
        <w:tc>
          <w:tcPr>
            <w:tcW w:w="1692" w:type="dxa"/>
            <w:tcBorders>
              <w:top w:val="nil"/>
              <w:bottom w:val="nil"/>
            </w:tcBorders>
            <w:vAlign w:val="center"/>
          </w:tcPr>
          <w:p w14:paraId="39DF9D02" w14:textId="77777777" w:rsidR="00261B26" w:rsidRPr="00B71F2F" w:rsidRDefault="00261B26" w:rsidP="00CB60D7">
            <w:pPr>
              <w:pStyle w:val="TableText"/>
              <w:keepNext/>
              <w:keepLines/>
              <w:jc w:val="right"/>
            </w:pPr>
            <w:r>
              <w:rPr>
                <w:rFonts w:ascii="Calibri" w:hAnsi="Calibri" w:cs="Calibri"/>
                <w:color w:val="000000"/>
                <w:szCs w:val="20"/>
              </w:rPr>
              <w:t xml:space="preserve"> 5 900</w:t>
            </w:r>
          </w:p>
        </w:tc>
        <w:tc>
          <w:tcPr>
            <w:tcW w:w="1693" w:type="dxa"/>
            <w:tcBorders>
              <w:top w:val="nil"/>
              <w:bottom w:val="nil"/>
            </w:tcBorders>
            <w:shd w:val="clear" w:color="auto" w:fill="auto"/>
            <w:vAlign w:val="center"/>
          </w:tcPr>
          <w:p w14:paraId="52973688" w14:textId="77777777" w:rsidR="00261B26" w:rsidRPr="00B71F2F" w:rsidRDefault="00261B26" w:rsidP="00CB60D7">
            <w:pPr>
              <w:pStyle w:val="TableText"/>
              <w:keepNext/>
              <w:keepLines/>
              <w:jc w:val="right"/>
            </w:pPr>
            <w:r>
              <w:rPr>
                <w:rFonts w:ascii="Calibri" w:hAnsi="Calibri" w:cs="Calibri"/>
                <w:color w:val="000000"/>
                <w:szCs w:val="20"/>
              </w:rPr>
              <w:t xml:space="preserve"> 410 200</w:t>
            </w:r>
          </w:p>
        </w:tc>
        <w:tc>
          <w:tcPr>
            <w:tcW w:w="1692" w:type="dxa"/>
            <w:tcBorders>
              <w:top w:val="nil"/>
              <w:bottom w:val="nil"/>
            </w:tcBorders>
            <w:vAlign w:val="center"/>
          </w:tcPr>
          <w:p w14:paraId="0E13F353" w14:textId="77777777" w:rsidR="00261B26" w:rsidRPr="00663CAC" w:rsidRDefault="00261B26" w:rsidP="00CB60D7">
            <w:pPr>
              <w:pStyle w:val="TableText"/>
              <w:keepNext/>
              <w:keepLines/>
              <w:jc w:val="right"/>
              <w:rPr>
                <w:b/>
              </w:rPr>
            </w:pPr>
            <w:r>
              <w:rPr>
                <w:rFonts w:ascii="Calibri" w:hAnsi="Calibri" w:cs="Calibri"/>
                <w:color w:val="000000"/>
                <w:szCs w:val="20"/>
              </w:rPr>
              <w:t>1.4%</w:t>
            </w:r>
          </w:p>
        </w:tc>
      </w:tr>
      <w:tr w:rsidR="00261B26" w:rsidRPr="00B71F2F" w14:paraId="0E36A527" w14:textId="77777777" w:rsidTr="00CB60D7">
        <w:tc>
          <w:tcPr>
            <w:tcW w:w="2302" w:type="dxa"/>
            <w:tcBorders>
              <w:top w:val="nil"/>
              <w:bottom w:val="nil"/>
            </w:tcBorders>
            <w:shd w:val="clear" w:color="auto" w:fill="auto"/>
            <w:vAlign w:val="center"/>
          </w:tcPr>
          <w:p w14:paraId="4386944A" w14:textId="77777777" w:rsidR="00261B26" w:rsidRPr="00B71F2F" w:rsidRDefault="00261B26" w:rsidP="00CB60D7">
            <w:pPr>
              <w:pStyle w:val="TableText"/>
              <w:keepNext/>
              <w:keepLines/>
            </w:pPr>
            <w:r>
              <w:rPr>
                <w:rFonts w:ascii="Calibri" w:hAnsi="Calibri" w:cs="Calibri"/>
                <w:color w:val="000000"/>
                <w:szCs w:val="20"/>
              </w:rPr>
              <w:t>PE-LD/LLD (4)</w:t>
            </w:r>
          </w:p>
        </w:tc>
        <w:tc>
          <w:tcPr>
            <w:tcW w:w="1692" w:type="dxa"/>
            <w:tcBorders>
              <w:top w:val="nil"/>
              <w:bottom w:val="nil"/>
            </w:tcBorders>
            <w:vAlign w:val="center"/>
          </w:tcPr>
          <w:p w14:paraId="1CF3B865" w14:textId="77777777" w:rsidR="00261B26" w:rsidRPr="00B71F2F" w:rsidRDefault="00261B26" w:rsidP="00CB60D7">
            <w:pPr>
              <w:pStyle w:val="TableText"/>
              <w:keepNext/>
              <w:keepLines/>
              <w:jc w:val="right"/>
            </w:pPr>
            <w:r>
              <w:rPr>
                <w:rFonts w:ascii="Calibri" w:hAnsi="Calibri" w:cs="Calibri"/>
                <w:color w:val="000000"/>
                <w:szCs w:val="20"/>
              </w:rPr>
              <w:t xml:space="preserve"> 57 100</w:t>
            </w:r>
          </w:p>
        </w:tc>
        <w:tc>
          <w:tcPr>
            <w:tcW w:w="1693" w:type="dxa"/>
            <w:tcBorders>
              <w:top w:val="nil"/>
              <w:bottom w:val="nil"/>
            </w:tcBorders>
            <w:shd w:val="clear" w:color="auto" w:fill="auto"/>
            <w:vAlign w:val="center"/>
          </w:tcPr>
          <w:p w14:paraId="4CF5C88B" w14:textId="77777777" w:rsidR="00261B26" w:rsidRPr="00B71F2F" w:rsidRDefault="00261B26" w:rsidP="00CB60D7">
            <w:pPr>
              <w:pStyle w:val="TableText"/>
              <w:keepNext/>
              <w:keepLines/>
              <w:jc w:val="right"/>
            </w:pPr>
            <w:r>
              <w:rPr>
                <w:rFonts w:ascii="Calibri" w:hAnsi="Calibri" w:cs="Calibri"/>
                <w:color w:val="000000"/>
                <w:szCs w:val="20"/>
              </w:rPr>
              <w:t xml:space="preserve"> 399 900</w:t>
            </w:r>
          </w:p>
        </w:tc>
        <w:tc>
          <w:tcPr>
            <w:tcW w:w="1692" w:type="dxa"/>
            <w:tcBorders>
              <w:top w:val="nil"/>
              <w:bottom w:val="nil"/>
            </w:tcBorders>
            <w:vAlign w:val="center"/>
          </w:tcPr>
          <w:p w14:paraId="0C1B4BC6" w14:textId="77777777" w:rsidR="00261B26" w:rsidRPr="00663CAC" w:rsidRDefault="00261B26" w:rsidP="00CB60D7">
            <w:pPr>
              <w:pStyle w:val="TableText"/>
              <w:keepNext/>
              <w:keepLines/>
              <w:jc w:val="right"/>
              <w:rPr>
                <w:b/>
              </w:rPr>
            </w:pPr>
            <w:r>
              <w:rPr>
                <w:rFonts w:ascii="Calibri" w:hAnsi="Calibri" w:cs="Calibri"/>
                <w:color w:val="000000"/>
                <w:szCs w:val="20"/>
              </w:rPr>
              <w:t>14.3%</w:t>
            </w:r>
          </w:p>
        </w:tc>
      </w:tr>
      <w:tr w:rsidR="00261B26" w:rsidRPr="00B71F2F" w14:paraId="28E480DE" w14:textId="77777777" w:rsidTr="00CB60D7">
        <w:tc>
          <w:tcPr>
            <w:tcW w:w="2302" w:type="dxa"/>
            <w:tcBorders>
              <w:top w:val="nil"/>
              <w:bottom w:val="nil"/>
            </w:tcBorders>
            <w:shd w:val="clear" w:color="auto" w:fill="auto"/>
            <w:vAlign w:val="center"/>
          </w:tcPr>
          <w:p w14:paraId="616A81D0" w14:textId="77777777" w:rsidR="00261B26" w:rsidRPr="00B71F2F" w:rsidRDefault="00261B26" w:rsidP="00CB60D7">
            <w:pPr>
              <w:pStyle w:val="TableText"/>
              <w:keepNext/>
              <w:keepLines/>
            </w:pPr>
            <w:r>
              <w:rPr>
                <w:rFonts w:ascii="Calibri" w:hAnsi="Calibri" w:cs="Calibri"/>
                <w:color w:val="000000"/>
                <w:szCs w:val="20"/>
              </w:rPr>
              <w:t>PP (5)</w:t>
            </w:r>
          </w:p>
        </w:tc>
        <w:tc>
          <w:tcPr>
            <w:tcW w:w="1692" w:type="dxa"/>
            <w:tcBorders>
              <w:top w:val="nil"/>
              <w:bottom w:val="nil"/>
            </w:tcBorders>
            <w:vAlign w:val="center"/>
          </w:tcPr>
          <w:p w14:paraId="4E02EEB0" w14:textId="77777777" w:rsidR="00261B26" w:rsidRPr="00B71F2F" w:rsidRDefault="00261B26" w:rsidP="00CB60D7">
            <w:pPr>
              <w:pStyle w:val="TableText"/>
              <w:keepNext/>
              <w:keepLines/>
              <w:jc w:val="right"/>
            </w:pPr>
            <w:r>
              <w:rPr>
                <w:rFonts w:ascii="Calibri" w:hAnsi="Calibri" w:cs="Calibri"/>
                <w:color w:val="000000"/>
                <w:szCs w:val="20"/>
              </w:rPr>
              <w:t xml:space="preserve"> 37 500</w:t>
            </w:r>
          </w:p>
        </w:tc>
        <w:tc>
          <w:tcPr>
            <w:tcW w:w="1693" w:type="dxa"/>
            <w:tcBorders>
              <w:top w:val="nil"/>
              <w:bottom w:val="nil"/>
            </w:tcBorders>
            <w:shd w:val="clear" w:color="auto" w:fill="auto"/>
            <w:vAlign w:val="center"/>
          </w:tcPr>
          <w:p w14:paraId="618BC5E1" w14:textId="77777777" w:rsidR="00261B26" w:rsidRPr="00B71F2F" w:rsidRDefault="00261B26" w:rsidP="00CB60D7">
            <w:pPr>
              <w:pStyle w:val="TableText"/>
              <w:keepNext/>
              <w:keepLines/>
              <w:jc w:val="right"/>
            </w:pPr>
            <w:r>
              <w:rPr>
                <w:rFonts w:ascii="Calibri" w:hAnsi="Calibri" w:cs="Calibri"/>
                <w:color w:val="000000"/>
                <w:szCs w:val="20"/>
              </w:rPr>
              <w:t xml:space="preserve"> 468 900</w:t>
            </w:r>
          </w:p>
        </w:tc>
        <w:tc>
          <w:tcPr>
            <w:tcW w:w="1692" w:type="dxa"/>
            <w:tcBorders>
              <w:top w:val="nil"/>
              <w:bottom w:val="nil"/>
            </w:tcBorders>
            <w:vAlign w:val="center"/>
          </w:tcPr>
          <w:p w14:paraId="4A3330D0" w14:textId="77777777" w:rsidR="00261B26" w:rsidRPr="00663CAC" w:rsidRDefault="00261B26" w:rsidP="00CB60D7">
            <w:pPr>
              <w:pStyle w:val="TableText"/>
              <w:keepNext/>
              <w:keepLines/>
              <w:jc w:val="right"/>
              <w:rPr>
                <w:b/>
              </w:rPr>
            </w:pPr>
            <w:r>
              <w:rPr>
                <w:rFonts w:ascii="Calibri" w:hAnsi="Calibri" w:cs="Calibri"/>
                <w:color w:val="000000"/>
                <w:szCs w:val="20"/>
              </w:rPr>
              <w:t>8.0%</w:t>
            </w:r>
          </w:p>
        </w:tc>
      </w:tr>
      <w:tr w:rsidR="00261B26" w:rsidRPr="00B71F2F" w14:paraId="3734460C" w14:textId="77777777" w:rsidTr="00CB60D7">
        <w:tc>
          <w:tcPr>
            <w:tcW w:w="2302" w:type="dxa"/>
            <w:tcBorders>
              <w:top w:val="nil"/>
              <w:bottom w:val="nil"/>
            </w:tcBorders>
            <w:shd w:val="clear" w:color="auto" w:fill="auto"/>
            <w:vAlign w:val="center"/>
          </w:tcPr>
          <w:p w14:paraId="61308E4D" w14:textId="77777777" w:rsidR="00261B26" w:rsidRPr="00B71F2F" w:rsidRDefault="00261B26" w:rsidP="00CB60D7">
            <w:pPr>
              <w:pStyle w:val="TableText"/>
              <w:keepNext/>
              <w:keepLines/>
            </w:pPr>
            <w:r>
              <w:rPr>
                <w:rFonts w:ascii="Calibri" w:hAnsi="Calibri" w:cs="Calibri"/>
                <w:color w:val="000000"/>
                <w:szCs w:val="20"/>
              </w:rPr>
              <w:t>PS (6)</w:t>
            </w:r>
          </w:p>
        </w:tc>
        <w:tc>
          <w:tcPr>
            <w:tcW w:w="1692" w:type="dxa"/>
            <w:tcBorders>
              <w:top w:val="nil"/>
              <w:bottom w:val="nil"/>
            </w:tcBorders>
            <w:vAlign w:val="center"/>
          </w:tcPr>
          <w:p w14:paraId="1ED00F05" w14:textId="77777777" w:rsidR="00261B26" w:rsidRPr="00B71F2F" w:rsidRDefault="00261B26" w:rsidP="00CB60D7">
            <w:pPr>
              <w:pStyle w:val="TableText"/>
              <w:keepNext/>
              <w:keepLines/>
              <w:jc w:val="right"/>
            </w:pPr>
            <w:r>
              <w:rPr>
                <w:rFonts w:ascii="Calibri" w:hAnsi="Calibri" w:cs="Calibri"/>
                <w:color w:val="000000"/>
                <w:szCs w:val="20"/>
              </w:rPr>
              <w:t xml:space="preserve"> 7 300</w:t>
            </w:r>
          </w:p>
        </w:tc>
        <w:tc>
          <w:tcPr>
            <w:tcW w:w="1693" w:type="dxa"/>
            <w:tcBorders>
              <w:top w:val="nil"/>
              <w:bottom w:val="nil"/>
            </w:tcBorders>
            <w:shd w:val="clear" w:color="auto" w:fill="auto"/>
            <w:vAlign w:val="center"/>
          </w:tcPr>
          <w:p w14:paraId="2EDCEDA3" w14:textId="77777777" w:rsidR="00261B26" w:rsidRPr="00B71F2F" w:rsidRDefault="00261B26" w:rsidP="00CB60D7">
            <w:pPr>
              <w:pStyle w:val="TableText"/>
              <w:keepNext/>
              <w:keepLines/>
              <w:jc w:val="right"/>
            </w:pPr>
            <w:r>
              <w:rPr>
                <w:rFonts w:ascii="Calibri" w:hAnsi="Calibri" w:cs="Calibri"/>
                <w:color w:val="000000"/>
                <w:szCs w:val="20"/>
              </w:rPr>
              <w:t xml:space="preserve"> 63 600</w:t>
            </w:r>
          </w:p>
        </w:tc>
        <w:tc>
          <w:tcPr>
            <w:tcW w:w="1692" w:type="dxa"/>
            <w:tcBorders>
              <w:top w:val="nil"/>
              <w:bottom w:val="nil"/>
            </w:tcBorders>
            <w:vAlign w:val="center"/>
          </w:tcPr>
          <w:p w14:paraId="6C95503E" w14:textId="77777777" w:rsidR="00261B26" w:rsidRPr="00663CAC" w:rsidRDefault="00261B26" w:rsidP="00CB60D7">
            <w:pPr>
              <w:pStyle w:val="TableText"/>
              <w:keepNext/>
              <w:keepLines/>
              <w:jc w:val="right"/>
              <w:rPr>
                <w:b/>
              </w:rPr>
            </w:pPr>
            <w:r>
              <w:rPr>
                <w:rFonts w:ascii="Calibri" w:hAnsi="Calibri" w:cs="Calibri"/>
                <w:color w:val="000000"/>
                <w:szCs w:val="20"/>
              </w:rPr>
              <w:t>11.5%</w:t>
            </w:r>
          </w:p>
        </w:tc>
      </w:tr>
      <w:tr w:rsidR="00261B26" w:rsidRPr="00B71F2F" w14:paraId="24CE142D" w14:textId="77777777" w:rsidTr="00CB60D7">
        <w:tc>
          <w:tcPr>
            <w:tcW w:w="2302" w:type="dxa"/>
            <w:tcBorders>
              <w:top w:val="nil"/>
              <w:bottom w:val="nil"/>
            </w:tcBorders>
            <w:shd w:val="clear" w:color="auto" w:fill="auto"/>
            <w:vAlign w:val="center"/>
          </w:tcPr>
          <w:p w14:paraId="6B700702" w14:textId="77777777" w:rsidR="00261B26" w:rsidRPr="00B71F2F" w:rsidRDefault="00261B26" w:rsidP="00CB60D7">
            <w:pPr>
              <w:pStyle w:val="TableText"/>
              <w:keepNext/>
              <w:keepLines/>
            </w:pPr>
            <w:r>
              <w:rPr>
                <w:rFonts w:ascii="Calibri" w:hAnsi="Calibri" w:cs="Calibri"/>
                <w:color w:val="000000"/>
                <w:szCs w:val="20"/>
              </w:rPr>
              <w:t>PS-E (6)</w:t>
            </w:r>
          </w:p>
        </w:tc>
        <w:tc>
          <w:tcPr>
            <w:tcW w:w="1692" w:type="dxa"/>
            <w:tcBorders>
              <w:top w:val="nil"/>
              <w:bottom w:val="nil"/>
            </w:tcBorders>
            <w:vAlign w:val="center"/>
          </w:tcPr>
          <w:p w14:paraId="43C9D0F6" w14:textId="77777777" w:rsidR="00261B26" w:rsidRPr="00B71F2F" w:rsidRDefault="00261B26" w:rsidP="00CB60D7">
            <w:pPr>
              <w:pStyle w:val="TableText"/>
              <w:keepNext/>
              <w:keepLines/>
              <w:jc w:val="right"/>
            </w:pPr>
            <w:r>
              <w:rPr>
                <w:rFonts w:ascii="Calibri" w:hAnsi="Calibri" w:cs="Calibri"/>
                <w:color w:val="000000"/>
                <w:szCs w:val="20"/>
              </w:rPr>
              <w:t xml:space="preserve"> 6 600</w:t>
            </w:r>
          </w:p>
        </w:tc>
        <w:tc>
          <w:tcPr>
            <w:tcW w:w="1693" w:type="dxa"/>
            <w:tcBorders>
              <w:top w:val="nil"/>
              <w:bottom w:val="nil"/>
            </w:tcBorders>
            <w:shd w:val="clear" w:color="auto" w:fill="auto"/>
            <w:vAlign w:val="center"/>
          </w:tcPr>
          <w:p w14:paraId="30624350" w14:textId="77777777" w:rsidR="00261B26" w:rsidRPr="00B71F2F" w:rsidRDefault="00261B26" w:rsidP="00CB60D7">
            <w:pPr>
              <w:pStyle w:val="TableText"/>
              <w:keepNext/>
              <w:keepLines/>
              <w:jc w:val="right"/>
            </w:pPr>
            <w:r>
              <w:rPr>
                <w:rFonts w:ascii="Calibri" w:hAnsi="Calibri" w:cs="Calibri"/>
                <w:color w:val="000000"/>
                <w:szCs w:val="20"/>
              </w:rPr>
              <w:t xml:space="preserve"> 87 100</w:t>
            </w:r>
          </w:p>
        </w:tc>
        <w:tc>
          <w:tcPr>
            <w:tcW w:w="1692" w:type="dxa"/>
            <w:tcBorders>
              <w:top w:val="nil"/>
              <w:bottom w:val="nil"/>
            </w:tcBorders>
            <w:vAlign w:val="center"/>
          </w:tcPr>
          <w:p w14:paraId="44BD14A7" w14:textId="77777777" w:rsidR="00261B26" w:rsidRPr="00663CAC" w:rsidRDefault="00261B26" w:rsidP="00CB60D7">
            <w:pPr>
              <w:pStyle w:val="TableText"/>
              <w:keepNext/>
              <w:keepLines/>
              <w:jc w:val="right"/>
              <w:rPr>
                <w:b/>
              </w:rPr>
            </w:pPr>
            <w:r>
              <w:rPr>
                <w:rFonts w:ascii="Calibri" w:hAnsi="Calibri" w:cs="Calibri"/>
                <w:color w:val="000000"/>
                <w:szCs w:val="20"/>
              </w:rPr>
              <w:t>7.6%</w:t>
            </w:r>
          </w:p>
        </w:tc>
      </w:tr>
      <w:tr w:rsidR="00261B26" w:rsidRPr="00B71F2F" w14:paraId="7E4A3FD3" w14:textId="77777777" w:rsidTr="00CB60D7">
        <w:tc>
          <w:tcPr>
            <w:tcW w:w="2302" w:type="dxa"/>
            <w:tcBorders>
              <w:top w:val="nil"/>
              <w:bottom w:val="nil"/>
            </w:tcBorders>
            <w:shd w:val="clear" w:color="auto" w:fill="auto"/>
            <w:vAlign w:val="center"/>
          </w:tcPr>
          <w:p w14:paraId="10E8BD18" w14:textId="77777777" w:rsidR="00261B26" w:rsidRPr="00B71F2F" w:rsidRDefault="00261B26" w:rsidP="00CB60D7">
            <w:pPr>
              <w:pStyle w:val="TableText"/>
              <w:keepNext/>
              <w:keepLines/>
            </w:pPr>
            <w:r>
              <w:rPr>
                <w:rFonts w:ascii="Calibri" w:hAnsi="Calibri" w:cs="Calibri"/>
                <w:color w:val="000000"/>
                <w:szCs w:val="20"/>
              </w:rPr>
              <w:t>ABS/SAN/ASA (7)</w:t>
            </w:r>
          </w:p>
        </w:tc>
        <w:tc>
          <w:tcPr>
            <w:tcW w:w="1692" w:type="dxa"/>
            <w:tcBorders>
              <w:top w:val="nil"/>
              <w:bottom w:val="nil"/>
            </w:tcBorders>
            <w:vAlign w:val="center"/>
          </w:tcPr>
          <w:p w14:paraId="4BAB04C7" w14:textId="77777777" w:rsidR="00261B26" w:rsidRPr="00B71F2F" w:rsidRDefault="00261B26" w:rsidP="00CB60D7">
            <w:pPr>
              <w:pStyle w:val="TableText"/>
              <w:keepNext/>
              <w:keepLines/>
              <w:jc w:val="right"/>
            </w:pPr>
            <w:r>
              <w:rPr>
                <w:rFonts w:ascii="Calibri" w:hAnsi="Calibri" w:cs="Calibri"/>
                <w:color w:val="000000"/>
                <w:szCs w:val="20"/>
              </w:rPr>
              <w:t xml:space="preserve"> 5 900</w:t>
            </w:r>
          </w:p>
        </w:tc>
        <w:tc>
          <w:tcPr>
            <w:tcW w:w="1693" w:type="dxa"/>
            <w:tcBorders>
              <w:top w:val="nil"/>
              <w:bottom w:val="nil"/>
            </w:tcBorders>
            <w:shd w:val="clear" w:color="auto" w:fill="auto"/>
            <w:vAlign w:val="center"/>
          </w:tcPr>
          <w:p w14:paraId="7AE335EF" w14:textId="77777777" w:rsidR="00261B26" w:rsidRPr="00B71F2F" w:rsidRDefault="00261B26" w:rsidP="00CB60D7">
            <w:pPr>
              <w:pStyle w:val="TableText"/>
              <w:keepNext/>
              <w:keepLines/>
              <w:jc w:val="right"/>
            </w:pPr>
            <w:r>
              <w:rPr>
                <w:rFonts w:ascii="Calibri" w:hAnsi="Calibri" w:cs="Calibri"/>
                <w:color w:val="000000"/>
                <w:szCs w:val="20"/>
              </w:rPr>
              <w:t xml:space="preserve"> 67 300</w:t>
            </w:r>
          </w:p>
        </w:tc>
        <w:tc>
          <w:tcPr>
            <w:tcW w:w="1692" w:type="dxa"/>
            <w:tcBorders>
              <w:top w:val="nil"/>
              <w:bottom w:val="nil"/>
            </w:tcBorders>
            <w:vAlign w:val="center"/>
          </w:tcPr>
          <w:p w14:paraId="79990463" w14:textId="77777777" w:rsidR="00261B26" w:rsidRPr="00663CAC" w:rsidRDefault="00261B26" w:rsidP="00CB60D7">
            <w:pPr>
              <w:pStyle w:val="TableText"/>
              <w:keepNext/>
              <w:keepLines/>
              <w:jc w:val="right"/>
              <w:rPr>
                <w:b/>
              </w:rPr>
            </w:pPr>
            <w:r>
              <w:rPr>
                <w:rFonts w:ascii="Calibri" w:hAnsi="Calibri" w:cs="Calibri"/>
                <w:color w:val="000000"/>
                <w:szCs w:val="20"/>
              </w:rPr>
              <w:t>8.7%</w:t>
            </w:r>
          </w:p>
        </w:tc>
      </w:tr>
      <w:tr w:rsidR="00261B26" w:rsidRPr="00B71F2F" w14:paraId="2F5A8572" w14:textId="77777777" w:rsidTr="00CB60D7">
        <w:tc>
          <w:tcPr>
            <w:tcW w:w="2302" w:type="dxa"/>
            <w:tcBorders>
              <w:top w:val="nil"/>
              <w:bottom w:val="nil"/>
            </w:tcBorders>
            <w:shd w:val="clear" w:color="auto" w:fill="auto"/>
            <w:vAlign w:val="center"/>
          </w:tcPr>
          <w:p w14:paraId="017F7738" w14:textId="77777777" w:rsidR="00261B26" w:rsidRPr="00B71F2F" w:rsidRDefault="00261B26" w:rsidP="00CB60D7">
            <w:pPr>
              <w:pStyle w:val="TableText"/>
              <w:keepNext/>
              <w:keepLines/>
            </w:pPr>
            <w:r>
              <w:rPr>
                <w:rFonts w:ascii="Calibri" w:hAnsi="Calibri" w:cs="Calibri"/>
                <w:color w:val="000000"/>
                <w:szCs w:val="20"/>
              </w:rPr>
              <w:t>PU (7)</w:t>
            </w:r>
          </w:p>
        </w:tc>
        <w:tc>
          <w:tcPr>
            <w:tcW w:w="1692" w:type="dxa"/>
            <w:tcBorders>
              <w:top w:val="nil"/>
              <w:bottom w:val="nil"/>
            </w:tcBorders>
            <w:vAlign w:val="center"/>
          </w:tcPr>
          <w:p w14:paraId="120D52AC" w14:textId="77777777" w:rsidR="00261B26" w:rsidRPr="00B71F2F" w:rsidRDefault="00261B26" w:rsidP="00CB60D7">
            <w:pPr>
              <w:pStyle w:val="TableText"/>
              <w:keepNext/>
              <w:keepLines/>
              <w:jc w:val="right"/>
            </w:pPr>
            <w:r>
              <w:rPr>
                <w:rFonts w:ascii="Calibri" w:hAnsi="Calibri" w:cs="Calibri"/>
                <w:color w:val="000000"/>
                <w:szCs w:val="20"/>
              </w:rPr>
              <w:t xml:space="preserve"> 6 500</w:t>
            </w:r>
          </w:p>
        </w:tc>
        <w:tc>
          <w:tcPr>
            <w:tcW w:w="1693" w:type="dxa"/>
            <w:tcBorders>
              <w:top w:val="nil"/>
              <w:bottom w:val="nil"/>
            </w:tcBorders>
            <w:shd w:val="clear" w:color="auto" w:fill="auto"/>
            <w:vAlign w:val="center"/>
          </w:tcPr>
          <w:p w14:paraId="24295439" w14:textId="77777777" w:rsidR="00261B26" w:rsidRPr="00B71F2F" w:rsidRDefault="00261B26" w:rsidP="00CB60D7">
            <w:pPr>
              <w:pStyle w:val="TableText"/>
              <w:keepNext/>
              <w:keepLines/>
              <w:jc w:val="right"/>
            </w:pPr>
            <w:r>
              <w:rPr>
                <w:rFonts w:ascii="Calibri" w:hAnsi="Calibri" w:cs="Calibri"/>
                <w:color w:val="000000"/>
                <w:szCs w:val="20"/>
              </w:rPr>
              <w:t xml:space="preserve"> 86 600</w:t>
            </w:r>
          </w:p>
        </w:tc>
        <w:tc>
          <w:tcPr>
            <w:tcW w:w="1692" w:type="dxa"/>
            <w:tcBorders>
              <w:top w:val="nil"/>
              <w:bottom w:val="nil"/>
            </w:tcBorders>
            <w:vAlign w:val="center"/>
          </w:tcPr>
          <w:p w14:paraId="6090D57A" w14:textId="77777777" w:rsidR="00261B26" w:rsidRPr="00663CAC" w:rsidRDefault="00261B26" w:rsidP="00CB60D7">
            <w:pPr>
              <w:pStyle w:val="TableText"/>
              <w:keepNext/>
              <w:keepLines/>
              <w:jc w:val="right"/>
              <w:rPr>
                <w:b/>
              </w:rPr>
            </w:pPr>
            <w:r>
              <w:rPr>
                <w:rFonts w:ascii="Calibri" w:hAnsi="Calibri" w:cs="Calibri"/>
                <w:color w:val="000000"/>
                <w:szCs w:val="20"/>
              </w:rPr>
              <w:t>7.6%</w:t>
            </w:r>
          </w:p>
        </w:tc>
      </w:tr>
      <w:tr w:rsidR="00261B26" w:rsidRPr="00B71F2F" w14:paraId="58360AFF" w14:textId="77777777" w:rsidTr="00CB60D7">
        <w:tc>
          <w:tcPr>
            <w:tcW w:w="2302" w:type="dxa"/>
            <w:tcBorders>
              <w:top w:val="nil"/>
              <w:bottom w:val="nil"/>
            </w:tcBorders>
            <w:shd w:val="clear" w:color="auto" w:fill="auto"/>
            <w:vAlign w:val="center"/>
          </w:tcPr>
          <w:p w14:paraId="3EBE3996" w14:textId="77777777" w:rsidR="00261B26" w:rsidRPr="00B71F2F" w:rsidRDefault="00261B26" w:rsidP="00CB60D7">
            <w:pPr>
              <w:pStyle w:val="TableText"/>
              <w:keepNext/>
              <w:keepLines/>
            </w:pPr>
            <w:r>
              <w:rPr>
                <w:rFonts w:ascii="Calibri" w:hAnsi="Calibri" w:cs="Calibri"/>
                <w:color w:val="000000"/>
                <w:szCs w:val="20"/>
              </w:rPr>
              <w:t>Nylon (7)</w:t>
            </w:r>
          </w:p>
        </w:tc>
        <w:tc>
          <w:tcPr>
            <w:tcW w:w="1692" w:type="dxa"/>
            <w:tcBorders>
              <w:top w:val="nil"/>
              <w:bottom w:val="nil"/>
            </w:tcBorders>
            <w:vAlign w:val="center"/>
          </w:tcPr>
          <w:p w14:paraId="22B3FACC" w14:textId="77777777" w:rsidR="00261B26" w:rsidRPr="00B71F2F" w:rsidRDefault="00261B26" w:rsidP="00CB60D7">
            <w:pPr>
              <w:pStyle w:val="TableText"/>
              <w:keepNext/>
              <w:keepLines/>
              <w:jc w:val="right"/>
            </w:pPr>
            <w:r>
              <w:rPr>
                <w:rFonts w:ascii="Calibri" w:hAnsi="Calibri" w:cs="Calibri"/>
                <w:color w:val="000000"/>
                <w:szCs w:val="20"/>
              </w:rPr>
              <w:t xml:space="preserve"> 7 700</w:t>
            </w:r>
          </w:p>
        </w:tc>
        <w:tc>
          <w:tcPr>
            <w:tcW w:w="1693" w:type="dxa"/>
            <w:tcBorders>
              <w:top w:val="nil"/>
              <w:bottom w:val="nil"/>
            </w:tcBorders>
            <w:shd w:val="clear" w:color="auto" w:fill="auto"/>
            <w:vAlign w:val="center"/>
          </w:tcPr>
          <w:p w14:paraId="6DA92CA3" w14:textId="77777777" w:rsidR="00261B26" w:rsidRPr="005C475B" w:rsidRDefault="00261B26" w:rsidP="00CB60D7">
            <w:pPr>
              <w:pStyle w:val="TableText"/>
              <w:keepNext/>
              <w:keepLines/>
              <w:jc w:val="right"/>
            </w:pPr>
            <w:r>
              <w:rPr>
                <w:rFonts w:ascii="Calibri" w:hAnsi="Calibri" w:cs="Calibri"/>
                <w:color w:val="000000"/>
                <w:szCs w:val="20"/>
              </w:rPr>
              <w:t xml:space="preserve"> 125 500</w:t>
            </w:r>
          </w:p>
        </w:tc>
        <w:tc>
          <w:tcPr>
            <w:tcW w:w="1692" w:type="dxa"/>
            <w:tcBorders>
              <w:top w:val="nil"/>
              <w:bottom w:val="nil"/>
            </w:tcBorders>
            <w:vAlign w:val="center"/>
          </w:tcPr>
          <w:p w14:paraId="0E2262D4" w14:textId="77777777" w:rsidR="00261B26" w:rsidRPr="00663CAC" w:rsidRDefault="00261B26" w:rsidP="00CB60D7">
            <w:pPr>
              <w:pStyle w:val="TableText"/>
              <w:keepNext/>
              <w:keepLines/>
              <w:jc w:val="right"/>
              <w:rPr>
                <w:b/>
              </w:rPr>
            </w:pPr>
            <w:r>
              <w:rPr>
                <w:rFonts w:ascii="Calibri" w:hAnsi="Calibri" w:cs="Calibri"/>
                <w:color w:val="000000"/>
                <w:szCs w:val="20"/>
              </w:rPr>
              <w:t>6.1%</w:t>
            </w:r>
          </w:p>
        </w:tc>
      </w:tr>
      <w:tr w:rsidR="00261B26" w:rsidRPr="00B71F2F" w14:paraId="04B17903" w14:textId="77777777" w:rsidTr="00CB60D7">
        <w:tc>
          <w:tcPr>
            <w:tcW w:w="2302" w:type="dxa"/>
            <w:tcBorders>
              <w:top w:val="nil"/>
              <w:bottom w:val="nil"/>
            </w:tcBorders>
            <w:shd w:val="clear" w:color="auto" w:fill="auto"/>
            <w:vAlign w:val="center"/>
          </w:tcPr>
          <w:p w14:paraId="2C50CA61" w14:textId="77777777" w:rsidR="00261B26" w:rsidRPr="00B71F2F" w:rsidRDefault="00261B26" w:rsidP="00CB60D7">
            <w:pPr>
              <w:pStyle w:val="TableText"/>
              <w:keepNext/>
              <w:keepLines/>
            </w:pPr>
            <w:r>
              <w:rPr>
                <w:rFonts w:ascii="Calibri" w:hAnsi="Calibri" w:cs="Calibri"/>
                <w:color w:val="000000"/>
                <w:szCs w:val="20"/>
              </w:rPr>
              <w:t>Bioplastic (7)</w:t>
            </w:r>
          </w:p>
        </w:tc>
        <w:tc>
          <w:tcPr>
            <w:tcW w:w="1692" w:type="dxa"/>
            <w:tcBorders>
              <w:top w:val="nil"/>
              <w:bottom w:val="nil"/>
            </w:tcBorders>
            <w:vAlign w:val="center"/>
          </w:tcPr>
          <w:p w14:paraId="3270BABD" w14:textId="77777777" w:rsidR="00261B26" w:rsidRPr="00B71F2F" w:rsidRDefault="00261B26" w:rsidP="00CB60D7">
            <w:pPr>
              <w:pStyle w:val="TableText"/>
              <w:keepNext/>
              <w:keepLines/>
              <w:jc w:val="right"/>
            </w:pPr>
            <w:r>
              <w:rPr>
                <w:rFonts w:ascii="Calibri" w:hAnsi="Calibri" w:cs="Calibri"/>
                <w:color w:val="000000"/>
                <w:szCs w:val="20"/>
              </w:rPr>
              <w:t xml:space="preserve">  0</w:t>
            </w:r>
          </w:p>
        </w:tc>
        <w:tc>
          <w:tcPr>
            <w:tcW w:w="1693" w:type="dxa"/>
            <w:tcBorders>
              <w:top w:val="nil"/>
              <w:bottom w:val="nil"/>
            </w:tcBorders>
            <w:shd w:val="clear" w:color="auto" w:fill="auto"/>
            <w:vAlign w:val="center"/>
          </w:tcPr>
          <w:p w14:paraId="29B8B3C9" w14:textId="77777777" w:rsidR="00261B26" w:rsidRPr="005C475B" w:rsidRDefault="00261B26" w:rsidP="00CB60D7">
            <w:pPr>
              <w:pStyle w:val="TableText"/>
              <w:keepNext/>
              <w:keepLines/>
              <w:jc w:val="right"/>
            </w:pPr>
            <w:r>
              <w:rPr>
                <w:rFonts w:ascii="Calibri" w:hAnsi="Calibri" w:cs="Calibri"/>
                <w:color w:val="000000"/>
                <w:szCs w:val="20"/>
              </w:rPr>
              <w:t>&lt;100</w:t>
            </w:r>
          </w:p>
        </w:tc>
        <w:tc>
          <w:tcPr>
            <w:tcW w:w="1692" w:type="dxa"/>
            <w:tcBorders>
              <w:top w:val="nil"/>
              <w:bottom w:val="nil"/>
            </w:tcBorders>
            <w:vAlign w:val="center"/>
          </w:tcPr>
          <w:p w14:paraId="2DD5F8AB" w14:textId="77777777" w:rsidR="00261B26" w:rsidRPr="00663CAC" w:rsidRDefault="00261B26" w:rsidP="00CB60D7">
            <w:pPr>
              <w:pStyle w:val="TableText"/>
              <w:keepNext/>
              <w:keepLines/>
              <w:jc w:val="right"/>
              <w:rPr>
                <w:b/>
              </w:rPr>
            </w:pPr>
            <w:r>
              <w:rPr>
                <w:rFonts w:ascii="Calibri" w:hAnsi="Calibri" w:cs="Calibri"/>
                <w:color w:val="000000"/>
                <w:szCs w:val="20"/>
              </w:rPr>
              <w:t>0.0%</w:t>
            </w:r>
          </w:p>
        </w:tc>
      </w:tr>
      <w:tr w:rsidR="00261B26" w:rsidRPr="00B71F2F" w14:paraId="1B1FB5E8" w14:textId="77777777" w:rsidTr="00CB60D7">
        <w:tc>
          <w:tcPr>
            <w:tcW w:w="2302" w:type="dxa"/>
            <w:tcBorders>
              <w:top w:val="nil"/>
              <w:bottom w:val="nil"/>
            </w:tcBorders>
            <w:shd w:val="clear" w:color="auto" w:fill="auto"/>
            <w:vAlign w:val="center"/>
          </w:tcPr>
          <w:p w14:paraId="277C271B" w14:textId="77777777" w:rsidR="00261B26" w:rsidRPr="00B71F2F" w:rsidRDefault="00261B26" w:rsidP="00CB60D7">
            <w:pPr>
              <w:pStyle w:val="TableText"/>
              <w:keepNext/>
              <w:keepLines/>
            </w:pPr>
            <w:r>
              <w:rPr>
                <w:rFonts w:ascii="Calibri" w:hAnsi="Calibri" w:cs="Calibri"/>
                <w:color w:val="000000"/>
                <w:szCs w:val="20"/>
              </w:rPr>
              <w:t>Other (7)</w:t>
            </w:r>
          </w:p>
        </w:tc>
        <w:tc>
          <w:tcPr>
            <w:tcW w:w="1692" w:type="dxa"/>
            <w:tcBorders>
              <w:top w:val="nil"/>
              <w:bottom w:val="nil"/>
            </w:tcBorders>
            <w:vAlign w:val="center"/>
          </w:tcPr>
          <w:p w14:paraId="60F5076E" w14:textId="77777777" w:rsidR="00261B26" w:rsidRPr="00B71F2F" w:rsidRDefault="00261B26" w:rsidP="00CB60D7">
            <w:pPr>
              <w:pStyle w:val="TableText"/>
              <w:keepNext/>
              <w:keepLines/>
              <w:jc w:val="right"/>
            </w:pPr>
            <w:r>
              <w:rPr>
                <w:rFonts w:ascii="Calibri" w:hAnsi="Calibri" w:cs="Calibri"/>
                <w:color w:val="000000"/>
                <w:szCs w:val="20"/>
              </w:rPr>
              <w:t xml:space="preserve"> 2 600</w:t>
            </w:r>
          </w:p>
        </w:tc>
        <w:tc>
          <w:tcPr>
            <w:tcW w:w="1693" w:type="dxa"/>
            <w:tcBorders>
              <w:top w:val="nil"/>
              <w:bottom w:val="nil"/>
            </w:tcBorders>
            <w:shd w:val="clear" w:color="auto" w:fill="auto"/>
            <w:vAlign w:val="center"/>
          </w:tcPr>
          <w:p w14:paraId="332AF1E2" w14:textId="77777777" w:rsidR="00261B26" w:rsidRPr="005C475B" w:rsidRDefault="00261B26" w:rsidP="00CB60D7">
            <w:pPr>
              <w:pStyle w:val="TableText"/>
              <w:keepNext/>
              <w:keepLines/>
              <w:jc w:val="right"/>
            </w:pPr>
            <w:r>
              <w:rPr>
                <w:rFonts w:ascii="Calibri" w:hAnsi="Calibri" w:cs="Calibri"/>
                <w:color w:val="000000"/>
                <w:szCs w:val="20"/>
              </w:rPr>
              <w:t xml:space="preserve"> 218 000</w:t>
            </w:r>
          </w:p>
        </w:tc>
        <w:tc>
          <w:tcPr>
            <w:tcW w:w="1692" w:type="dxa"/>
            <w:tcBorders>
              <w:top w:val="nil"/>
              <w:bottom w:val="nil"/>
            </w:tcBorders>
            <w:vAlign w:val="center"/>
          </w:tcPr>
          <w:p w14:paraId="118E4CA9" w14:textId="77777777" w:rsidR="00261B26" w:rsidRPr="00663CAC" w:rsidRDefault="00261B26" w:rsidP="00CB60D7">
            <w:pPr>
              <w:pStyle w:val="TableText"/>
              <w:keepNext/>
              <w:keepLines/>
              <w:jc w:val="right"/>
              <w:rPr>
                <w:b/>
              </w:rPr>
            </w:pPr>
            <w:r>
              <w:rPr>
                <w:rFonts w:ascii="Calibri" w:hAnsi="Calibri" w:cs="Calibri"/>
                <w:color w:val="000000"/>
                <w:szCs w:val="20"/>
              </w:rPr>
              <w:t>1.2%</w:t>
            </w:r>
          </w:p>
        </w:tc>
      </w:tr>
      <w:tr w:rsidR="00261B26" w:rsidRPr="00B71F2F" w14:paraId="5D49E3B0" w14:textId="77777777" w:rsidTr="00CB60D7">
        <w:tc>
          <w:tcPr>
            <w:tcW w:w="2302" w:type="dxa"/>
            <w:tcBorders>
              <w:top w:val="nil"/>
              <w:bottom w:val="nil"/>
            </w:tcBorders>
            <w:shd w:val="clear" w:color="auto" w:fill="auto"/>
            <w:vAlign w:val="center"/>
          </w:tcPr>
          <w:p w14:paraId="2A9235D6" w14:textId="77777777" w:rsidR="00261B26" w:rsidRPr="00B71F2F" w:rsidRDefault="00261B26" w:rsidP="00CB60D7">
            <w:pPr>
              <w:pStyle w:val="TableText"/>
              <w:keepNext/>
              <w:keepLines/>
            </w:pPr>
            <w:r>
              <w:rPr>
                <w:rFonts w:ascii="Calibri" w:hAnsi="Calibri" w:cs="Calibri"/>
                <w:color w:val="000000"/>
                <w:szCs w:val="20"/>
              </w:rPr>
              <w:t>Unknown polymer</w:t>
            </w:r>
          </w:p>
        </w:tc>
        <w:tc>
          <w:tcPr>
            <w:tcW w:w="1692" w:type="dxa"/>
            <w:tcBorders>
              <w:top w:val="nil"/>
              <w:bottom w:val="nil"/>
            </w:tcBorders>
            <w:vAlign w:val="center"/>
          </w:tcPr>
          <w:p w14:paraId="46282131" w14:textId="77777777" w:rsidR="00261B26" w:rsidRPr="00B71F2F" w:rsidRDefault="00261B26" w:rsidP="00CB60D7">
            <w:pPr>
              <w:pStyle w:val="TableText"/>
              <w:keepNext/>
              <w:keepLines/>
              <w:jc w:val="right"/>
            </w:pPr>
            <w:r>
              <w:rPr>
                <w:rFonts w:ascii="Calibri" w:hAnsi="Calibri" w:cs="Calibri"/>
                <w:color w:val="000000"/>
                <w:szCs w:val="20"/>
              </w:rPr>
              <w:t xml:space="preserve"> 9 800</w:t>
            </w:r>
          </w:p>
        </w:tc>
        <w:tc>
          <w:tcPr>
            <w:tcW w:w="1693" w:type="dxa"/>
            <w:tcBorders>
              <w:top w:val="nil"/>
              <w:bottom w:val="nil"/>
            </w:tcBorders>
            <w:shd w:val="clear" w:color="auto" w:fill="auto"/>
            <w:vAlign w:val="center"/>
          </w:tcPr>
          <w:p w14:paraId="0C8E3576" w14:textId="77777777" w:rsidR="00261B26" w:rsidRPr="00B71F2F" w:rsidRDefault="00261B26" w:rsidP="00CB60D7">
            <w:pPr>
              <w:pStyle w:val="TableText"/>
              <w:keepNext/>
              <w:keepLines/>
              <w:jc w:val="right"/>
            </w:pPr>
            <w:r>
              <w:rPr>
                <w:rFonts w:ascii="Calibri" w:hAnsi="Calibri" w:cs="Calibri"/>
                <w:color w:val="000000"/>
                <w:szCs w:val="20"/>
              </w:rPr>
              <w:t xml:space="preserve"> 468 400</w:t>
            </w:r>
          </w:p>
        </w:tc>
        <w:tc>
          <w:tcPr>
            <w:tcW w:w="1692" w:type="dxa"/>
            <w:tcBorders>
              <w:top w:val="nil"/>
              <w:bottom w:val="nil"/>
            </w:tcBorders>
            <w:vAlign w:val="center"/>
          </w:tcPr>
          <w:p w14:paraId="46A5AF7B" w14:textId="77777777" w:rsidR="00261B26" w:rsidRPr="00663CAC" w:rsidRDefault="00261B26" w:rsidP="00CB60D7">
            <w:pPr>
              <w:pStyle w:val="TableText"/>
              <w:keepNext/>
              <w:keepLines/>
              <w:jc w:val="right"/>
              <w:rPr>
                <w:b/>
              </w:rPr>
            </w:pPr>
            <w:r>
              <w:rPr>
                <w:rFonts w:ascii="Calibri" w:hAnsi="Calibri" w:cs="Calibri"/>
                <w:color w:val="000000"/>
                <w:szCs w:val="20"/>
              </w:rPr>
              <w:t>2.1%</w:t>
            </w:r>
          </w:p>
        </w:tc>
      </w:tr>
      <w:tr w:rsidR="00261B26" w:rsidRPr="00B71F2F" w14:paraId="6320C896" w14:textId="77777777" w:rsidTr="00CB60D7">
        <w:tc>
          <w:tcPr>
            <w:tcW w:w="2302" w:type="dxa"/>
            <w:tcBorders>
              <w:top w:val="nil"/>
              <w:bottom w:val="single" w:sz="8" w:space="0" w:color="0096BC"/>
            </w:tcBorders>
            <w:shd w:val="clear" w:color="auto" w:fill="D9D9D9" w:themeFill="background1" w:themeFillShade="D9"/>
            <w:vAlign w:val="center"/>
          </w:tcPr>
          <w:p w14:paraId="76B0C741" w14:textId="77777777" w:rsidR="00261B26" w:rsidRPr="00B71F2F" w:rsidRDefault="00261B26" w:rsidP="00CB60D7">
            <w:pPr>
              <w:pStyle w:val="TableText"/>
              <w:keepNext/>
              <w:keepLines/>
              <w:rPr>
                <w:b/>
              </w:rPr>
            </w:pPr>
            <w:r w:rsidRPr="00B71F2F">
              <w:rPr>
                <w:b/>
              </w:rPr>
              <w:t>Total</w:t>
            </w:r>
          </w:p>
        </w:tc>
        <w:tc>
          <w:tcPr>
            <w:tcW w:w="1692" w:type="dxa"/>
            <w:tcBorders>
              <w:top w:val="nil"/>
              <w:bottom w:val="single" w:sz="8" w:space="0" w:color="0096BC"/>
            </w:tcBorders>
            <w:shd w:val="clear" w:color="auto" w:fill="D9D9D9" w:themeFill="background1" w:themeFillShade="D9"/>
            <w:vAlign w:val="center"/>
          </w:tcPr>
          <w:p w14:paraId="76D8ED2A" w14:textId="77777777" w:rsidR="00261B26" w:rsidRPr="00B71F2F" w:rsidRDefault="00261B26" w:rsidP="00CB60D7">
            <w:pPr>
              <w:pStyle w:val="TableText"/>
              <w:keepNext/>
              <w:keepLines/>
              <w:jc w:val="right"/>
              <w:rPr>
                <w:b/>
              </w:rPr>
            </w:pPr>
            <w:r>
              <w:rPr>
                <w:rFonts w:ascii="Calibri" w:hAnsi="Calibri" w:cs="Calibri"/>
                <w:b/>
                <w:bCs/>
                <w:color w:val="000000"/>
                <w:szCs w:val="20"/>
              </w:rPr>
              <w:t xml:space="preserve"> 320 000</w:t>
            </w:r>
          </w:p>
        </w:tc>
        <w:tc>
          <w:tcPr>
            <w:tcW w:w="1693" w:type="dxa"/>
            <w:tcBorders>
              <w:top w:val="nil"/>
              <w:bottom w:val="single" w:sz="8" w:space="0" w:color="0096BC"/>
            </w:tcBorders>
            <w:shd w:val="clear" w:color="auto" w:fill="D9D9D9" w:themeFill="background1" w:themeFillShade="D9"/>
            <w:vAlign w:val="center"/>
          </w:tcPr>
          <w:p w14:paraId="7B0F5B77" w14:textId="77777777" w:rsidR="00261B26" w:rsidRPr="005C475B" w:rsidRDefault="00261B26" w:rsidP="00CB60D7">
            <w:pPr>
              <w:pStyle w:val="TableText"/>
              <w:keepNext/>
              <w:keepLines/>
              <w:jc w:val="right"/>
            </w:pPr>
            <w:r>
              <w:rPr>
                <w:rFonts w:ascii="Calibri" w:hAnsi="Calibri" w:cs="Calibri"/>
                <w:b/>
                <w:bCs/>
                <w:color w:val="000000"/>
                <w:szCs w:val="20"/>
              </w:rPr>
              <w:t>3 407 300</w:t>
            </w:r>
          </w:p>
        </w:tc>
        <w:tc>
          <w:tcPr>
            <w:tcW w:w="1692" w:type="dxa"/>
            <w:tcBorders>
              <w:top w:val="nil"/>
              <w:bottom w:val="single" w:sz="8" w:space="0" w:color="0096BC"/>
            </w:tcBorders>
            <w:shd w:val="clear" w:color="auto" w:fill="D9D9D9" w:themeFill="background1" w:themeFillShade="D9"/>
            <w:vAlign w:val="center"/>
          </w:tcPr>
          <w:p w14:paraId="1734E423" w14:textId="77777777" w:rsidR="00261B26" w:rsidRPr="005C475B" w:rsidRDefault="00261B26" w:rsidP="00CB60D7">
            <w:pPr>
              <w:pStyle w:val="TableText"/>
              <w:keepNext/>
              <w:keepLines/>
              <w:jc w:val="right"/>
            </w:pPr>
            <w:r>
              <w:rPr>
                <w:rFonts w:ascii="Calibri" w:hAnsi="Calibri" w:cs="Calibri"/>
                <w:b/>
                <w:bCs/>
                <w:color w:val="000000"/>
                <w:szCs w:val="20"/>
              </w:rPr>
              <w:t>9.4%</w:t>
            </w:r>
          </w:p>
        </w:tc>
      </w:tr>
    </w:tbl>
    <w:p w14:paraId="217D2FBD" w14:textId="70C721BD" w:rsidR="006025EB" w:rsidRDefault="006025EB" w:rsidP="001D2261"/>
    <w:p w14:paraId="2C6EA446" w14:textId="77777777" w:rsidR="00566A82" w:rsidRDefault="00566A82" w:rsidP="00566A82">
      <w:pPr>
        <w:pStyle w:val="Heading4"/>
      </w:pPr>
      <w:r>
        <w:t xml:space="preserve">Current Recycling </w:t>
      </w:r>
    </w:p>
    <w:p w14:paraId="282E1903" w14:textId="473C7155" w:rsidR="00566A82" w:rsidRDefault="00566A82" w:rsidP="00566A82">
      <w:r>
        <w:t xml:space="preserve">The level of export </w:t>
      </w:r>
      <w:r w:rsidR="00CD7DC7">
        <w:t xml:space="preserve">of plastics </w:t>
      </w:r>
      <w:r>
        <w:t xml:space="preserve">for reprocessing determined for 2017-18 is the highest yet observed. </w:t>
      </w:r>
      <w:r w:rsidR="00002AC4">
        <w:t xml:space="preserve"> In this year 54% of recyclable</w:t>
      </w:r>
      <w:r w:rsidR="00A50214">
        <w:t xml:space="preserve"> plastics </w:t>
      </w:r>
      <w:r w:rsidR="00002AC4">
        <w:t>collected were exported for recycling</w:t>
      </w:r>
      <w:r w:rsidR="00A50214">
        <w:t xml:space="preserve">. </w:t>
      </w:r>
      <w:r>
        <w:t>For comparative purposes, in the year 2000 the level of export for reprocessing was 26.0%.</w:t>
      </w:r>
    </w:p>
    <w:p w14:paraId="0B826215" w14:textId="77777777" w:rsidR="00566A82" w:rsidRDefault="00566A82" w:rsidP="00566A82">
      <w:r>
        <w:t>The chart below shows that as plastics recycling has increased over the past two decades, most of this has resulted in increased export rather than expansion of our local plastics recycling sector. The local plastics recycling sector is now smaller than it was in 2005.</w:t>
      </w:r>
    </w:p>
    <w:tbl>
      <w:tblPr>
        <w:tblStyle w:val="SRUTable"/>
        <w:tblW w:w="9306" w:type="dxa"/>
        <w:jc w:val="center"/>
        <w:tblBorders>
          <w:top w:val="none" w:sz="0" w:space="0" w:color="auto"/>
          <w:bottom w:val="none" w:sz="0" w:space="0" w:color="auto"/>
          <w:insideV w:val="single" w:sz="4" w:space="0" w:color="00B082"/>
        </w:tblBorders>
        <w:tblLook w:val="04A0" w:firstRow="1" w:lastRow="0" w:firstColumn="1" w:lastColumn="0" w:noHBand="0" w:noVBand="1"/>
      </w:tblPr>
      <w:tblGrid>
        <w:gridCol w:w="9306"/>
      </w:tblGrid>
      <w:tr w:rsidR="00566A82" w:rsidRPr="00DB1035" w14:paraId="349EFA86" w14:textId="77777777" w:rsidTr="00CB60D7">
        <w:trPr>
          <w:cnfStyle w:val="100000000000" w:firstRow="1" w:lastRow="0" w:firstColumn="0" w:lastColumn="0" w:oddVBand="0" w:evenVBand="0" w:oddHBand="0" w:evenHBand="0" w:firstRowFirstColumn="0" w:firstRowLastColumn="0" w:lastRowFirstColumn="0" w:lastRowLastColumn="0"/>
          <w:jc w:val="center"/>
        </w:trPr>
        <w:tc>
          <w:tcPr>
            <w:tcW w:w="9306" w:type="dxa"/>
            <w:tcBorders>
              <w:bottom w:val="none" w:sz="0" w:space="0" w:color="auto"/>
            </w:tcBorders>
          </w:tcPr>
          <w:p w14:paraId="23F978E0" w14:textId="77777777" w:rsidR="00566A82" w:rsidRPr="00C76E70" w:rsidRDefault="00566A82" w:rsidP="00CB60D7">
            <w:pPr>
              <w:pStyle w:val="Caption"/>
              <w:spacing w:before="60"/>
              <w:rPr>
                <w:b/>
              </w:rPr>
            </w:pPr>
            <w:r w:rsidRPr="00C76E70">
              <w:rPr>
                <w:b/>
              </w:rPr>
              <w:lastRenderedPageBreak/>
              <w:t>Annual Australian plastics rec</w:t>
            </w:r>
            <w:r>
              <w:rPr>
                <w:b/>
              </w:rPr>
              <w:t>overy</w:t>
            </w:r>
            <w:r w:rsidRPr="00C76E70">
              <w:rPr>
                <w:b/>
              </w:rPr>
              <w:t xml:space="preserve"> 2000 to </w:t>
            </w:r>
            <w:r>
              <w:rPr>
                <w:b/>
              </w:rPr>
              <w:t>2017–18, by location of reprocessing (tonnes)</w:t>
            </w:r>
          </w:p>
        </w:tc>
      </w:tr>
      <w:tr w:rsidR="00566A82" w:rsidRPr="00DB1035" w14:paraId="0D2EB2BE" w14:textId="77777777" w:rsidTr="00CB60D7">
        <w:trPr>
          <w:jc w:val="center"/>
        </w:trPr>
        <w:tc>
          <w:tcPr>
            <w:tcW w:w="9306" w:type="dxa"/>
            <w:vAlign w:val="center"/>
          </w:tcPr>
          <w:p w14:paraId="51FDB5A7" w14:textId="77777777" w:rsidR="00566A82" w:rsidRPr="00DB1035" w:rsidRDefault="00566A82" w:rsidP="00CB60D7">
            <w:pPr>
              <w:spacing w:before="60" w:after="60"/>
              <w:rPr>
                <w:rFonts w:asciiTheme="minorHAnsi" w:hAnsiTheme="minorHAnsi"/>
              </w:rPr>
            </w:pPr>
            <w:r>
              <w:rPr>
                <w:rFonts w:asciiTheme="minorHAnsi" w:hAnsiTheme="minorHAnsi"/>
                <w:noProof/>
              </w:rPr>
              <w:drawing>
                <wp:inline distT="0" distB="0" distL="0" distR="0" wp14:anchorId="538BEC27" wp14:editId="39EF78CC">
                  <wp:extent cx="5544000" cy="3467065"/>
                  <wp:effectExtent l="0" t="0" r="0"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44000" cy="3467065"/>
                          </a:xfrm>
                          <a:prstGeom prst="rect">
                            <a:avLst/>
                          </a:prstGeom>
                          <a:noFill/>
                        </pic:spPr>
                      </pic:pic>
                    </a:graphicData>
                  </a:graphic>
                </wp:inline>
              </w:drawing>
            </w:r>
          </w:p>
        </w:tc>
      </w:tr>
    </w:tbl>
    <w:p w14:paraId="4A579FEE" w14:textId="41C49866" w:rsidR="001B7C0B" w:rsidRPr="006E1D48" w:rsidRDefault="001B7C0B" w:rsidP="001B7C0B">
      <w:r w:rsidRPr="006E1D48">
        <w:t xml:space="preserve">Presented in </w:t>
      </w:r>
      <w:r>
        <w:t>the following chart</w:t>
      </w:r>
      <w:r w:rsidRPr="006E1D48">
        <w:t xml:space="preserve"> is plastics </w:t>
      </w:r>
      <w:r>
        <w:t>r</w:t>
      </w:r>
      <w:r w:rsidRPr="006E1D48">
        <w:t xml:space="preserve">ecycling by source jurisdiction and polymer type in </w:t>
      </w:r>
      <w:r>
        <w:t>2017–18</w:t>
      </w:r>
      <w:r w:rsidRPr="006E1D48">
        <w:t>.</w:t>
      </w:r>
      <w:r>
        <w:t xml:space="preserve"> The high level of recycling in Victoria is contributed to by the disproportionally large plastics manufacturing sector based in Victoria. Out of the 52</w:t>
      </w:r>
      <w:r w:rsidR="00A91DB5">
        <w:t>,</w:t>
      </w:r>
      <w:r>
        <w:t>100 tonnes of plastics recovered from Victoria and reprocessed in Australia, 33</w:t>
      </w:r>
      <w:r w:rsidR="00A91DB5">
        <w:t>,</w:t>
      </w:r>
      <w:r>
        <w:t>900 tonnes were manufacturing scrap (or ‘pre-consumer’ scrap) sourced from the plastics manufacturing sector. This compares with only 15</w:t>
      </w:r>
      <w:r w:rsidR="00722534">
        <w:t>,</w:t>
      </w:r>
      <w:r>
        <w:t>400 tonnes of manufacturing scrap recovery reported as recovered from NSW.</w:t>
      </w:r>
    </w:p>
    <w:tbl>
      <w:tblPr>
        <w:tblStyle w:val="SRUTable"/>
        <w:tblW w:w="9306" w:type="dxa"/>
        <w:jc w:val="center"/>
        <w:tblBorders>
          <w:top w:val="none" w:sz="0" w:space="0" w:color="auto"/>
          <w:bottom w:val="none" w:sz="0" w:space="0" w:color="auto"/>
          <w:insideV w:val="single" w:sz="4" w:space="0" w:color="00B082"/>
        </w:tblBorders>
        <w:tblLook w:val="04A0" w:firstRow="1" w:lastRow="0" w:firstColumn="1" w:lastColumn="0" w:noHBand="0" w:noVBand="1"/>
      </w:tblPr>
      <w:tblGrid>
        <w:gridCol w:w="9306"/>
      </w:tblGrid>
      <w:tr w:rsidR="001B7C0B" w:rsidRPr="00DB1035" w14:paraId="247DEE2F" w14:textId="77777777" w:rsidTr="00FC32B5">
        <w:trPr>
          <w:cnfStyle w:val="100000000000" w:firstRow="1" w:lastRow="0" w:firstColumn="0" w:lastColumn="0" w:oddVBand="0" w:evenVBand="0" w:oddHBand="0" w:evenHBand="0" w:firstRowFirstColumn="0" w:firstRowLastColumn="0" w:lastRowFirstColumn="0" w:lastRowLastColumn="0"/>
          <w:trHeight w:val="20"/>
          <w:jc w:val="center"/>
        </w:trPr>
        <w:tc>
          <w:tcPr>
            <w:tcW w:w="9306" w:type="dxa"/>
            <w:tcBorders>
              <w:bottom w:val="none" w:sz="0" w:space="0" w:color="auto"/>
            </w:tcBorders>
          </w:tcPr>
          <w:p w14:paraId="5D2661AC" w14:textId="3CEA33B1" w:rsidR="001B7C0B" w:rsidRPr="00F63545" w:rsidRDefault="001B7C0B" w:rsidP="00CB60D7">
            <w:pPr>
              <w:pStyle w:val="Caption"/>
              <w:spacing w:before="60"/>
              <w:rPr>
                <w:b/>
              </w:rPr>
            </w:pPr>
            <w:r>
              <w:rPr>
                <w:b/>
              </w:rPr>
              <w:t>Recycling</w:t>
            </w:r>
            <w:r w:rsidRPr="00F63545">
              <w:rPr>
                <w:b/>
              </w:rPr>
              <w:t xml:space="preserve"> by source jurisdiction and polymer type in </w:t>
            </w:r>
            <w:r>
              <w:rPr>
                <w:b/>
              </w:rPr>
              <w:t>2017–18</w:t>
            </w:r>
            <w:r w:rsidRPr="00F63545">
              <w:rPr>
                <w:b/>
              </w:rPr>
              <w:t xml:space="preserve"> (tonnes)</w:t>
            </w:r>
          </w:p>
        </w:tc>
      </w:tr>
      <w:tr w:rsidR="001B7C0B" w:rsidRPr="00DB1035" w14:paraId="14DDAB72" w14:textId="77777777" w:rsidTr="00FC32B5">
        <w:trPr>
          <w:trHeight w:val="20"/>
          <w:jc w:val="center"/>
        </w:trPr>
        <w:tc>
          <w:tcPr>
            <w:tcW w:w="9306" w:type="dxa"/>
            <w:vAlign w:val="center"/>
          </w:tcPr>
          <w:p w14:paraId="0E274DBB" w14:textId="77777777" w:rsidR="001B7C0B" w:rsidRPr="00DB1035" w:rsidRDefault="001B7C0B" w:rsidP="00CB60D7">
            <w:pPr>
              <w:keepNext/>
              <w:spacing w:before="60" w:after="60"/>
              <w:rPr>
                <w:rFonts w:asciiTheme="minorHAnsi" w:hAnsiTheme="minorHAnsi"/>
              </w:rPr>
            </w:pPr>
            <w:r>
              <w:rPr>
                <w:rFonts w:asciiTheme="minorHAnsi" w:hAnsiTheme="minorHAnsi"/>
                <w:noProof/>
              </w:rPr>
              <w:drawing>
                <wp:inline distT="0" distB="0" distL="0" distR="0" wp14:anchorId="1706E3D9" wp14:editId="785C3AF4">
                  <wp:extent cx="5434716" cy="339535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46748" cy="3402868"/>
                          </a:xfrm>
                          <a:prstGeom prst="rect">
                            <a:avLst/>
                          </a:prstGeom>
                          <a:noFill/>
                        </pic:spPr>
                      </pic:pic>
                    </a:graphicData>
                  </a:graphic>
                </wp:inline>
              </w:drawing>
            </w:r>
          </w:p>
        </w:tc>
      </w:tr>
    </w:tbl>
    <w:p w14:paraId="226651AA" w14:textId="77777777" w:rsidR="001B7C0B" w:rsidRDefault="001B7C0B" w:rsidP="001D2261"/>
    <w:p w14:paraId="58082351" w14:textId="143BD4D8" w:rsidR="006025EB" w:rsidRDefault="00905358" w:rsidP="001D2261">
      <w:r>
        <w:t>Recent assessments of the local and export markets for plastics have shown the following</w:t>
      </w:r>
      <w:r w:rsidR="008900EA">
        <w:t xml:space="preserve"> conditions.</w:t>
      </w:r>
    </w:p>
    <w:p w14:paraId="0D8A2428" w14:textId="77777777" w:rsidR="00840E46" w:rsidRDefault="002D3F71" w:rsidP="002D3F71">
      <w:pPr>
        <w:pStyle w:val="TableText"/>
        <w:spacing w:before="120" w:after="120"/>
        <w:jc w:val="both"/>
        <w:rPr>
          <w:sz w:val="22"/>
          <w:szCs w:val="22"/>
        </w:rPr>
      </w:pPr>
      <w:r w:rsidRPr="004F11F4">
        <w:rPr>
          <w:sz w:val="22"/>
          <w:szCs w:val="22"/>
        </w:rPr>
        <w:lastRenderedPageBreak/>
        <w:t xml:space="preserve">Plastics collected through kerbside collections are generally sent to MRFs and sorted from commingled recycling into either a single mixed plastics grade (1–7 plastic-polymer mix), or more commonly three grades, which are PET, HDPE and the residual mixed plastics grade (a 3–7 plastic-polymer mix, but with some residual quantities of PET and HDPE still present). </w:t>
      </w:r>
    </w:p>
    <w:p w14:paraId="1AC80614" w14:textId="4CE87981" w:rsidR="002D3F71" w:rsidRPr="004F11F4" w:rsidRDefault="002D3F71" w:rsidP="002D3F71">
      <w:pPr>
        <w:pStyle w:val="TableText"/>
        <w:spacing w:before="120" w:after="120"/>
        <w:jc w:val="both"/>
        <w:rPr>
          <w:sz w:val="22"/>
          <w:szCs w:val="22"/>
        </w:rPr>
      </w:pPr>
      <w:r w:rsidRPr="004F11F4">
        <w:rPr>
          <w:sz w:val="22"/>
          <w:szCs w:val="22"/>
        </w:rPr>
        <w:t>Most MRF operators undertake the polymer sorting locally, but others</w:t>
      </w:r>
      <w:r w:rsidR="00CD1CD7">
        <w:rPr>
          <w:sz w:val="22"/>
          <w:szCs w:val="22"/>
        </w:rPr>
        <w:t xml:space="preserve"> </w:t>
      </w:r>
      <w:r w:rsidRPr="004F11F4">
        <w:rPr>
          <w:sz w:val="22"/>
          <w:szCs w:val="22"/>
        </w:rPr>
        <w:t>have overseas partners for the polymer sorting so are particularly exposed to import restrictions on mixed and contaminated materials.</w:t>
      </w:r>
      <w:r w:rsidR="0098461A">
        <w:rPr>
          <w:sz w:val="22"/>
          <w:szCs w:val="22"/>
        </w:rPr>
        <w:t xml:space="preserve"> This is because </w:t>
      </w:r>
      <w:r w:rsidR="003333A9">
        <w:rPr>
          <w:sz w:val="22"/>
          <w:szCs w:val="22"/>
        </w:rPr>
        <w:t xml:space="preserve">mixed polymer loads requiring subsequent sorting, are the loads most restricted from </w:t>
      </w:r>
      <w:r w:rsidR="00F95F85">
        <w:rPr>
          <w:sz w:val="22"/>
          <w:szCs w:val="22"/>
        </w:rPr>
        <w:t>Asian market destinations.</w:t>
      </w:r>
    </w:p>
    <w:p w14:paraId="069DFE7E" w14:textId="05DE7193" w:rsidR="002D3F71" w:rsidRPr="004F11F4" w:rsidRDefault="002D3F71" w:rsidP="002D3F71">
      <w:pPr>
        <w:pStyle w:val="TableText"/>
        <w:spacing w:before="120" w:after="120"/>
        <w:jc w:val="both"/>
        <w:rPr>
          <w:sz w:val="22"/>
          <w:szCs w:val="22"/>
        </w:rPr>
      </w:pPr>
      <w:r w:rsidRPr="004F11F4">
        <w:rPr>
          <w:sz w:val="22"/>
          <w:szCs w:val="22"/>
        </w:rPr>
        <w:t xml:space="preserve">Baled PET and HDPE packaging is processed and remanufactured </w:t>
      </w:r>
      <w:r w:rsidR="00BD53D9" w:rsidRPr="004F11F4">
        <w:rPr>
          <w:sz w:val="22"/>
          <w:szCs w:val="22"/>
        </w:rPr>
        <w:t>locally and</w:t>
      </w:r>
      <w:r w:rsidRPr="004F11F4">
        <w:rPr>
          <w:sz w:val="22"/>
          <w:szCs w:val="22"/>
        </w:rPr>
        <w:t xml:space="preserve"> </w:t>
      </w:r>
      <w:r w:rsidR="00F17996">
        <w:rPr>
          <w:sz w:val="22"/>
          <w:szCs w:val="22"/>
        </w:rPr>
        <w:t xml:space="preserve">is </w:t>
      </w:r>
      <w:r w:rsidRPr="004F11F4">
        <w:rPr>
          <w:sz w:val="22"/>
          <w:szCs w:val="22"/>
        </w:rPr>
        <w:t>also exported to a wide range of countries. The main overseas destinations</w:t>
      </w:r>
      <w:r w:rsidR="00A9420C">
        <w:rPr>
          <w:sz w:val="22"/>
          <w:szCs w:val="22"/>
        </w:rPr>
        <w:t xml:space="preserve"> for sorted PET and HDPE</w:t>
      </w:r>
      <w:r w:rsidRPr="004F11F4">
        <w:rPr>
          <w:sz w:val="22"/>
          <w:szCs w:val="22"/>
        </w:rPr>
        <w:t xml:space="preserve"> </w:t>
      </w:r>
      <w:r>
        <w:rPr>
          <w:sz w:val="22"/>
          <w:szCs w:val="22"/>
        </w:rPr>
        <w:t>across</w:t>
      </w:r>
      <w:r w:rsidRPr="004F11F4">
        <w:rPr>
          <w:sz w:val="22"/>
          <w:szCs w:val="22"/>
        </w:rPr>
        <w:t xml:space="preserve"> January to </w:t>
      </w:r>
      <w:r>
        <w:rPr>
          <w:sz w:val="22"/>
          <w:szCs w:val="22"/>
        </w:rPr>
        <w:t>May</w:t>
      </w:r>
      <w:r w:rsidRPr="004F11F4">
        <w:rPr>
          <w:sz w:val="22"/>
          <w:szCs w:val="22"/>
        </w:rPr>
        <w:t xml:space="preserve"> 2019 were Indonesia</w:t>
      </w:r>
      <w:r>
        <w:rPr>
          <w:sz w:val="22"/>
          <w:szCs w:val="22"/>
        </w:rPr>
        <w:t>,</w:t>
      </w:r>
      <w:r w:rsidRPr="004F11F4">
        <w:rPr>
          <w:sz w:val="22"/>
          <w:szCs w:val="22"/>
        </w:rPr>
        <w:t xml:space="preserve"> Malaysia</w:t>
      </w:r>
      <w:r>
        <w:rPr>
          <w:sz w:val="22"/>
          <w:szCs w:val="22"/>
        </w:rPr>
        <w:t xml:space="preserve"> and Taiwan (in order of quantities)</w:t>
      </w:r>
      <w:r w:rsidRPr="004F11F4">
        <w:rPr>
          <w:sz w:val="22"/>
          <w:szCs w:val="22"/>
        </w:rPr>
        <w:t xml:space="preserve">. New Malaysian import restrictions entered into force in </w:t>
      </w:r>
      <w:r w:rsidR="005A5BC7" w:rsidRPr="004F11F4">
        <w:rPr>
          <w:sz w:val="22"/>
          <w:szCs w:val="22"/>
        </w:rPr>
        <w:t>July 2018 and</w:t>
      </w:r>
      <w:r w:rsidRPr="004F11F4">
        <w:rPr>
          <w:sz w:val="22"/>
          <w:szCs w:val="22"/>
        </w:rPr>
        <w:t xml:space="preserve"> had a major impact on Australian exports. However, Malaysia </w:t>
      </w:r>
      <w:proofErr w:type="spellStart"/>
      <w:r w:rsidRPr="004F11F4">
        <w:rPr>
          <w:sz w:val="22"/>
          <w:szCs w:val="22"/>
        </w:rPr>
        <w:t>receivals</w:t>
      </w:r>
      <w:proofErr w:type="spellEnd"/>
      <w:r w:rsidRPr="004F11F4">
        <w:rPr>
          <w:sz w:val="22"/>
          <w:szCs w:val="22"/>
        </w:rPr>
        <w:t xml:space="preserve"> of Australian shipments recover</w:t>
      </w:r>
      <w:r>
        <w:rPr>
          <w:sz w:val="22"/>
          <w:szCs w:val="22"/>
        </w:rPr>
        <w:t>ed</w:t>
      </w:r>
      <w:r w:rsidRPr="004F11F4">
        <w:rPr>
          <w:sz w:val="22"/>
          <w:szCs w:val="22"/>
        </w:rPr>
        <w:t xml:space="preserve"> in February and </w:t>
      </w:r>
      <w:r w:rsidR="005A5BC7" w:rsidRPr="004F11F4">
        <w:rPr>
          <w:sz w:val="22"/>
          <w:szCs w:val="22"/>
        </w:rPr>
        <w:t>March and</w:t>
      </w:r>
      <w:r w:rsidRPr="004F11F4">
        <w:rPr>
          <w:sz w:val="22"/>
          <w:szCs w:val="22"/>
        </w:rPr>
        <w:t xml:space="preserve"> </w:t>
      </w:r>
      <w:r>
        <w:rPr>
          <w:sz w:val="22"/>
          <w:szCs w:val="22"/>
        </w:rPr>
        <w:t>were steady in</w:t>
      </w:r>
      <w:r w:rsidRPr="004F11F4">
        <w:rPr>
          <w:sz w:val="22"/>
          <w:szCs w:val="22"/>
        </w:rPr>
        <w:t xml:space="preserve"> April</w:t>
      </w:r>
      <w:r w:rsidR="00286329">
        <w:rPr>
          <w:sz w:val="22"/>
          <w:szCs w:val="22"/>
        </w:rPr>
        <w:t xml:space="preserve"> but</w:t>
      </w:r>
      <w:r>
        <w:rPr>
          <w:sz w:val="22"/>
          <w:szCs w:val="22"/>
        </w:rPr>
        <w:t xml:space="preserve"> a fall in exports in May</w:t>
      </w:r>
      <w:r w:rsidRPr="004F11F4">
        <w:rPr>
          <w:sz w:val="22"/>
          <w:szCs w:val="22"/>
        </w:rPr>
        <w:t xml:space="preserve"> is apparent.</w:t>
      </w:r>
    </w:p>
    <w:p w14:paraId="1B9D0A66" w14:textId="77777777" w:rsidR="00FE6BEB" w:rsidRPr="004F11F4" w:rsidRDefault="00FE6BEB" w:rsidP="00FE6BEB">
      <w:pPr>
        <w:pStyle w:val="Heading4"/>
        <w:jc w:val="both"/>
        <w:rPr>
          <w:iCs/>
          <w:color w:val="4F81BD" w:themeColor="accent1"/>
          <w:szCs w:val="24"/>
        </w:rPr>
      </w:pPr>
      <w:bookmarkStart w:id="9" w:name="_Hlk8306963"/>
      <w:r w:rsidRPr="004F11F4">
        <w:rPr>
          <w:color w:val="4F81BD" w:themeColor="accent1"/>
          <w:szCs w:val="24"/>
        </w:rPr>
        <w:t>Prices, demand and supply</w:t>
      </w:r>
      <w:bookmarkEnd w:id="9"/>
    </w:p>
    <w:p w14:paraId="72A49DEE" w14:textId="4831331D" w:rsidR="00FE6BEB" w:rsidRPr="004F11F4" w:rsidRDefault="00FE6BEB" w:rsidP="00FE6BEB">
      <w:pPr>
        <w:pStyle w:val="TableText"/>
        <w:spacing w:before="120" w:after="120"/>
        <w:jc w:val="both"/>
        <w:rPr>
          <w:sz w:val="22"/>
          <w:szCs w:val="22"/>
        </w:rPr>
      </w:pPr>
      <w:r w:rsidRPr="004F11F4">
        <w:rPr>
          <w:sz w:val="22"/>
          <w:szCs w:val="22"/>
        </w:rPr>
        <w:t xml:space="preserve">There continues to be strong local and export markets for clean </w:t>
      </w:r>
      <w:r w:rsidR="005A5BC7">
        <w:rPr>
          <w:sz w:val="22"/>
          <w:szCs w:val="22"/>
        </w:rPr>
        <w:t xml:space="preserve">baled </w:t>
      </w:r>
      <w:r w:rsidRPr="004F11F4">
        <w:rPr>
          <w:sz w:val="22"/>
          <w:szCs w:val="22"/>
        </w:rPr>
        <w:t xml:space="preserve">PET that are collected and sorted to specification, with prices holding fairly steady over the past </w:t>
      </w:r>
      <w:r>
        <w:rPr>
          <w:sz w:val="22"/>
          <w:szCs w:val="22"/>
        </w:rPr>
        <w:t xml:space="preserve">April–June </w:t>
      </w:r>
      <w:r w:rsidRPr="004F11F4">
        <w:rPr>
          <w:sz w:val="22"/>
          <w:szCs w:val="22"/>
        </w:rPr>
        <w:t>quarter at $350–$400 /tonne (EX</w:t>
      </w:r>
      <w:r>
        <w:rPr>
          <w:sz w:val="22"/>
          <w:szCs w:val="22"/>
        </w:rPr>
        <w:t>W MRF</w:t>
      </w:r>
      <w:r w:rsidRPr="004F11F4">
        <w:rPr>
          <w:rStyle w:val="FootnoteReference"/>
          <w:sz w:val="20"/>
          <w:szCs w:val="32"/>
        </w:rPr>
        <w:footnoteReference w:id="1"/>
      </w:r>
      <w:r w:rsidRPr="004F11F4">
        <w:rPr>
          <w:sz w:val="22"/>
          <w:szCs w:val="22"/>
        </w:rPr>
        <w:t>).</w:t>
      </w:r>
      <w:r w:rsidR="002406BF">
        <w:rPr>
          <w:sz w:val="22"/>
          <w:szCs w:val="22"/>
        </w:rPr>
        <w:t xml:space="preserve"> </w:t>
      </w:r>
    </w:p>
    <w:p w14:paraId="304B9A1D" w14:textId="77777777" w:rsidR="00FE6BEB" w:rsidRPr="004F11F4" w:rsidRDefault="00FE6BEB" w:rsidP="00FE6BEB">
      <w:pPr>
        <w:pStyle w:val="TableText"/>
        <w:spacing w:before="120" w:after="120"/>
        <w:jc w:val="both"/>
        <w:rPr>
          <w:sz w:val="22"/>
          <w:szCs w:val="22"/>
        </w:rPr>
      </w:pPr>
      <w:r w:rsidRPr="004F11F4">
        <w:rPr>
          <w:sz w:val="22"/>
          <w:szCs w:val="22"/>
        </w:rPr>
        <w:t xml:space="preserve">The price of recycled resin is linked to the price for virgin resin. In the case of PET, the virgin price generally increased across 2018, in part due to China utilising more of this material as it received less imported </w:t>
      </w:r>
      <w:proofErr w:type="spellStart"/>
      <w:r w:rsidRPr="004F11F4">
        <w:rPr>
          <w:sz w:val="22"/>
          <w:szCs w:val="22"/>
        </w:rPr>
        <w:t>recyclate</w:t>
      </w:r>
      <w:proofErr w:type="spellEnd"/>
      <w:r w:rsidRPr="004F11F4">
        <w:rPr>
          <w:sz w:val="22"/>
          <w:szCs w:val="22"/>
        </w:rPr>
        <w:t>, however virgin prices did see some significant falls starting in October 2018 and continuing into early 2019.</w:t>
      </w:r>
    </w:p>
    <w:p w14:paraId="5F641EAE" w14:textId="77777777" w:rsidR="00FE6BEB" w:rsidRPr="004F11F4" w:rsidRDefault="00FE6BEB" w:rsidP="00FE6BEB">
      <w:pPr>
        <w:pStyle w:val="TableText"/>
        <w:jc w:val="both"/>
        <w:rPr>
          <w:sz w:val="22"/>
          <w:szCs w:val="22"/>
        </w:rPr>
      </w:pPr>
      <w:r w:rsidRPr="004F11F4">
        <w:rPr>
          <w:sz w:val="22"/>
          <w:szCs w:val="22"/>
        </w:rPr>
        <w:t xml:space="preserve">The situation is similar for HDPE, with markets and pricing for clean material remaining strong. There was some export price reduction due to the Chinese restrictions with prices falling to around $500 /tonne in early to mid-2018. </w:t>
      </w:r>
      <w:r>
        <w:rPr>
          <w:sz w:val="22"/>
          <w:szCs w:val="22"/>
        </w:rPr>
        <w:t>P</w:t>
      </w:r>
      <w:r w:rsidRPr="004F11F4">
        <w:rPr>
          <w:sz w:val="22"/>
          <w:szCs w:val="22"/>
        </w:rPr>
        <w:t xml:space="preserve">rices </w:t>
      </w:r>
      <w:r>
        <w:rPr>
          <w:sz w:val="22"/>
          <w:szCs w:val="22"/>
        </w:rPr>
        <w:t>then</w:t>
      </w:r>
      <w:r w:rsidRPr="004F11F4">
        <w:rPr>
          <w:sz w:val="22"/>
          <w:szCs w:val="22"/>
        </w:rPr>
        <w:t xml:space="preserve"> recovered somewhat </w:t>
      </w:r>
      <w:r>
        <w:rPr>
          <w:sz w:val="22"/>
          <w:szCs w:val="22"/>
        </w:rPr>
        <w:t xml:space="preserve">but over the last couple of months have fallen back to the </w:t>
      </w:r>
      <w:r w:rsidRPr="004F11F4">
        <w:rPr>
          <w:sz w:val="22"/>
          <w:szCs w:val="22"/>
        </w:rPr>
        <w:t>$</w:t>
      </w:r>
      <w:r>
        <w:rPr>
          <w:sz w:val="22"/>
          <w:szCs w:val="22"/>
        </w:rPr>
        <w:t>5</w:t>
      </w:r>
      <w:r w:rsidRPr="004F11F4">
        <w:rPr>
          <w:sz w:val="22"/>
          <w:szCs w:val="22"/>
        </w:rPr>
        <w:t>00 /tonne</w:t>
      </w:r>
      <w:r>
        <w:rPr>
          <w:sz w:val="22"/>
          <w:szCs w:val="22"/>
        </w:rPr>
        <w:t xml:space="preserve"> level</w:t>
      </w:r>
      <w:r w:rsidRPr="004F11F4">
        <w:rPr>
          <w:sz w:val="22"/>
          <w:szCs w:val="22"/>
        </w:rPr>
        <w:t xml:space="preserve">. </w:t>
      </w:r>
      <w:r w:rsidRPr="004F11F4">
        <w:rPr>
          <w:sz w:val="22"/>
        </w:rPr>
        <w:t>Virgin resin prices have been fairly steady since the first quarter of 2018 at around $1,700–$1,800.</w:t>
      </w:r>
    </w:p>
    <w:p w14:paraId="1EF9D261" w14:textId="77777777" w:rsidR="00FE6BEB" w:rsidRPr="004F11F4" w:rsidRDefault="00FE6BEB" w:rsidP="00FE6BEB">
      <w:pPr>
        <w:pStyle w:val="TableText"/>
        <w:spacing w:before="120" w:after="120"/>
        <w:jc w:val="both"/>
        <w:rPr>
          <w:sz w:val="22"/>
          <w:szCs w:val="22"/>
        </w:rPr>
      </w:pPr>
      <w:r w:rsidRPr="004F11F4">
        <w:rPr>
          <w:sz w:val="22"/>
          <w:szCs w:val="22"/>
        </w:rPr>
        <w:t xml:space="preserve">The market for mixed plastic packaging bales continues to be very poor at $0 /tonne or less, assuming it can be sold. Due to a lack of demand for this product it is understood that storage of mixed plastics packaging continues to be undertaken by both MRF operators and </w:t>
      </w:r>
      <w:proofErr w:type="spellStart"/>
      <w:r w:rsidRPr="004F11F4">
        <w:rPr>
          <w:sz w:val="22"/>
          <w:szCs w:val="22"/>
        </w:rPr>
        <w:t>reprocessors</w:t>
      </w:r>
      <w:proofErr w:type="spellEnd"/>
      <w:r w:rsidRPr="004F11F4">
        <w:rPr>
          <w:sz w:val="22"/>
          <w:szCs w:val="22"/>
        </w:rPr>
        <w:t>.</w:t>
      </w:r>
    </w:p>
    <w:p w14:paraId="13236CF9" w14:textId="77777777" w:rsidR="005D3CB3" w:rsidRPr="004F11F4" w:rsidRDefault="005D3CB3" w:rsidP="005D3CB3">
      <w:pPr>
        <w:pStyle w:val="TableText"/>
        <w:spacing w:before="120" w:after="120"/>
        <w:jc w:val="both"/>
        <w:rPr>
          <w:sz w:val="22"/>
          <w:szCs w:val="22"/>
        </w:rPr>
      </w:pPr>
      <w:r w:rsidRPr="004F11F4">
        <w:rPr>
          <w:sz w:val="22"/>
          <w:szCs w:val="22"/>
        </w:rPr>
        <w:t>Exported plastics packaging has specifications relating mostly to contamination levels. The positive sorting of PET and HDPE that is undertaken at MRFs allows the baled material to generally meet these specifications without major difficulty or manual sorting input.</w:t>
      </w:r>
    </w:p>
    <w:p w14:paraId="51184B8C" w14:textId="355369D3" w:rsidR="005D3CB3" w:rsidRPr="004F11F4" w:rsidRDefault="005D3CB3" w:rsidP="005D3CB3">
      <w:pPr>
        <w:pStyle w:val="TableText"/>
        <w:spacing w:before="120" w:after="120"/>
        <w:jc w:val="both"/>
        <w:rPr>
          <w:sz w:val="22"/>
          <w:szCs w:val="22"/>
        </w:rPr>
      </w:pPr>
      <w:r w:rsidRPr="004F11F4">
        <w:rPr>
          <w:sz w:val="22"/>
          <w:szCs w:val="22"/>
        </w:rPr>
        <w:t xml:space="preserve">Previously plastics packaging has been overwhelmingly exported to China, until the latest round of restrictions. Indonesia is now the largest destination for </w:t>
      </w:r>
      <w:r w:rsidR="00E5429C">
        <w:rPr>
          <w:sz w:val="22"/>
          <w:szCs w:val="22"/>
        </w:rPr>
        <w:t>Australian</w:t>
      </w:r>
      <w:r w:rsidRPr="004F11F4">
        <w:rPr>
          <w:sz w:val="22"/>
          <w:szCs w:val="22"/>
        </w:rPr>
        <w:t xml:space="preserve"> kerbside plastics, followed by Malaysia</w:t>
      </w:r>
      <w:r>
        <w:rPr>
          <w:sz w:val="22"/>
          <w:szCs w:val="22"/>
        </w:rPr>
        <w:t xml:space="preserve"> and Thailand</w:t>
      </w:r>
      <w:r w:rsidRPr="004F11F4">
        <w:rPr>
          <w:sz w:val="22"/>
          <w:szCs w:val="22"/>
        </w:rPr>
        <w:t>.</w:t>
      </w:r>
    </w:p>
    <w:p w14:paraId="2C171174" w14:textId="308A771C" w:rsidR="005D3CB3" w:rsidRPr="004F11F4" w:rsidRDefault="005D3CB3" w:rsidP="005D3CB3">
      <w:pPr>
        <w:tabs>
          <w:tab w:val="left" w:pos="1155"/>
        </w:tabs>
        <w:jc w:val="both"/>
      </w:pPr>
      <w:r w:rsidRPr="004F11F4">
        <w:t xml:space="preserve">A proportion of the mixed plastic packaging is </w:t>
      </w:r>
      <w:r w:rsidR="00992ED1">
        <w:t xml:space="preserve">reprocessed locally and is </w:t>
      </w:r>
      <w:r w:rsidRPr="004F11F4">
        <w:t>used in durable (timber substitute type) plastics applications such as outdoor equipment and building materials.</w:t>
      </w:r>
      <w:r w:rsidR="008E7B1D">
        <w:t xml:space="preserve"> This market is </w:t>
      </w:r>
      <w:r w:rsidR="006C3901">
        <w:t>constrained by the scale of sales for the end products. If government and others buy more o</w:t>
      </w:r>
      <w:r w:rsidR="00A64E5C">
        <w:t xml:space="preserve">f the end products, there is an ability for the companies to take in more </w:t>
      </w:r>
      <w:r w:rsidR="00564653">
        <w:t>material for recycling.</w:t>
      </w:r>
    </w:p>
    <w:p w14:paraId="0CC37BBA" w14:textId="0309AD4A" w:rsidR="00C709F8" w:rsidRPr="004F11F4" w:rsidRDefault="00C709F8" w:rsidP="00C709F8">
      <w:pPr>
        <w:jc w:val="both"/>
      </w:pPr>
      <w:r w:rsidRPr="004F11F4">
        <w:t xml:space="preserve">Plastic packaging exports from Australia compete in receiving countries with plastics from the US, Europe and many other countries. It is destined for wherever the </w:t>
      </w:r>
      <w:r w:rsidR="00E800B6">
        <w:t>market</w:t>
      </w:r>
      <w:r w:rsidRPr="004F11F4">
        <w:t xml:space="preserve"> requires material for production. Generally, demand and pricing will increase or decrease based on worldwide supply and demand conditions.</w:t>
      </w:r>
    </w:p>
    <w:p w14:paraId="1B9DAFE3" w14:textId="2E711FB5" w:rsidR="00C709F8" w:rsidRPr="004F11F4" w:rsidRDefault="00C709F8" w:rsidP="00C709F8">
      <w:pPr>
        <w:keepLines/>
        <w:jc w:val="both"/>
      </w:pPr>
      <w:r w:rsidRPr="004F11F4">
        <w:lastRenderedPageBreak/>
        <w:t xml:space="preserve">Exports of kerbside recovered mixed plastic packaging have dropped dramatically over the past few years. In 2016 exports were around 42,000 tonnes, down to 37,000 tonnes in 2017 and then 29,000 tonnes in 2018. So far this year, January to </w:t>
      </w:r>
      <w:r>
        <w:t>May</w:t>
      </w:r>
      <w:r w:rsidRPr="004F11F4">
        <w:t xml:space="preserve"> 2019 exports have been around </w:t>
      </w:r>
      <w:r>
        <w:t>12</w:t>
      </w:r>
      <w:r w:rsidRPr="004F11F4">
        <w:t xml:space="preserve">,000 tonnes, so </w:t>
      </w:r>
      <w:r w:rsidR="00E800B6">
        <w:t xml:space="preserve">the level </w:t>
      </w:r>
      <w:r w:rsidRPr="004F11F4">
        <w:t>appear</w:t>
      </w:r>
      <w:r w:rsidR="00E800B6">
        <w:t>s</w:t>
      </w:r>
      <w:r w:rsidRPr="004F11F4">
        <w:t xml:space="preserve"> similar to </w:t>
      </w:r>
      <w:r w:rsidR="00F93A12">
        <w:t xml:space="preserve">that of </w:t>
      </w:r>
      <w:r w:rsidRPr="004F11F4">
        <w:t>2018.</w:t>
      </w:r>
    </w:p>
    <w:p w14:paraId="0B715369" w14:textId="39021FA7" w:rsidR="00C709F8" w:rsidRDefault="00C709F8" w:rsidP="00C709F8">
      <w:pPr>
        <w:keepLines/>
        <w:jc w:val="both"/>
      </w:pPr>
      <w:r w:rsidRPr="004F11F4">
        <w:t xml:space="preserve">The falls across 2017 and 2018 were driven entirely by lost sales to China, with exports to Malaysia and Indonesia taking up some of this material. Malaysian sales dropped sharply after the introduction of import restrictions around </w:t>
      </w:r>
      <w:r w:rsidR="001E0E9B" w:rsidRPr="004F11F4">
        <w:t>July 2018 but</w:t>
      </w:r>
      <w:r w:rsidRPr="004F11F4">
        <w:t xml:space="preserve"> have seen strong recovery across February–April of this year</w:t>
      </w:r>
      <w:r>
        <w:t>, and steady exports in May.</w:t>
      </w:r>
    </w:p>
    <w:p w14:paraId="03A1CB98" w14:textId="31B3FD76" w:rsidR="000C6D5A" w:rsidRPr="004F11F4" w:rsidRDefault="00916030" w:rsidP="00C709F8">
      <w:pPr>
        <w:keepLines/>
        <w:jc w:val="both"/>
      </w:pPr>
      <w:r>
        <w:t>The level of stockpiling of sorted and baled plastics</w:t>
      </w:r>
      <w:r w:rsidR="008C58B2">
        <w:t xml:space="preserve"> has become a much more significant issue around the country. It is particularly acute in Victoria where the </w:t>
      </w:r>
      <w:r w:rsidR="00E54A2E">
        <w:t>challenges at SKM (fires and enforced closures</w:t>
      </w:r>
      <w:r w:rsidR="00DC13B8">
        <w:t xml:space="preserve">) have </w:t>
      </w:r>
      <w:r w:rsidR="006A6A45">
        <w:t xml:space="preserve">seen material destined for export banking up. </w:t>
      </w:r>
    </w:p>
    <w:p w14:paraId="0E93684F" w14:textId="77777777" w:rsidR="00CA7C13" w:rsidRDefault="00CA7C13" w:rsidP="00CA7C13">
      <w:pPr>
        <w:pStyle w:val="Heading4"/>
      </w:pPr>
      <w:r>
        <w:t>Context</w:t>
      </w:r>
    </w:p>
    <w:p w14:paraId="67801487" w14:textId="28DF036E" w:rsidR="006025EB" w:rsidRDefault="006A6A45" w:rsidP="001D2261">
      <w:r>
        <w:t xml:space="preserve">The following table shows the virgin prices </w:t>
      </w:r>
      <w:r w:rsidR="00607E1C">
        <w:t xml:space="preserve">for different polymers in Australia. </w:t>
      </w:r>
    </w:p>
    <w:tbl>
      <w:tblPr>
        <w:tblW w:w="9727" w:type="dxa"/>
        <w:tblInd w:w="-294" w:type="dxa"/>
        <w:tblLayout w:type="fixed"/>
        <w:tblLook w:val="04A0" w:firstRow="1" w:lastRow="0" w:firstColumn="1" w:lastColumn="0" w:noHBand="0" w:noVBand="1"/>
      </w:tblPr>
      <w:tblGrid>
        <w:gridCol w:w="9727"/>
      </w:tblGrid>
      <w:tr w:rsidR="00980B72" w:rsidRPr="004F11F4" w14:paraId="63B0E2E1" w14:textId="77777777" w:rsidTr="0092747A">
        <w:trPr>
          <w:trHeight w:val="3442"/>
        </w:trPr>
        <w:tc>
          <w:tcPr>
            <w:tcW w:w="9727" w:type="dxa"/>
          </w:tcPr>
          <w:p w14:paraId="0331EC43" w14:textId="16DBE09A" w:rsidR="00980B72" w:rsidRPr="004F11F4" w:rsidRDefault="00980B72" w:rsidP="00CB60D7">
            <w:pPr>
              <w:pStyle w:val="TableCaption"/>
              <w:jc w:val="both"/>
            </w:pPr>
            <w:r w:rsidRPr="004F11F4">
              <w:t xml:space="preserve">n material commodity values </w:t>
            </w:r>
            <w:r>
              <w:t xml:space="preserve">end June 2019 </w:t>
            </w:r>
            <w:r w:rsidRPr="004F11F4">
              <w:t>($/tonne)</w:t>
            </w:r>
          </w:p>
          <w:tbl>
            <w:tblPr>
              <w:tblW w:w="5331" w:type="dxa"/>
              <w:tblInd w:w="1" w:type="dxa"/>
              <w:tblLayout w:type="fixed"/>
              <w:tblLook w:val="04A0" w:firstRow="1" w:lastRow="0" w:firstColumn="1" w:lastColumn="0" w:noHBand="0" w:noVBand="1"/>
            </w:tblPr>
            <w:tblGrid>
              <w:gridCol w:w="3758"/>
              <w:gridCol w:w="1573"/>
            </w:tblGrid>
            <w:tr w:rsidR="00B27F2A" w:rsidRPr="004F11F4" w14:paraId="1589EC69" w14:textId="77777777" w:rsidTr="0092747A">
              <w:trPr>
                <w:trHeight w:val="255"/>
              </w:trPr>
              <w:tc>
                <w:tcPr>
                  <w:tcW w:w="3758" w:type="dxa"/>
                  <w:tcBorders>
                    <w:top w:val="single" w:sz="8" w:space="0" w:color="auto"/>
                    <w:left w:val="nil"/>
                    <w:bottom w:val="single" w:sz="4" w:space="0" w:color="auto"/>
                  </w:tcBorders>
                  <w:shd w:val="clear" w:color="auto" w:fill="6EA735"/>
                  <w:noWrap/>
                  <w:vAlign w:val="center"/>
                  <w:hideMark/>
                </w:tcPr>
                <w:p w14:paraId="2D41856E" w14:textId="77777777" w:rsidR="00B27F2A" w:rsidRPr="004F11F4" w:rsidRDefault="00B27F2A" w:rsidP="00CB60D7">
                  <w:pPr>
                    <w:pStyle w:val="TableHeading"/>
                    <w:rPr>
                      <w:szCs w:val="24"/>
                    </w:rPr>
                  </w:pPr>
                  <w:r w:rsidRPr="004F11F4">
                    <w:rPr>
                      <w:szCs w:val="24"/>
                    </w:rPr>
                    <w:t>Material category</w:t>
                  </w:r>
                </w:p>
              </w:tc>
              <w:tc>
                <w:tcPr>
                  <w:tcW w:w="1573" w:type="dxa"/>
                  <w:tcBorders>
                    <w:top w:val="single" w:sz="8" w:space="0" w:color="auto"/>
                    <w:bottom w:val="single" w:sz="4" w:space="0" w:color="auto"/>
                    <w:right w:val="nil"/>
                  </w:tcBorders>
                  <w:shd w:val="clear" w:color="auto" w:fill="6EA735"/>
                  <w:vAlign w:val="center"/>
                  <w:hideMark/>
                </w:tcPr>
                <w:p w14:paraId="45A8A48E" w14:textId="77777777" w:rsidR="00B27F2A" w:rsidRPr="004F11F4" w:rsidRDefault="00B27F2A" w:rsidP="00CB60D7">
                  <w:pPr>
                    <w:pStyle w:val="TableHeading"/>
                    <w:rPr>
                      <w:szCs w:val="24"/>
                    </w:rPr>
                  </w:pPr>
                  <w:r w:rsidRPr="004F11F4">
                    <w:rPr>
                      <w:szCs w:val="24"/>
                    </w:rPr>
                    <w:t>Value</w:t>
                  </w:r>
                </w:p>
              </w:tc>
            </w:tr>
            <w:tr w:rsidR="00B27F2A" w:rsidRPr="004F11F4" w14:paraId="59C3E54E" w14:textId="77777777" w:rsidTr="0092747A">
              <w:trPr>
                <w:trHeight w:val="255"/>
              </w:trPr>
              <w:tc>
                <w:tcPr>
                  <w:tcW w:w="3758" w:type="dxa"/>
                  <w:tcBorders>
                    <w:top w:val="nil"/>
                    <w:left w:val="nil"/>
                    <w:bottom w:val="nil"/>
                    <w:right w:val="nil"/>
                  </w:tcBorders>
                  <w:shd w:val="clear" w:color="auto" w:fill="auto"/>
                  <w:noWrap/>
                </w:tcPr>
                <w:p w14:paraId="2A6EDDE5" w14:textId="77777777" w:rsidR="00B27F2A" w:rsidRPr="004F11F4" w:rsidRDefault="00B27F2A" w:rsidP="00CB60D7">
                  <w:pPr>
                    <w:keepNext/>
                    <w:spacing w:before="120" w:after="120" w:line="240" w:lineRule="auto"/>
                    <w:jc w:val="both"/>
                    <w:rPr>
                      <w:rFonts w:cs="Calibri"/>
                      <w:color w:val="000000"/>
                      <w:sz w:val="18"/>
                    </w:rPr>
                  </w:pPr>
                  <w:r w:rsidRPr="004F11F4">
                    <w:rPr>
                      <w:rFonts w:cs="Calibri"/>
                      <w:color w:val="000000"/>
                      <w:sz w:val="18"/>
                    </w:rPr>
                    <w:t>Plastic – PET (1) virgin resin</w:t>
                  </w:r>
                </w:p>
              </w:tc>
              <w:tc>
                <w:tcPr>
                  <w:tcW w:w="1573" w:type="dxa"/>
                  <w:tcBorders>
                    <w:top w:val="nil"/>
                    <w:left w:val="nil"/>
                    <w:bottom w:val="nil"/>
                    <w:right w:val="nil"/>
                  </w:tcBorders>
                  <w:shd w:val="clear" w:color="auto" w:fill="auto"/>
                  <w:noWrap/>
                  <w:vAlign w:val="center"/>
                </w:tcPr>
                <w:p w14:paraId="7A436797" w14:textId="77777777" w:rsidR="00B27F2A" w:rsidRPr="004F11F4" w:rsidRDefault="00B27F2A" w:rsidP="00CB60D7">
                  <w:pPr>
                    <w:keepNext/>
                    <w:spacing w:before="120" w:after="120" w:line="240" w:lineRule="auto"/>
                    <w:jc w:val="both"/>
                    <w:rPr>
                      <w:rFonts w:cs="Calibri"/>
                      <w:color w:val="000000"/>
                      <w:sz w:val="18"/>
                    </w:rPr>
                  </w:pPr>
                  <w:r w:rsidRPr="004F11F4">
                    <w:rPr>
                      <w:rFonts w:cs="Calibri"/>
                      <w:color w:val="000000"/>
                      <w:sz w:val="18"/>
                    </w:rPr>
                    <w:t>$1,300–$1,400</w:t>
                  </w:r>
                </w:p>
              </w:tc>
            </w:tr>
            <w:tr w:rsidR="00B27F2A" w:rsidRPr="004F11F4" w14:paraId="43634363" w14:textId="77777777" w:rsidTr="0092747A">
              <w:trPr>
                <w:trHeight w:val="255"/>
              </w:trPr>
              <w:tc>
                <w:tcPr>
                  <w:tcW w:w="3758" w:type="dxa"/>
                  <w:tcBorders>
                    <w:top w:val="nil"/>
                    <w:left w:val="nil"/>
                    <w:bottom w:val="nil"/>
                    <w:right w:val="nil"/>
                  </w:tcBorders>
                  <w:shd w:val="clear" w:color="auto" w:fill="auto"/>
                  <w:noWrap/>
                </w:tcPr>
                <w:p w14:paraId="4B40BE19" w14:textId="77777777" w:rsidR="00B27F2A" w:rsidRPr="004F11F4" w:rsidRDefault="00B27F2A" w:rsidP="00CB60D7">
                  <w:pPr>
                    <w:keepNext/>
                    <w:spacing w:before="120" w:after="120" w:line="240" w:lineRule="auto"/>
                    <w:jc w:val="both"/>
                    <w:rPr>
                      <w:rFonts w:cs="Calibri"/>
                      <w:color w:val="000000"/>
                      <w:sz w:val="18"/>
                    </w:rPr>
                  </w:pPr>
                  <w:r w:rsidRPr="004F11F4">
                    <w:rPr>
                      <w:rFonts w:cs="Calibri"/>
                      <w:color w:val="000000"/>
                      <w:sz w:val="18"/>
                    </w:rPr>
                    <w:t>Plastic – HDPE (2) virgin resin</w:t>
                  </w:r>
                </w:p>
              </w:tc>
              <w:tc>
                <w:tcPr>
                  <w:tcW w:w="1573" w:type="dxa"/>
                  <w:tcBorders>
                    <w:top w:val="nil"/>
                    <w:left w:val="nil"/>
                    <w:bottom w:val="nil"/>
                    <w:right w:val="nil"/>
                  </w:tcBorders>
                  <w:shd w:val="clear" w:color="auto" w:fill="auto"/>
                  <w:noWrap/>
                  <w:vAlign w:val="center"/>
                </w:tcPr>
                <w:p w14:paraId="0DC999FB" w14:textId="77777777" w:rsidR="00B27F2A" w:rsidRPr="004F11F4" w:rsidRDefault="00B27F2A" w:rsidP="00CB60D7">
                  <w:pPr>
                    <w:keepNext/>
                    <w:spacing w:before="120" w:after="120" w:line="240" w:lineRule="auto"/>
                    <w:jc w:val="both"/>
                    <w:rPr>
                      <w:rFonts w:cs="Calibri"/>
                      <w:color w:val="000000"/>
                      <w:sz w:val="18"/>
                    </w:rPr>
                  </w:pPr>
                  <w:r w:rsidRPr="004F11F4">
                    <w:rPr>
                      <w:rFonts w:cs="Calibri"/>
                      <w:color w:val="000000"/>
                      <w:sz w:val="18"/>
                    </w:rPr>
                    <w:t>$1,700–$1,800</w:t>
                  </w:r>
                </w:p>
              </w:tc>
            </w:tr>
            <w:tr w:rsidR="00B27F2A" w:rsidRPr="004F11F4" w14:paraId="3AE5C319" w14:textId="77777777" w:rsidTr="0092747A">
              <w:trPr>
                <w:trHeight w:val="255"/>
              </w:trPr>
              <w:tc>
                <w:tcPr>
                  <w:tcW w:w="3758" w:type="dxa"/>
                  <w:tcBorders>
                    <w:top w:val="nil"/>
                    <w:left w:val="nil"/>
                    <w:bottom w:val="nil"/>
                    <w:right w:val="nil"/>
                  </w:tcBorders>
                  <w:shd w:val="clear" w:color="auto" w:fill="auto"/>
                  <w:noWrap/>
                </w:tcPr>
                <w:p w14:paraId="521D08D3" w14:textId="77777777" w:rsidR="00B27F2A" w:rsidRPr="004F11F4" w:rsidRDefault="00B27F2A" w:rsidP="00CB60D7">
                  <w:pPr>
                    <w:keepNext/>
                    <w:spacing w:before="120" w:after="120" w:line="240" w:lineRule="auto"/>
                    <w:jc w:val="both"/>
                    <w:rPr>
                      <w:rFonts w:cs="Calibri"/>
                      <w:color w:val="000000"/>
                      <w:sz w:val="18"/>
                    </w:rPr>
                  </w:pPr>
                  <w:r w:rsidRPr="004F11F4">
                    <w:rPr>
                      <w:rFonts w:cs="Calibri"/>
                      <w:color w:val="000000"/>
                      <w:sz w:val="18"/>
                    </w:rPr>
                    <w:t>Plastic – PVC (3) virgin resin</w:t>
                  </w:r>
                </w:p>
              </w:tc>
              <w:tc>
                <w:tcPr>
                  <w:tcW w:w="1573" w:type="dxa"/>
                  <w:tcBorders>
                    <w:top w:val="nil"/>
                    <w:left w:val="nil"/>
                    <w:bottom w:val="nil"/>
                    <w:right w:val="nil"/>
                  </w:tcBorders>
                  <w:shd w:val="clear" w:color="auto" w:fill="auto"/>
                  <w:noWrap/>
                  <w:vAlign w:val="center"/>
                </w:tcPr>
                <w:p w14:paraId="3EE87B04" w14:textId="77777777" w:rsidR="00B27F2A" w:rsidRPr="004F11F4" w:rsidRDefault="00B27F2A" w:rsidP="00CB60D7">
                  <w:pPr>
                    <w:keepNext/>
                    <w:spacing w:before="120" w:after="120" w:line="240" w:lineRule="auto"/>
                    <w:jc w:val="both"/>
                    <w:rPr>
                      <w:rFonts w:cs="Calibri"/>
                      <w:color w:val="000000"/>
                      <w:sz w:val="18"/>
                    </w:rPr>
                  </w:pPr>
                  <w:r w:rsidRPr="004F11F4">
                    <w:rPr>
                      <w:rFonts w:cs="Calibri"/>
                      <w:color w:val="000000"/>
                      <w:sz w:val="18"/>
                    </w:rPr>
                    <w:t>$1,000–$1,200</w:t>
                  </w:r>
                </w:p>
              </w:tc>
            </w:tr>
            <w:tr w:rsidR="00B27F2A" w:rsidRPr="004F11F4" w14:paraId="5E5EDB6E" w14:textId="77777777" w:rsidTr="0092747A">
              <w:trPr>
                <w:trHeight w:val="255"/>
              </w:trPr>
              <w:tc>
                <w:tcPr>
                  <w:tcW w:w="3758" w:type="dxa"/>
                  <w:tcBorders>
                    <w:top w:val="nil"/>
                    <w:left w:val="nil"/>
                    <w:bottom w:val="nil"/>
                    <w:right w:val="nil"/>
                  </w:tcBorders>
                  <w:shd w:val="clear" w:color="auto" w:fill="auto"/>
                  <w:noWrap/>
                </w:tcPr>
                <w:p w14:paraId="1B7A75EB" w14:textId="77777777" w:rsidR="00B27F2A" w:rsidRPr="004F11F4" w:rsidRDefault="00B27F2A" w:rsidP="00CB60D7">
                  <w:pPr>
                    <w:keepNext/>
                    <w:spacing w:before="120" w:after="120" w:line="240" w:lineRule="auto"/>
                    <w:jc w:val="both"/>
                    <w:rPr>
                      <w:rFonts w:cs="Calibri"/>
                      <w:color w:val="000000"/>
                      <w:sz w:val="18"/>
                    </w:rPr>
                  </w:pPr>
                  <w:r w:rsidRPr="004F11F4">
                    <w:rPr>
                      <w:rFonts w:cs="Calibri"/>
                      <w:color w:val="000000"/>
                      <w:sz w:val="18"/>
                    </w:rPr>
                    <w:t>Plastic – LDPE (4) virgin resin</w:t>
                  </w:r>
                </w:p>
              </w:tc>
              <w:tc>
                <w:tcPr>
                  <w:tcW w:w="1573" w:type="dxa"/>
                  <w:tcBorders>
                    <w:top w:val="nil"/>
                    <w:left w:val="nil"/>
                    <w:bottom w:val="nil"/>
                    <w:right w:val="nil"/>
                  </w:tcBorders>
                  <w:shd w:val="clear" w:color="auto" w:fill="auto"/>
                  <w:noWrap/>
                  <w:vAlign w:val="center"/>
                </w:tcPr>
                <w:p w14:paraId="440A780F" w14:textId="77777777" w:rsidR="00B27F2A" w:rsidRPr="004F11F4" w:rsidRDefault="00B27F2A" w:rsidP="00CB60D7">
                  <w:pPr>
                    <w:keepNext/>
                    <w:spacing w:before="120" w:after="120" w:line="240" w:lineRule="auto"/>
                    <w:jc w:val="both"/>
                    <w:rPr>
                      <w:rFonts w:cs="Calibri"/>
                      <w:color w:val="000000"/>
                      <w:sz w:val="18"/>
                    </w:rPr>
                  </w:pPr>
                  <w:r w:rsidRPr="004F11F4">
                    <w:rPr>
                      <w:rFonts w:cs="Calibri"/>
                      <w:color w:val="000000"/>
                      <w:sz w:val="18"/>
                    </w:rPr>
                    <w:t>$1,700–$1,800</w:t>
                  </w:r>
                </w:p>
              </w:tc>
            </w:tr>
            <w:tr w:rsidR="00B27F2A" w:rsidRPr="004F11F4" w14:paraId="1A70F95C" w14:textId="77777777" w:rsidTr="0092747A">
              <w:trPr>
                <w:trHeight w:val="255"/>
              </w:trPr>
              <w:tc>
                <w:tcPr>
                  <w:tcW w:w="3758" w:type="dxa"/>
                  <w:tcBorders>
                    <w:top w:val="nil"/>
                    <w:left w:val="nil"/>
                    <w:bottom w:val="nil"/>
                    <w:right w:val="nil"/>
                  </w:tcBorders>
                  <w:shd w:val="clear" w:color="auto" w:fill="auto"/>
                  <w:noWrap/>
                </w:tcPr>
                <w:p w14:paraId="7814EFE3" w14:textId="77777777" w:rsidR="00B27F2A" w:rsidRPr="004F11F4" w:rsidRDefault="00B27F2A" w:rsidP="00CB60D7">
                  <w:pPr>
                    <w:keepNext/>
                    <w:spacing w:before="120" w:after="120" w:line="240" w:lineRule="auto"/>
                    <w:jc w:val="both"/>
                    <w:rPr>
                      <w:rFonts w:cs="Calibri"/>
                      <w:color w:val="000000"/>
                      <w:sz w:val="18"/>
                    </w:rPr>
                  </w:pPr>
                  <w:r w:rsidRPr="004F11F4">
                    <w:rPr>
                      <w:rFonts w:cs="Calibri"/>
                      <w:color w:val="000000"/>
                      <w:sz w:val="18"/>
                    </w:rPr>
                    <w:t>Plastic – PP (5) virgin resin</w:t>
                  </w:r>
                </w:p>
              </w:tc>
              <w:tc>
                <w:tcPr>
                  <w:tcW w:w="1573" w:type="dxa"/>
                  <w:tcBorders>
                    <w:top w:val="nil"/>
                    <w:left w:val="nil"/>
                    <w:bottom w:val="nil"/>
                    <w:right w:val="nil"/>
                  </w:tcBorders>
                  <w:shd w:val="clear" w:color="auto" w:fill="auto"/>
                  <w:noWrap/>
                  <w:vAlign w:val="center"/>
                </w:tcPr>
                <w:p w14:paraId="5643CB01" w14:textId="77777777" w:rsidR="00B27F2A" w:rsidRPr="004F11F4" w:rsidRDefault="00B27F2A" w:rsidP="00CB60D7">
                  <w:pPr>
                    <w:keepNext/>
                    <w:spacing w:before="120" w:after="120" w:line="240" w:lineRule="auto"/>
                    <w:jc w:val="both"/>
                    <w:rPr>
                      <w:rFonts w:cs="Calibri"/>
                      <w:color w:val="000000"/>
                      <w:sz w:val="18"/>
                    </w:rPr>
                  </w:pPr>
                  <w:r w:rsidRPr="004F11F4">
                    <w:rPr>
                      <w:rFonts w:cs="Calibri"/>
                      <w:color w:val="000000"/>
                      <w:sz w:val="18"/>
                    </w:rPr>
                    <w:t>$1,600–$1,700</w:t>
                  </w:r>
                </w:p>
              </w:tc>
            </w:tr>
            <w:tr w:rsidR="00B27F2A" w:rsidRPr="004F11F4" w14:paraId="16128FF6" w14:textId="77777777" w:rsidTr="0092747A">
              <w:trPr>
                <w:trHeight w:val="255"/>
              </w:trPr>
              <w:tc>
                <w:tcPr>
                  <w:tcW w:w="3758" w:type="dxa"/>
                  <w:tcBorders>
                    <w:top w:val="nil"/>
                    <w:left w:val="nil"/>
                    <w:bottom w:val="nil"/>
                    <w:right w:val="nil"/>
                  </w:tcBorders>
                  <w:shd w:val="clear" w:color="auto" w:fill="auto"/>
                  <w:noWrap/>
                  <w:hideMark/>
                </w:tcPr>
                <w:p w14:paraId="7B1AEB74" w14:textId="77777777" w:rsidR="00B27F2A" w:rsidRPr="004F11F4" w:rsidRDefault="00B27F2A" w:rsidP="00CB60D7">
                  <w:pPr>
                    <w:keepNext/>
                    <w:spacing w:before="120" w:after="120" w:line="240" w:lineRule="auto"/>
                    <w:jc w:val="both"/>
                    <w:rPr>
                      <w:rFonts w:cs="Calibri"/>
                      <w:color w:val="000000"/>
                      <w:sz w:val="18"/>
                    </w:rPr>
                  </w:pPr>
                  <w:r w:rsidRPr="004F11F4">
                    <w:rPr>
                      <w:rFonts w:cs="Calibri"/>
                      <w:color w:val="000000"/>
                      <w:sz w:val="18"/>
                    </w:rPr>
                    <w:t>Plastic – PS (6) virgin resin</w:t>
                  </w:r>
                </w:p>
              </w:tc>
              <w:tc>
                <w:tcPr>
                  <w:tcW w:w="1573" w:type="dxa"/>
                  <w:tcBorders>
                    <w:top w:val="nil"/>
                    <w:left w:val="nil"/>
                    <w:bottom w:val="nil"/>
                    <w:right w:val="nil"/>
                  </w:tcBorders>
                  <w:shd w:val="clear" w:color="auto" w:fill="auto"/>
                  <w:noWrap/>
                  <w:vAlign w:val="center"/>
                </w:tcPr>
                <w:p w14:paraId="52C7B85A" w14:textId="77777777" w:rsidR="00B27F2A" w:rsidRPr="004F11F4" w:rsidRDefault="00B27F2A" w:rsidP="00CB60D7">
                  <w:pPr>
                    <w:keepNext/>
                    <w:spacing w:before="120" w:after="120" w:line="240" w:lineRule="auto"/>
                    <w:jc w:val="both"/>
                    <w:rPr>
                      <w:rFonts w:cs="Calibri"/>
                      <w:color w:val="000000"/>
                      <w:sz w:val="18"/>
                    </w:rPr>
                  </w:pPr>
                  <w:r w:rsidRPr="004F11F4">
                    <w:rPr>
                      <w:rFonts w:cs="Calibri"/>
                      <w:color w:val="000000"/>
                      <w:sz w:val="18"/>
                    </w:rPr>
                    <w:t>$1,900–$2,000</w:t>
                  </w:r>
                </w:p>
              </w:tc>
            </w:tr>
          </w:tbl>
          <w:p w14:paraId="6C250800" w14:textId="77777777" w:rsidR="00980B72" w:rsidRPr="004F11F4" w:rsidRDefault="00980B72" w:rsidP="00CB60D7">
            <w:pPr>
              <w:pStyle w:val="TableText"/>
              <w:keepNext/>
              <w:spacing w:before="120" w:after="120"/>
              <w:jc w:val="both"/>
            </w:pPr>
          </w:p>
        </w:tc>
      </w:tr>
    </w:tbl>
    <w:p w14:paraId="1E701CEA" w14:textId="3896E8DD" w:rsidR="006025EB" w:rsidRDefault="006025EB" w:rsidP="001D2261"/>
    <w:p w14:paraId="08C42E92" w14:textId="77777777" w:rsidR="002E58B6" w:rsidRPr="00607E1C" w:rsidRDefault="002E58B6" w:rsidP="002E58B6">
      <w:pPr>
        <w:pStyle w:val="TableText"/>
        <w:spacing w:before="120" w:after="120"/>
        <w:jc w:val="both"/>
        <w:rPr>
          <w:rFonts w:ascii="Calibri" w:hAnsi="Calibri" w:cs="Times New Roman"/>
          <w:sz w:val="22"/>
          <w:szCs w:val="22"/>
        </w:rPr>
      </w:pPr>
      <w:r w:rsidRPr="00607E1C">
        <w:rPr>
          <w:rFonts w:ascii="Calibri" w:hAnsi="Calibri" w:cs="Times New Roman"/>
          <w:sz w:val="22"/>
          <w:szCs w:val="22"/>
        </w:rPr>
        <w:t>To provide some context, plastics manufacturers sometimes report that recycled plastics have to be around 10–20 per cent cheaper than virgin resin to justify the additional purchasing, handling, processing and quality assurance cost imposts associated with introducing a significant proportion of high quality recycled content into the incoming material mix.</w:t>
      </w:r>
    </w:p>
    <w:p w14:paraId="2658491C" w14:textId="77777777" w:rsidR="001372C5" w:rsidRDefault="001372C5" w:rsidP="001372C5">
      <w:pPr>
        <w:pStyle w:val="BodyText"/>
        <w:spacing w:line="259" w:lineRule="auto"/>
        <w:ind w:right="402"/>
      </w:pPr>
      <w:r>
        <w:t xml:space="preserve">In 2018 all State and Federal governments committed to targets related to the recycling and waste reduction of packaging. </w:t>
      </w:r>
    </w:p>
    <w:p w14:paraId="23F96B79" w14:textId="77777777" w:rsidR="001372C5" w:rsidRPr="003B41E0" w:rsidRDefault="001372C5" w:rsidP="001372C5">
      <w:pPr>
        <w:shd w:val="clear" w:color="auto" w:fill="FFFFFF"/>
        <w:spacing w:after="405" w:line="240" w:lineRule="auto"/>
      </w:pPr>
      <w:r w:rsidRPr="003B41E0">
        <w:t>The 2025 National Packaging Targets are:</w:t>
      </w:r>
    </w:p>
    <w:p w14:paraId="329CD28E" w14:textId="77777777" w:rsidR="001372C5" w:rsidRPr="003B41E0" w:rsidRDefault="001372C5" w:rsidP="001372C5">
      <w:pPr>
        <w:numPr>
          <w:ilvl w:val="0"/>
          <w:numId w:val="5"/>
        </w:numPr>
        <w:shd w:val="clear" w:color="auto" w:fill="FFFFFF"/>
        <w:spacing w:after="0" w:line="240" w:lineRule="auto"/>
        <w:ind w:left="0"/>
      </w:pPr>
      <w:r w:rsidRPr="003B41E0">
        <w:t>100% of all Australia’s packaging will be reusable, recyclable or compostable by 2025 or earlier</w:t>
      </w:r>
    </w:p>
    <w:p w14:paraId="45466402" w14:textId="77777777" w:rsidR="001372C5" w:rsidRPr="003B41E0" w:rsidRDefault="001372C5" w:rsidP="001372C5">
      <w:pPr>
        <w:numPr>
          <w:ilvl w:val="0"/>
          <w:numId w:val="5"/>
        </w:numPr>
        <w:shd w:val="clear" w:color="auto" w:fill="FFFFFF"/>
        <w:spacing w:before="270" w:after="0" w:line="240" w:lineRule="auto"/>
        <w:ind w:left="0"/>
      </w:pPr>
      <w:r w:rsidRPr="003B41E0">
        <w:t>70% of Australia’s plastic packaging will be recycled or composted by 2025</w:t>
      </w:r>
    </w:p>
    <w:p w14:paraId="38777313" w14:textId="77777777" w:rsidR="001372C5" w:rsidRPr="003B41E0" w:rsidRDefault="001372C5" w:rsidP="001372C5">
      <w:pPr>
        <w:numPr>
          <w:ilvl w:val="0"/>
          <w:numId w:val="5"/>
        </w:numPr>
        <w:shd w:val="clear" w:color="auto" w:fill="FFFFFF"/>
        <w:spacing w:before="270" w:after="0" w:line="240" w:lineRule="auto"/>
        <w:ind w:left="0"/>
      </w:pPr>
      <w:r w:rsidRPr="003B41E0">
        <w:t>30% average recycled content will be included across all packaging by 2025</w:t>
      </w:r>
    </w:p>
    <w:p w14:paraId="59866B47" w14:textId="77777777" w:rsidR="001372C5" w:rsidRDefault="001372C5" w:rsidP="001372C5">
      <w:pPr>
        <w:numPr>
          <w:ilvl w:val="0"/>
          <w:numId w:val="5"/>
        </w:numPr>
        <w:shd w:val="clear" w:color="auto" w:fill="FFFFFF"/>
        <w:spacing w:before="270" w:after="0" w:line="240" w:lineRule="auto"/>
        <w:ind w:left="0"/>
      </w:pPr>
      <w:r w:rsidRPr="003B41E0">
        <w:t>Problematic and unnecessary single-use plastic packaging will be phased out through design, innovation or introduction of alternatives</w:t>
      </w:r>
    </w:p>
    <w:p w14:paraId="14CE78A8" w14:textId="77777777" w:rsidR="001372C5" w:rsidRDefault="001372C5" w:rsidP="001372C5">
      <w:pPr>
        <w:shd w:val="clear" w:color="auto" w:fill="FFFFFF"/>
        <w:spacing w:before="270" w:after="0" w:line="240" w:lineRule="auto"/>
      </w:pPr>
      <w:r>
        <w:t xml:space="preserve">The achievement of the target for 70% of Australia’s plastic packaging to be recycled is going to require a major expansion of plastics recycling activity. </w:t>
      </w:r>
    </w:p>
    <w:p w14:paraId="4812A19E" w14:textId="77777777" w:rsidR="00F36220" w:rsidRDefault="00C75F78" w:rsidP="00F36220">
      <w:pPr>
        <w:pStyle w:val="Heading4"/>
      </w:pPr>
      <w:r>
        <w:lastRenderedPageBreak/>
        <w:t>Ex</w:t>
      </w:r>
      <w:r w:rsidR="00F36220">
        <w:t>panded activity</w:t>
      </w:r>
    </w:p>
    <w:p w14:paraId="4FF79428" w14:textId="66F109D2" w:rsidR="001372C5" w:rsidRDefault="001372C5" w:rsidP="001372C5">
      <w:pPr>
        <w:shd w:val="clear" w:color="auto" w:fill="FFFFFF"/>
        <w:spacing w:before="270" w:after="0" w:line="240" w:lineRule="auto"/>
      </w:pPr>
      <w:r>
        <w:t>In an environment of constrained export markets for some plastics, the need to dramatically increase local plastic reprocessing is seen as crucial. That expansion may need to be a 400% increase in throughput and this in turn will require new market outlets for recycling plastic resin, both into packaging and other applications.</w:t>
      </w:r>
    </w:p>
    <w:p w14:paraId="1EC496F9" w14:textId="65D59994" w:rsidR="00083623" w:rsidRDefault="001372C5" w:rsidP="001372C5">
      <w:pPr>
        <w:shd w:val="clear" w:color="auto" w:fill="FFFFFF"/>
        <w:spacing w:before="270" w:after="0" w:line="240" w:lineRule="auto"/>
      </w:pPr>
      <w:r>
        <w:t xml:space="preserve">In relation to flexible plastics, this is the fastest growing packaging media and now accounts for a third of all plastic packaging. The achievement of the target for 70% of plastic packaging to be recycled by 2025 will require a significant increase in both rigid and flexible plastic packaging </w:t>
      </w:r>
      <w:r w:rsidR="00CA1405">
        <w:t xml:space="preserve">recycling </w:t>
      </w:r>
      <w:r>
        <w:t>from its current level of 2</w:t>
      </w:r>
      <w:r w:rsidR="00AA1D87">
        <w:t>0</w:t>
      </w:r>
      <w:r>
        <w:t xml:space="preserve">.6%. </w:t>
      </w:r>
    </w:p>
    <w:p w14:paraId="67FB952D" w14:textId="1CBD21C0" w:rsidR="001372C5" w:rsidRDefault="001372C5" w:rsidP="001372C5">
      <w:pPr>
        <w:shd w:val="clear" w:color="auto" w:fill="FFFFFF"/>
        <w:spacing w:before="270" w:after="0" w:line="240" w:lineRule="auto"/>
      </w:pPr>
      <w:r>
        <w:t xml:space="preserve">Flexible plastic packaging is currently not designated for inclusion in most kerbside collections. Point of sale drop off collections are seen as an interim measure and are yielding a very small proportion of flexible plastic packaging. There are four councils in Melbourne who include flexible plastic packaging into commingled kerbside collection. This is in the form of putting bags in a bag to aid sorting at the MRF. This approach is being actively considered by other councils in several jurisdictions. </w:t>
      </w:r>
    </w:p>
    <w:p w14:paraId="1BF53082" w14:textId="77777777" w:rsidR="009269FB" w:rsidRDefault="009269FB" w:rsidP="001372C5">
      <w:pPr>
        <w:shd w:val="clear" w:color="auto" w:fill="FFFFFF"/>
        <w:spacing w:before="270" w:after="0" w:line="240" w:lineRule="auto"/>
      </w:pPr>
    </w:p>
    <w:tbl>
      <w:tblPr>
        <w:tblStyle w:val="TableGrid"/>
        <w:tblW w:w="0" w:type="auto"/>
        <w:tblLook w:val="04A0" w:firstRow="1" w:lastRow="0" w:firstColumn="1" w:lastColumn="0" w:noHBand="0" w:noVBand="1"/>
      </w:tblPr>
      <w:tblGrid>
        <w:gridCol w:w="2689"/>
        <w:gridCol w:w="1701"/>
        <w:gridCol w:w="2405"/>
        <w:gridCol w:w="2266"/>
      </w:tblGrid>
      <w:tr w:rsidR="009269FB" w:rsidRPr="00CB60D7" w14:paraId="27F8DD21" w14:textId="77777777" w:rsidTr="00F05CA2">
        <w:tc>
          <w:tcPr>
            <w:tcW w:w="2689" w:type="dxa"/>
            <w:shd w:val="clear" w:color="auto" w:fill="99FF99"/>
          </w:tcPr>
          <w:p w14:paraId="694936B3" w14:textId="5E547EDF" w:rsidR="009269FB" w:rsidRPr="00CB60D7" w:rsidRDefault="009269FB" w:rsidP="009D7547">
            <w:pPr>
              <w:jc w:val="both"/>
              <w:rPr>
                <w:rFonts w:asciiTheme="minorHAnsi" w:hAnsiTheme="minorHAnsi" w:cstheme="minorHAnsi"/>
                <w:b/>
              </w:rPr>
            </w:pPr>
            <w:r w:rsidRPr="00CB60D7">
              <w:rPr>
                <w:rFonts w:asciiTheme="minorHAnsi" w:hAnsiTheme="minorHAnsi" w:cstheme="minorHAnsi"/>
                <w:b/>
              </w:rPr>
              <w:t>Opportunity</w:t>
            </w:r>
            <w:r w:rsidR="00A84462">
              <w:rPr>
                <w:rFonts w:asciiTheme="minorHAnsi" w:hAnsiTheme="minorHAnsi" w:cstheme="minorHAnsi"/>
                <w:b/>
              </w:rPr>
              <w:t xml:space="preserve"> 2020-25</w:t>
            </w:r>
          </w:p>
        </w:tc>
        <w:tc>
          <w:tcPr>
            <w:tcW w:w="1701" w:type="dxa"/>
            <w:shd w:val="clear" w:color="auto" w:fill="99FF99"/>
          </w:tcPr>
          <w:p w14:paraId="38C45AD4" w14:textId="77777777" w:rsidR="009269FB" w:rsidRPr="00CB60D7" w:rsidRDefault="009269FB" w:rsidP="009D7547">
            <w:pPr>
              <w:jc w:val="both"/>
              <w:rPr>
                <w:rFonts w:asciiTheme="minorHAnsi" w:hAnsiTheme="minorHAnsi" w:cstheme="minorHAnsi"/>
                <w:b/>
              </w:rPr>
            </w:pPr>
            <w:r w:rsidRPr="00CB60D7">
              <w:rPr>
                <w:rFonts w:asciiTheme="minorHAnsi" w:hAnsiTheme="minorHAnsi" w:cstheme="minorHAnsi"/>
                <w:b/>
              </w:rPr>
              <w:t>Current Take (tonnes)</w:t>
            </w:r>
          </w:p>
        </w:tc>
        <w:tc>
          <w:tcPr>
            <w:tcW w:w="2405" w:type="dxa"/>
            <w:shd w:val="clear" w:color="auto" w:fill="99FF99"/>
          </w:tcPr>
          <w:p w14:paraId="5FDD3CC6" w14:textId="77777777" w:rsidR="009269FB" w:rsidRPr="00CB60D7" w:rsidRDefault="009269FB" w:rsidP="009D7547">
            <w:pPr>
              <w:jc w:val="both"/>
              <w:rPr>
                <w:rFonts w:asciiTheme="minorHAnsi" w:hAnsiTheme="minorHAnsi" w:cstheme="minorHAnsi"/>
                <w:b/>
              </w:rPr>
            </w:pPr>
            <w:r w:rsidRPr="00CB60D7">
              <w:rPr>
                <w:rFonts w:asciiTheme="minorHAnsi" w:hAnsiTheme="minorHAnsi" w:cstheme="minorHAnsi"/>
                <w:b/>
              </w:rPr>
              <w:t>Potential Take (tonnes)</w:t>
            </w:r>
          </w:p>
        </w:tc>
        <w:tc>
          <w:tcPr>
            <w:tcW w:w="2266" w:type="dxa"/>
            <w:shd w:val="clear" w:color="auto" w:fill="99FF99"/>
          </w:tcPr>
          <w:p w14:paraId="457155E4" w14:textId="6DC4456C" w:rsidR="009269FB" w:rsidRPr="00CB60D7" w:rsidRDefault="009269FB" w:rsidP="009D7547">
            <w:pPr>
              <w:jc w:val="both"/>
              <w:rPr>
                <w:rFonts w:asciiTheme="minorHAnsi" w:hAnsiTheme="minorHAnsi" w:cstheme="minorHAnsi"/>
                <w:b/>
              </w:rPr>
            </w:pPr>
            <w:r w:rsidRPr="00CB60D7">
              <w:rPr>
                <w:rFonts w:asciiTheme="minorHAnsi" w:hAnsiTheme="minorHAnsi" w:cstheme="minorHAnsi"/>
                <w:b/>
              </w:rPr>
              <w:t>Current Price/tonne</w:t>
            </w:r>
            <w:r w:rsidR="00883524">
              <w:rPr>
                <w:rFonts w:asciiTheme="minorHAnsi" w:hAnsiTheme="minorHAnsi" w:cstheme="minorHAnsi"/>
                <w:b/>
              </w:rPr>
              <w:t xml:space="preserve"> </w:t>
            </w:r>
          </w:p>
        </w:tc>
      </w:tr>
      <w:tr w:rsidR="009269FB" w14:paraId="6F225CFA" w14:textId="77777777" w:rsidTr="00F05CA2">
        <w:tc>
          <w:tcPr>
            <w:tcW w:w="2689" w:type="dxa"/>
          </w:tcPr>
          <w:p w14:paraId="1147F18A" w14:textId="1EB85E1F" w:rsidR="009269FB" w:rsidRDefault="00EA00A9" w:rsidP="009D7547">
            <w:pPr>
              <w:jc w:val="both"/>
              <w:rPr>
                <w:rFonts w:asciiTheme="minorHAnsi" w:hAnsiTheme="minorHAnsi" w:cstheme="minorHAnsi"/>
                <w:bCs/>
              </w:rPr>
            </w:pPr>
            <w:r>
              <w:rPr>
                <w:rFonts w:asciiTheme="minorHAnsi" w:hAnsiTheme="minorHAnsi" w:cstheme="minorHAnsi"/>
                <w:bCs/>
              </w:rPr>
              <w:t xml:space="preserve">Expansion of </w:t>
            </w:r>
            <w:r w:rsidR="002D6FC3">
              <w:rPr>
                <w:rFonts w:asciiTheme="minorHAnsi" w:hAnsiTheme="minorHAnsi" w:cstheme="minorHAnsi"/>
                <w:bCs/>
              </w:rPr>
              <w:t>chemical recycling capacity for PET</w:t>
            </w:r>
          </w:p>
        </w:tc>
        <w:tc>
          <w:tcPr>
            <w:tcW w:w="1701" w:type="dxa"/>
          </w:tcPr>
          <w:p w14:paraId="1009F79A" w14:textId="5CC5D944" w:rsidR="009269FB" w:rsidRDefault="00913A90" w:rsidP="009D7547">
            <w:pPr>
              <w:jc w:val="both"/>
              <w:rPr>
                <w:rFonts w:asciiTheme="minorHAnsi" w:hAnsiTheme="minorHAnsi" w:cstheme="minorHAnsi"/>
                <w:bCs/>
              </w:rPr>
            </w:pPr>
            <w:r>
              <w:rPr>
                <w:rFonts w:asciiTheme="minorHAnsi" w:hAnsiTheme="minorHAnsi" w:cstheme="minorHAnsi"/>
                <w:bCs/>
              </w:rPr>
              <w:t>&gt;</w:t>
            </w:r>
            <w:r w:rsidR="006763D3">
              <w:rPr>
                <w:rFonts w:asciiTheme="minorHAnsi" w:hAnsiTheme="minorHAnsi" w:cstheme="minorHAnsi"/>
                <w:bCs/>
              </w:rPr>
              <w:t>12,000</w:t>
            </w:r>
          </w:p>
        </w:tc>
        <w:tc>
          <w:tcPr>
            <w:tcW w:w="2405" w:type="dxa"/>
          </w:tcPr>
          <w:p w14:paraId="696C98D3" w14:textId="389AE61D" w:rsidR="009269FB" w:rsidRDefault="00AA4542" w:rsidP="009D7547">
            <w:pPr>
              <w:jc w:val="both"/>
              <w:rPr>
                <w:rFonts w:asciiTheme="minorHAnsi" w:hAnsiTheme="minorHAnsi" w:cstheme="minorHAnsi"/>
                <w:bCs/>
              </w:rPr>
            </w:pPr>
            <w:r>
              <w:rPr>
                <w:rFonts w:asciiTheme="minorHAnsi" w:hAnsiTheme="minorHAnsi" w:cstheme="minorHAnsi"/>
                <w:bCs/>
              </w:rPr>
              <w:t>&gt;50,000</w:t>
            </w:r>
          </w:p>
        </w:tc>
        <w:tc>
          <w:tcPr>
            <w:tcW w:w="2266" w:type="dxa"/>
          </w:tcPr>
          <w:p w14:paraId="062FB43E" w14:textId="7A566893" w:rsidR="009269FB" w:rsidRDefault="00292E36" w:rsidP="009D7547">
            <w:pPr>
              <w:jc w:val="both"/>
              <w:rPr>
                <w:rFonts w:asciiTheme="minorHAnsi" w:hAnsiTheme="minorHAnsi" w:cstheme="minorHAnsi"/>
                <w:bCs/>
              </w:rPr>
            </w:pPr>
            <w:r>
              <w:rPr>
                <w:rFonts w:asciiTheme="minorHAnsi" w:hAnsiTheme="minorHAnsi" w:cstheme="minorHAnsi"/>
                <w:bCs/>
              </w:rPr>
              <w:t>$300-500</w:t>
            </w:r>
          </w:p>
        </w:tc>
      </w:tr>
      <w:tr w:rsidR="009269FB" w14:paraId="2CB17C7A" w14:textId="77777777" w:rsidTr="00F05CA2">
        <w:tc>
          <w:tcPr>
            <w:tcW w:w="2689" w:type="dxa"/>
          </w:tcPr>
          <w:p w14:paraId="1455D457" w14:textId="0F1BBA75" w:rsidR="009269FB" w:rsidRDefault="00F05CA2" w:rsidP="009D7547">
            <w:pPr>
              <w:jc w:val="both"/>
              <w:rPr>
                <w:rFonts w:asciiTheme="minorHAnsi" w:hAnsiTheme="minorHAnsi" w:cstheme="minorHAnsi"/>
                <w:bCs/>
              </w:rPr>
            </w:pPr>
            <w:r>
              <w:rPr>
                <w:rFonts w:asciiTheme="minorHAnsi" w:hAnsiTheme="minorHAnsi" w:cstheme="minorHAnsi"/>
                <w:bCs/>
              </w:rPr>
              <w:t>Development of chemical recycling capacity for PE</w:t>
            </w:r>
          </w:p>
        </w:tc>
        <w:tc>
          <w:tcPr>
            <w:tcW w:w="1701" w:type="dxa"/>
          </w:tcPr>
          <w:p w14:paraId="3BBFC846" w14:textId="2F4777C1" w:rsidR="009269FB" w:rsidRDefault="00F908C2" w:rsidP="009D7547">
            <w:pPr>
              <w:jc w:val="both"/>
              <w:rPr>
                <w:rFonts w:asciiTheme="minorHAnsi" w:hAnsiTheme="minorHAnsi" w:cstheme="minorHAnsi"/>
                <w:bCs/>
              </w:rPr>
            </w:pPr>
            <w:r>
              <w:rPr>
                <w:rFonts w:asciiTheme="minorHAnsi" w:hAnsiTheme="minorHAnsi" w:cstheme="minorHAnsi"/>
                <w:bCs/>
              </w:rPr>
              <w:t>0</w:t>
            </w:r>
          </w:p>
        </w:tc>
        <w:tc>
          <w:tcPr>
            <w:tcW w:w="2405" w:type="dxa"/>
          </w:tcPr>
          <w:p w14:paraId="477307E3" w14:textId="04EF60C3" w:rsidR="009269FB" w:rsidRDefault="00AA4542" w:rsidP="009D7547">
            <w:pPr>
              <w:jc w:val="both"/>
              <w:rPr>
                <w:rFonts w:asciiTheme="minorHAnsi" w:hAnsiTheme="minorHAnsi" w:cstheme="minorHAnsi"/>
                <w:bCs/>
              </w:rPr>
            </w:pPr>
            <w:r>
              <w:rPr>
                <w:rFonts w:asciiTheme="minorHAnsi" w:hAnsiTheme="minorHAnsi" w:cstheme="minorHAnsi"/>
                <w:bCs/>
              </w:rPr>
              <w:t>&gt;50,000</w:t>
            </w:r>
          </w:p>
        </w:tc>
        <w:tc>
          <w:tcPr>
            <w:tcW w:w="2266" w:type="dxa"/>
          </w:tcPr>
          <w:p w14:paraId="23025CDE" w14:textId="1DD4E847" w:rsidR="009269FB" w:rsidRDefault="00292E36" w:rsidP="009D7547">
            <w:pPr>
              <w:jc w:val="both"/>
              <w:rPr>
                <w:rFonts w:asciiTheme="minorHAnsi" w:hAnsiTheme="minorHAnsi" w:cstheme="minorHAnsi"/>
                <w:bCs/>
              </w:rPr>
            </w:pPr>
            <w:r>
              <w:rPr>
                <w:rFonts w:asciiTheme="minorHAnsi" w:hAnsiTheme="minorHAnsi" w:cstheme="minorHAnsi"/>
                <w:bCs/>
              </w:rPr>
              <w:t>$300-500</w:t>
            </w:r>
          </w:p>
        </w:tc>
      </w:tr>
      <w:tr w:rsidR="009269FB" w14:paraId="1AB0173A" w14:textId="77777777" w:rsidTr="00F05CA2">
        <w:tc>
          <w:tcPr>
            <w:tcW w:w="2689" w:type="dxa"/>
          </w:tcPr>
          <w:p w14:paraId="30012744" w14:textId="4B186C76" w:rsidR="009269FB" w:rsidRDefault="00F908C2" w:rsidP="009D7547">
            <w:pPr>
              <w:jc w:val="both"/>
              <w:rPr>
                <w:rFonts w:asciiTheme="minorHAnsi" w:hAnsiTheme="minorHAnsi" w:cstheme="minorHAnsi"/>
                <w:bCs/>
              </w:rPr>
            </w:pPr>
            <w:r>
              <w:rPr>
                <w:rFonts w:asciiTheme="minorHAnsi" w:hAnsiTheme="minorHAnsi" w:cstheme="minorHAnsi"/>
                <w:bCs/>
              </w:rPr>
              <w:t xml:space="preserve">Expansion of mechanical recycling capacity with a focus on </w:t>
            </w:r>
            <w:r w:rsidR="00780D60">
              <w:rPr>
                <w:rFonts w:asciiTheme="minorHAnsi" w:hAnsiTheme="minorHAnsi" w:cstheme="minorHAnsi"/>
                <w:bCs/>
              </w:rPr>
              <w:t>post-consumer</w:t>
            </w:r>
            <w:r w:rsidR="00B168D1">
              <w:rPr>
                <w:rFonts w:asciiTheme="minorHAnsi" w:hAnsiTheme="minorHAnsi" w:cstheme="minorHAnsi"/>
                <w:bCs/>
              </w:rPr>
              <w:t xml:space="preserve"> </w:t>
            </w:r>
            <w:r w:rsidR="00C7542E">
              <w:rPr>
                <w:rFonts w:asciiTheme="minorHAnsi" w:hAnsiTheme="minorHAnsi" w:cstheme="minorHAnsi"/>
                <w:bCs/>
              </w:rPr>
              <w:t xml:space="preserve">PE and PP </w:t>
            </w:r>
            <w:r w:rsidR="00780D60">
              <w:rPr>
                <w:rFonts w:asciiTheme="minorHAnsi" w:hAnsiTheme="minorHAnsi" w:cstheme="minorHAnsi"/>
                <w:bCs/>
              </w:rPr>
              <w:t>material</w:t>
            </w:r>
          </w:p>
        </w:tc>
        <w:tc>
          <w:tcPr>
            <w:tcW w:w="1701" w:type="dxa"/>
          </w:tcPr>
          <w:p w14:paraId="374C3877" w14:textId="08C97977" w:rsidR="009269FB" w:rsidRDefault="00067DDB" w:rsidP="009D7547">
            <w:pPr>
              <w:jc w:val="both"/>
              <w:rPr>
                <w:rFonts w:asciiTheme="minorHAnsi" w:hAnsiTheme="minorHAnsi" w:cstheme="minorHAnsi"/>
                <w:bCs/>
              </w:rPr>
            </w:pPr>
            <w:r>
              <w:rPr>
                <w:rFonts w:asciiTheme="minorHAnsi" w:hAnsiTheme="minorHAnsi" w:cstheme="minorHAnsi"/>
                <w:bCs/>
              </w:rPr>
              <w:t>225,000</w:t>
            </w:r>
          </w:p>
        </w:tc>
        <w:tc>
          <w:tcPr>
            <w:tcW w:w="2405" w:type="dxa"/>
          </w:tcPr>
          <w:p w14:paraId="021F0221" w14:textId="45B87F9C" w:rsidR="009269FB" w:rsidRDefault="00AA4542" w:rsidP="009D7547">
            <w:pPr>
              <w:jc w:val="both"/>
              <w:rPr>
                <w:rFonts w:asciiTheme="minorHAnsi" w:hAnsiTheme="minorHAnsi" w:cstheme="minorHAnsi"/>
                <w:bCs/>
              </w:rPr>
            </w:pPr>
            <w:r>
              <w:rPr>
                <w:rFonts w:asciiTheme="minorHAnsi" w:hAnsiTheme="minorHAnsi" w:cstheme="minorHAnsi"/>
                <w:bCs/>
              </w:rPr>
              <w:t>&gt;</w:t>
            </w:r>
            <w:r w:rsidR="00476E1A">
              <w:rPr>
                <w:rFonts w:asciiTheme="minorHAnsi" w:hAnsiTheme="minorHAnsi" w:cstheme="minorHAnsi"/>
                <w:bCs/>
              </w:rPr>
              <w:t>200,000</w:t>
            </w:r>
          </w:p>
        </w:tc>
        <w:tc>
          <w:tcPr>
            <w:tcW w:w="2266" w:type="dxa"/>
          </w:tcPr>
          <w:p w14:paraId="7AA157BE" w14:textId="31E02C7B" w:rsidR="009269FB" w:rsidRDefault="00C7542E" w:rsidP="009D7547">
            <w:pPr>
              <w:jc w:val="both"/>
              <w:rPr>
                <w:rFonts w:asciiTheme="minorHAnsi" w:hAnsiTheme="minorHAnsi" w:cstheme="minorHAnsi"/>
                <w:bCs/>
              </w:rPr>
            </w:pPr>
            <w:r>
              <w:rPr>
                <w:rFonts w:asciiTheme="minorHAnsi" w:hAnsiTheme="minorHAnsi" w:cstheme="minorHAnsi"/>
                <w:bCs/>
              </w:rPr>
              <w:t>$200-500</w:t>
            </w:r>
          </w:p>
        </w:tc>
      </w:tr>
      <w:tr w:rsidR="009269FB" w14:paraId="1D82013E" w14:textId="77777777" w:rsidTr="00F05CA2">
        <w:tc>
          <w:tcPr>
            <w:tcW w:w="2689" w:type="dxa"/>
          </w:tcPr>
          <w:p w14:paraId="7077D892" w14:textId="682E44E5" w:rsidR="009269FB" w:rsidRDefault="00CD04CF" w:rsidP="009D7547">
            <w:pPr>
              <w:jc w:val="both"/>
              <w:rPr>
                <w:rFonts w:asciiTheme="minorHAnsi" w:hAnsiTheme="minorHAnsi" w:cstheme="minorHAnsi"/>
                <w:bCs/>
              </w:rPr>
            </w:pPr>
            <w:r>
              <w:rPr>
                <w:rFonts w:asciiTheme="minorHAnsi" w:hAnsiTheme="minorHAnsi" w:cstheme="minorHAnsi"/>
                <w:bCs/>
              </w:rPr>
              <w:t xml:space="preserve">Development of </w:t>
            </w:r>
            <w:r w:rsidR="00546568">
              <w:rPr>
                <w:rFonts w:asciiTheme="minorHAnsi" w:hAnsiTheme="minorHAnsi" w:cstheme="minorHAnsi"/>
                <w:bCs/>
              </w:rPr>
              <w:t xml:space="preserve">recycling </w:t>
            </w:r>
            <w:r w:rsidR="004421E6">
              <w:rPr>
                <w:rFonts w:asciiTheme="minorHAnsi" w:hAnsiTheme="minorHAnsi" w:cstheme="minorHAnsi"/>
                <w:bCs/>
              </w:rPr>
              <w:t>strategies for each significant durable plastic product</w:t>
            </w:r>
          </w:p>
        </w:tc>
        <w:tc>
          <w:tcPr>
            <w:tcW w:w="1701" w:type="dxa"/>
          </w:tcPr>
          <w:p w14:paraId="40BC4456" w14:textId="271B8F8D" w:rsidR="009269FB" w:rsidRDefault="005024F0" w:rsidP="009D7547">
            <w:pPr>
              <w:jc w:val="both"/>
              <w:rPr>
                <w:rFonts w:asciiTheme="minorHAnsi" w:hAnsiTheme="minorHAnsi" w:cstheme="minorHAnsi"/>
                <w:bCs/>
              </w:rPr>
            </w:pPr>
            <w:r>
              <w:rPr>
                <w:rFonts w:asciiTheme="minorHAnsi" w:hAnsiTheme="minorHAnsi" w:cstheme="minorHAnsi"/>
                <w:bCs/>
              </w:rPr>
              <w:t>minimal</w:t>
            </w:r>
          </w:p>
        </w:tc>
        <w:tc>
          <w:tcPr>
            <w:tcW w:w="2405" w:type="dxa"/>
          </w:tcPr>
          <w:p w14:paraId="11967548" w14:textId="756BE4BD" w:rsidR="009269FB" w:rsidRDefault="005024F0" w:rsidP="009D7547">
            <w:pPr>
              <w:jc w:val="both"/>
              <w:rPr>
                <w:rFonts w:asciiTheme="minorHAnsi" w:hAnsiTheme="minorHAnsi" w:cstheme="minorHAnsi"/>
                <w:bCs/>
              </w:rPr>
            </w:pPr>
            <w:r>
              <w:rPr>
                <w:rFonts w:asciiTheme="minorHAnsi" w:hAnsiTheme="minorHAnsi" w:cstheme="minorHAnsi"/>
                <w:bCs/>
              </w:rPr>
              <w:t xml:space="preserve">&gt; </w:t>
            </w:r>
            <w:r w:rsidR="00236DB1">
              <w:rPr>
                <w:rFonts w:asciiTheme="minorHAnsi" w:hAnsiTheme="minorHAnsi" w:cstheme="minorHAnsi"/>
                <w:bCs/>
              </w:rPr>
              <w:t>3</w:t>
            </w:r>
            <w:r w:rsidR="008B28DB">
              <w:rPr>
                <w:rFonts w:asciiTheme="minorHAnsi" w:hAnsiTheme="minorHAnsi" w:cstheme="minorHAnsi"/>
                <w:bCs/>
              </w:rPr>
              <w:t>00,000</w:t>
            </w:r>
          </w:p>
        </w:tc>
        <w:tc>
          <w:tcPr>
            <w:tcW w:w="2266" w:type="dxa"/>
          </w:tcPr>
          <w:p w14:paraId="541DFD0F" w14:textId="2C5F883E" w:rsidR="009269FB" w:rsidRDefault="005B257A" w:rsidP="009D7547">
            <w:pPr>
              <w:jc w:val="both"/>
              <w:rPr>
                <w:rFonts w:asciiTheme="minorHAnsi" w:hAnsiTheme="minorHAnsi" w:cstheme="minorHAnsi"/>
                <w:bCs/>
              </w:rPr>
            </w:pPr>
            <w:r>
              <w:rPr>
                <w:rFonts w:asciiTheme="minorHAnsi" w:hAnsiTheme="minorHAnsi" w:cstheme="minorHAnsi"/>
                <w:bCs/>
              </w:rPr>
              <w:t>$200-500</w:t>
            </w:r>
          </w:p>
        </w:tc>
      </w:tr>
      <w:tr w:rsidR="00476E1A" w14:paraId="2936DB5D" w14:textId="77777777" w:rsidTr="00F05CA2">
        <w:tc>
          <w:tcPr>
            <w:tcW w:w="2689" w:type="dxa"/>
          </w:tcPr>
          <w:p w14:paraId="2336DDC4" w14:textId="6AC558F8" w:rsidR="00476E1A" w:rsidRDefault="00476E1A" w:rsidP="009D7547">
            <w:pPr>
              <w:jc w:val="both"/>
              <w:rPr>
                <w:rFonts w:asciiTheme="minorHAnsi" w:hAnsiTheme="minorHAnsi" w:cstheme="minorHAnsi"/>
                <w:bCs/>
              </w:rPr>
            </w:pPr>
            <w:r>
              <w:rPr>
                <w:rFonts w:asciiTheme="minorHAnsi" w:hAnsiTheme="minorHAnsi" w:cstheme="minorHAnsi"/>
                <w:bCs/>
              </w:rPr>
              <w:t>Inclusion of flexible plastic packaging in kerbside collections</w:t>
            </w:r>
          </w:p>
        </w:tc>
        <w:tc>
          <w:tcPr>
            <w:tcW w:w="1701" w:type="dxa"/>
          </w:tcPr>
          <w:p w14:paraId="0AE67B3A" w14:textId="0E6363AC" w:rsidR="00476E1A" w:rsidRDefault="00476E1A" w:rsidP="009D7547">
            <w:pPr>
              <w:jc w:val="both"/>
              <w:rPr>
                <w:rFonts w:asciiTheme="minorHAnsi" w:hAnsiTheme="minorHAnsi" w:cstheme="minorHAnsi"/>
                <w:bCs/>
              </w:rPr>
            </w:pPr>
            <w:r>
              <w:rPr>
                <w:rFonts w:asciiTheme="minorHAnsi" w:hAnsiTheme="minorHAnsi" w:cstheme="minorHAnsi"/>
                <w:bCs/>
              </w:rPr>
              <w:t>minimal</w:t>
            </w:r>
          </w:p>
        </w:tc>
        <w:tc>
          <w:tcPr>
            <w:tcW w:w="2405" w:type="dxa"/>
          </w:tcPr>
          <w:p w14:paraId="47121D70" w14:textId="0CDC4290" w:rsidR="00476E1A" w:rsidRDefault="00B80DA0" w:rsidP="009D7547">
            <w:pPr>
              <w:jc w:val="both"/>
              <w:rPr>
                <w:rFonts w:asciiTheme="minorHAnsi" w:hAnsiTheme="minorHAnsi" w:cstheme="minorHAnsi"/>
                <w:bCs/>
              </w:rPr>
            </w:pPr>
            <w:r>
              <w:rPr>
                <w:rFonts w:asciiTheme="minorHAnsi" w:hAnsiTheme="minorHAnsi" w:cstheme="minorHAnsi"/>
                <w:bCs/>
              </w:rPr>
              <w:t>&gt;100,000</w:t>
            </w:r>
          </w:p>
        </w:tc>
        <w:tc>
          <w:tcPr>
            <w:tcW w:w="2266" w:type="dxa"/>
          </w:tcPr>
          <w:p w14:paraId="1D002276" w14:textId="7E05457B" w:rsidR="00476E1A" w:rsidRDefault="00EA7037" w:rsidP="009D7547">
            <w:pPr>
              <w:jc w:val="both"/>
              <w:rPr>
                <w:rFonts w:asciiTheme="minorHAnsi" w:hAnsiTheme="minorHAnsi" w:cstheme="minorHAnsi"/>
                <w:bCs/>
              </w:rPr>
            </w:pPr>
            <w:r>
              <w:rPr>
                <w:rFonts w:asciiTheme="minorHAnsi" w:hAnsiTheme="minorHAnsi" w:cstheme="minorHAnsi"/>
                <w:bCs/>
              </w:rPr>
              <w:t>$0-150</w:t>
            </w:r>
          </w:p>
        </w:tc>
      </w:tr>
      <w:tr w:rsidR="00546568" w14:paraId="56F19A79" w14:textId="77777777" w:rsidTr="00F05CA2">
        <w:tc>
          <w:tcPr>
            <w:tcW w:w="2689" w:type="dxa"/>
          </w:tcPr>
          <w:p w14:paraId="2AAFB924" w14:textId="588029F9" w:rsidR="00546568" w:rsidRDefault="002A5F24" w:rsidP="009D7547">
            <w:pPr>
              <w:jc w:val="both"/>
              <w:rPr>
                <w:rFonts w:asciiTheme="minorHAnsi" w:hAnsiTheme="minorHAnsi" w:cstheme="minorHAnsi"/>
                <w:bCs/>
              </w:rPr>
            </w:pPr>
            <w:r>
              <w:rPr>
                <w:rFonts w:asciiTheme="minorHAnsi" w:hAnsiTheme="minorHAnsi" w:cstheme="minorHAnsi"/>
                <w:bCs/>
              </w:rPr>
              <w:t xml:space="preserve">Committed procurement of </w:t>
            </w:r>
            <w:proofErr w:type="spellStart"/>
            <w:r>
              <w:rPr>
                <w:rFonts w:asciiTheme="minorHAnsi" w:hAnsiTheme="minorHAnsi" w:cstheme="minorHAnsi"/>
                <w:bCs/>
              </w:rPr>
              <w:t>recyclate</w:t>
            </w:r>
            <w:proofErr w:type="spellEnd"/>
            <w:r>
              <w:rPr>
                <w:rFonts w:asciiTheme="minorHAnsi" w:hAnsiTheme="minorHAnsi" w:cstheme="minorHAnsi"/>
                <w:bCs/>
              </w:rPr>
              <w:t xml:space="preserve"> by governments</w:t>
            </w:r>
          </w:p>
        </w:tc>
        <w:tc>
          <w:tcPr>
            <w:tcW w:w="1701" w:type="dxa"/>
          </w:tcPr>
          <w:p w14:paraId="325E6947" w14:textId="57CEFC8F" w:rsidR="00546568" w:rsidRDefault="002950B0" w:rsidP="009D7547">
            <w:pPr>
              <w:jc w:val="both"/>
              <w:rPr>
                <w:rFonts w:asciiTheme="minorHAnsi" w:hAnsiTheme="minorHAnsi" w:cstheme="minorHAnsi"/>
                <w:bCs/>
              </w:rPr>
            </w:pPr>
            <w:r>
              <w:rPr>
                <w:rFonts w:asciiTheme="minorHAnsi" w:hAnsiTheme="minorHAnsi" w:cstheme="minorHAnsi"/>
                <w:bCs/>
              </w:rPr>
              <w:t>minimal</w:t>
            </w:r>
          </w:p>
        </w:tc>
        <w:tc>
          <w:tcPr>
            <w:tcW w:w="2405" w:type="dxa"/>
          </w:tcPr>
          <w:p w14:paraId="6AF9A268" w14:textId="77594D66" w:rsidR="00546568" w:rsidRDefault="008B28DB" w:rsidP="009D7547">
            <w:pPr>
              <w:jc w:val="both"/>
              <w:rPr>
                <w:rFonts w:asciiTheme="minorHAnsi" w:hAnsiTheme="minorHAnsi" w:cstheme="minorHAnsi"/>
                <w:bCs/>
              </w:rPr>
            </w:pPr>
            <w:r>
              <w:rPr>
                <w:rFonts w:asciiTheme="minorHAnsi" w:hAnsiTheme="minorHAnsi" w:cstheme="minorHAnsi"/>
                <w:bCs/>
              </w:rPr>
              <w:t>&gt;100,000</w:t>
            </w:r>
          </w:p>
        </w:tc>
        <w:tc>
          <w:tcPr>
            <w:tcW w:w="2266" w:type="dxa"/>
          </w:tcPr>
          <w:p w14:paraId="05D852EA" w14:textId="379C370F" w:rsidR="00546568" w:rsidRDefault="005B257A" w:rsidP="009D7547">
            <w:pPr>
              <w:jc w:val="both"/>
              <w:rPr>
                <w:rFonts w:asciiTheme="minorHAnsi" w:hAnsiTheme="minorHAnsi" w:cstheme="minorHAnsi"/>
                <w:bCs/>
              </w:rPr>
            </w:pPr>
            <w:r>
              <w:rPr>
                <w:rFonts w:asciiTheme="minorHAnsi" w:hAnsiTheme="minorHAnsi" w:cstheme="minorHAnsi"/>
                <w:bCs/>
              </w:rPr>
              <w:t>$300-500</w:t>
            </w:r>
          </w:p>
        </w:tc>
      </w:tr>
      <w:tr w:rsidR="00EB0CA4" w14:paraId="32596881" w14:textId="77777777" w:rsidTr="00F05CA2">
        <w:tc>
          <w:tcPr>
            <w:tcW w:w="2689" w:type="dxa"/>
          </w:tcPr>
          <w:p w14:paraId="74B12999" w14:textId="546622AF" w:rsidR="00EB0CA4" w:rsidRDefault="00EB0CA4" w:rsidP="009D7547">
            <w:pPr>
              <w:jc w:val="both"/>
              <w:rPr>
                <w:rFonts w:asciiTheme="minorHAnsi" w:hAnsiTheme="minorHAnsi" w:cstheme="minorHAnsi"/>
                <w:bCs/>
              </w:rPr>
            </w:pPr>
            <w:r>
              <w:rPr>
                <w:rFonts w:asciiTheme="minorHAnsi" w:hAnsiTheme="minorHAnsi" w:cstheme="minorHAnsi"/>
                <w:bCs/>
              </w:rPr>
              <w:t xml:space="preserve">Committed procurement of </w:t>
            </w:r>
            <w:proofErr w:type="spellStart"/>
            <w:r>
              <w:rPr>
                <w:rFonts w:asciiTheme="minorHAnsi" w:hAnsiTheme="minorHAnsi" w:cstheme="minorHAnsi"/>
                <w:bCs/>
              </w:rPr>
              <w:t>recyclate</w:t>
            </w:r>
            <w:proofErr w:type="spellEnd"/>
            <w:r>
              <w:rPr>
                <w:rFonts w:asciiTheme="minorHAnsi" w:hAnsiTheme="minorHAnsi" w:cstheme="minorHAnsi"/>
                <w:bCs/>
              </w:rPr>
              <w:t xml:space="preserve"> </w:t>
            </w:r>
            <w:r w:rsidR="002950B0">
              <w:rPr>
                <w:rFonts w:asciiTheme="minorHAnsi" w:hAnsiTheme="minorHAnsi" w:cstheme="minorHAnsi"/>
                <w:bCs/>
              </w:rPr>
              <w:t xml:space="preserve">into packaging </w:t>
            </w:r>
            <w:r>
              <w:rPr>
                <w:rFonts w:asciiTheme="minorHAnsi" w:hAnsiTheme="minorHAnsi" w:cstheme="minorHAnsi"/>
                <w:bCs/>
              </w:rPr>
              <w:t xml:space="preserve">by </w:t>
            </w:r>
            <w:r w:rsidR="002950B0">
              <w:rPr>
                <w:rFonts w:asciiTheme="minorHAnsi" w:hAnsiTheme="minorHAnsi" w:cstheme="minorHAnsi"/>
                <w:bCs/>
              </w:rPr>
              <w:t>consumer brands</w:t>
            </w:r>
          </w:p>
        </w:tc>
        <w:tc>
          <w:tcPr>
            <w:tcW w:w="1701" w:type="dxa"/>
          </w:tcPr>
          <w:p w14:paraId="4B95BA0F" w14:textId="2FBA76CC" w:rsidR="00EB0CA4" w:rsidRDefault="002950B0" w:rsidP="009D7547">
            <w:pPr>
              <w:jc w:val="both"/>
              <w:rPr>
                <w:rFonts w:asciiTheme="minorHAnsi" w:hAnsiTheme="minorHAnsi" w:cstheme="minorHAnsi"/>
                <w:bCs/>
              </w:rPr>
            </w:pPr>
            <w:r>
              <w:rPr>
                <w:rFonts w:asciiTheme="minorHAnsi" w:hAnsiTheme="minorHAnsi" w:cstheme="minorHAnsi"/>
                <w:bCs/>
              </w:rPr>
              <w:t>minimal</w:t>
            </w:r>
          </w:p>
        </w:tc>
        <w:tc>
          <w:tcPr>
            <w:tcW w:w="2405" w:type="dxa"/>
          </w:tcPr>
          <w:p w14:paraId="4A0FA572" w14:textId="4A4D0AF9" w:rsidR="00EB0CA4" w:rsidRDefault="008B28DB" w:rsidP="009D7547">
            <w:pPr>
              <w:jc w:val="both"/>
              <w:rPr>
                <w:rFonts w:asciiTheme="minorHAnsi" w:hAnsiTheme="minorHAnsi" w:cstheme="minorHAnsi"/>
                <w:bCs/>
              </w:rPr>
            </w:pPr>
            <w:r>
              <w:rPr>
                <w:rFonts w:asciiTheme="minorHAnsi" w:hAnsiTheme="minorHAnsi" w:cstheme="minorHAnsi"/>
                <w:bCs/>
              </w:rPr>
              <w:t>&gt;100,000</w:t>
            </w:r>
          </w:p>
        </w:tc>
        <w:tc>
          <w:tcPr>
            <w:tcW w:w="2266" w:type="dxa"/>
          </w:tcPr>
          <w:p w14:paraId="554AD1A4" w14:textId="7EF901B4" w:rsidR="00EB0CA4" w:rsidRDefault="005B257A" w:rsidP="009D7547">
            <w:pPr>
              <w:jc w:val="both"/>
              <w:rPr>
                <w:rFonts w:asciiTheme="minorHAnsi" w:hAnsiTheme="minorHAnsi" w:cstheme="minorHAnsi"/>
                <w:bCs/>
              </w:rPr>
            </w:pPr>
            <w:r>
              <w:rPr>
                <w:rFonts w:asciiTheme="minorHAnsi" w:hAnsiTheme="minorHAnsi" w:cstheme="minorHAnsi"/>
                <w:bCs/>
              </w:rPr>
              <w:t>$300-500</w:t>
            </w:r>
          </w:p>
        </w:tc>
      </w:tr>
    </w:tbl>
    <w:p w14:paraId="10703603" w14:textId="710BB7C9" w:rsidR="003F458B" w:rsidRDefault="003F458B">
      <w:pPr>
        <w:spacing w:after="0" w:line="240" w:lineRule="auto"/>
      </w:pPr>
      <w:r>
        <w:br w:type="page"/>
      </w:r>
    </w:p>
    <w:p w14:paraId="699695F3" w14:textId="77777777" w:rsidR="00964523" w:rsidRDefault="00964523" w:rsidP="001D2261"/>
    <w:p w14:paraId="2244705C" w14:textId="759FC275" w:rsidR="003F458B" w:rsidRDefault="00731812" w:rsidP="003F458B">
      <w:pPr>
        <w:pStyle w:val="Heading1"/>
      </w:pPr>
      <w:bookmarkStart w:id="10" w:name="_Toc15660413"/>
      <w:bookmarkStart w:id="11" w:name="_Toc19708288"/>
      <w:r>
        <w:rPr>
          <w:caps w:val="0"/>
        </w:rPr>
        <w:t>MARKET ASSESSMENT FOR PAPER AND CARDBOARD</w:t>
      </w:r>
      <w:bookmarkEnd w:id="10"/>
      <w:bookmarkEnd w:id="11"/>
    </w:p>
    <w:p w14:paraId="5D34B1D3" w14:textId="77777777" w:rsidR="00F36220" w:rsidRDefault="00F36220" w:rsidP="00F36220">
      <w:pPr>
        <w:pStyle w:val="Heading4"/>
      </w:pPr>
      <w:r>
        <w:t>Paper market</w:t>
      </w:r>
    </w:p>
    <w:p w14:paraId="729114F7" w14:textId="4CFA4D92" w:rsidR="00690B8D" w:rsidRDefault="00F65A1A" w:rsidP="00DD6236">
      <w:pPr>
        <w:jc w:val="both"/>
      </w:pPr>
      <w:r>
        <w:t>Paper and cardboard packagi</w:t>
      </w:r>
      <w:r w:rsidR="003E2F7E">
        <w:t xml:space="preserve">ng is the dominant from of packaging and accounts for over half of the packaging in the Australian market. </w:t>
      </w:r>
      <w:r w:rsidR="00AB5942">
        <w:t xml:space="preserve">For many years, the collection and sale of paper and cardboard packaging has </w:t>
      </w:r>
      <w:r w:rsidR="00AB1FAE">
        <w:t xml:space="preserve">underpinned the kerbside recycling system and commercial recycling collections. </w:t>
      </w:r>
      <w:r w:rsidR="00DA45BE">
        <w:t xml:space="preserve">The dominant fibre packaging material is corrugated cardboard for box </w:t>
      </w:r>
      <w:r w:rsidR="00051944">
        <w:t xml:space="preserve">production. There </w:t>
      </w:r>
      <w:r w:rsidR="00590A34">
        <w:t>are</w:t>
      </w:r>
      <w:r w:rsidR="00051944">
        <w:t xml:space="preserve"> also significant quantities of </w:t>
      </w:r>
      <w:r w:rsidR="003F3562">
        <w:t>non-</w:t>
      </w:r>
      <w:r w:rsidR="002944B4">
        <w:t>corr</w:t>
      </w:r>
      <w:r w:rsidR="003F3562">
        <w:t>u</w:t>
      </w:r>
      <w:r w:rsidR="002944B4">
        <w:t>gated boxboard into</w:t>
      </w:r>
      <w:r w:rsidR="003F3562">
        <w:t xml:space="preserve"> applications such a </w:t>
      </w:r>
      <w:r w:rsidR="00DB51DE">
        <w:t>cereal box</w:t>
      </w:r>
      <w:r w:rsidR="003F3562">
        <w:t xml:space="preserve">. </w:t>
      </w:r>
    </w:p>
    <w:p w14:paraId="743BC5E9" w14:textId="32482EA6" w:rsidR="00690B8D" w:rsidRDefault="003F3562" w:rsidP="00DD6236">
      <w:pPr>
        <w:jc w:val="both"/>
      </w:pPr>
      <w:r>
        <w:t xml:space="preserve">There is also a </w:t>
      </w:r>
      <w:r w:rsidR="00E23231">
        <w:t xml:space="preserve">supply of moulded fibre packaging into applications such as egg cartons. These packaging </w:t>
      </w:r>
      <w:r w:rsidR="00AA4817">
        <w:t xml:space="preserve">formats account for the biggest fibre use </w:t>
      </w:r>
      <w:r w:rsidR="008C677D">
        <w:t>format</w:t>
      </w:r>
      <w:r w:rsidR="00B13705">
        <w:t xml:space="preserve">. There is also </w:t>
      </w:r>
      <w:r w:rsidR="008C677D">
        <w:t>fibre</w:t>
      </w:r>
      <w:r w:rsidR="00B13705">
        <w:t xml:space="preserve"> consumed at household level </w:t>
      </w:r>
      <w:r w:rsidR="006E6650">
        <w:t xml:space="preserve">as newspaper and magazine, and printing and writing paper grades across </w:t>
      </w:r>
      <w:r w:rsidR="008C677D">
        <w:t xml:space="preserve">household and commercial sectors. </w:t>
      </w:r>
      <w:r w:rsidR="005C3CDC">
        <w:t xml:space="preserve">Both of these paper uses are declining. </w:t>
      </w:r>
      <w:r w:rsidR="008C677D">
        <w:t xml:space="preserve">A smaller amount of fibre goes into tissue product production and most of </w:t>
      </w:r>
      <w:r w:rsidR="00690B8D">
        <w:t>this is into applications that are not recoverable.</w:t>
      </w:r>
    </w:p>
    <w:p w14:paraId="454A5B54" w14:textId="0F04BE4F" w:rsidR="007740E3" w:rsidRPr="004F11F4" w:rsidRDefault="007740E3" w:rsidP="00DD6236">
      <w:pPr>
        <w:jc w:val="both"/>
      </w:pPr>
      <w:r w:rsidRPr="003C571D">
        <w:t xml:space="preserve">Demand for products that need to be packaged locally in corrugated boxes </w:t>
      </w:r>
      <w:r w:rsidR="00171ED3">
        <w:t>has</w:t>
      </w:r>
      <w:r w:rsidR="00171ED3" w:rsidRPr="003C571D">
        <w:t xml:space="preserve"> </w:t>
      </w:r>
      <w:r w:rsidRPr="003C571D">
        <w:t>remained relatively stable.</w:t>
      </w:r>
    </w:p>
    <w:p w14:paraId="1C184BC8" w14:textId="77777777" w:rsidR="004B69F1" w:rsidRPr="00F36220" w:rsidRDefault="004B69F1" w:rsidP="00F36220">
      <w:pPr>
        <w:pStyle w:val="Heading4"/>
      </w:pPr>
      <w:r w:rsidRPr="00F36220">
        <w:t>Prices, demand and supply</w:t>
      </w:r>
    </w:p>
    <w:p w14:paraId="4686E204" w14:textId="6DEBA1B4" w:rsidR="00690B8D" w:rsidRPr="003C571D" w:rsidRDefault="00690B8D" w:rsidP="00DD6236">
      <w:pPr>
        <w:jc w:val="both"/>
      </w:pPr>
      <w:r w:rsidRPr="003C571D">
        <w:t>Recovered paper and paperboard prices appear to have</w:t>
      </w:r>
      <w:r>
        <w:t xml:space="preserve"> stabilised somewhat</w:t>
      </w:r>
      <w:r w:rsidRPr="003C571D">
        <w:t xml:space="preserve"> in the global market in June. Local demand and supply are generally unaffected because the main local users (manufacturers of recycled paperboard for use in corrugated carton manufacture and newsprint manufacturers) are experiencing relatively normal demand.</w:t>
      </w:r>
    </w:p>
    <w:p w14:paraId="464EB2A1" w14:textId="0F75BD9B" w:rsidR="00577248" w:rsidRPr="003C729E" w:rsidRDefault="00577248" w:rsidP="00DD6236">
      <w:pPr>
        <w:jc w:val="both"/>
      </w:pPr>
      <w:r w:rsidRPr="003C729E">
        <w:t>Kerbside collected m</w:t>
      </w:r>
      <w:r>
        <w:t>ixed paper &amp; paperboard</w:t>
      </w:r>
      <w:r w:rsidRPr="003C729E">
        <w:t xml:space="preserve"> continues to be almost unsaleable locally or through export in any significant volume and has a current value of </w:t>
      </w:r>
      <w:r>
        <w:t>around</w:t>
      </w:r>
      <w:r w:rsidRPr="003C729E">
        <w:t xml:space="preserve"> $0 /tonne. </w:t>
      </w:r>
      <w:r>
        <w:t xml:space="preserve">Little has changed in the local market over the last </w:t>
      </w:r>
      <w:r w:rsidR="008D3415">
        <w:t xml:space="preserve">few </w:t>
      </w:r>
      <w:r>
        <w:t>month</w:t>
      </w:r>
      <w:r w:rsidR="008D3415">
        <w:t>s</w:t>
      </w:r>
      <w:r>
        <w:t>, with respect to sales.</w:t>
      </w:r>
    </w:p>
    <w:p w14:paraId="5427B75C" w14:textId="113439A5" w:rsidR="00577248" w:rsidRDefault="00577248" w:rsidP="00577248">
      <w:pPr>
        <w:jc w:val="both"/>
      </w:pPr>
      <w:r>
        <w:t xml:space="preserve">Non-kerbside (and </w:t>
      </w:r>
      <w:r w:rsidR="00330ACF">
        <w:t>low contamination</w:t>
      </w:r>
      <w:r>
        <w:t>) sourced n</w:t>
      </w:r>
      <w:r w:rsidRPr="000A2B6F">
        <w:t xml:space="preserve">ewsprint and </w:t>
      </w:r>
      <w:r>
        <w:t>m</w:t>
      </w:r>
      <w:r w:rsidRPr="000A2B6F">
        <w:t xml:space="preserve">agazine grades continue to be purchased in the Australian market at prices </w:t>
      </w:r>
      <w:r>
        <w:t xml:space="preserve">as high as $250/tonne. However, there is </w:t>
      </w:r>
      <w:r w:rsidR="00330ACF">
        <w:t xml:space="preserve">generally </w:t>
      </w:r>
      <w:r>
        <w:t xml:space="preserve">no sorting of these grades by </w:t>
      </w:r>
      <w:r w:rsidR="006A4C6D">
        <w:t>most Australian</w:t>
      </w:r>
      <w:r>
        <w:t xml:space="preserve"> MRFs, severely limiting the supply and quality of available material. </w:t>
      </w:r>
    </w:p>
    <w:p w14:paraId="12B21B57" w14:textId="77777777" w:rsidR="00577248" w:rsidRDefault="00577248" w:rsidP="00577248">
      <w:pPr>
        <w:jc w:val="both"/>
      </w:pPr>
      <w:r>
        <w:t xml:space="preserve">Premium prices (as much as $350 /tonne) are available for the negligible volumes of post-consumer sorted white office paper or bleached </w:t>
      </w:r>
      <w:proofErr w:type="spellStart"/>
      <w:proofErr w:type="gramStart"/>
      <w:r>
        <w:t>kraft</w:t>
      </w:r>
      <w:proofErr w:type="spellEnd"/>
      <w:r>
        <w:t>, that</w:t>
      </w:r>
      <w:proofErr w:type="gramEnd"/>
      <w:r>
        <w:t xml:space="preserve"> is available in the market. Pre</w:t>
      </w:r>
      <w:r>
        <w:noBreakHyphen/>
        <w:t>consumer volumes from printers and converters is highly sought after and premiums are still paid for what is a limited supply.</w:t>
      </w:r>
    </w:p>
    <w:p w14:paraId="55CFA70E" w14:textId="7080034A" w:rsidR="00577248" w:rsidRDefault="009946F5" w:rsidP="00577248">
      <w:pPr>
        <w:jc w:val="both"/>
      </w:pPr>
      <w:r>
        <w:t>Sorted and baled cardboard</w:t>
      </w:r>
      <w:r w:rsidR="00577248">
        <w:t xml:space="preserve"> prices continue</w:t>
      </w:r>
      <w:r w:rsidR="0058603D">
        <w:t>d</w:t>
      </w:r>
      <w:r w:rsidR="00577248">
        <w:t xml:space="preserve"> to be under stress at the end of June</w:t>
      </w:r>
      <w:r>
        <w:t xml:space="preserve"> 2019</w:t>
      </w:r>
      <w:r w:rsidR="00577248">
        <w:t>.</w:t>
      </w:r>
    </w:p>
    <w:p w14:paraId="56A86394" w14:textId="77777777" w:rsidR="00CF5709" w:rsidRDefault="00CF5709" w:rsidP="00CF5709">
      <w:pPr>
        <w:pStyle w:val="Heading4"/>
      </w:pPr>
      <w:r>
        <w:t>Sorted grade paper</w:t>
      </w:r>
    </w:p>
    <w:p w14:paraId="1A48A4BF" w14:textId="046FF8CC" w:rsidR="00577248" w:rsidRPr="003C729E" w:rsidRDefault="00577248" w:rsidP="00577248">
      <w:pPr>
        <w:jc w:val="both"/>
      </w:pPr>
      <w:r>
        <w:t xml:space="preserve">Market </w:t>
      </w:r>
      <w:r w:rsidRPr="003C729E">
        <w:t xml:space="preserve">demand for the MRF sorted mixed paper </w:t>
      </w:r>
      <w:r>
        <w:t>&amp;</w:t>
      </w:r>
      <w:r w:rsidRPr="003C729E">
        <w:t xml:space="preserve"> paperboard </w:t>
      </w:r>
      <w:r>
        <w:t>product</w:t>
      </w:r>
      <w:r w:rsidRPr="003C729E">
        <w:t xml:space="preserve"> remains </w:t>
      </w:r>
      <w:r>
        <w:t xml:space="preserve">negligible. Visy is understood to be the only MRF operator moving any paper &amp; paperboard. This is due to its vertical integration with </w:t>
      </w:r>
      <w:r w:rsidR="00664EDD">
        <w:t>its own</w:t>
      </w:r>
      <w:r>
        <w:t xml:space="preserve"> </w:t>
      </w:r>
      <w:proofErr w:type="spellStart"/>
      <w:r>
        <w:t>papermill</w:t>
      </w:r>
      <w:r w:rsidR="00330ACF">
        <w:t>s</w:t>
      </w:r>
      <w:proofErr w:type="spellEnd"/>
      <w:r>
        <w:t>. It is unique in being able to take material in and produce a recycled sheet with strong end-markets.</w:t>
      </w:r>
    </w:p>
    <w:p w14:paraId="0249BB5E" w14:textId="5A728569" w:rsidR="007A7FB9" w:rsidRDefault="007A7FB9" w:rsidP="007A7FB9">
      <w:pPr>
        <w:rPr>
          <w:szCs w:val="24"/>
        </w:rPr>
      </w:pPr>
      <w:r w:rsidRPr="006A3747">
        <w:rPr>
          <w:szCs w:val="24"/>
        </w:rPr>
        <w:t>Unless secondary sorting of MRF mixed paper &amp; paperboard (to multiple higher quality grades) meets the requirements of a local or international market, it will not find an end market.</w:t>
      </w:r>
    </w:p>
    <w:p w14:paraId="6B8F2C86" w14:textId="77777777" w:rsidR="00FB293A" w:rsidRDefault="00CF5709" w:rsidP="007A7FB9">
      <w:pPr>
        <w:rPr>
          <w:szCs w:val="24"/>
        </w:rPr>
      </w:pPr>
      <w:r>
        <w:rPr>
          <w:szCs w:val="24"/>
        </w:rPr>
        <w:lastRenderedPageBreak/>
        <w:t>Sorted grades can be achieved by two methods or a combination of th</w:t>
      </w:r>
      <w:r w:rsidR="000218E7">
        <w:rPr>
          <w:szCs w:val="24"/>
        </w:rPr>
        <w:t xml:space="preserve">ese. Firstly, different grades of paper and cardboard can be </w:t>
      </w:r>
      <w:r w:rsidR="007A6908">
        <w:rPr>
          <w:szCs w:val="24"/>
        </w:rPr>
        <w:t xml:space="preserve">kept separate at the generation source. This then requires </w:t>
      </w:r>
      <w:r w:rsidR="00B1035E">
        <w:rPr>
          <w:szCs w:val="24"/>
        </w:rPr>
        <w:t xml:space="preserve">each grade to be collected separately to maintain its fibre purity and value. </w:t>
      </w:r>
      <w:r w:rsidR="00977827">
        <w:rPr>
          <w:szCs w:val="24"/>
        </w:rPr>
        <w:t xml:space="preserve">This method of source separation means the different grades do not require </w:t>
      </w:r>
      <w:r w:rsidR="00EE3A95">
        <w:rPr>
          <w:szCs w:val="24"/>
        </w:rPr>
        <w:t xml:space="preserve">subsequent sorting and can be delivered directly to the </w:t>
      </w:r>
      <w:r w:rsidR="005748AC">
        <w:rPr>
          <w:szCs w:val="24"/>
        </w:rPr>
        <w:t xml:space="preserve">end market either locally or globally. Source separated material usually </w:t>
      </w:r>
      <w:r w:rsidR="00FB293A">
        <w:rPr>
          <w:szCs w:val="24"/>
        </w:rPr>
        <w:t xml:space="preserve">is in stronger demand and attracts a high purchase price accordingly. </w:t>
      </w:r>
    </w:p>
    <w:p w14:paraId="6F392D56" w14:textId="77777777" w:rsidR="00FC5907" w:rsidRDefault="00FB293A" w:rsidP="007A7FB9">
      <w:pPr>
        <w:rPr>
          <w:szCs w:val="24"/>
        </w:rPr>
      </w:pPr>
      <w:r>
        <w:rPr>
          <w:szCs w:val="24"/>
        </w:rPr>
        <w:t xml:space="preserve">The alternative is to collect all grades together, and often with other materials, and then subject </w:t>
      </w:r>
      <w:r w:rsidR="00DB4C35">
        <w:rPr>
          <w:szCs w:val="24"/>
        </w:rPr>
        <w:t xml:space="preserve">this material to a paper grade separation. This allows </w:t>
      </w:r>
      <w:r w:rsidR="001D0797">
        <w:rPr>
          <w:szCs w:val="24"/>
        </w:rPr>
        <w:t>a more efficient collection, particularly at a household level</w:t>
      </w:r>
      <w:r w:rsidR="00F76132">
        <w:rPr>
          <w:szCs w:val="24"/>
        </w:rPr>
        <w:t xml:space="preserve">. The product </w:t>
      </w:r>
      <w:r w:rsidR="00DD4091">
        <w:rPr>
          <w:szCs w:val="24"/>
        </w:rPr>
        <w:t xml:space="preserve">of subsequent sorting often produces a grade separation </w:t>
      </w:r>
      <w:r w:rsidR="003C361B">
        <w:rPr>
          <w:szCs w:val="24"/>
        </w:rPr>
        <w:t xml:space="preserve">below the internationally accepted specifications for each paper grade. </w:t>
      </w:r>
    </w:p>
    <w:p w14:paraId="7986747F" w14:textId="36301F9A" w:rsidR="00FC5907" w:rsidRDefault="00973DC0" w:rsidP="007A7FB9">
      <w:pPr>
        <w:rPr>
          <w:szCs w:val="24"/>
        </w:rPr>
      </w:pPr>
      <w:r>
        <w:rPr>
          <w:szCs w:val="24"/>
        </w:rPr>
        <w:t>If the paper and cardboard has not been mixed with glass</w:t>
      </w:r>
      <w:r w:rsidR="009823EC">
        <w:rPr>
          <w:szCs w:val="24"/>
        </w:rPr>
        <w:t xml:space="preserve">, is not highly compacted and is sorted at a </w:t>
      </w:r>
      <w:r w:rsidR="00C11F2E">
        <w:rPr>
          <w:szCs w:val="24"/>
        </w:rPr>
        <w:t xml:space="preserve">rate below some high speed MRF’s, it </w:t>
      </w:r>
      <w:r w:rsidR="00797207">
        <w:rPr>
          <w:szCs w:val="24"/>
        </w:rPr>
        <w:t xml:space="preserve">can produce paper of sufficient quality. </w:t>
      </w:r>
      <w:r w:rsidR="008C785E">
        <w:rPr>
          <w:szCs w:val="24"/>
        </w:rPr>
        <w:t xml:space="preserve"> It is one of the key reasons, collection of glass separate from other recyclables </w:t>
      </w:r>
      <w:r w:rsidR="003E3389">
        <w:rPr>
          <w:szCs w:val="24"/>
        </w:rPr>
        <w:t xml:space="preserve">is being trialled and considered for adoption at kerbside. </w:t>
      </w:r>
    </w:p>
    <w:p w14:paraId="7674F777" w14:textId="3D6F7FCB" w:rsidR="00CF5709" w:rsidRDefault="00D420F6" w:rsidP="007A7FB9">
      <w:pPr>
        <w:rPr>
          <w:szCs w:val="24"/>
        </w:rPr>
      </w:pPr>
      <w:r>
        <w:rPr>
          <w:szCs w:val="24"/>
        </w:rPr>
        <w:t xml:space="preserve">Sites that generate larger volumes than detached housing, </w:t>
      </w:r>
      <w:r w:rsidR="00FB644F">
        <w:rPr>
          <w:szCs w:val="24"/>
        </w:rPr>
        <w:t>such</w:t>
      </w:r>
      <w:r w:rsidR="001E1ECB">
        <w:rPr>
          <w:szCs w:val="24"/>
        </w:rPr>
        <w:t xml:space="preserve"> as commercial sites and </w:t>
      </w:r>
      <w:r w:rsidR="00C503C9">
        <w:rPr>
          <w:szCs w:val="24"/>
        </w:rPr>
        <w:t>multi-unit</w:t>
      </w:r>
      <w:r w:rsidR="001E1ECB">
        <w:rPr>
          <w:szCs w:val="24"/>
        </w:rPr>
        <w:t xml:space="preserve"> dwellings, offer the opportunity to collect paper and cardboard separate from other materials, and often to collect </w:t>
      </w:r>
      <w:r w:rsidR="00E24482">
        <w:rPr>
          <w:szCs w:val="24"/>
        </w:rPr>
        <w:t xml:space="preserve">specific grades separately for </w:t>
      </w:r>
      <w:r w:rsidR="00C503C9">
        <w:rPr>
          <w:szCs w:val="24"/>
        </w:rPr>
        <w:t>optimal market</w:t>
      </w:r>
      <w:r w:rsidR="00B06735">
        <w:rPr>
          <w:szCs w:val="24"/>
        </w:rPr>
        <w:t xml:space="preserve"> outcomes.</w:t>
      </w:r>
    </w:p>
    <w:p w14:paraId="61A5B494" w14:textId="77777777" w:rsidR="007A7FB9" w:rsidRPr="00F36220" w:rsidRDefault="007A7FB9" w:rsidP="00F36220">
      <w:pPr>
        <w:pStyle w:val="Heading4"/>
      </w:pPr>
      <w:r w:rsidRPr="00F36220">
        <w:t>Export and interstate market review</w:t>
      </w:r>
    </w:p>
    <w:p w14:paraId="2D0D6AC9" w14:textId="77777777" w:rsidR="007A7FB9" w:rsidRPr="00BE315E" w:rsidRDefault="007A7FB9" w:rsidP="007A7FB9">
      <w:pPr>
        <w:rPr>
          <w:szCs w:val="24"/>
        </w:rPr>
      </w:pPr>
      <w:r w:rsidRPr="00BE315E">
        <w:rPr>
          <w:szCs w:val="24"/>
        </w:rPr>
        <w:t>In May, kerbside related exports from Victoria were around 12,000 tonnes, and total recovered paper exports from Victoria totalled 46,000 tonnes (kerbside plus all other sources). This result was similar to April.</w:t>
      </w:r>
    </w:p>
    <w:p w14:paraId="76C66367" w14:textId="77777777" w:rsidR="007A7FB9" w:rsidRPr="00BE315E" w:rsidRDefault="007A7FB9" w:rsidP="007A7FB9">
      <w:pPr>
        <w:rPr>
          <w:szCs w:val="24"/>
        </w:rPr>
      </w:pPr>
      <w:r w:rsidRPr="00BE315E">
        <w:rPr>
          <w:szCs w:val="24"/>
        </w:rPr>
        <w:t xml:space="preserve">The average export price </w:t>
      </w:r>
      <w:r>
        <w:rPr>
          <w:szCs w:val="24"/>
        </w:rPr>
        <w:t xml:space="preserve">in May </w:t>
      </w:r>
      <w:r w:rsidRPr="00BE315E">
        <w:rPr>
          <w:szCs w:val="24"/>
        </w:rPr>
        <w:t xml:space="preserve">was down to around $160 /tonne on a free-on-board (FOB) basis ($170 /tonne in </w:t>
      </w:r>
      <w:r>
        <w:rPr>
          <w:szCs w:val="24"/>
        </w:rPr>
        <w:t>April)</w:t>
      </w:r>
      <w:r w:rsidRPr="00BE315E">
        <w:rPr>
          <w:szCs w:val="24"/>
        </w:rPr>
        <w:t>. Given the sharp downturn in virgin pulp prices reported last month, expectations are that export prices will</w:t>
      </w:r>
      <w:r>
        <w:rPr>
          <w:szCs w:val="24"/>
        </w:rPr>
        <w:t xml:space="preserve"> trend a little</w:t>
      </w:r>
      <w:r w:rsidRPr="00BE315E">
        <w:rPr>
          <w:szCs w:val="24"/>
        </w:rPr>
        <w:t xml:space="preserve"> lower in coming months.</w:t>
      </w:r>
    </w:p>
    <w:p w14:paraId="5712FA6C" w14:textId="77777777" w:rsidR="0014068B" w:rsidRDefault="00662386" w:rsidP="00C1040C">
      <w:pPr>
        <w:spacing w:before="120" w:after="120" w:line="240" w:lineRule="auto"/>
        <w:jc w:val="both"/>
        <w:rPr>
          <w:bCs/>
        </w:rPr>
      </w:pPr>
      <w:r w:rsidRPr="00C55770">
        <w:rPr>
          <w:bCs/>
        </w:rPr>
        <w:t xml:space="preserve">The following key </w:t>
      </w:r>
      <w:r w:rsidR="00C55770" w:rsidRPr="00C55770">
        <w:rPr>
          <w:bCs/>
        </w:rPr>
        <w:t>observations</w:t>
      </w:r>
      <w:r w:rsidRPr="00C55770">
        <w:rPr>
          <w:bCs/>
        </w:rPr>
        <w:t xml:space="preserve"> have </w:t>
      </w:r>
      <w:r w:rsidR="00C55770" w:rsidRPr="00C55770">
        <w:rPr>
          <w:bCs/>
        </w:rPr>
        <w:t xml:space="preserve">recently </w:t>
      </w:r>
      <w:r w:rsidRPr="00C55770">
        <w:rPr>
          <w:bCs/>
        </w:rPr>
        <w:t xml:space="preserve">been </w:t>
      </w:r>
      <w:r w:rsidR="00C55770" w:rsidRPr="00C55770">
        <w:rPr>
          <w:bCs/>
        </w:rPr>
        <w:t>made:</w:t>
      </w:r>
    </w:p>
    <w:p w14:paraId="3F901026" w14:textId="0E1DDA07" w:rsidR="00C1040C" w:rsidRPr="00C55770" w:rsidRDefault="00C1040C" w:rsidP="00C1040C">
      <w:pPr>
        <w:spacing w:before="120" w:after="120" w:line="240" w:lineRule="auto"/>
        <w:jc w:val="both"/>
        <w:rPr>
          <w:bCs/>
        </w:rPr>
      </w:pPr>
      <w:r w:rsidRPr="004F11F4">
        <w:t>Contaminant standards will tighten in key markets across the second half of 2019 and into 2020, implying less recovered paper will be exportable than normally observed.</w:t>
      </w:r>
    </w:p>
    <w:p w14:paraId="14C86576" w14:textId="356AA421" w:rsidR="00C1040C" w:rsidRDefault="00C1040C" w:rsidP="00C1040C">
      <w:pPr>
        <w:spacing w:before="120" w:after="120" w:line="240" w:lineRule="auto"/>
        <w:jc w:val="both"/>
      </w:pPr>
      <w:r w:rsidRPr="004F11F4">
        <w:t xml:space="preserve">In May 2019, virgin pulp prices slumped in the main Chinese market. The major traded pulps experienced, on average, a 12.5 </w:t>
      </w:r>
      <w:r w:rsidR="0074498A">
        <w:t>%</w:t>
      </w:r>
      <w:r w:rsidRPr="004F11F4">
        <w:t xml:space="preserve"> decrease in prices in May relative to April 2019. </w:t>
      </w:r>
      <w:r>
        <w:t>Prices fell a little further into June but appear to have largely stabilised</w:t>
      </w:r>
      <w:r w:rsidRPr="004F11F4">
        <w:t>.</w:t>
      </w:r>
    </w:p>
    <w:p w14:paraId="66E929AB" w14:textId="58C0340F" w:rsidR="00C1040C" w:rsidRDefault="00C1040C" w:rsidP="00C1040C">
      <w:pPr>
        <w:spacing w:before="120" w:after="120" w:line="240" w:lineRule="auto"/>
        <w:jc w:val="both"/>
      </w:pPr>
      <w:r>
        <w:t>The closure of SKM Recycling is likely to result in significant quantities of paper &amp; paperboard being sent to landfill in the short to medium term.</w:t>
      </w:r>
      <w:r w:rsidR="0014068B">
        <w:t xml:space="preserve"> This will affect Victoria</w:t>
      </w:r>
      <w:r w:rsidR="00C31765">
        <w:t xml:space="preserve">, Tasmania </w:t>
      </w:r>
      <w:r w:rsidR="00243E0F">
        <w:t>and, possibly</w:t>
      </w:r>
      <w:r w:rsidR="00D80D9C">
        <w:t xml:space="preserve">, </w:t>
      </w:r>
      <w:r w:rsidR="00C31765">
        <w:t>South Australia.</w:t>
      </w:r>
    </w:p>
    <w:p w14:paraId="31F5D6D9" w14:textId="26EF6C58" w:rsidR="00F912FD" w:rsidRDefault="00F912FD" w:rsidP="00C1040C">
      <w:pPr>
        <w:spacing w:before="120" w:after="120" w:line="240" w:lineRule="auto"/>
        <w:jc w:val="both"/>
      </w:pPr>
      <w:r>
        <w:t xml:space="preserve">The following table shows the trend in </w:t>
      </w:r>
      <w:r w:rsidR="00C25436">
        <w:t xml:space="preserve">export of Victorian </w:t>
      </w:r>
      <w:r w:rsidR="00C25436" w:rsidRPr="004F11F4">
        <w:t>recovered kerbside paper &amp; paperboard</w:t>
      </w:r>
      <w:r w:rsidR="00C25436">
        <w:t xml:space="preserve">. The </w:t>
      </w:r>
      <w:r w:rsidR="00002E83">
        <w:t>trend and destinations are likely to be similar for other states.</w:t>
      </w:r>
    </w:p>
    <w:p w14:paraId="4A1C255D" w14:textId="77777777" w:rsidR="00A85085" w:rsidRPr="00736A76" w:rsidRDefault="00A85085" w:rsidP="00C1040C">
      <w:pPr>
        <w:spacing w:before="120" w:after="120" w:line="240" w:lineRule="auto"/>
        <w:jc w:val="both"/>
      </w:pPr>
    </w:p>
    <w:p w14:paraId="33E06413" w14:textId="583874F7" w:rsidR="007A7FB9" w:rsidRPr="00A85085" w:rsidRDefault="00160B7F" w:rsidP="00A85085">
      <w:pPr>
        <w:pStyle w:val="Caption"/>
      </w:pPr>
      <w:r w:rsidRPr="00A85085">
        <w:t>Victorian recovered kerbside paper &amp; paperboard, to export country (tonnes/month)</w:t>
      </w:r>
    </w:p>
    <w:p w14:paraId="426BF7E8" w14:textId="77777777" w:rsidR="007A7FB9" w:rsidRPr="004F11F4" w:rsidRDefault="007A7FB9" w:rsidP="007A7FB9">
      <w:pPr>
        <w:pStyle w:val="FigureCaption"/>
        <w:jc w:val="both"/>
      </w:pPr>
      <w:bookmarkStart w:id="12" w:name="_Toc13575951"/>
      <w:r w:rsidRPr="004F11F4">
        <w:t xml:space="preserve">Figure </w:t>
      </w:r>
      <w:r>
        <w:t>2</w:t>
      </w:r>
      <w:r w:rsidRPr="004F11F4">
        <w:t>.1.2 – Victorian recovered kerbside paper &amp; paperboard, to export country (tonnes/month)</w:t>
      </w:r>
      <w:bookmarkEnd w:id="12"/>
    </w:p>
    <w:p w14:paraId="4312524D" w14:textId="77777777" w:rsidR="007A7FB9" w:rsidRPr="004F11F4" w:rsidRDefault="007A7FB9" w:rsidP="007A7FB9">
      <w:pPr>
        <w:jc w:val="both"/>
      </w:pPr>
      <w:r>
        <w:rPr>
          <w:noProof/>
        </w:rPr>
        <w:lastRenderedPageBreak/>
        <w:drawing>
          <wp:inline distT="0" distB="0" distL="0" distR="0" wp14:anchorId="68FE6225" wp14:editId="020816F6">
            <wp:extent cx="5220000" cy="32633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20000" cy="3263360"/>
                    </a:xfrm>
                    <a:prstGeom prst="rect">
                      <a:avLst/>
                    </a:prstGeom>
                    <a:noFill/>
                  </pic:spPr>
                </pic:pic>
              </a:graphicData>
            </a:graphic>
          </wp:inline>
        </w:drawing>
      </w:r>
    </w:p>
    <w:p w14:paraId="30EC37B4" w14:textId="77777777" w:rsidR="007A7FB9" w:rsidRPr="004F11F4" w:rsidRDefault="007A7FB9" w:rsidP="007A7FB9">
      <w:pPr>
        <w:spacing w:before="60" w:after="60" w:line="240" w:lineRule="auto"/>
        <w:jc w:val="both"/>
        <w:rPr>
          <w:sz w:val="18"/>
        </w:rPr>
      </w:pPr>
      <w:r w:rsidRPr="004F11F4">
        <w:rPr>
          <w:sz w:val="18"/>
        </w:rPr>
        <w:t xml:space="preserve">Source: ABS </w:t>
      </w:r>
      <w:sdt>
        <w:sdtPr>
          <w:rPr>
            <w:sz w:val="18"/>
          </w:rPr>
          <w:id w:val="-1067955486"/>
          <w:citation/>
        </w:sdtPr>
        <w:sdtEndPr/>
        <w:sdtContent>
          <w:r w:rsidRPr="004F11F4">
            <w:rPr>
              <w:sz w:val="18"/>
            </w:rPr>
            <w:fldChar w:fldCharType="begin"/>
          </w:r>
          <w:r w:rsidRPr="004F11F4">
            <w:rPr>
              <w:sz w:val="18"/>
            </w:rPr>
            <w:instrText xml:space="preserve">CITATION ABS19 \n  \l 3081 </w:instrText>
          </w:r>
          <w:r w:rsidRPr="004F11F4">
            <w:rPr>
              <w:sz w:val="18"/>
            </w:rPr>
            <w:fldChar w:fldCharType="separate"/>
          </w:r>
          <w:r w:rsidRPr="004F11F4">
            <w:rPr>
              <w:noProof/>
              <w:sz w:val="18"/>
            </w:rPr>
            <w:t>(2019)</w:t>
          </w:r>
          <w:r w:rsidRPr="004F11F4">
            <w:rPr>
              <w:sz w:val="18"/>
            </w:rPr>
            <w:fldChar w:fldCharType="end"/>
          </w:r>
        </w:sdtContent>
      </w:sdt>
      <w:r w:rsidRPr="004F11F4">
        <w:rPr>
          <w:sz w:val="18"/>
        </w:rPr>
        <w:t xml:space="preserve"> and Envisage Works</w:t>
      </w:r>
    </w:p>
    <w:p w14:paraId="7121C529" w14:textId="77777777" w:rsidR="007A7FB9" w:rsidRPr="004F11F4" w:rsidRDefault="007A7FB9" w:rsidP="007A7FB9">
      <w:pPr>
        <w:jc w:val="both"/>
      </w:pPr>
    </w:p>
    <w:p w14:paraId="3795AEC1" w14:textId="77777777" w:rsidR="007A7FB9" w:rsidRPr="00F36220" w:rsidRDefault="007A7FB9" w:rsidP="00F36220">
      <w:pPr>
        <w:pStyle w:val="Heading4"/>
      </w:pPr>
      <w:r w:rsidRPr="00F36220">
        <w:t>Market risks, opportunities and activities</w:t>
      </w:r>
    </w:p>
    <w:p w14:paraId="045DFB82" w14:textId="44434BFC" w:rsidR="007A7FB9" w:rsidRPr="00C71E97" w:rsidRDefault="007A7FB9" w:rsidP="007A7FB9">
      <w:pPr>
        <w:jc w:val="both"/>
        <w:rPr>
          <w:rFonts w:asciiTheme="minorHAnsi" w:hAnsiTheme="minorHAnsi" w:cstheme="minorHAnsi"/>
          <w:bCs/>
        </w:rPr>
      </w:pPr>
      <w:r w:rsidRPr="00C71E97">
        <w:rPr>
          <w:rFonts w:asciiTheme="minorHAnsi" w:hAnsiTheme="minorHAnsi" w:cstheme="minorHAnsi"/>
          <w:bCs/>
        </w:rPr>
        <w:t xml:space="preserve">One of the major risks associated with stockpiling materials has crystallised over the last couple of </w:t>
      </w:r>
      <w:r w:rsidR="00EA7037">
        <w:rPr>
          <w:rFonts w:asciiTheme="minorHAnsi" w:hAnsiTheme="minorHAnsi" w:cstheme="minorHAnsi"/>
          <w:bCs/>
        </w:rPr>
        <w:t>months</w:t>
      </w:r>
      <w:r w:rsidRPr="00C71E97">
        <w:rPr>
          <w:rFonts w:asciiTheme="minorHAnsi" w:hAnsiTheme="minorHAnsi" w:cstheme="minorHAnsi"/>
          <w:bCs/>
        </w:rPr>
        <w:t xml:space="preserve">, with the distressed sale and/or insolvency of </w:t>
      </w:r>
      <w:r w:rsidR="00C71E97">
        <w:rPr>
          <w:rFonts w:asciiTheme="minorHAnsi" w:hAnsiTheme="minorHAnsi" w:cstheme="minorHAnsi"/>
          <w:bCs/>
        </w:rPr>
        <w:t xml:space="preserve">Victorian </w:t>
      </w:r>
      <w:r w:rsidR="00D75F0C">
        <w:rPr>
          <w:rFonts w:asciiTheme="minorHAnsi" w:hAnsiTheme="minorHAnsi" w:cstheme="minorHAnsi"/>
          <w:bCs/>
        </w:rPr>
        <w:t xml:space="preserve">sorter </w:t>
      </w:r>
      <w:r w:rsidRPr="00C71E97">
        <w:rPr>
          <w:rFonts w:asciiTheme="minorHAnsi" w:hAnsiTheme="minorHAnsi" w:cstheme="minorHAnsi"/>
          <w:bCs/>
        </w:rPr>
        <w:t>SKM. The other MRF operators in Victoria are likely to also be highly stressed at the current time. The increasing stockpiles of recovered paper, and other recyclables, are economically damaging and increase the risks of operating MRFs</w:t>
      </w:r>
      <w:r w:rsidR="002936AE">
        <w:rPr>
          <w:rFonts w:asciiTheme="minorHAnsi" w:hAnsiTheme="minorHAnsi" w:cstheme="minorHAnsi"/>
          <w:bCs/>
        </w:rPr>
        <w:t>,</w:t>
      </w:r>
      <w:r w:rsidRPr="00C71E97">
        <w:rPr>
          <w:rFonts w:asciiTheme="minorHAnsi" w:hAnsiTheme="minorHAnsi" w:cstheme="minorHAnsi"/>
          <w:bCs/>
        </w:rPr>
        <w:t xml:space="preserve"> from a regulatory and commercial perspective.</w:t>
      </w:r>
    </w:p>
    <w:p w14:paraId="24865217" w14:textId="545B615B" w:rsidR="007A7FB9" w:rsidRPr="00C71E97" w:rsidRDefault="00D75F0C" w:rsidP="007A7FB9">
      <w:pPr>
        <w:jc w:val="both"/>
        <w:rPr>
          <w:rFonts w:asciiTheme="minorHAnsi" w:hAnsiTheme="minorHAnsi" w:cstheme="minorHAnsi"/>
          <w:bCs/>
        </w:rPr>
      </w:pPr>
      <w:r>
        <w:rPr>
          <w:rFonts w:asciiTheme="minorHAnsi" w:hAnsiTheme="minorHAnsi" w:cstheme="minorHAnsi"/>
          <w:bCs/>
        </w:rPr>
        <w:t>Over t</w:t>
      </w:r>
      <w:r w:rsidR="007A7FB9" w:rsidRPr="00C71E97">
        <w:rPr>
          <w:rFonts w:asciiTheme="minorHAnsi" w:hAnsiTheme="minorHAnsi" w:cstheme="minorHAnsi"/>
          <w:bCs/>
        </w:rPr>
        <w:t>he next few months it appears likely that significant quantities of kerbside commingled recyclables, previously going to SKM, will be disposed to landfill (possibly around 10,000–20,000 tonnes/month).</w:t>
      </w:r>
    </w:p>
    <w:p w14:paraId="5008081B" w14:textId="77777777" w:rsidR="007A7FB9" w:rsidRPr="00C71E97" w:rsidRDefault="007A7FB9" w:rsidP="007A7FB9">
      <w:pPr>
        <w:jc w:val="both"/>
        <w:rPr>
          <w:rFonts w:asciiTheme="minorHAnsi" w:hAnsiTheme="minorHAnsi" w:cstheme="minorHAnsi"/>
          <w:bCs/>
        </w:rPr>
      </w:pPr>
      <w:r w:rsidRPr="00C71E97">
        <w:rPr>
          <w:rFonts w:asciiTheme="minorHAnsi" w:hAnsiTheme="minorHAnsi" w:cstheme="minorHAnsi"/>
          <w:bCs/>
        </w:rPr>
        <w:t>Some material will be diverted to the other MRF operators. However, a proportion of the recovered mixed paper &amp; paperboard, mixed glass and mixed plastics still do not have end-markets and so will be placed into storage, increasing the storage related risks for those companies.</w:t>
      </w:r>
    </w:p>
    <w:p w14:paraId="5F2BE626" w14:textId="77777777" w:rsidR="007A7FB9" w:rsidRPr="00C71E97" w:rsidRDefault="007A7FB9" w:rsidP="007A7FB9">
      <w:pPr>
        <w:jc w:val="both"/>
        <w:rPr>
          <w:rFonts w:asciiTheme="minorHAnsi" w:hAnsiTheme="minorHAnsi" w:cstheme="minorHAnsi"/>
          <w:bCs/>
        </w:rPr>
      </w:pPr>
      <w:r w:rsidRPr="00C71E97">
        <w:rPr>
          <w:rFonts w:asciiTheme="minorHAnsi" w:hAnsiTheme="minorHAnsi" w:cstheme="minorHAnsi"/>
          <w:bCs/>
        </w:rPr>
        <w:t>Moving on from the SKM situation, a significant opportunity in the fibre market is to undertake a secondary sort (following primary sorting by MRFs) of larger quantities of paper and cardboard, free from the major contaminants. A major contaminant is glass, and as Australian Paper Recovery (APR) appears to be demonstrating, when the glass is removed (or excluded from the incoming stream in the case of APR) and sorting occurs, satisfactory grades of recovered papers can be achieved.</w:t>
      </w:r>
    </w:p>
    <w:p w14:paraId="322920B0" w14:textId="0272F2B4" w:rsidR="007A7FB9" w:rsidRDefault="007A7FB9" w:rsidP="007A7FB9">
      <w:pPr>
        <w:jc w:val="both"/>
        <w:rPr>
          <w:rFonts w:asciiTheme="minorHAnsi" w:hAnsiTheme="minorHAnsi" w:cstheme="minorHAnsi"/>
          <w:bCs/>
        </w:rPr>
      </w:pPr>
      <w:r w:rsidRPr="00C71E97">
        <w:rPr>
          <w:rFonts w:asciiTheme="minorHAnsi" w:hAnsiTheme="minorHAnsi" w:cstheme="minorHAnsi"/>
          <w:bCs/>
        </w:rPr>
        <w:t>This approach appears to be a path forward, where source separation might be introduced selectively and progressively. This would provide scrap paper and paperboard products of ever improving quality and quantity, suitable for domestic reprocessing or for sale into export markets.</w:t>
      </w:r>
    </w:p>
    <w:tbl>
      <w:tblPr>
        <w:tblStyle w:val="TableGrid"/>
        <w:tblW w:w="0" w:type="auto"/>
        <w:tblLook w:val="04A0" w:firstRow="1" w:lastRow="0" w:firstColumn="1" w:lastColumn="0" w:noHBand="0" w:noVBand="1"/>
      </w:tblPr>
      <w:tblGrid>
        <w:gridCol w:w="2547"/>
        <w:gridCol w:w="2268"/>
        <w:gridCol w:w="2126"/>
        <w:gridCol w:w="2120"/>
      </w:tblGrid>
      <w:tr w:rsidR="003666F3" w:rsidRPr="00CB60D7" w14:paraId="3BE8A207" w14:textId="77777777" w:rsidTr="001F40F9">
        <w:tc>
          <w:tcPr>
            <w:tcW w:w="2547" w:type="dxa"/>
            <w:shd w:val="clear" w:color="auto" w:fill="99FF99"/>
          </w:tcPr>
          <w:p w14:paraId="0815840E" w14:textId="6705F3DE" w:rsidR="003666F3" w:rsidRPr="00CB60D7" w:rsidRDefault="006609EF" w:rsidP="007A7FB9">
            <w:pPr>
              <w:jc w:val="both"/>
              <w:rPr>
                <w:rFonts w:asciiTheme="minorHAnsi" w:hAnsiTheme="minorHAnsi" w:cstheme="minorHAnsi"/>
                <w:b/>
              </w:rPr>
            </w:pPr>
            <w:r w:rsidRPr="00CB60D7">
              <w:rPr>
                <w:rFonts w:asciiTheme="minorHAnsi" w:hAnsiTheme="minorHAnsi" w:cstheme="minorHAnsi"/>
                <w:b/>
              </w:rPr>
              <w:t>Opportunity</w:t>
            </w:r>
          </w:p>
        </w:tc>
        <w:tc>
          <w:tcPr>
            <w:tcW w:w="2268" w:type="dxa"/>
            <w:shd w:val="clear" w:color="auto" w:fill="99FF99"/>
          </w:tcPr>
          <w:p w14:paraId="3C77B612" w14:textId="3E5342BD" w:rsidR="003666F3" w:rsidRPr="00CB60D7" w:rsidRDefault="006609EF" w:rsidP="007A7FB9">
            <w:pPr>
              <w:jc w:val="both"/>
              <w:rPr>
                <w:rFonts w:asciiTheme="minorHAnsi" w:hAnsiTheme="minorHAnsi" w:cstheme="minorHAnsi"/>
                <w:b/>
              </w:rPr>
            </w:pPr>
            <w:r w:rsidRPr="00CB60D7">
              <w:rPr>
                <w:rFonts w:asciiTheme="minorHAnsi" w:hAnsiTheme="minorHAnsi" w:cstheme="minorHAnsi"/>
                <w:b/>
              </w:rPr>
              <w:t>Current Take (tonnes)</w:t>
            </w:r>
          </w:p>
        </w:tc>
        <w:tc>
          <w:tcPr>
            <w:tcW w:w="2126" w:type="dxa"/>
            <w:shd w:val="clear" w:color="auto" w:fill="99FF99"/>
          </w:tcPr>
          <w:p w14:paraId="5790B817" w14:textId="082F6D41" w:rsidR="003666F3" w:rsidRPr="00CB60D7" w:rsidRDefault="006609EF" w:rsidP="007A7FB9">
            <w:pPr>
              <w:jc w:val="both"/>
              <w:rPr>
                <w:rFonts w:asciiTheme="minorHAnsi" w:hAnsiTheme="minorHAnsi" w:cstheme="minorHAnsi"/>
                <w:b/>
              </w:rPr>
            </w:pPr>
            <w:r w:rsidRPr="00CB60D7">
              <w:rPr>
                <w:rFonts w:asciiTheme="minorHAnsi" w:hAnsiTheme="minorHAnsi" w:cstheme="minorHAnsi"/>
                <w:b/>
              </w:rPr>
              <w:t>Potential</w:t>
            </w:r>
            <w:r w:rsidR="00D30662" w:rsidRPr="00CB60D7">
              <w:rPr>
                <w:rFonts w:asciiTheme="minorHAnsi" w:hAnsiTheme="minorHAnsi" w:cstheme="minorHAnsi"/>
                <w:b/>
              </w:rPr>
              <w:t xml:space="preserve"> </w:t>
            </w:r>
            <w:r w:rsidRPr="00CB60D7">
              <w:rPr>
                <w:rFonts w:asciiTheme="minorHAnsi" w:hAnsiTheme="minorHAnsi" w:cstheme="minorHAnsi"/>
                <w:b/>
              </w:rPr>
              <w:t>Take (tonnes)</w:t>
            </w:r>
          </w:p>
        </w:tc>
        <w:tc>
          <w:tcPr>
            <w:tcW w:w="2120" w:type="dxa"/>
            <w:shd w:val="clear" w:color="auto" w:fill="99FF99"/>
          </w:tcPr>
          <w:p w14:paraId="65F3253E" w14:textId="4C614537" w:rsidR="003666F3" w:rsidRPr="00CB60D7" w:rsidRDefault="00D30662" w:rsidP="007A7FB9">
            <w:pPr>
              <w:jc w:val="both"/>
              <w:rPr>
                <w:rFonts w:asciiTheme="minorHAnsi" w:hAnsiTheme="minorHAnsi" w:cstheme="minorHAnsi"/>
                <w:b/>
              </w:rPr>
            </w:pPr>
            <w:r w:rsidRPr="00CB60D7">
              <w:rPr>
                <w:rFonts w:asciiTheme="minorHAnsi" w:hAnsiTheme="minorHAnsi" w:cstheme="minorHAnsi"/>
                <w:b/>
              </w:rPr>
              <w:t>Current Price/tonne</w:t>
            </w:r>
          </w:p>
        </w:tc>
      </w:tr>
      <w:tr w:rsidR="003666F3" w14:paraId="0F16B34B" w14:textId="77777777" w:rsidTr="001F40F9">
        <w:tc>
          <w:tcPr>
            <w:tcW w:w="2547" w:type="dxa"/>
          </w:tcPr>
          <w:p w14:paraId="669CAC99" w14:textId="4738291B" w:rsidR="003666F3" w:rsidRDefault="006E386B" w:rsidP="007A7FB9">
            <w:pPr>
              <w:jc w:val="both"/>
              <w:rPr>
                <w:rFonts w:asciiTheme="minorHAnsi" w:hAnsiTheme="minorHAnsi" w:cstheme="minorHAnsi"/>
                <w:bCs/>
              </w:rPr>
            </w:pPr>
            <w:r>
              <w:rPr>
                <w:rFonts w:asciiTheme="minorHAnsi" w:hAnsiTheme="minorHAnsi" w:cstheme="minorHAnsi"/>
                <w:bCs/>
              </w:rPr>
              <w:t>Separ</w:t>
            </w:r>
            <w:r w:rsidR="001F40F9">
              <w:rPr>
                <w:rFonts w:asciiTheme="minorHAnsi" w:hAnsiTheme="minorHAnsi" w:cstheme="minorHAnsi"/>
                <w:bCs/>
              </w:rPr>
              <w:t>ate collection of glass for improved kerbside paper quality</w:t>
            </w:r>
          </w:p>
        </w:tc>
        <w:tc>
          <w:tcPr>
            <w:tcW w:w="2268" w:type="dxa"/>
          </w:tcPr>
          <w:p w14:paraId="2396636B" w14:textId="508DBA3D" w:rsidR="003666F3" w:rsidRDefault="001F40F9" w:rsidP="007A7FB9">
            <w:pPr>
              <w:jc w:val="both"/>
              <w:rPr>
                <w:rFonts w:asciiTheme="minorHAnsi" w:hAnsiTheme="minorHAnsi" w:cstheme="minorHAnsi"/>
                <w:bCs/>
              </w:rPr>
            </w:pPr>
            <w:r>
              <w:rPr>
                <w:rFonts w:asciiTheme="minorHAnsi" w:hAnsiTheme="minorHAnsi" w:cstheme="minorHAnsi"/>
                <w:bCs/>
              </w:rPr>
              <w:t>0</w:t>
            </w:r>
          </w:p>
        </w:tc>
        <w:tc>
          <w:tcPr>
            <w:tcW w:w="2126" w:type="dxa"/>
          </w:tcPr>
          <w:p w14:paraId="5B70C0AF" w14:textId="2BE323BF" w:rsidR="003666F3" w:rsidRDefault="00060633" w:rsidP="007A7FB9">
            <w:pPr>
              <w:jc w:val="both"/>
              <w:rPr>
                <w:rFonts w:asciiTheme="minorHAnsi" w:hAnsiTheme="minorHAnsi" w:cstheme="minorHAnsi"/>
                <w:bCs/>
              </w:rPr>
            </w:pPr>
            <w:r>
              <w:rPr>
                <w:rFonts w:asciiTheme="minorHAnsi" w:hAnsiTheme="minorHAnsi" w:cstheme="minorHAnsi"/>
                <w:bCs/>
              </w:rPr>
              <w:t>&gt;</w:t>
            </w:r>
            <w:r w:rsidR="000C6443">
              <w:rPr>
                <w:rFonts w:asciiTheme="minorHAnsi" w:hAnsiTheme="minorHAnsi" w:cstheme="minorHAnsi"/>
                <w:bCs/>
              </w:rPr>
              <w:t>200,000</w:t>
            </w:r>
          </w:p>
        </w:tc>
        <w:tc>
          <w:tcPr>
            <w:tcW w:w="2120" w:type="dxa"/>
          </w:tcPr>
          <w:p w14:paraId="0F9CD7FD" w14:textId="6F1D5B9E" w:rsidR="003666F3" w:rsidRDefault="000D6753" w:rsidP="007A7FB9">
            <w:pPr>
              <w:jc w:val="both"/>
              <w:rPr>
                <w:rFonts w:asciiTheme="minorHAnsi" w:hAnsiTheme="minorHAnsi" w:cstheme="minorHAnsi"/>
                <w:bCs/>
              </w:rPr>
            </w:pPr>
            <w:r>
              <w:rPr>
                <w:rFonts w:asciiTheme="minorHAnsi" w:hAnsiTheme="minorHAnsi" w:cstheme="minorHAnsi"/>
                <w:bCs/>
              </w:rPr>
              <w:t>$0-50</w:t>
            </w:r>
          </w:p>
        </w:tc>
      </w:tr>
      <w:tr w:rsidR="003666F3" w14:paraId="2E3400E9" w14:textId="77777777" w:rsidTr="001F40F9">
        <w:tc>
          <w:tcPr>
            <w:tcW w:w="2547" w:type="dxa"/>
          </w:tcPr>
          <w:p w14:paraId="74E9086E" w14:textId="6800D94D" w:rsidR="003666F3" w:rsidRDefault="00782BF6" w:rsidP="007A7FB9">
            <w:pPr>
              <w:jc w:val="both"/>
              <w:rPr>
                <w:rFonts w:asciiTheme="minorHAnsi" w:hAnsiTheme="minorHAnsi" w:cstheme="minorHAnsi"/>
                <w:bCs/>
              </w:rPr>
            </w:pPr>
            <w:r>
              <w:rPr>
                <w:rFonts w:asciiTheme="minorHAnsi" w:hAnsiTheme="minorHAnsi" w:cstheme="minorHAnsi"/>
                <w:bCs/>
              </w:rPr>
              <w:lastRenderedPageBreak/>
              <w:t>Subsequent sorting of mixed paper streams</w:t>
            </w:r>
          </w:p>
        </w:tc>
        <w:tc>
          <w:tcPr>
            <w:tcW w:w="2268" w:type="dxa"/>
          </w:tcPr>
          <w:p w14:paraId="2AF5490A" w14:textId="6DDE8295" w:rsidR="003666F3" w:rsidRDefault="000C6443" w:rsidP="007A7FB9">
            <w:pPr>
              <w:jc w:val="both"/>
              <w:rPr>
                <w:rFonts w:asciiTheme="minorHAnsi" w:hAnsiTheme="minorHAnsi" w:cstheme="minorHAnsi"/>
                <w:bCs/>
              </w:rPr>
            </w:pPr>
            <w:r>
              <w:rPr>
                <w:rFonts w:asciiTheme="minorHAnsi" w:hAnsiTheme="minorHAnsi" w:cstheme="minorHAnsi"/>
                <w:bCs/>
              </w:rPr>
              <w:t>minimal</w:t>
            </w:r>
          </w:p>
        </w:tc>
        <w:tc>
          <w:tcPr>
            <w:tcW w:w="2126" w:type="dxa"/>
          </w:tcPr>
          <w:p w14:paraId="1EFFDFD3" w14:textId="422F4E7F" w:rsidR="003666F3" w:rsidRDefault="00060633" w:rsidP="007A7FB9">
            <w:pPr>
              <w:jc w:val="both"/>
              <w:rPr>
                <w:rFonts w:asciiTheme="minorHAnsi" w:hAnsiTheme="minorHAnsi" w:cstheme="minorHAnsi"/>
                <w:bCs/>
              </w:rPr>
            </w:pPr>
            <w:r>
              <w:rPr>
                <w:rFonts w:asciiTheme="minorHAnsi" w:hAnsiTheme="minorHAnsi" w:cstheme="minorHAnsi"/>
                <w:bCs/>
              </w:rPr>
              <w:t>&gt;</w:t>
            </w:r>
            <w:r w:rsidR="000C6443">
              <w:rPr>
                <w:rFonts w:asciiTheme="minorHAnsi" w:hAnsiTheme="minorHAnsi" w:cstheme="minorHAnsi"/>
                <w:bCs/>
              </w:rPr>
              <w:t>100,000</w:t>
            </w:r>
          </w:p>
        </w:tc>
        <w:tc>
          <w:tcPr>
            <w:tcW w:w="2120" w:type="dxa"/>
          </w:tcPr>
          <w:p w14:paraId="593A574D" w14:textId="6E3AFD54" w:rsidR="003666F3" w:rsidRDefault="0087460C" w:rsidP="007A7FB9">
            <w:pPr>
              <w:jc w:val="both"/>
              <w:rPr>
                <w:rFonts w:asciiTheme="minorHAnsi" w:hAnsiTheme="minorHAnsi" w:cstheme="minorHAnsi"/>
                <w:bCs/>
              </w:rPr>
            </w:pPr>
            <w:r>
              <w:rPr>
                <w:rFonts w:asciiTheme="minorHAnsi" w:hAnsiTheme="minorHAnsi" w:cstheme="minorHAnsi"/>
                <w:bCs/>
              </w:rPr>
              <w:t>$0-50</w:t>
            </w:r>
          </w:p>
        </w:tc>
      </w:tr>
      <w:tr w:rsidR="003666F3" w14:paraId="3F2EED06" w14:textId="77777777" w:rsidTr="001F40F9">
        <w:tc>
          <w:tcPr>
            <w:tcW w:w="2547" w:type="dxa"/>
          </w:tcPr>
          <w:p w14:paraId="1C13BF9E" w14:textId="3C440685" w:rsidR="003666F3" w:rsidRDefault="00782BF6" w:rsidP="007A7FB9">
            <w:pPr>
              <w:jc w:val="both"/>
              <w:rPr>
                <w:rFonts w:asciiTheme="minorHAnsi" w:hAnsiTheme="minorHAnsi" w:cstheme="minorHAnsi"/>
                <w:bCs/>
              </w:rPr>
            </w:pPr>
            <w:r>
              <w:rPr>
                <w:rFonts w:asciiTheme="minorHAnsi" w:hAnsiTheme="minorHAnsi" w:cstheme="minorHAnsi"/>
                <w:bCs/>
              </w:rPr>
              <w:t xml:space="preserve">More </w:t>
            </w:r>
            <w:r w:rsidR="00E11126">
              <w:rPr>
                <w:rFonts w:asciiTheme="minorHAnsi" w:hAnsiTheme="minorHAnsi" w:cstheme="minorHAnsi"/>
                <w:bCs/>
              </w:rPr>
              <w:t>stringent sorting of paper grades at MRF</w:t>
            </w:r>
          </w:p>
        </w:tc>
        <w:tc>
          <w:tcPr>
            <w:tcW w:w="2268" w:type="dxa"/>
          </w:tcPr>
          <w:p w14:paraId="3CAAC320" w14:textId="01BEE7B4" w:rsidR="003666F3" w:rsidRDefault="0010012D" w:rsidP="007A7FB9">
            <w:pPr>
              <w:jc w:val="both"/>
              <w:rPr>
                <w:rFonts w:asciiTheme="minorHAnsi" w:hAnsiTheme="minorHAnsi" w:cstheme="minorHAnsi"/>
                <w:bCs/>
              </w:rPr>
            </w:pPr>
            <w:r>
              <w:rPr>
                <w:rFonts w:asciiTheme="minorHAnsi" w:hAnsiTheme="minorHAnsi" w:cstheme="minorHAnsi"/>
                <w:bCs/>
              </w:rPr>
              <w:t>minimal</w:t>
            </w:r>
          </w:p>
        </w:tc>
        <w:tc>
          <w:tcPr>
            <w:tcW w:w="2126" w:type="dxa"/>
          </w:tcPr>
          <w:p w14:paraId="7E0C7B56" w14:textId="71CC358D" w:rsidR="003666F3" w:rsidRDefault="00060633" w:rsidP="007A7FB9">
            <w:pPr>
              <w:jc w:val="both"/>
              <w:rPr>
                <w:rFonts w:asciiTheme="minorHAnsi" w:hAnsiTheme="minorHAnsi" w:cstheme="minorHAnsi"/>
                <w:bCs/>
              </w:rPr>
            </w:pPr>
            <w:r>
              <w:rPr>
                <w:rFonts w:asciiTheme="minorHAnsi" w:hAnsiTheme="minorHAnsi" w:cstheme="minorHAnsi"/>
                <w:bCs/>
              </w:rPr>
              <w:t>&gt;200,000</w:t>
            </w:r>
          </w:p>
        </w:tc>
        <w:tc>
          <w:tcPr>
            <w:tcW w:w="2120" w:type="dxa"/>
          </w:tcPr>
          <w:p w14:paraId="3FE494D8" w14:textId="681573E1" w:rsidR="003666F3" w:rsidRDefault="0087460C" w:rsidP="007A7FB9">
            <w:pPr>
              <w:jc w:val="both"/>
              <w:rPr>
                <w:rFonts w:asciiTheme="minorHAnsi" w:hAnsiTheme="minorHAnsi" w:cstheme="minorHAnsi"/>
                <w:bCs/>
              </w:rPr>
            </w:pPr>
            <w:r>
              <w:rPr>
                <w:rFonts w:asciiTheme="minorHAnsi" w:hAnsiTheme="minorHAnsi" w:cstheme="minorHAnsi"/>
                <w:bCs/>
              </w:rPr>
              <w:t>$0-50</w:t>
            </w:r>
          </w:p>
        </w:tc>
      </w:tr>
      <w:tr w:rsidR="003666F3" w14:paraId="385A3D3A" w14:textId="77777777" w:rsidTr="001F40F9">
        <w:tc>
          <w:tcPr>
            <w:tcW w:w="2547" w:type="dxa"/>
          </w:tcPr>
          <w:p w14:paraId="0647CEC2" w14:textId="38DFB955" w:rsidR="003666F3" w:rsidRDefault="00642B24" w:rsidP="007A7FB9">
            <w:pPr>
              <w:jc w:val="both"/>
              <w:rPr>
                <w:rFonts w:asciiTheme="minorHAnsi" w:hAnsiTheme="minorHAnsi" w:cstheme="minorHAnsi"/>
                <w:bCs/>
              </w:rPr>
            </w:pPr>
            <w:r>
              <w:rPr>
                <w:rFonts w:asciiTheme="minorHAnsi" w:hAnsiTheme="minorHAnsi" w:cstheme="minorHAnsi"/>
                <w:bCs/>
              </w:rPr>
              <w:t xml:space="preserve">Screening </w:t>
            </w:r>
            <w:r w:rsidR="00E81759">
              <w:rPr>
                <w:rFonts w:asciiTheme="minorHAnsi" w:hAnsiTheme="minorHAnsi" w:cstheme="minorHAnsi"/>
                <w:bCs/>
              </w:rPr>
              <w:t xml:space="preserve">and certifying </w:t>
            </w:r>
            <w:r>
              <w:rPr>
                <w:rFonts w:asciiTheme="minorHAnsi" w:hAnsiTheme="minorHAnsi" w:cstheme="minorHAnsi"/>
                <w:bCs/>
              </w:rPr>
              <w:t xml:space="preserve">of </w:t>
            </w:r>
            <w:r w:rsidR="00E81759">
              <w:rPr>
                <w:rFonts w:asciiTheme="minorHAnsi" w:hAnsiTheme="minorHAnsi" w:cstheme="minorHAnsi"/>
                <w:bCs/>
              </w:rPr>
              <w:t>paper for export</w:t>
            </w:r>
          </w:p>
        </w:tc>
        <w:tc>
          <w:tcPr>
            <w:tcW w:w="2268" w:type="dxa"/>
          </w:tcPr>
          <w:p w14:paraId="0BD39836" w14:textId="2E4CF160" w:rsidR="003666F3" w:rsidRDefault="00043F4B" w:rsidP="007A7FB9">
            <w:pPr>
              <w:jc w:val="both"/>
              <w:rPr>
                <w:rFonts w:asciiTheme="minorHAnsi" w:hAnsiTheme="minorHAnsi" w:cstheme="minorHAnsi"/>
                <w:bCs/>
              </w:rPr>
            </w:pPr>
            <w:r>
              <w:rPr>
                <w:rFonts w:asciiTheme="minorHAnsi" w:hAnsiTheme="minorHAnsi" w:cstheme="minorHAnsi"/>
                <w:bCs/>
              </w:rPr>
              <w:t>980,000</w:t>
            </w:r>
          </w:p>
        </w:tc>
        <w:tc>
          <w:tcPr>
            <w:tcW w:w="2126" w:type="dxa"/>
          </w:tcPr>
          <w:p w14:paraId="4F82F7C7" w14:textId="504C0240" w:rsidR="003666F3" w:rsidRDefault="00A559AC" w:rsidP="007A7FB9">
            <w:pPr>
              <w:jc w:val="both"/>
              <w:rPr>
                <w:rFonts w:asciiTheme="minorHAnsi" w:hAnsiTheme="minorHAnsi" w:cstheme="minorHAnsi"/>
                <w:bCs/>
              </w:rPr>
            </w:pPr>
            <w:r>
              <w:rPr>
                <w:rFonts w:asciiTheme="minorHAnsi" w:hAnsiTheme="minorHAnsi" w:cstheme="minorHAnsi"/>
                <w:bCs/>
              </w:rPr>
              <w:t>980,000</w:t>
            </w:r>
          </w:p>
        </w:tc>
        <w:tc>
          <w:tcPr>
            <w:tcW w:w="2120" w:type="dxa"/>
          </w:tcPr>
          <w:p w14:paraId="6E6874EB" w14:textId="028D3A37" w:rsidR="003666F3" w:rsidRDefault="00904022" w:rsidP="007A7FB9">
            <w:pPr>
              <w:jc w:val="both"/>
              <w:rPr>
                <w:rFonts w:asciiTheme="minorHAnsi" w:hAnsiTheme="minorHAnsi" w:cstheme="minorHAnsi"/>
                <w:bCs/>
              </w:rPr>
            </w:pPr>
            <w:r>
              <w:rPr>
                <w:rFonts w:asciiTheme="minorHAnsi" w:hAnsiTheme="minorHAnsi" w:cstheme="minorHAnsi"/>
                <w:bCs/>
              </w:rPr>
              <w:t>$150-200</w:t>
            </w:r>
          </w:p>
        </w:tc>
      </w:tr>
    </w:tbl>
    <w:p w14:paraId="450F872D" w14:textId="53F889B4" w:rsidR="00C30398" w:rsidRDefault="00C30398" w:rsidP="003F458B">
      <w:pPr>
        <w:rPr>
          <w:rFonts w:asciiTheme="minorHAnsi" w:hAnsiTheme="minorHAnsi" w:cstheme="minorHAnsi"/>
          <w:bCs/>
        </w:rPr>
      </w:pPr>
    </w:p>
    <w:p w14:paraId="00C79FF4" w14:textId="77777777" w:rsidR="00C30398" w:rsidRDefault="00C30398">
      <w:pPr>
        <w:spacing w:after="0" w:line="240" w:lineRule="auto"/>
        <w:rPr>
          <w:rFonts w:asciiTheme="minorHAnsi" w:hAnsiTheme="minorHAnsi" w:cstheme="minorHAnsi"/>
          <w:bCs/>
        </w:rPr>
      </w:pPr>
      <w:r>
        <w:rPr>
          <w:rFonts w:asciiTheme="minorHAnsi" w:hAnsiTheme="minorHAnsi" w:cstheme="minorHAnsi"/>
          <w:bCs/>
        </w:rPr>
        <w:br w:type="page"/>
      </w:r>
    </w:p>
    <w:p w14:paraId="47599D68" w14:textId="77777777" w:rsidR="007740E3" w:rsidRPr="003F458B" w:rsidRDefault="007740E3" w:rsidP="003F458B">
      <w:pPr>
        <w:rPr>
          <w:lang w:val="en-US"/>
        </w:rPr>
      </w:pPr>
    </w:p>
    <w:p w14:paraId="449EB5E9" w14:textId="37B84407" w:rsidR="00C842B5" w:rsidRDefault="00075419" w:rsidP="00C842B5">
      <w:pPr>
        <w:pStyle w:val="Heading1"/>
      </w:pPr>
      <w:bookmarkStart w:id="13" w:name="_Toc19708289"/>
      <w:r>
        <w:t>MARKET ASSESSMENT FOR RUBBER</w:t>
      </w:r>
      <w:bookmarkEnd w:id="13"/>
    </w:p>
    <w:p w14:paraId="78A06DD9" w14:textId="77777777" w:rsidR="000F4E1F" w:rsidRDefault="000F4E1F" w:rsidP="000F4E1F">
      <w:pPr>
        <w:pStyle w:val="Heading2"/>
      </w:pPr>
      <w:bookmarkStart w:id="14" w:name="_Toc19708290"/>
      <w:proofErr w:type="spellStart"/>
      <w:r>
        <w:t>Tyre</w:t>
      </w:r>
      <w:proofErr w:type="spellEnd"/>
      <w:r>
        <w:t xml:space="preserve"> consumption and waste generation</w:t>
      </w:r>
      <w:bookmarkEnd w:id="14"/>
      <w:r>
        <w:t xml:space="preserve"> </w:t>
      </w:r>
    </w:p>
    <w:p w14:paraId="3316882D" w14:textId="2C273EC9" w:rsidR="003666F3" w:rsidRDefault="00FC4C28" w:rsidP="003666F3">
      <w:pPr>
        <w:rPr>
          <w:lang w:val="en-US"/>
        </w:rPr>
      </w:pPr>
      <w:r>
        <w:rPr>
          <w:lang w:val="en-US"/>
        </w:rPr>
        <w:t xml:space="preserve">Rubber, in the form of </w:t>
      </w:r>
      <w:proofErr w:type="spellStart"/>
      <w:r>
        <w:rPr>
          <w:lang w:val="en-US"/>
        </w:rPr>
        <w:t>tyres</w:t>
      </w:r>
      <w:proofErr w:type="spellEnd"/>
      <w:r>
        <w:rPr>
          <w:lang w:val="en-US"/>
        </w:rPr>
        <w:t xml:space="preserve"> </w:t>
      </w:r>
      <w:r w:rsidR="00AC2104">
        <w:rPr>
          <w:lang w:val="en-US"/>
        </w:rPr>
        <w:t>is a significant resource</w:t>
      </w:r>
      <w:r w:rsidR="004B18C3">
        <w:rPr>
          <w:lang w:val="en-US"/>
        </w:rPr>
        <w:t xml:space="preserve"> and also a major waste management challenge</w:t>
      </w:r>
      <w:r w:rsidR="00985CF0">
        <w:rPr>
          <w:lang w:val="en-US"/>
        </w:rPr>
        <w:t xml:space="preserve">. The primary materials for end of life </w:t>
      </w:r>
      <w:proofErr w:type="spellStart"/>
      <w:r w:rsidR="00985CF0">
        <w:rPr>
          <w:lang w:val="en-US"/>
        </w:rPr>
        <w:t>tyres</w:t>
      </w:r>
      <w:proofErr w:type="spellEnd"/>
      <w:r w:rsidR="00985CF0">
        <w:rPr>
          <w:lang w:val="en-US"/>
        </w:rPr>
        <w:t xml:space="preserve">-rubber and steel, </w:t>
      </w:r>
      <w:r w:rsidR="002D7EB1">
        <w:rPr>
          <w:lang w:val="en-US"/>
        </w:rPr>
        <w:t xml:space="preserve">are valuable materials, however the economic recycling of these is </w:t>
      </w:r>
      <w:r w:rsidR="009C723C">
        <w:rPr>
          <w:lang w:val="en-US"/>
        </w:rPr>
        <w:t>difficult.</w:t>
      </w:r>
    </w:p>
    <w:p w14:paraId="7F5D6DE5" w14:textId="7377D0C0" w:rsidR="009C723C" w:rsidRDefault="009C723C" w:rsidP="003666F3">
      <w:pPr>
        <w:rPr>
          <w:lang w:val="en-US"/>
        </w:rPr>
      </w:pPr>
      <w:r>
        <w:rPr>
          <w:lang w:val="en-US"/>
        </w:rPr>
        <w:t xml:space="preserve">In 2017 </w:t>
      </w:r>
      <w:r w:rsidR="00F86262">
        <w:rPr>
          <w:lang w:val="en-US"/>
        </w:rPr>
        <w:t xml:space="preserve">a used </w:t>
      </w:r>
      <w:proofErr w:type="spellStart"/>
      <w:r w:rsidR="00F86262">
        <w:rPr>
          <w:lang w:val="en-US"/>
        </w:rPr>
        <w:t>tyres</w:t>
      </w:r>
      <w:proofErr w:type="spellEnd"/>
      <w:r w:rsidR="00F86262">
        <w:rPr>
          <w:lang w:val="en-US"/>
        </w:rPr>
        <w:t xml:space="preserve"> market development strategy was developed </w:t>
      </w:r>
      <w:r w:rsidR="007A1EE0">
        <w:rPr>
          <w:lang w:val="en-US"/>
        </w:rPr>
        <w:t xml:space="preserve">by </w:t>
      </w:r>
      <w:proofErr w:type="spellStart"/>
      <w:r w:rsidR="007A1EE0">
        <w:rPr>
          <w:lang w:val="en-US"/>
        </w:rPr>
        <w:t>Tyre</w:t>
      </w:r>
      <w:proofErr w:type="spellEnd"/>
      <w:r w:rsidR="007A1EE0">
        <w:rPr>
          <w:lang w:val="en-US"/>
        </w:rPr>
        <w:t xml:space="preserve"> Stewardship Australia and a range of government agencies.</w:t>
      </w:r>
    </w:p>
    <w:p w14:paraId="56904F22" w14:textId="2A14DC15" w:rsidR="00455022" w:rsidRDefault="00CB665F" w:rsidP="003666F3">
      <w:pPr>
        <w:rPr>
          <w:lang w:val="en-US"/>
        </w:rPr>
      </w:pPr>
      <w:r>
        <w:rPr>
          <w:lang w:val="en-US"/>
        </w:rPr>
        <w:t xml:space="preserve">In 2015-16 Australia generated 447,000 </w:t>
      </w:r>
      <w:proofErr w:type="spellStart"/>
      <w:r>
        <w:rPr>
          <w:lang w:val="en-US"/>
        </w:rPr>
        <w:t>tonnes</w:t>
      </w:r>
      <w:proofErr w:type="spellEnd"/>
      <w:r>
        <w:rPr>
          <w:lang w:val="en-US"/>
        </w:rPr>
        <w:t xml:space="preserve"> of </w:t>
      </w:r>
      <w:r w:rsidR="00D6076D">
        <w:rPr>
          <w:lang w:val="en-US"/>
        </w:rPr>
        <w:t xml:space="preserve">end of life </w:t>
      </w:r>
      <w:proofErr w:type="spellStart"/>
      <w:r w:rsidR="00D6076D">
        <w:rPr>
          <w:lang w:val="en-US"/>
        </w:rPr>
        <w:t>tyres</w:t>
      </w:r>
      <w:proofErr w:type="spellEnd"/>
      <w:r w:rsidR="00D6076D">
        <w:rPr>
          <w:lang w:val="en-US"/>
        </w:rPr>
        <w:t>. This equated to 56.3 million</w:t>
      </w:r>
      <w:r w:rsidR="00DF6ED3">
        <w:rPr>
          <w:lang w:val="en-US"/>
        </w:rPr>
        <w:t xml:space="preserve"> Equivalent Passenger </w:t>
      </w:r>
      <w:proofErr w:type="spellStart"/>
      <w:r w:rsidR="00DF6ED3">
        <w:rPr>
          <w:lang w:val="en-US"/>
        </w:rPr>
        <w:t>Tyre</w:t>
      </w:r>
      <w:proofErr w:type="spellEnd"/>
      <w:r w:rsidR="00DF6ED3">
        <w:rPr>
          <w:lang w:val="en-US"/>
        </w:rPr>
        <w:t xml:space="preserve"> Units</w:t>
      </w:r>
      <w:r w:rsidR="00CE04F4">
        <w:rPr>
          <w:lang w:val="en-US"/>
        </w:rPr>
        <w:t xml:space="preserve"> </w:t>
      </w:r>
      <w:r w:rsidR="00200F06">
        <w:rPr>
          <w:lang w:val="en-US"/>
        </w:rPr>
        <w:t>(EPU’s)</w:t>
      </w:r>
      <w:r w:rsidR="00DF6ED3">
        <w:rPr>
          <w:lang w:val="en-US"/>
        </w:rPr>
        <w:t xml:space="preserve">. </w:t>
      </w:r>
      <w:r w:rsidR="007733B8">
        <w:rPr>
          <w:lang w:val="en-US"/>
        </w:rPr>
        <w:t xml:space="preserve">The generation of end of life </w:t>
      </w:r>
      <w:proofErr w:type="spellStart"/>
      <w:r w:rsidR="007733B8">
        <w:rPr>
          <w:lang w:val="en-US"/>
        </w:rPr>
        <w:t>tyres</w:t>
      </w:r>
      <w:proofErr w:type="spellEnd"/>
      <w:r w:rsidR="007733B8">
        <w:rPr>
          <w:lang w:val="en-US"/>
        </w:rPr>
        <w:t xml:space="preserve"> (E</w:t>
      </w:r>
      <w:r w:rsidR="00CE04F4">
        <w:rPr>
          <w:lang w:val="en-US"/>
        </w:rPr>
        <w:t xml:space="preserve">OLTS) had increased by 16% over the previous </w:t>
      </w:r>
      <w:r w:rsidR="00DF7367">
        <w:rPr>
          <w:lang w:val="en-US"/>
        </w:rPr>
        <w:t xml:space="preserve">six years. New </w:t>
      </w:r>
      <w:proofErr w:type="spellStart"/>
      <w:r w:rsidR="00DF7367">
        <w:rPr>
          <w:lang w:val="en-US"/>
        </w:rPr>
        <w:t>tyre</w:t>
      </w:r>
      <w:proofErr w:type="spellEnd"/>
      <w:r w:rsidR="00DF7367">
        <w:rPr>
          <w:lang w:val="en-US"/>
        </w:rPr>
        <w:t xml:space="preserve"> sales </w:t>
      </w:r>
      <w:r w:rsidR="00203DCD">
        <w:rPr>
          <w:lang w:val="en-US"/>
        </w:rPr>
        <w:t>had</w:t>
      </w:r>
      <w:r w:rsidR="00DF7367">
        <w:rPr>
          <w:lang w:val="en-US"/>
        </w:rPr>
        <w:t xml:space="preserve"> increas</w:t>
      </w:r>
      <w:r w:rsidR="00203DCD">
        <w:rPr>
          <w:lang w:val="en-US"/>
        </w:rPr>
        <w:t>ed 50% since 2007-08.</w:t>
      </w:r>
      <w:r w:rsidR="009079FC">
        <w:rPr>
          <w:lang w:val="en-US"/>
        </w:rPr>
        <w:t xml:space="preserve"> Based on this increase the projected </w:t>
      </w:r>
      <w:proofErr w:type="spellStart"/>
      <w:r w:rsidR="009079FC">
        <w:rPr>
          <w:lang w:val="en-US"/>
        </w:rPr>
        <w:t>tyre</w:t>
      </w:r>
      <w:proofErr w:type="spellEnd"/>
      <w:r w:rsidR="009079FC">
        <w:rPr>
          <w:lang w:val="en-US"/>
        </w:rPr>
        <w:t xml:space="preserve"> sales for 2019-20 </w:t>
      </w:r>
      <w:r w:rsidR="00F86A39">
        <w:rPr>
          <w:lang w:val="en-US"/>
        </w:rPr>
        <w:t>w</w:t>
      </w:r>
      <w:r w:rsidR="00F606E1">
        <w:rPr>
          <w:lang w:val="en-US"/>
        </w:rPr>
        <w:t>a</w:t>
      </w:r>
      <w:r w:rsidR="00F86A39">
        <w:rPr>
          <w:lang w:val="en-US"/>
        </w:rPr>
        <w:t xml:space="preserve">s over 58 million </w:t>
      </w:r>
      <w:r w:rsidR="00F606E1">
        <w:rPr>
          <w:lang w:val="en-US"/>
        </w:rPr>
        <w:t>EPU’s.</w:t>
      </w:r>
      <w:r w:rsidR="00DF7367">
        <w:rPr>
          <w:lang w:val="en-US"/>
        </w:rPr>
        <w:t xml:space="preserve"> </w:t>
      </w:r>
      <w:r w:rsidR="00055A81">
        <w:rPr>
          <w:lang w:val="en-US"/>
        </w:rPr>
        <w:t xml:space="preserve">The industry currently </w:t>
      </w:r>
      <w:r w:rsidR="002C6605">
        <w:rPr>
          <w:lang w:val="en-US"/>
        </w:rPr>
        <w:t xml:space="preserve">lists sales at 56 million EPU’s, possibly reflecting reduced </w:t>
      </w:r>
      <w:r w:rsidR="00AF24E9">
        <w:rPr>
          <w:lang w:val="en-US"/>
        </w:rPr>
        <w:t xml:space="preserve">new car sales or a decline in mining activity. </w:t>
      </w:r>
      <w:r w:rsidR="00E42676">
        <w:rPr>
          <w:lang w:val="en-US"/>
        </w:rPr>
        <w:t xml:space="preserve">Data </w:t>
      </w:r>
      <w:r w:rsidR="000879C8">
        <w:rPr>
          <w:lang w:val="en-US"/>
        </w:rPr>
        <w:t>for</w:t>
      </w:r>
      <w:r w:rsidR="00AF24E9">
        <w:rPr>
          <w:lang w:val="en-US"/>
        </w:rPr>
        <w:t xml:space="preserve"> 20</w:t>
      </w:r>
      <w:r w:rsidR="000879C8">
        <w:rPr>
          <w:lang w:val="en-US"/>
        </w:rPr>
        <w:t>15-16</w:t>
      </w:r>
      <w:r w:rsidR="00E42676">
        <w:rPr>
          <w:lang w:val="en-US"/>
        </w:rPr>
        <w:t xml:space="preserve"> showed </w:t>
      </w:r>
      <w:r w:rsidR="00B91018">
        <w:rPr>
          <w:lang w:val="en-US"/>
        </w:rPr>
        <w:t xml:space="preserve">60-65% of all waste </w:t>
      </w:r>
      <w:proofErr w:type="spellStart"/>
      <w:r w:rsidR="00B91018">
        <w:rPr>
          <w:lang w:val="en-US"/>
        </w:rPr>
        <w:t>tyres</w:t>
      </w:r>
      <w:proofErr w:type="spellEnd"/>
      <w:r w:rsidR="00B91018">
        <w:rPr>
          <w:lang w:val="en-US"/>
        </w:rPr>
        <w:t xml:space="preserve"> were disposed of to landfill</w:t>
      </w:r>
      <w:r w:rsidR="00663E69">
        <w:rPr>
          <w:lang w:val="en-US"/>
        </w:rPr>
        <w:t xml:space="preserve"> or dumped</w:t>
      </w:r>
      <w:r w:rsidR="00575502">
        <w:rPr>
          <w:lang w:val="en-US"/>
        </w:rPr>
        <w:t xml:space="preserve"> or illegally stockpiled. </w:t>
      </w:r>
    </w:p>
    <w:p w14:paraId="6339BEA7" w14:textId="44AEA061" w:rsidR="00575502" w:rsidRDefault="00575502" w:rsidP="003666F3">
      <w:pPr>
        <w:rPr>
          <w:lang w:val="en-US"/>
        </w:rPr>
      </w:pPr>
      <w:r>
        <w:rPr>
          <w:lang w:val="en-US"/>
        </w:rPr>
        <w:t>The fates of E</w:t>
      </w:r>
      <w:r w:rsidR="00955408">
        <w:rPr>
          <w:lang w:val="en-US"/>
        </w:rPr>
        <w:t xml:space="preserve">OLTS were </w:t>
      </w:r>
      <w:proofErr w:type="spellStart"/>
      <w:r w:rsidR="00955408">
        <w:rPr>
          <w:lang w:val="en-US"/>
        </w:rPr>
        <w:t>summarised</w:t>
      </w:r>
      <w:proofErr w:type="spellEnd"/>
      <w:r w:rsidR="00955408">
        <w:rPr>
          <w:lang w:val="en-US"/>
        </w:rPr>
        <w:t xml:space="preserve"> as</w:t>
      </w:r>
      <w:r w:rsidR="00C051ED">
        <w:rPr>
          <w:lang w:val="en-US"/>
        </w:rPr>
        <w:t>:</w:t>
      </w:r>
    </w:p>
    <w:p w14:paraId="1DCA25B8" w14:textId="6D1F6146" w:rsidR="00955408" w:rsidRPr="00E66ADA" w:rsidRDefault="00955408" w:rsidP="00E66ADA">
      <w:pPr>
        <w:pStyle w:val="ListParagraph"/>
        <w:numPr>
          <w:ilvl w:val="0"/>
          <w:numId w:val="7"/>
        </w:numPr>
        <w:rPr>
          <w:lang w:val="en-US"/>
        </w:rPr>
      </w:pPr>
      <w:r w:rsidRPr="00E66ADA">
        <w:rPr>
          <w:lang w:val="en-US"/>
        </w:rPr>
        <w:t xml:space="preserve">63% </w:t>
      </w:r>
      <w:r w:rsidR="004F3028" w:rsidRPr="00E66ADA">
        <w:rPr>
          <w:lang w:val="en-US"/>
        </w:rPr>
        <w:t>landfill or unknown (no value)</w:t>
      </w:r>
    </w:p>
    <w:p w14:paraId="67E3AFD7" w14:textId="45ADEBC6" w:rsidR="004F3028" w:rsidRPr="00E66ADA" w:rsidRDefault="004F3028" w:rsidP="00E66ADA">
      <w:pPr>
        <w:pStyle w:val="ListParagraph"/>
        <w:numPr>
          <w:ilvl w:val="0"/>
          <w:numId w:val="7"/>
        </w:numPr>
        <w:rPr>
          <w:lang w:val="en-US"/>
        </w:rPr>
      </w:pPr>
      <w:r w:rsidRPr="00E66ADA">
        <w:rPr>
          <w:lang w:val="en-US"/>
        </w:rPr>
        <w:t>27% exported</w:t>
      </w:r>
      <w:r w:rsidR="007C60AC" w:rsidRPr="00E66ADA">
        <w:rPr>
          <w:lang w:val="en-US"/>
        </w:rPr>
        <w:t xml:space="preserve"> (low value)</w:t>
      </w:r>
    </w:p>
    <w:p w14:paraId="3C3AD20A" w14:textId="5A6739A6" w:rsidR="007C60AC" w:rsidRDefault="007C60AC" w:rsidP="00E66ADA">
      <w:pPr>
        <w:pStyle w:val="ListParagraph"/>
        <w:numPr>
          <w:ilvl w:val="0"/>
          <w:numId w:val="7"/>
        </w:numPr>
        <w:rPr>
          <w:lang w:val="en-US"/>
        </w:rPr>
      </w:pPr>
      <w:r w:rsidRPr="00E66ADA">
        <w:rPr>
          <w:lang w:val="en-US"/>
        </w:rPr>
        <w:t>10% locally recycled (high value)</w:t>
      </w:r>
    </w:p>
    <w:p w14:paraId="451B6BB2" w14:textId="431DEECB" w:rsidR="00E66ADA" w:rsidRDefault="00E66ADA" w:rsidP="00E66ADA">
      <w:pPr>
        <w:rPr>
          <w:lang w:val="en-US"/>
        </w:rPr>
      </w:pPr>
      <w:r>
        <w:rPr>
          <w:lang w:val="en-US"/>
        </w:rPr>
        <w:t xml:space="preserve">Local recycling was </w:t>
      </w:r>
      <w:r w:rsidR="0018537C">
        <w:rPr>
          <w:lang w:val="en-US"/>
        </w:rPr>
        <w:t>limited by b</w:t>
      </w:r>
      <w:r w:rsidR="000C34AD">
        <w:rPr>
          <w:lang w:val="en-US"/>
        </w:rPr>
        <w:t>o</w:t>
      </w:r>
      <w:r w:rsidR="0018537C">
        <w:rPr>
          <w:lang w:val="en-US"/>
        </w:rPr>
        <w:t xml:space="preserve">th lack of markets for </w:t>
      </w:r>
      <w:proofErr w:type="spellStart"/>
      <w:r w:rsidR="0018537C">
        <w:rPr>
          <w:lang w:val="en-US"/>
        </w:rPr>
        <w:t>tyre</w:t>
      </w:r>
      <w:proofErr w:type="spellEnd"/>
      <w:r w:rsidR="0018537C">
        <w:rPr>
          <w:lang w:val="en-US"/>
        </w:rPr>
        <w:t xml:space="preserve"> derived </w:t>
      </w:r>
      <w:r w:rsidR="00ED6CA8">
        <w:rPr>
          <w:lang w:val="en-US"/>
        </w:rPr>
        <w:t xml:space="preserve">products and a strong international demand for </w:t>
      </w:r>
      <w:proofErr w:type="spellStart"/>
      <w:r w:rsidR="00ED6CA8">
        <w:rPr>
          <w:lang w:val="en-US"/>
        </w:rPr>
        <w:t>tyre</w:t>
      </w:r>
      <w:proofErr w:type="spellEnd"/>
      <w:r w:rsidR="00ED6CA8">
        <w:rPr>
          <w:lang w:val="en-US"/>
        </w:rPr>
        <w:t>-derived fuels</w:t>
      </w:r>
      <w:r w:rsidR="000E0C51">
        <w:rPr>
          <w:lang w:val="en-US"/>
        </w:rPr>
        <w:t xml:space="preserve">. </w:t>
      </w:r>
    </w:p>
    <w:p w14:paraId="7A4FEB46" w14:textId="02197022" w:rsidR="000E0C51" w:rsidRDefault="000E0C51" w:rsidP="00E66ADA">
      <w:pPr>
        <w:rPr>
          <w:lang w:val="en-US"/>
        </w:rPr>
      </w:pPr>
      <w:r>
        <w:rPr>
          <w:lang w:val="en-US"/>
        </w:rPr>
        <w:t>Local recycling, though small was increasing significantly</w:t>
      </w:r>
      <w:r w:rsidR="00FE01F0">
        <w:rPr>
          <w:lang w:val="en-US"/>
        </w:rPr>
        <w:t xml:space="preserve">, doubling to 44,000 </w:t>
      </w:r>
      <w:proofErr w:type="spellStart"/>
      <w:r w:rsidR="00FE01F0">
        <w:rPr>
          <w:lang w:val="en-US"/>
        </w:rPr>
        <w:t>tonnes</w:t>
      </w:r>
      <w:proofErr w:type="spellEnd"/>
      <w:r w:rsidR="00FE01F0">
        <w:rPr>
          <w:lang w:val="en-US"/>
        </w:rPr>
        <w:t xml:space="preserve"> between 2013</w:t>
      </w:r>
      <w:r w:rsidR="000C34AD">
        <w:rPr>
          <w:lang w:val="en-US"/>
        </w:rPr>
        <w:t xml:space="preserve">-14 and 2015-16. </w:t>
      </w:r>
    </w:p>
    <w:p w14:paraId="24EF7CF4" w14:textId="0F12B824" w:rsidR="00C41A24" w:rsidRDefault="00C41A24" w:rsidP="00E66ADA">
      <w:pPr>
        <w:rPr>
          <w:lang w:val="en-US"/>
        </w:rPr>
      </w:pPr>
      <w:r>
        <w:rPr>
          <w:lang w:val="en-US"/>
        </w:rPr>
        <w:t xml:space="preserve">Markets for </w:t>
      </w:r>
      <w:proofErr w:type="spellStart"/>
      <w:r w:rsidR="0050460F">
        <w:rPr>
          <w:lang w:val="en-US"/>
        </w:rPr>
        <w:t>Tyre</w:t>
      </w:r>
      <w:proofErr w:type="spellEnd"/>
      <w:r w:rsidR="0050460F">
        <w:rPr>
          <w:lang w:val="en-US"/>
        </w:rPr>
        <w:t xml:space="preserve"> Derived Products (TDP’s) were </w:t>
      </w:r>
      <w:proofErr w:type="spellStart"/>
      <w:r w:rsidR="0050460F">
        <w:rPr>
          <w:lang w:val="en-US"/>
        </w:rPr>
        <w:t>summarised</w:t>
      </w:r>
      <w:proofErr w:type="spellEnd"/>
      <w:r w:rsidR="0050460F">
        <w:rPr>
          <w:lang w:val="en-US"/>
        </w:rPr>
        <w:t xml:space="preserve"> </w:t>
      </w:r>
      <w:r w:rsidR="00B46356">
        <w:rPr>
          <w:lang w:val="en-US"/>
        </w:rPr>
        <w:t>in descending order of size as follows:</w:t>
      </w:r>
    </w:p>
    <w:p w14:paraId="5C2EFECA" w14:textId="2A4DD461" w:rsidR="00B46356" w:rsidRPr="00284C49" w:rsidRDefault="00B778A7" w:rsidP="00284C49">
      <w:pPr>
        <w:pStyle w:val="ListParagraph"/>
        <w:numPr>
          <w:ilvl w:val="0"/>
          <w:numId w:val="8"/>
        </w:numPr>
        <w:rPr>
          <w:lang w:val="en-US"/>
        </w:rPr>
      </w:pPr>
      <w:r w:rsidRPr="00284C49">
        <w:rPr>
          <w:lang w:val="en-US"/>
        </w:rPr>
        <w:t>Tile adhesives</w:t>
      </w:r>
    </w:p>
    <w:p w14:paraId="06D9582C" w14:textId="3BF046B9" w:rsidR="00B778A7" w:rsidRPr="00284C49" w:rsidRDefault="00B778A7" w:rsidP="00284C49">
      <w:pPr>
        <w:pStyle w:val="ListParagraph"/>
        <w:numPr>
          <w:ilvl w:val="0"/>
          <w:numId w:val="8"/>
        </w:numPr>
        <w:rPr>
          <w:lang w:val="en-US"/>
        </w:rPr>
      </w:pPr>
      <w:r w:rsidRPr="00284C49">
        <w:rPr>
          <w:lang w:val="en-US"/>
        </w:rPr>
        <w:t>Spray seals</w:t>
      </w:r>
    </w:p>
    <w:p w14:paraId="0BD605B2" w14:textId="54E56147" w:rsidR="00B778A7" w:rsidRPr="00284C49" w:rsidRDefault="00B778A7" w:rsidP="00284C49">
      <w:pPr>
        <w:pStyle w:val="ListParagraph"/>
        <w:numPr>
          <w:ilvl w:val="0"/>
          <w:numId w:val="8"/>
        </w:numPr>
        <w:rPr>
          <w:lang w:val="en-US"/>
        </w:rPr>
      </w:pPr>
      <w:r w:rsidRPr="00284C49">
        <w:rPr>
          <w:lang w:val="en-US"/>
        </w:rPr>
        <w:t>Playgrounds</w:t>
      </w:r>
    </w:p>
    <w:p w14:paraId="7E013095" w14:textId="29FE367D" w:rsidR="00B778A7" w:rsidRPr="00284C49" w:rsidRDefault="00B778A7" w:rsidP="00284C49">
      <w:pPr>
        <w:pStyle w:val="ListParagraph"/>
        <w:numPr>
          <w:ilvl w:val="0"/>
          <w:numId w:val="8"/>
        </w:numPr>
        <w:rPr>
          <w:lang w:val="en-US"/>
        </w:rPr>
      </w:pPr>
      <w:r w:rsidRPr="00284C49">
        <w:rPr>
          <w:lang w:val="en-US"/>
        </w:rPr>
        <w:t>Sports surfaces</w:t>
      </w:r>
    </w:p>
    <w:p w14:paraId="187D13C8" w14:textId="2141EEC0" w:rsidR="00B778A7" w:rsidRPr="00284C49" w:rsidRDefault="00B778A7" w:rsidP="00284C49">
      <w:pPr>
        <w:pStyle w:val="ListParagraph"/>
        <w:numPr>
          <w:ilvl w:val="0"/>
          <w:numId w:val="8"/>
        </w:numPr>
        <w:rPr>
          <w:lang w:val="en-US"/>
        </w:rPr>
      </w:pPr>
      <w:r w:rsidRPr="00284C49">
        <w:rPr>
          <w:lang w:val="en-US"/>
        </w:rPr>
        <w:t xml:space="preserve">Steel making (steel </w:t>
      </w:r>
      <w:r w:rsidR="0018363F" w:rsidRPr="00284C49">
        <w:rPr>
          <w:lang w:val="en-US"/>
        </w:rPr>
        <w:t>component)</w:t>
      </w:r>
    </w:p>
    <w:p w14:paraId="797100AE" w14:textId="62D8D741" w:rsidR="0018363F" w:rsidRPr="00284C49" w:rsidRDefault="0018363F" w:rsidP="00284C49">
      <w:pPr>
        <w:pStyle w:val="ListParagraph"/>
        <w:numPr>
          <w:ilvl w:val="0"/>
          <w:numId w:val="8"/>
        </w:numPr>
        <w:rPr>
          <w:lang w:val="en-US"/>
        </w:rPr>
      </w:pPr>
      <w:r w:rsidRPr="00284C49">
        <w:rPr>
          <w:lang w:val="en-US"/>
        </w:rPr>
        <w:t>Other minor markets</w:t>
      </w:r>
    </w:p>
    <w:p w14:paraId="33C6D2E6" w14:textId="5A971008" w:rsidR="0018363F" w:rsidRDefault="0018363F" w:rsidP="00E66ADA">
      <w:pPr>
        <w:rPr>
          <w:lang w:val="en-US"/>
        </w:rPr>
      </w:pPr>
      <w:r>
        <w:rPr>
          <w:lang w:val="en-US"/>
        </w:rPr>
        <w:t xml:space="preserve">The </w:t>
      </w:r>
      <w:proofErr w:type="spellStart"/>
      <w:r w:rsidR="003A22D1">
        <w:rPr>
          <w:lang w:val="en-US"/>
        </w:rPr>
        <w:t>tyres</w:t>
      </w:r>
      <w:proofErr w:type="spellEnd"/>
      <w:r w:rsidR="003A22D1">
        <w:rPr>
          <w:lang w:val="en-US"/>
        </w:rPr>
        <w:t xml:space="preserve"> being exported were in the form of baled </w:t>
      </w:r>
      <w:proofErr w:type="spellStart"/>
      <w:r w:rsidR="003A22D1">
        <w:rPr>
          <w:lang w:val="en-US"/>
        </w:rPr>
        <w:t>tyres</w:t>
      </w:r>
      <w:proofErr w:type="spellEnd"/>
      <w:r w:rsidR="00361344">
        <w:rPr>
          <w:lang w:val="en-US"/>
        </w:rPr>
        <w:t xml:space="preserve"> (81%) or shredded </w:t>
      </w:r>
      <w:proofErr w:type="spellStart"/>
      <w:r w:rsidR="00361344">
        <w:rPr>
          <w:lang w:val="en-US"/>
        </w:rPr>
        <w:t>tyres</w:t>
      </w:r>
      <w:proofErr w:type="spellEnd"/>
      <w:r w:rsidR="00361344">
        <w:rPr>
          <w:lang w:val="en-US"/>
        </w:rPr>
        <w:t xml:space="preserve"> (19%). </w:t>
      </w:r>
      <w:r w:rsidR="000547F2">
        <w:rPr>
          <w:lang w:val="en-US"/>
        </w:rPr>
        <w:t xml:space="preserve">These were used predominantly as a fuel in </w:t>
      </w:r>
      <w:r w:rsidR="0013340B">
        <w:rPr>
          <w:lang w:val="en-US"/>
        </w:rPr>
        <w:t>cement kilns, industrial boilers, power plants and othe</w:t>
      </w:r>
      <w:r w:rsidR="00E3775E">
        <w:rPr>
          <w:lang w:val="en-US"/>
        </w:rPr>
        <w:t>r industrial applications.</w:t>
      </w:r>
      <w:r w:rsidR="00DB1703">
        <w:rPr>
          <w:lang w:val="en-US"/>
        </w:rPr>
        <w:t xml:space="preserve"> When burnt in a controlled environment, the </w:t>
      </w:r>
      <w:proofErr w:type="spellStart"/>
      <w:r w:rsidR="00DB1703">
        <w:rPr>
          <w:lang w:val="en-US"/>
        </w:rPr>
        <w:t>tyres</w:t>
      </w:r>
      <w:proofErr w:type="spellEnd"/>
      <w:r w:rsidR="00DB1703">
        <w:rPr>
          <w:lang w:val="en-US"/>
        </w:rPr>
        <w:t xml:space="preserve"> have a similar cal</w:t>
      </w:r>
      <w:r w:rsidR="002A5DDE">
        <w:rPr>
          <w:lang w:val="en-US"/>
        </w:rPr>
        <w:t xml:space="preserve">orific value to black coal. There was no current </w:t>
      </w:r>
      <w:r w:rsidR="00B241BE">
        <w:rPr>
          <w:lang w:val="en-US"/>
        </w:rPr>
        <w:t xml:space="preserve">burning for recovered energy in Australia. </w:t>
      </w:r>
    </w:p>
    <w:p w14:paraId="5DE4C5AF" w14:textId="605DC5CD" w:rsidR="00561251" w:rsidRDefault="009C7F48" w:rsidP="009C7F48">
      <w:pPr>
        <w:pStyle w:val="Heading2"/>
      </w:pPr>
      <w:bookmarkStart w:id="15" w:name="_Toc19708291"/>
      <w:r>
        <w:t xml:space="preserve">Market </w:t>
      </w:r>
      <w:r w:rsidR="00561251">
        <w:t>Barriers</w:t>
      </w:r>
      <w:bookmarkEnd w:id="15"/>
    </w:p>
    <w:p w14:paraId="704EED9A" w14:textId="68389624" w:rsidR="00AE04D7" w:rsidRDefault="00AE04D7" w:rsidP="00E66ADA">
      <w:pPr>
        <w:rPr>
          <w:lang w:val="en-US"/>
        </w:rPr>
      </w:pPr>
      <w:r>
        <w:rPr>
          <w:lang w:val="en-US"/>
        </w:rPr>
        <w:t xml:space="preserve">A </w:t>
      </w:r>
      <w:r w:rsidR="00561251">
        <w:rPr>
          <w:lang w:val="en-US"/>
        </w:rPr>
        <w:t xml:space="preserve">range </w:t>
      </w:r>
      <w:r>
        <w:rPr>
          <w:lang w:val="en-US"/>
        </w:rPr>
        <w:t xml:space="preserve">of barriers to </w:t>
      </w:r>
      <w:r w:rsidR="00A77930">
        <w:rPr>
          <w:lang w:val="en-US"/>
        </w:rPr>
        <w:t>growing the market for TDP’s</w:t>
      </w:r>
      <w:r w:rsidR="00EB1019">
        <w:rPr>
          <w:lang w:val="en-US"/>
        </w:rPr>
        <w:t xml:space="preserve"> were identified. These included:</w:t>
      </w:r>
    </w:p>
    <w:p w14:paraId="159E863D" w14:textId="26FAD501" w:rsidR="00EB1019" w:rsidRDefault="00EB1019" w:rsidP="009C7F48">
      <w:pPr>
        <w:pStyle w:val="Heading4"/>
      </w:pPr>
      <w:r>
        <w:t xml:space="preserve">Low barriers to entry </w:t>
      </w:r>
      <w:r w:rsidR="007F062A">
        <w:t>for collection</w:t>
      </w:r>
    </w:p>
    <w:p w14:paraId="7FCA5390" w14:textId="368316F1" w:rsidR="00DA7EC9" w:rsidRPr="00DA7EC9" w:rsidRDefault="00B07AF1" w:rsidP="00DA7EC9">
      <w:pPr>
        <w:rPr>
          <w:lang w:val="en-US"/>
        </w:rPr>
      </w:pPr>
      <w:r>
        <w:rPr>
          <w:lang w:val="en-US"/>
        </w:rPr>
        <w:t xml:space="preserve">New collectors can capture </w:t>
      </w:r>
      <w:r w:rsidR="002C56FD">
        <w:rPr>
          <w:lang w:val="en-US"/>
        </w:rPr>
        <w:t xml:space="preserve">volume from retailers, undercutting larger recyclers and often ending in </w:t>
      </w:r>
      <w:r w:rsidR="001E2B64">
        <w:rPr>
          <w:lang w:val="en-US"/>
        </w:rPr>
        <w:t>stockpiling or dumping.</w:t>
      </w:r>
    </w:p>
    <w:p w14:paraId="2B7788C4" w14:textId="54448C7E" w:rsidR="007F062A" w:rsidRDefault="007F062A" w:rsidP="009C7F48">
      <w:pPr>
        <w:pStyle w:val="Heading4"/>
      </w:pPr>
      <w:r>
        <w:lastRenderedPageBreak/>
        <w:t>Transport costs</w:t>
      </w:r>
    </w:p>
    <w:p w14:paraId="64CE9417" w14:textId="0399719F" w:rsidR="00561251" w:rsidRPr="00561251" w:rsidRDefault="001E2B64" w:rsidP="00561251">
      <w:pPr>
        <w:rPr>
          <w:lang w:val="en-US"/>
        </w:rPr>
      </w:pPr>
      <w:r>
        <w:rPr>
          <w:lang w:val="en-US"/>
        </w:rPr>
        <w:t xml:space="preserve">The geographic scale of Australia presents </w:t>
      </w:r>
      <w:r w:rsidR="00FF3579">
        <w:rPr>
          <w:lang w:val="en-US"/>
        </w:rPr>
        <w:t xml:space="preserve">challenges to collection costs and accordingly more </w:t>
      </w:r>
      <w:proofErr w:type="spellStart"/>
      <w:r w:rsidR="00FF3579">
        <w:rPr>
          <w:lang w:val="en-US"/>
        </w:rPr>
        <w:t>tyres</w:t>
      </w:r>
      <w:proofErr w:type="spellEnd"/>
      <w:r w:rsidR="00FF3579">
        <w:rPr>
          <w:lang w:val="en-US"/>
        </w:rPr>
        <w:t xml:space="preserve"> are landfilled in </w:t>
      </w:r>
      <w:r w:rsidR="00667DD5">
        <w:rPr>
          <w:lang w:val="en-US"/>
        </w:rPr>
        <w:t>rural and remote areas.</w:t>
      </w:r>
    </w:p>
    <w:p w14:paraId="3A18495D" w14:textId="641419C9" w:rsidR="007F062A" w:rsidRDefault="00561251" w:rsidP="00561251">
      <w:pPr>
        <w:pStyle w:val="Heading4"/>
      </w:pPr>
      <w:r>
        <w:t>Regulatory</w:t>
      </w:r>
      <w:r w:rsidR="007F062A">
        <w:t xml:space="preserve"> settings</w:t>
      </w:r>
    </w:p>
    <w:p w14:paraId="722E0F48" w14:textId="5276883C" w:rsidR="00561251" w:rsidRPr="00561251" w:rsidRDefault="003338EE" w:rsidP="00561251">
      <w:pPr>
        <w:rPr>
          <w:lang w:val="en-US"/>
        </w:rPr>
      </w:pPr>
      <w:r>
        <w:rPr>
          <w:lang w:val="en-US"/>
        </w:rPr>
        <w:t xml:space="preserve">States with weak regulatory frameworks can see higher levels of </w:t>
      </w:r>
      <w:r w:rsidR="001A06AC">
        <w:rPr>
          <w:lang w:val="en-US"/>
        </w:rPr>
        <w:t>stockpiling and dumping. Conversely</w:t>
      </w:r>
      <w:r w:rsidR="001E0E35">
        <w:rPr>
          <w:lang w:val="en-US"/>
        </w:rPr>
        <w:t xml:space="preserve">, </w:t>
      </w:r>
      <w:r w:rsidR="000A6339">
        <w:rPr>
          <w:lang w:val="en-US"/>
        </w:rPr>
        <w:t>restrictions on stor</w:t>
      </w:r>
      <w:r w:rsidR="00676509">
        <w:rPr>
          <w:lang w:val="en-US"/>
        </w:rPr>
        <w:t>a</w:t>
      </w:r>
      <w:r w:rsidR="000A6339">
        <w:rPr>
          <w:lang w:val="en-US"/>
        </w:rPr>
        <w:t xml:space="preserve">ge </w:t>
      </w:r>
      <w:r w:rsidR="008358A1">
        <w:rPr>
          <w:lang w:val="en-US"/>
        </w:rPr>
        <w:t xml:space="preserve">of processed EOLTs can restrict </w:t>
      </w:r>
      <w:r w:rsidR="00676509">
        <w:rPr>
          <w:lang w:val="en-US"/>
        </w:rPr>
        <w:t>large contracts being serviced.</w:t>
      </w:r>
    </w:p>
    <w:p w14:paraId="38DC4150" w14:textId="6C0D2022" w:rsidR="00F07307" w:rsidRDefault="00D653E4" w:rsidP="00561251">
      <w:pPr>
        <w:pStyle w:val="Heading4"/>
      </w:pPr>
      <w:r>
        <w:t>Infrastructure costs</w:t>
      </w:r>
    </w:p>
    <w:p w14:paraId="4E96B69B" w14:textId="131EA3B4" w:rsidR="00561251" w:rsidRPr="00561251" w:rsidRDefault="00F23CF6" w:rsidP="00561251">
      <w:pPr>
        <w:rPr>
          <w:lang w:val="en-US"/>
        </w:rPr>
      </w:pPr>
      <w:r>
        <w:rPr>
          <w:lang w:val="en-US"/>
        </w:rPr>
        <w:t xml:space="preserve">There are high </w:t>
      </w:r>
      <w:r w:rsidR="00030AB5">
        <w:rPr>
          <w:lang w:val="en-US"/>
        </w:rPr>
        <w:t xml:space="preserve">infrastructure costs for higher value facilities such as </w:t>
      </w:r>
      <w:r w:rsidR="006A3C40">
        <w:rPr>
          <w:lang w:val="en-US"/>
        </w:rPr>
        <w:t>crumbing and granulating. These can cost between $2M and #10M depending on scale.</w:t>
      </w:r>
    </w:p>
    <w:p w14:paraId="3DBB5BE3" w14:textId="06E834B3" w:rsidR="00D653E4" w:rsidRDefault="00D653E4" w:rsidP="00561251">
      <w:pPr>
        <w:pStyle w:val="Heading4"/>
      </w:pPr>
      <w:r>
        <w:t>Retailer disposal fees</w:t>
      </w:r>
    </w:p>
    <w:p w14:paraId="153A6915" w14:textId="74B8F61E" w:rsidR="00561251" w:rsidRPr="00561251" w:rsidRDefault="00D25266" w:rsidP="00561251">
      <w:pPr>
        <w:rPr>
          <w:lang w:val="en-US"/>
        </w:rPr>
      </w:pPr>
      <w:r>
        <w:rPr>
          <w:lang w:val="en-US"/>
        </w:rPr>
        <w:t xml:space="preserve">These are </w:t>
      </w:r>
      <w:r w:rsidR="00026346">
        <w:rPr>
          <w:lang w:val="en-US"/>
        </w:rPr>
        <w:t>o</w:t>
      </w:r>
      <w:r w:rsidR="00565764">
        <w:rPr>
          <w:lang w:val="en-US"/>
        </w:rPr>
        <w:t xml:space="preserve">ften inflated by as much as 500% and </w:t>
      </w:r>
      <w:r w:rsidR="00C34F05">
        <w:rPr>
          <w:lang w:val="en-US"/>
        </w:rPr>
        <w:t xml:space="preserve">not passed through to the </w:t>
      </w:r>
      <w:proofErr w:type="spellStart"/>
      <w:r w:rsidR="00C34F05">
        <w:rPr>
          <w:lang w:val="en-US"/>
        </w:rPr>
        <w:t>tyre</w:t>
      </w:r>
      <w:proofErr w:type="spellEnd"/>
      <w:r w:rsidR="00C34F05">
        <w:rPr>
          <w:lang w:val="en-US"/>
        </w:rPr>
        <w:t xml:space="preserve"> recycling industry. In some </w:t>
      </w:r>
      <w:r w:rsidR="00026346">
        <w:rPr>
          <w:lang w:val="en-US"/>
        </w:rPr>
        <w:t>cases,</w:t>
      </w:r>
      <w:r w:rsidR="007345E4">
        <w:rPr>
          <w:lang w:val="en-US"/>
        </w:rPr>
        <w:t xml:space="preserve"> this is referred to as a recycling fee despite the </w:t>
      </w:r>
      <w:proofErr w:type="spellStart"/>
      <w:r w:rsidR="007345E4">
        <w:rPr>
          <w:lang w:val="en-US"/>
        </w:rPr>
        <w:t>tyres</w:t>
      </w:r>
      <w:proofErr w:type="spellEnd"/>
      <w:r w:rsidR="007345E4">
        <w:rPr>
          <w:lang w:val="en-US"/>
        </w:rPr>
        <w:t xml:space="preserve"> going to landfill.</w:t>
      </w:r>
    </w:p>
    <w:p w14:paraId="665F4C5F" w14:textId="7CDE0AFD" w:rsidR="00D653E4" w:rsidRDefault="00D653E4" w:rsidP="00561251">
      <w:pPr>
        <w:pStyle w:val="Heading4"/>
      </w:pPr>
      <w:r>
        <w:t>Cheap imports</w:t>
      </w:r>
    </w:p>
    <w:p w14:paraId="6D588D3C" w14:textId="337AC4AC" w:rsidR="00561251" w:rsidRPr="00561251" w:rsidRDefault="007E7A24" w:rsidP="00561251">
      <w:pPr>
        <w:rPr>
          <w:lang w:val="en-US"/>
        </w:rPr>
      </w:pPr>
      <w:r>
        <w:rPr>
          <w:lang w:val="en-US"/>
        </w:rPr>
        <w:t xml:space="preserve">Import of cheaper crumbed rubber product can undercut the markets for locally produced </w:t>
      </w:r>
      <w:proofErr w:type="spellStart"/>
      <w:r w:rsidR="008D0200">
        <w:rPr>
          <w:lang w:val="en-US"/>
        </w:rPr>
        <w:t>recyclate</w:t>
      </w:r>
      <w:proofErr w:type="spellEnd"/>
      <w:r w:rsidR="008D0200">
        <w:rPr>
          <w:lang w:val="en-US"/>
        </w:rPr>
        <w:t>. Sometimes the lower price is the result of subsidies in the generating country</w:t>
      </w:r>
      <w:r w:rsidR="00A34371">
        <w:rPr>
          <w:lang w:val="en-US"/>
        </w:rPr>
        <w:t xml:space="preserve"> and can be as much as 40% cheaper.</w:t>
      </w:r>
    </w:p>
    <w:p w14:paraId="44FBBC78" w14:textId="792F246A" w:rsidR="00D653E4" w:rsidRDefault="00D653E4" w:rsidP="00561251">
      <w:pPr>
        <w:pStyle w:val="Heading4"/>
      </w:pPr>
      <w:r>
        <w:t>Standards and specifications</w:t>
      </w:r>
    </w:p>
    <w:p w14:paraId="2094ECD2" w14:textId="7CC4ED1A" w:rsidR="00561251" w:rsidRPr="00561251" w:rsidRDefault="0003700D" w:rsidP="00561251">
      <w:pPr>
        <w:rPr>
          <w:lang w:val="en-US"/>
        </w:rPr>
      </w:pPr>
      <w:r>
        <w:rPr>
          <w:lang w:val="en-US"/>
        </w:rPr>
        <w:t>The lack of standards that apply directly to TDPs</w:t>
      </w:r>
      <w:r w:rsidR="00A13DC3">
        <w:rPr>
          <w:lang w:val="en-US"/>
        </w:rPr>
        <w:t xml:space="preserve"> or excluding standards can be a major barrier to market use.</w:t>
      </w:r>
    </w:p>
    <w:p w14:paraId="4CCE32AD" w14:textId="0C4E06F0" w:rsidR="00D653E4" w:rsidRDefault="00561251" w:rsidP="00561251">
      <w:pPr>
        <w:pStyle w:val="Heading4"/>
      </w:pPr>
      <w:r>
        <w:t>A</w:t>
      </w:r>
      <w:r w:rsidR="00D653E4">
        <w:t>ttitudes</w:t>
      </w:r>
      <w:r>
        <w:t xml:space="preserve"> and awareness</w:t>
      </w:r>
    </w:p>
    <w:p w14:paraId="286CE614" w14:textId="3EEAB99D" w:rsidR="00561251" w:rsidRPr="00561251" w:rsidRDefault="000D262B" w:rsidP="00561251">
      <w:pPr>
        <w:rPr>
          <w:lang w:val="en-US"/>
        </w:rPr>
      </w:pPr>
      <w:r>
        <w:rPr>
          <w:lang w:val="en-US"/>
        </w:rPr>
        <w:t xml:space="preserve">Entrenched attitudes </w:t>
      </w:r>
      <w:r w:rsidR="00E33C12">
        <w:rPr>
          <w:lang w:val="en-US"/>
        </w:rPr>
        <w:t xml:space="preserve">tend to </w:t>
      </w:r>
      <w:proofErr w:type="spellStart"/>
      <w:r w:rsidR="00E33C12">
        <w:rPr>
          <w:lang w:val="en-US"/>
        </w:rPr>
        <w:t>favour</w:t>
      </w:r>
      <w:proofErr w:type="spellEnd"/>
      <w:r w:rsidR="00E33C12">
        <w:rPr>
          <w:lang w:val="en-US"/>
        </w:rPr>
        <w:t xml:space="preserve"> virgin or traditional </w:t>
      </w:r>
      <w:r w:rsidR="00FE7358">
        <w:rPr>
          <w:lang w:val="en-US"/>
        </w:rPr>
        <w:t>products and so new products can find it difficult to enter new markets.</w:t>
      </w:r>
    </w:p>
    <w:p w14:paraId="6E901B62" w14:textId="56CD1B50" w:rsidR="00561251" w:rsidRDefault="00561251" w:rsidP="00561251">
      <w:pPr>
        <w:pStyle w:val="Heading4"/>
      </w:pPr>
      <w:r>
        <w:t>Market scale</w:t>
      </w:r>
    </w:p>
    <w:p w14:paraId="159DBCFB" w14:textId="301E6303" w:rsidR="00DC432B" w:rsidRPr="00DC432B" w:rsidRDefault="00A051E6" w:rsidP="00DC432B">
      <w:pPr>
        <w:rPr>
          <w:lang w:val="en-US"/>
        </w:rPr>
      </w:pPr>
      <w:r>
        <w:rPr>
          <w:lang w:val="en-US"/>
        </w:rPr>
        <w:t xml:space="preserve">The local recycling industry can struggle to </w:t>
      </w:r>
      <w:r w:rsidR="00455B4C">
        <w:rPr>
          <w:lang w:val="en-US"/>
        </w:rPr>
        <w:t>scale up to meet demand in some markets.</w:t>
      </w:r>
    </w:p>
    <w:p w14:paraId="79CE9C2C" w14:textId="2CF7A065" w:rsidR="00561251" w:rsidRDefault="00DA7EC9" w:rsidP="00DA7EC9">
      <w:pPr>
        <w:pStyle w:val="Heading2"/>
      </w:pPr>
      <w:bookmarkStart w:id="16" w:name="_Toc19708292"/>
      <w:r>
        <w:t>Opportunities</w:t>
      </w:r>
      <w:bookmarkEnd w:id="16"/>
    </w:p>
    <w:p w14:paraId="63AAE723" w14:textId="18B04560" w:rsidR="00192BEF" w:rsidRPr="00E7677E" w:rsidRDefault="00A822D9" w:rsidP="00E7677E">
      <w:pPr>
        <w:rPr>
          <w:lang w:val="en-US"/>
        </w:rPr>
      </w:pPr>
      <w:r>
        <w:rPr>
          <w:lang w:val="en-US"/>
        </w:rPr>
        <w:t xml:space="preserve">In </w:t>
      </w:r>
      <w:r w:rsidR="00411BCE">
        <w:rPr>
          <w:lang w:val="en-US"/>
        </w:rPr>
        <w:t>estimating the market impact of di</w:t>
      </w:r>
      <w:r w:rsidR="00D754EC">
        <w:rPr>
          <w:lang w:val="en-US"/>
        </w:rPr>
        <w:t>ffe</w:t>
      </w:r>
      <w:r w:rsidR="00411BCE">
        <w:rPr>
          <w:lang w:val="en-US"/>
        </w:rPr>
        <w:t>rent opportuni</w:t>
      </w:r>
      <w:r w:rsidR="00D754EC">
        <w:rPr>
          <w:lang w:val="en-US"/>
        </w:rPr>
        <w:t xml:space="preserve">ties for TDP’s, </w:t>
      </w:r>
      <w:r w:rsidR="00EB095A">
        <w:rPr>
          <w:lang w:val="en-US"/>
        </w:rPr>
        <w:t>the analysis looked at short,</w:t>
      </w:r>
      <w:r w:rsidR="00160FF3">
        <w:rPr>
          <w:lang w:val="en-US"/>
        </w:rPr>
        <w:t xml:space="preserve"> </w:t>
      </w:r>
      <w:r w:rsidR="00DC432B">
        <w:rPr>
          <w:lang w:val="en-US"/>
        </w:rPr>
        <w:t>medium- and long-term</w:t>
      </w:r>
      <w:r w:rsidR="00EB095A">
        <w:rPr>
          <w:lang w:val="en-US"/>
        </w:rPr>
        <w:t xml:space="preserve"> </w:t>
      </w:r>
      <w:r w:rsidR="00160FF3">
        <w:rPr>
          <w:lang w:val="en-US"/>
        </w:rPr>
        <w:t>impacts.</w:t>
      </w:r>
      <w:r w:rsidR="00EC1C5E">
        <w:rPr>
          <w:lang w:val="en-US"/>
        </w:rPr>
        <w:t xml:space="preserve"> The following table indicates the </w:t>
      </w:r>
      <w:r w:rsidR="005B1920">
        <w:rPr>
          <w:lang w:val="en-US"/>
        </w:rPr>
        <w:t xml:space="preserve">scale of long term (10 year) market opportunities. </w:t>
      </w:r>
    </w:p>
    <w:p w14:paraId="336B5E1C" w14:textId="39062C51" w:rsidR="009269FB" w:rsidRDefault="009269FB" w:rsidP="003666F3">
      <w:pPr>
        <w:rPr>
          <w:lang w:val="en-US"/>
        </w:rPr>
      </w:pPr>
    </w:p>
    <w:tbl>
      <w:tblPr>
        <w:tblStyle w:val="TableGrid"/>
        <w:tblW w:w="0" w:type="auto"/>
        <w:tblLook w:val="04A0" w:firstRow="1" w:lastRow="0" w:firstColumn="1" w:lastColumn="0" w:noHBand="0" w:noVBand="1"/>
      </w:tblPr>
      <w:tblGrid>
        <w:gridCol w:w="2122"/>
        <w:gridCol w:w="2405"/>
      </w:tblGrid>
      <w:tr w:rsidR="00642FC7" w:rsidRPr="00CB60D7" w14:paraId="1B764ECD" w14:textId="77777777" w:rsidTr="009D7547">
        <w:tc>
          <w:tcPr>
            <w:tcW w:w="2122" w:type="dxa"/>
            <w:shd w:val="clear" w:color="auto" w:fill="99FF99"/>
          </w:tcPr>
          <w:p w14:paraId="50F3988A" w14:textId="77777777" w:rsidR="00642FC7" w:rsidRPr="00CB60D7" w:rsidRDefault="00642FC7" w:rsidP="009D7547">
            <w:pPr>
              <w:jc w:val="both"/>
              <w:rPr>
                <w:rFonts w:asciiTheme="minorHAnsi" w:hAnsiTheme="minorHAnsi" w:cstheme="minorHAnsi"/>
                <w:b/>
              </w:rPr>
            </w:pPr>
            <w:r w:rsidRPr="00CB60D7">
              <w:rPr>
                <w:rFonts w:asciiTheme="minorHAnsi" w:hAnsiTheme="minorHAnsi" w:cstheme="minorHAnsi"/>
                <w:b/>
              </w:rPr>
              <w:t>Opportunity</w:t>
            </w:r>
          </w:p>
        </w:tc>
        <w:tc>
          <w:tcPr>
            <w:tcW w:w="2405" w:type="dxa"/>
            <w:shd w:val="clear" w:color="auto" w:fill="99FF99"/>
          </w:tcPr>
          <w:p w14:paraId="3EA2681B" w14:textId="77777777" w:rsidR="00642FC7" w:rsidRPr="00CB60D7" w:rsidRDefault="00642FC7" w:rsidP="009D7547">
            <w:pPr>
              <w:jc w:val="both"/>
              <w:rPr>
                <w:rFonts w:asciiTheme="minorHAnsi" w:hAnsiTheme="minorHAnsi" w:cstheme="minorHAnsi"/>
                <w:b/>
              </w:rPr>
            </w:pPr>
            <w:r w:rsidRPr="00CB60D7">
              <w:rPr>
                <w:rFonts w:asciiTheme="minorHAnsi" w:hAnsiTheme="minorHAnsi" w:cstheme="minorHAnsi"/>
                <w:b/>
              </w:rPr>
              <w:t>Potential Take (tonnes)</w:t>
            </w:r>
          </w:p>
        </w:tc>
      </w:tr>
      <w:tr w:rsidR="00642FC7" w14:paraId="3CE5CA0B" w14:textId="77777777" w:rsidTr="009D7547">
        <w:tc>
          <w:tcPr>
            <w:tcW w:w="2122" w:type="dxa"/>
          </w:tcPr>
          <w:p w14:paraId="24B9DE93" w14:textId="7D53AE27" w:rsidR="00642FC7" w:rsidRDefault="00642FC7" w:rsidP="009D7547">
            <w:pPr>
              <w:jc w:val="both"/>
              <w:rPr>
                <w:rFonts w:asciiTheme="minorHAnsi" w:hAnsiTheme="minorHAnsi" w:cstheme="minorHAnsi"/>
                <w:bCs/>
              </w:rPr>
            </w:pPr>
            <w:r>
              <w:rPr>
                <w:rFonts w:asciiTheme="minorHAnsi" w:hAnsiTheme="minorHAnsi" w:cstheme="minorHAnsi"/>
                <w:bCs/>
              </w:rPr>
              <w:t>Tyre derived aggregate</w:t>
            </w:r>
          </w:p>
        </w:tc>
        <w:tc>
          <w:tcPr>
            <w:tcW w:w="2405" w:type="dxa"/>
          </w:tcPr>
          <w:p w14:paraId="503D3DE6" w14:textId="135FD273" w:rsidR="00642FC7" w:rsidRDefault="00642FC7" w:rsidP="009D7547">
            <w:pPr>
              <w:jc w:val="both"/>
              <w:rPr>
                <w:rFonts w:asciiTheme="minorHAnsi" w:hAnsiTheme="minorHAnsi" w:cstheme="minorHAnsi"/>
                <w:bCs/>
              </w:rPr>
            </w:pPr>
            <w:r>
              <w:rPr>
                <w:rFonts w:asciiTheme="minorHAnsi" w:hAnsiTheme="minorHAnsi" w:cstheme="minorHAnsi"/>
                <w:bCs/>
              </w:rPr>
              <w:t>&gt;50,000</w:t>
            </w:r>
          </w:p>
        </w:tc>
      </w:tr>
      <w:tr w:rsidR="00642FC7" w14:paraId="50A66DEF" w14:textId="77777777" w:rsidTr="009D7547">
        <w:tc>
          <w:tcPr>
            <w:tcW w:w="2122" w:type="dxa"/>
          </w:tcPr>
          <w:p w14:paraId="5684CD3B" w14:textId="08FAF932" w:rsidR="00642FC7" w:rsidRDefault="00642FC7" w:rsidP="009D7547">
            <w:pPr>
              <w:jc w:val="both"/>
              <w:rPr>
                <w:rFonts w:asciiTheme="minorHAnsi" w:hAnsiTheme="minorHAnsi" w:cstheme="minorHAnsi"/>
                <w:bCs/>
              </w:rPr>
            </w:pPr>
            <w:r>
              <w:rPr>
                <w:rFonts w:asciiTheme="minorHAnsi" w:hAnsiTheme="minorHAnsi" w:cstheme="minorHAnsi"/>
                <w:bCs/>
              </w:rPr>
              <w:t>Pyrolysis</w:t>
            </w:r>
          </w:p>
        </w:tc>
        <w:tc>
          <w:tcPr>
            <w:tcW w:w="2405" w:type="dxa"/>
          </w:tcPr>
          <w:p w14:paraId="15EB1BF8" w14:textId="42BCAB9A" w:rsidR="00642FC7" w:rsidRDefault="00642FC7" w:rsidP="009D7547">
            <w:pPr>
              <w:jc w:val="both"/>
              <w:rPr>
                <w:rFonts w:asciiTheme="minorHAnsi" w:hAnsiTheme="minorHAnsi" w:cstheme="minorHAnsi"/>
                <w:bCs/>
              </w:rPr>
            </w:pPr>
            <w:r>
              <w:rPr>
                <w:rFonts w:asciiTheme="minorHAnsi" w:hAnsiTheme="minorHAnsi" w:cstheme="minorHAnsi"/>
                <w:bCs/>
              </w:rPr>
              <w:t>&gt;35,000</w:t>
            </w:r>
          </w:p>
        </w:tc>
      </w:tr>
      <w:tr w:rsidR="00642FC7" w14:paraId="08AD036F" w14:textId="77777777" w:rsidTr="009D7547">
        <w:tc>
          <w:tcPr>
            <w:tcW w:w="2122" w:type="dxa"/>
          </w:tcPr>
          <w:p w14:paraId="1BD450DA" w14:textId="737680B6" w:rsidR="00642FC7" w:rsidRDefault="00642FC7" w:rsidP="009D7547">
            <w:pPr>
              <w:jc w:val="both"/>
              <w:rPr>
                <w:rFonts w:asciiTheme="minorHAnsi" w:hAnsiTheme="minorHAnsi" w:cstheme="minorHAnsi"/>
                <w:bCs/>
              </w:rPr>
            </w:pPr>
            <w:r>
              <w:rPr>
                <w:rFonts w:asciiTheme="minorHAnsi" w:hAnsiTheme="minorHAnsi" w:cstheme="minorHAnsi"/>
                <w:bCs/>
              </w:rPr>
              <w:t>Spray seals</w:t>
            </w:r>
          </w:p>
        </w:tc>
        <w:tc>
          <w:tcPr>
            <w:tcW w:w="2405" w:type="dxa"/>
          </w:tcPr>
          <w:p w14:paraId="03B0FC1C" w14:textId="5B8D1BAF" w:rsidR="00642FC7" w:rsidRDefault="00642FC7" w:rsidP="009D7547">
            <w:pPr>
              <w:jc w:val="both"/>
              <w:rPr>
                <w:rFonts w:asciiTheme="minorHAnsi" w:hAnsiTheme="minorHAnsi" w:cstheme="minorHAnsi"/>
                <w:bCs/>
              </w:rPr>
            </w:pPr>
            <w:r>
              <w:rPr>
                <w:rFonts w:asciiTheme="minorHAnsi" w:hAnsiTheme="minorHAnsi" w:cstheme="minorHAnsi"/>
                <w:bCs/>
              </w:rPr>
              <w:t>&gt;25,000</w:t>
            </w:r>
          </w:p>
        </w:tc>
      </w:tr>
      <w:tr w:rsidR="00642FC7" w14:paraId="64214C3F" w14:textId="77777777" w:rsidTr="009D7547">
        <w:tc>
          <w:tcPr>
            <w:tcW w:w="2122" w:type="dxa"/>
          </w:tcPr>
          <w:p w14:paraId="706970EB" w14:textId="2BE70372" w:rsidR="00642FC7" w:rsidRDefault="00642FC7" w:rsidP="009D7547">
            <w:pPr>
              <w:jc w:val="both"/>
              <w:rPr>
                <w:rFonts w:asciiTheme="minorHAnsi" w:hAnsiTheme="minorHAnsi" w:cstheme="minorHAnsi"/>
                <w:bCs/>
              </w:rPr>
            </w:pPr>
            <w:r>
              <w:rPr>
                <w:rFonts w:asciiTheme="minorHAnsi" w:hAnsiTheme="minorHAnsi" w:cstheme="minorHAnsi"/>
                <w:bCs/>
              </w:rPr>
              <w:t>Adhesives</w:t>
            </w:r>
          </w:p>
        </w:tc>
        <w:tc>
          <w:tcPr>
            <w:tcW w:w="2405" w:type="dxa"/>
          </w:tcPr>
          <w:p w14:paraId="4D0212E4" w14:textId="05C335D0" w:rsidR="00642FC7" w:rsidRDefault="00642FC7" w:rsidP="009D7547">
            <w:pPr>
              <w:jc w:val="both"/>
              <w:rPr>
                <w:rFonts w:asciiTheme="minorHAnsi" w:hAnsiTheme="minorHAnsi" w:cstheme="minorHAnsi"/>
                <w:bCs/>
              </w:rPr>
            </w:pPr>
            <w:r>
              <w:rPr>
                <w:rFonts w:asciiTheme="minorHAnsi" w:hAnsiTheme="minorHAnsi" w:cstheme="minorHAnsi"/>
                <w:bCs/>
              </w:rPr>
              <w:t>&gt;25,000</w:t>
            </w:r>
          </w:p>
        </w:tc>
      </w:tr>
      <w:tr w:rsidR="00642FC7" w14:paraId="4D6A0E9D" w14:textId="77777777" w:rsidTr="009D7547">
        <w:tc>
          <w:tcPr>
            <w:tcW w:w="2122" w:type="dxa"/>
          </w:tcPr>
          <w:p w14:paraId="1652593B" w14:textId="54EBD43F" w:rsidR="00642FC7" w:rsidRDefault="00642FC7" w:rsidP="009D7547">
            <w:pPr>
              <w:jc w:val="both"/>
              <w:rPr>
                <w:rFonts w:asciiTheme="minorHAnsi" w:hAnsiTheme="minorHAnsi" w:cstheme="minorHAnsi"/>
                <w:bCs/>
              </w:rPr>
            </w:pPr>
            <w:r>
              <w:rPr>
                <w:rFonts w:asciiTheme="minorHAnsi" w:hAnsiTheme="minorHAnsi" w:cstheme="minorHAnsi"/>
                <w:bCs/>
              </w:rPr>
              <w:t>Explosives</w:t>
            </w:r>
          </w:p>
        </w:tc>
        <w:tc>
          <w:tcPr>
            <w:tcW w:w="2405" w:type="dxa"/>
          </w:tcPr>
          <w:p w14:paraId="5CBC4C3F" w14:textId="2CF42609" w:rsidR="00642FC7" w:rsidRDefault="00642FC7" w:rsidP="009D7547">
            <w:pPr>
              <w:jc w:val="both"/>
              <w:rPr>
                <w:rFonts w:asciiTheme="minorHAnsi" w:hAnsiTheme="minorHAnsi" w:cstheme="minorHAnsi"/>
                <w:bCs/>
              </w:rPr>
            </w:pPr>
            <w:r>
              <w:rPr>
                <w:rFonts w:asciiTheme="minorHAnsi" w:hAnsiTheme="minorHAnsi" w:cstheme="minorHAnsi"/>
                <w:bCs/>
              </w:rPr>
              <w:t>&gt;25,000</w:t>
            </w:r>
          </w:p>
        </w:tc>
      </w:tr>
      <w:tr w:rsidR="00642FC7" w14:paraId="7DAF154D" w14:textId="77777777" w:rsidTr="009D7547">
        <w:tc>
          <w:tcPr>
            <w:tcW w:w="2122" w:type="dxa"/>
          </w:tcPr>
          <w:p w14:paraId="75B9EA7C" w14:textId="2FD6DC93" w:rsidR="00642FC7" w:rsidRDefault="00642FC7" w:rsidP="009D7547">
            <w:pPr>
              <w:jc w:val="both"/>
              <w:rPr>
                <w:rFonts w:asciiTheme="minorHAnsi" w:hAnsiTheme="minorHAnsi" w:cstheme="minorHAnsi"/>
                <w:bCs/>
              </w:rPr>
            </w:pPr>
            <w:r>
              <w:rPr>
                <w:rFonts w:asciiTheme="minorHAnsi" w:hAnsiTheme="minorHAnsi" w:cstheme="minorHAnsi"/>
                <w:bCs/>
              </w:rPr>
              <w:lastRenderedPageBreak/>
              <w:t>Playgrounds</w:t>
            </w:r>
          </w:p>
        </w:tc>
        <w:tc>
          <w:tcPr>
            <w:tcW w:w="2405" w:type="dxa"/>
          </w:tcPr>
          <w:p w14:paraId="68495362" w14:textId="140A6207" w:rsidR="00642FC7" w:rsidRDefault="00642FC7" w:rsidP="009D7547">
            <w:pPr>
              <w:jc w:val="both"/>
              <w:rPr>
                <w:rFonts w:asciiTheme="minorHAnsi" w:hAnsiTheme="minorHAnsi" w:cstheme="minorHAnsi"/>
                <w:bCs/>
              </w:rPr>
            </w:pPr>
            <w:r>
              <w:rPr>
                <w:rFonts w:asciiTheme="minorHAnsi" w:hAnsiTheme="minorHAnsi" w:cstheme="minorHAnsi"/>
                <w:bCs/>
              </w:rPr>
              <w:t>&gt;20,000</w:t>
            </w:r>
          </w:p>
        </w:tc>
      </w:tr>
      <w:tr w:rsidR="00642FC7" w14:paraId="66A44E68" w14:textId="77777777" w:rsidTr="009D7547">
        <w:tc>
          <w:tcPr>
            <w:tcW w:w="2122" w:type="dxa"/>
          </w:tcPr>
          <w:p w14:paraId="4400843A" w14:textId="22AAF4BA" w:rsidR="00642FC7" w:rsidRDefault="00642FC7" w:rsidP="009D7547">
            <w:pPr>
              <w:jc w:val="both"/>
              <w:rPr>
                <w:rFonts w:asciiTheme="minorHAnsi" w:hAnsiTheme="minorHAnsi" w:cstheme="minorHAnsi"/>
                <w:bCs/>
              </w:rPr>
            </w:pPr>
            <w:r>
              <w:rPr>
                <w:rFonts w:asciiTheme="minorHAnsi" w:hAnsiTheme="minorHAnsi" w:cstheme="minorHAnsi"/>
                <w:bCs/>
              </w:rPr>
              <w:t>Asphalt</w:t>
            </w:r>
          </w:p>
        </w:tc>
        <w:tc>
          <w:tcPr>
            <w:tcW w:w="2405" w:type="dxa"/>
          </w:tcPr>
          <w:p w14:paraId="6906A389" w14:textId="4179529F" w:rsidR="00642FC7" w:rsidRDefault="00642FC7" w:rsidP="009D7547">
            <w:pPr>
              <w:jc w:val="both"/>
              <w:rPr>
                <w:rFonts w:asciiTheme="minorHAnsi" w:hAnsiTheme="minorHAnsi" w:cstheme="minorHAnsi"/>
                <w:bCs/>
              </w:rPr>
            </w:pPr>
            <w:r>
              <w:rPr>
                <w:rFonts w:asciiTheme="minorHAnsi" w:hAnsiTheme="minorHAnsi" w:cstheme="minorHAnsi"/>
                <w:bCs/>
              </w:rPr>
              <w:t>&gt;10,000</w:t>
            </w:r>
          </w:p>
        </w:tc>
      </w:tr>
      <w:tr w:rsidR="00642FC7" w14:paraId="50CD1026" w14:textId="77777777" w:rsidTr="009D7547">
        <w:tc>
          <w:tcPr>
            <w:tcW w:w="2122" w:type="dxa"/>
          </w:tcPr>
          <w:p w14:paraId="7ACAD0D7" w14:textId="4A8A42AE" w:rsidR="00642FC7" w:rsidRDefault="00642FC7" w:rsidP="009D7547">
            <w:pPr>
              <w:jc w:val="both"/>
              <w:rPr>
                <w:rFonts w:asciiTheme="minorHAnsi" w:hAnsiTheme="minorHAnsi" w:cstheme="minorHAnsi"/>
                <w:bCs/>
              </w:rPr>
            </w:pPr>
            <w:r>
              <w:rPr>
                <w:rFonts w:asciiTheme="minorHAnsi" w:hAnsiTheme="minorHAnsi" w:cstheme="minorHAnsi"/>
                <w:bCs/>
              </w:rPr>
              <w:t>others</w:t>
            </w:r>
          </w:p>
        </w:tc>
        <w:tc>
          <w:tcPr>
            <w:tcW w:w="2405" w:type="dxa"/>
          </w:tcPr>
          <w:p w14:paraId="040842DE" w14:textId="5F0BA467" w:rsidR="00642FC7" w:rsidRDefault="00642FC7" w:rsidP="009D7547">
            <w:pPr>
              <w:jc w:val="both"/>
              <w:rPr>
                <w:rFonts w:asciiTheme="minorHAnsi" w:hAnsiTheme="minorHAnsi" w:cstheme="minorHAnsi"/>
                <w:bCs/>
              </w:rPr>
            </w:pPr>
            <w:r>
              <w:rPr>
                <w:rFonts w:asciiTheme="minorHAnsi" w:hAnsiTheme="minorHAnsi" w:cstheme="minorHAnsi"/>
                <w:bCs/>
              </w:rPr>
              <w:t>&gt;50,000</w:t>
            </w:r>
          </w:p>
        </w:tc>
      </w:tr>
    </w:tbl>
    <w:p w14:paraId="33D5CD44" w14:textId="77777777" w:rsidR="00E7677E" w:rsidRDefault="00E7677E" w:rsidP="00E7677E">
      <w:pPr>
        <w:rPr>
          <w:lang w:val="en-US"/>
        </w:rPr>
      </w:pPr>
    </w:p>
    <w:p w14:paraId="3D623A88" w14:textId="1B32DE0A" w:rsidR="00E7677E" w:rsidRDefault="00E7677E" w:rsidP="00E7677E">
      <w:pPr>
        <w:rPr>
          <w:lang w:val="en-US"/>
        </w:rPr>
      </w:pPr>
      <w:r>
        <w:rPr>
          <w:lang w:val="en-US"/>
        </w:rPr>
        <w:t xml:space="preserve">The key focus of attention in the shorter term </w:t>
      </w:r>
      <w:r w:rsidR="009E025D">
        <w:rPr>
          <w:lang w:val="en-US"/>
        </w:rPr>
        <w:t>i</w:t>
      </w:r>
      <w:r>
        <w:rPr>
          <w:lang w:val="en-US"/>
        </w:rPr>
        <w:t>s in the following:</w:t>
      </w:r>
    </w:p>
    <w:p w14:paraId="7C6C5842" w14:textId="77777777" w:rsidR="00E7677E" w:rsidRPr="009D7547" w:rsidRDefault="00E7677E" w:rsidP="00E7677E">
      <w:pPr>
        <w:pStyle w:val="ListParagraph"/>
        <w:numPr>
          <w:ilvl w:val="0"/>
          <w:numId w:val="9"/>
        </w:numPr>
        <w:spacing w:line="276" w:lineRule="auto"/>
        <w:rPr>
          <w:lang w:val="en-US"/>
        </w:rPr>
      </w:pPr>
      <w:r>
        <w:rPr>
          <w:lang w:val="en-US"/>
        </w:rPr>
        <w:t>R</w:t>
      </w:r>
      <w:r w:rsidRPr="009D7547">
        <w:rPr>
          <w:lang w:val="en-US"/>
        </w:rPr>
        <w:t>oad construction applications such as a polymer modified binder in sprayed seals and asphalt production</w:t>
      </w:r>
    </w:p>
    <w:p w14:paraId="6382C88C" w14:textId="77777777" w:rsidR="00E7677E" w:rsidRPr="009D7547" w:rsidRDefault="00E7677E" w:rsidP="00E7677E">
      <w:pPr>
        <w:pStyle w:val="ListParagraph"/>
        <w:numPr>
          <w:ilvl w:val="0"/>
          <w:numId w:val="9"/>
        </w:numPr>
        <w:spacing w:line="276" w:lineRule="auto"/>
        <w:rPr>
          <w:lang w:val="en-US"/>
        </w:rPr>
      </w:pPr>
      <w:r>
        <w:rPr>
          <w:lang w:val="en-US"/>
        </w:rPr>
        <w:t>R</w:t>
      </w:r>
      <w:r w:rsidRPr="009D7547">
        <w:rPr>
          <w:lang w:val="en-US"/>
        </w:rPr>
        <w:t>ail construction as ballast stabilization</w:t>
      </w:r>
    </w:p>
    <w:p w14:paraId="2B548458" w14:textId="77777777" w:rsidR="00E7677E" w:rsidRPr="00E7677E" w:rsidRDefault="00E7677E" w:rsidP="00E7677E">
      <w:pPr>
        <w:pStyle w:val="ListParagraph"/>
        <w:numPr>
          <w:ilvl w:val="0"/>
          <w:numId w:val="9"/>
        </w:numPr>
        <w:spacing w:line="276" w:lineRule="auto"/>
        <w:rPr>
          <w:lang w:val="en-US"/>
        </w:rPr>
      </w:pPr>
      <w:r>
        <w:rPr>
          <w:lang w:val="en-US"/>
        </w:rPr>
        <w:t>N</w:t>
      </w:r>
      <w:r w:rsidRPr="009D7547">
        <w:rPr>
          <w:lang w:val="en-US"/>
        </w:rPr>
        <w:t>onstructural civic construction, particularly as a drainage medium.</w:t>
      </w:r>
    </w:p>
    <w:p w14:paraId="3CDEF897" w14:textId="207EC27D" w:rsidR="00C30398" w:rsidRDefault="00C30398">
      <w:pPr>
        <w:spacing w:after="0" w:line="240" w:lineRule="auto"/>
        <w:rPr>
          <w:lang w:val="en-US"/>
        </w:rPr>
      </w:pPr>
      <w:r>
        <w:rPr>
          <w:lang w:val="en-US"/>
        </w:rPr>
        <w:br w:type="page"/>
      </w:r>
    </w:p>
    <w:p w14:paraId="39F7F52D" w14:textId="77777777" w:rsidR="009269FB" w:rsidRPr="003666F3" w:rsidRDefault="009269FB" w:rsidP="003666F3">
      <w:pPr>
        <w:rPr>
          <w:lang w:val="en-US"/>
        </w:rPr>
      </w:pPr>
    </w:p>
    <w:p w14:paraId="4EB9B513" w14:textId="50B18095" w:rsidR="00C842B5" w:rsidRDefault="00C842B5" w:rsidP="00C842B5">
      <w:pPr>
        <w:pStyle w:val="Heading1"/>
      </w:pPr>
      <w:bookmarkStart w:id="17" w:name="_Toc19708293"/>
      <w:r>
        <w:t>MARKET ASSESSMENT FOR GLASS</w:t>
      </w:r>
      <w:bookmarkEnd w:id="17"/>
    </w:p>
    <w:p w14:paraId="45648340" w14:textId="77777777" w:rsidR="00C842B5" w:rsidRDefault="00C842B5" w:rsidP="00C842B5">
      <w:pPr>
        <w:pStyle w:val="Heading4"/>
      </w:pPr>
      <w:r>
        <w:t>Production and Consumption</w:t>
      </w:r>
    </w:p>
    <w:p w14:paraId="619FA6CC" w14:textId="77777777" w:rsidR="00EF0813" w:rsidRDefault="00C842B5" w:rsidP="00C842B5">
      <w:pPr>
        <w:rPr>
          <w:lang w:val="en-US"/>
        </w:rPr>
      </w:pPr>
      <w:r>
        <w:rPr>
          <w:lang w:val="en-US"/>
        </w:rPr>
        <w:t xml:space="preserve">There are two glass packaging manufacturers in Australia. </w:t>
      </w:r>
      <w:r w:rsidR="00DF47BD">
        <w:rPr>
          <w:lang w:val="en-US"/>
        </w:rPr>
        <w:t xml:space="preserve">Glass packaging is produced from virgin materials such as silica and soda ash or from recycled glass known as cullet. </w:t>
      </w:r>
      <w:r>
        <w:rPr>
          <w:lang w:val="en-US"/>
        </w:rPr>
        <w:t xml:space="preserve">The largest producer is Owens Illinois (O-I) who produce around 650,000 </w:t>
      </w:r>
      <w:proofErr w:type="spellStart"/>
      <w:r>
        <w:rPr>
          <w:lang w:val="en-US"/>
        </w:rPr>
        <w:t>tonnes</w:t>
      </w:r>
      <w:proofErr w:type="spellEnd"/>
      <w:r>
        <w:rPr>
          <w:lang w:val="en-US"/>
        </w:rPr>
        <w:t xml:space="preserve"> of glass packaging for a range of beverage and food applications. Beer and wine bottle usage dominates this. </w:t>
      </w:r>
    </w:p>
    <w:p w14:paraId="3C0C16ED" w14:textId="37375AB5" w:rsidR="00C842B5" w:rsidRDefault="00C842B5" w:rsidP="00C842B5">
      <w:pPr>
        <w:rPr>
          <w:lang w:val="en-US"/>
        </w:rPr>
      </w:pPr>
      <w:r>
        <w:rPr>
          <w:lang w:val="en-US"/>
        </w:rPr>
        <w:t xml:space="preserve">They operate glass making plants in four locations - Adelaide, Melbourne, Sydney and Brisbane. In addition, they operate the glass beneficiation plant in Brisbane. Their other manufacturing plants are supplied with cullet from beneficiation plants operated by Visy Recycling, SKM and </w:t>
      </w:r>
      <w:proofErr w:type="spellStart"/>
      <w:r>
        <w:rPr>
          <w:lang w:val="en-US"/>
        </w:rPr>
        <w:t>Polytrade</w:t>
      </w:r>
      <w:proofErr w:type="spellEnd"/>
      <w:r>
        <w:rPr>
          <w:lang w:val="en-US"/>
        </w:rPr>
        <w:t>. Their total cullet</w:t>
      </w:r>
      <w:r w:rsidR="00BC6EA5">
        <w:rPr>
          <w:lang w:val="en-US"/>
        </w:rPr>
        <w:t xml:space="preserve"> </w:t>
      </w:r>
      <w:r w:rsidR="009E79B4">
        <w:rPr>
          <w:lang w:val="en-US"/>
        </w:rPr>
        <w:t>(recycled glass)</w:t>
      </w:r>
      <w:r>
        <w:rPr>
          <w:lang w:val="en-US"/>
        </w:rPr>
        <w:t xml:space="preserve"> usage is around 350,000 </w:t>
      </w:r>
      <w:proofErr w:type="spellStart"/>
      <w:r>
        <w:rPr>
          <w:lang w:val="en-US"/>
        </w:rPr>
        <w:t>tonnes</w:t>
      </w:r>
      <w:proofErr w:type="spellEnd"/>
      <w:r>
        <w:rPr>
          <w:lang w:val="en-US"/>
        </w:rPr>
        <w:t xml:space="preserve">. </w:t>
      </w:r>
    </w:p>
    <w:p w14:paraId="36D8526C" w14:textId="77777777" w:rsidR="00C842B5" w:rsidRDefault="00C842B5" w:rsidP="00C842B5">
      <w:pPr>
        <w:rPr>
          <w:lang w:val="en-US"/>
        </w:rPr>
      </w:pPr>
      <w:proofErr w:type="spellStart"/>
      <w:r>
        <w:rPr>
          <w:lang w:val="en-US"/>
        </w:rPr>
        <w:t>Orora</w:t>
      </w:r>
      <w:proofErr w:type="spellEnd"/>
      <w:r>
        <w:rPr>
          <w:lang w:val="en-US"/>
        </w:rPr>
        <w:t xml:space="preserve"> operates glass manufacturing in Adelaide, primarily geared to supply wine bottles for the South Australian wine producing market. Their total production is around 380,000 </w:t>
      </w:r>
      <w:proofErr w:type="spellStart"/>
      <w:r>
        <w:rPr>
          <w:lang w:val="en-US"/>
        </w:rPr>
        <w:t>tonnes</w:t>
      </w:r>
      <w:proofErr w:type="spellEnd"/>
      <w:r>
        <w:rPr>
          <w:lang w:val="en-US"/>
        </w:rPr>
        <w:t xml:space="preserve">. Their cullet usage is between </w:t>
      </w:r>
      <w:r w:rsidRPr="005026F0">
        <w:rPr>
          <w:lang w:val="en-US"/>
        </w:rPr>
        <w:t>75-80,000</w:t>
      </w:r>
      <w:r>
        <w:rPr>
          <w:lang w:val="en-US"/>
        </w:rPr>
        <w:t xml:space="preserve"> </w:t>
      </w:r>
      <w:proofErr w:type="spellStart"/>
      <w:r>
        <w:rPr>
          <w:lang w:val="en-US"/>
        </w:rPr>
        <w:t>tonnes</w:t>
      </w:r>
      <w:proofErr w:type="spellEnd"/>
      <w:r>
        <w:rPr>
          <w:lang w:val="en-US"/>
        </w:rPr>
        <w:t xml:space="preserve">. They source from the Visy Adelaide beneficiation plant that supplies cullet to the </w:t>
      </w:r>
      <w:proofErr w:type="spellStart"/>
      <w:r>
        <w:rPr>
          <w:lang w:val="en-US"/>
        </w:rPr>
        <w:t>Orora</w:t>
      </w:r>
      <w:proofErr w:type="spellEnd"/>
      <w:r>
        <w:rPr>
          <w:lang w:val="en-US"/>
        </w:rPr>
        <w:t xml:space="preserve"> bottle production plant.</w:t>
      </w:r>
    </w:p>
    <w:p w14:paraId="23DEC849" w14:textId="61BEE8ED" w:rsidR="00C842B5" w:rsidRDefault="00C842B5" w:rsidP="00C842B5">
      <w:pPr>
        <w:rPr>
          <w:lang w:val="en-US"/>
        </w:rPr>
      </w:pPr>
      <w:r>
        <w:rPr>
          <w:lang w:val="en-US"/>
        </w:rPr>
        <w:t>In combination, the two companies</w:t>
      </w:r>
      <w:r w:rsidR="00BC6EA5">
        <w:rPr>
          <w:lang w:val="en-US"/>
        </w:rPr>
        <w:t>-</w:t>
      </w:r>
      <w:r>
        <w:rPr>
          <w:lang w:val="en-US"/>
        </w:rPr>
        <w:t xml:space="preserve">O-I and </w:t>
      </w:r>
      <w:proofErr w:type="spellStart"/>
      <w:r>
        <w:rPr>
          <w:lang w:val="en-US"/>
        </w:rPr>
        <w:t>Orora</w:t>
      </w:r>
      <w:proofErr w:type="spellEnd"/>
      <w:r>
        <w:rPr>
          <w:lang w:val="en-US"/>
        </w:rPr>
        <w:t xml:space="preserve">, produce a little over one million </w:t>
      </w:r>
      <w:proofErr w:type="spellStart"/>
      <w:r>
        <w:rPr>
          <w:lang w:val="en-US"/>
        </w:rPr>
        <w:t>tonnes</w:t>
      </w:r>
      <w:proofErr w:type="spellEnd"/>
      <w:r>
        <w:rPr>
          <w:lang w:val="en-US"/>
        </w:rPr>
        <w:t xml:space="preserve"> of glass packaging each year. Some of this is exported as bottled wine. Offsetting this export is the import of a quantity of both empty glass packaging and full beer, wine and food packaging. In total the glass packaging consumption figure for Australia is </w:t>
      </w:r>
      <w:r w:rsidR="00521217">
        <w:rPr>
          <w:lang w:val="en-US"/>
        </w:rPr>
        <w:t>estimated at</w:t>
      </w:r>
      <w:r>
        <w:rPr>
          <w:lang w:val="en-US"/>
        </w:rPr>
        <w:t xml:space="preserve"> 1.</w:t>
      </w:r>
      <w:r w:rsidR="00521217">
        <w:rPr>
          <w:lang w:val="en-US"/>
        </w:rPr>
        <w:t>275</w:t>
      </w:r>
      <w:r>
        <w:rPr>
          <w:lang w:val="en-US"/>
        </w:rPr>
        <w:t xml:space="preserve"> million </w:t>
      </w:r>
      <w:proofErr w:type="spellStart"/>
      <w:r>
        <w:rPr>
          <w:lang w:val="en-US"/>
        </w:rPr>
        <w:t>tonnes</w:t>
      </w:r>
      <w:proofErr w:type="spellEnd"/>
      <w:r>
        <w:rPr>
          <w:lang w:val="en-US"/>
        </w:rPr>
        <w:t xml:space="preserve">. </w:t>
      </w:r>
    </w:p>
    <w:p w14:paraId="34B66433" w14:textId="77777777" w:rsidR="00C842B5" w:rsidRDefault="00C842B5" w:rsidP="00C842B5">
      <w:pPr>
        <w:pStyle w:val="Heading4"/>
      </w:pPr>
      <w:r>
        <w:t>Current Recycling</w:t>
      </w:r>
    </w:p>
    <w:p w14:paraId="542EBD89" w14:textId="0249911F" w:rsidR="00C842B5" w:rsidRPr="00B0032F" w:rsidRDefault="00C842B5" w:rsidP="00C842B5">
      <w:pPr>
        <w:rPr>
          <w:lang w:val="en-US"/>
        </w:rPr>
      </w:pPr>
      <w:r>
        <w:rPr>
          <w:lang w:val="en-US"/>
        </w:rPr>
        <w:t xml:space="preserve">The cullet use in Australian bottle production is around </w:t>
      </w:r>
      <w:r w:rsidR="003F1A01">
        <w:rPr>
          <w:lang w:val="en-US"/>
        </w:rPr>
        <w:t>407,000</w:t>
      </w:r>
      <w:r>
        <w:rPr>
          <w:lang w:val="en-US"/>
        </w:rPr>
        <w:t xml:space="preserve"> </w:t>
      </w:r>
      <w:proofErr w:type="spellStart"/>
      <w:r>
        <w:rPr>
          <w:lang w:val="en-US"/>
        </w:rPr>
        <w:t>tonnes</w:t>
      </w:r>
      <w:proofErr w:type="spellEnd"/>
      <w:r>
        <w:rPr>
          <w:lang w:val="en-US"/>
        </w:rPr>
        <w:t xml:space="preserve"> or an estimated 3</w:t>
      </w:r>
      <w:r w:rsidR="003F1A01">
        <w:rPr>
          <w:lang w:val="en-US"/>
        </w:rPr>
        <w:t>2</w:t>
      </w:r>
      <w:r>
        <w:rPr>
          <w:lang w:val="en-US"/>
        </w:rPr>
        <w:t xml:space="preserve">% </w:t>
      </w:r>
      <w:r w:rsidR="003F1A01">
        <w:rPr>
          <w:lang w:val="en-US"/>
        </w:rPr>
        <w:t xml:space="preserve">post-consumer </w:t>
      </w:r>
      <w:r>
        <w:rPr>
          <w:lang w:val="en-US"/>
        </w:rPr>
        <w:t xml:space="preserve">recycled content in Australian bottles. </w:t>
      </w:r>
      <w:r w:rsidR="00156445">
        <w:rPr>
          <w:lang w:val="en-US"/>
        </w:rPr>
        <w:t xml:space="preserve">A further 146,000 </w:t>
      </w:r>
      <w:proofErr w:type="spellStart"/>
      <w:r w:rsidR="00156445">
        <w:rPr>
          <w:lang w:val="en-US"/>
        </w:rPr>
        <w:t>tonnes</w:t>
      </w:r>
      <w:proofErr w:type="spellEnd"/>
      <w:r w:rsidR="00156445">
        <w:rPr>
          <w:lang w:val="en-US"/>
        </w:rPr>
        <w:t xml:space="preserve"> </w:t>
      </w:r>
      <w:r w:rsidR="0059061E">
        <w:rPr>
          <w:lang w:val="en-US"/>
        </w:rPr>
        <w:t xml:space="preserve">of pre-consumer glass </w:t>
      </w:r>
      <w:r w:rsidR="00156445">
        <w:rPr>
          <w:lang w:val="en-US"/>
        </w:rPr>
        <w:t xml:space="preserve">is estimated to </w:t>
      </w:r>
      <w:r w:rsidR="0059061E">
        <w:rPr>
          <w:lang w:val="en-US"/>
        </w:rPr>
        <w:t xml:space="preserve">be added to production. </w:t>
      </w:r>
      <w:r>
        <w:rPr>
          <w:lang w:val="en-US"/>
        </w:rPr>
        <w:t xml:space="preserve">This varies from state to state with higher levels in South Australia and lower in other states. This variation is linked to two aspects. Deposit collection systems in SA, NT, NSW and recently QLD have seen </w:t>
      </w:r>
      <w:proofErr w:type="gramStart"/>
      <w:r>
        <w:rPr>
          <w:lang w:val="en-US"/>
        </w:rPr>
        <w:t>more higher</w:t>
      </w:r>
      <w:proofErr w:type="gramEnd"/>
      <w:r>
        <w:rPr>
          <w:lang w:val="en-US"/>
        </w:rPr>
        <w:t xml:space="preserve"> quality cullet available in these markets. In addition, the demand for packaging can vary by state, by </w:t>
      </w:r>
      <w:proofErr w:type="spellStart"/>
      <w:r>
        <w:rPr>
          <w:lang w:val="en-US"/>
        </w:rPr>
        <w:t>colour</w:t>
      </w:r>
      <w:proofErr w:type="spellEnd"/>
      <w:r>
        <w:rPr>
          <w:lang w:val="en-US"/>
        </w:rPr>
        <w:t xml:space="preserve"> and by season. It is easier to </w:t>
      </w:r>
      <w:proofErr w:type="spellStart"/>
      <w:r>
        <w:rPr>
          <w:lang w:val="en-US"/>
        </w:rPr>
        <w:t>utilise</w:t>
      </w:r>
      <w:proofErr w:type="spellEnd"/>
      <w:r>
        <w:rPr>
          <w:lang w:val="en-US"/>
        </w:rPr>
        <w:t xml:space="preserve"> recycled content in amber and green </w:t>
      </w:r>
      <w:proofErr w:type="spellStart"/>
      <w:r>
        <w:rPr>
          <w:lang w:val="en-US"/>
        </w:rPr>
        <w:t>coloured</w:t>
      </w:r>
      <w:proofErr w:type="spellEnd"/>
      <w:r>
        <w:rPr>
          <w:lang w:val="en-US"/>
        </w:rPr>
        <w:t xml:space="preserve"> bottles than it is for clear (flint) </w:t>
      </w:r>
      <w:proofErr w:type="spellStart"/>
      <w:r>
        <w:rPr>
          <w:lang w:val="en-US"/>
        </w:rPr>
        <w:t>coloured</w:t>
      </w:r>
      <w:proofErr w:type="spellEnd"/>
      <w:r>
        <w:rPr>
          <w:lang w:val="en-US"/>
        </w:rPr>
        <w:t xml:space="preserve"> packaging. </w:t>
      </w:r>
    </w:p>
    <w:p w14:paraId="4AAF0637" w14:textId="77777777" w:rsidR="00EF0813" w:rsidRDefault="00C842B5" w:rsidP="00C842B5">
      <w:pPr>
        <w:rPr>
          <w:lang w:val="en-US"/>
        </w:rPr>
      </w:pPr>
      <w:r>
        <w:rPr>
          <w:lang w:val="en-US"/>
        </w:rPr>
        <w:t xml:space="preserve">O-I has adopted an international target to achieve 50% </w:t>
      </w:r>
      <w:r w:rsidR="00B72D3B">
        <w:rPr>
          <w:lang w:val="en-US"/>
        </w:rPr>
        <w:t xml:space="preserve">post-consumer </w:t>
      </w:r>
      <w:r>
        <w:rPr>
          <w:lang w:val="en-US"/>
        </w:rPr>
        <w:t xml:space="preserve">recycled content in its glass packaging. Here in Australia and New Zealand it is setting a goal to achieve 60% content. Technically it can go higher, possibly to 80% depending on quality of cullet and the </w:t>
      </w:r>
      <w:proofErr w:type="spellStart"/>
      <w:r>
        <w:rPr>
          <w:lang w:val="en-US"/>
        </w:rPr>
        <w:t>colour</w:t>
      </w:r>
      <w:proofErr w:type="spellEnd"/>
      <w:r>
        <w:rPr>
          <w:lang w:val="en-US"/>
        </w:rPr>
        <w:t xml:space="preserve"> specifications of its customers.  For every 10% of cullet used, the energy saving is 3%. The same increase also results in a carbon emission reduction of 5%. The O-I furnaces in each capital city benefit from cullet use as it requires less maintenance. </w:t>
      </w:r>
    </w:p>
    <w:p w14:paraId="202A15C6" w14:textId="44CEC02B" w:rsidR="00C842B5" w:rsidRDefault="00C842B5" w:rsidP="00C842B5">
      <w:pPr>
        <w:rPr>
          <w:rFonts w:cstheme="minorHAnsi"/>
        </w:rPr>
      </w:pPr>
      <w:r>
        <w:rPr>
          <w:lang w:val="en-US"/>
        </w:rPr>
        <w:t xml:space="preserve">The prices paid for glass cullet into the furnace is complex. The glass coming out of sorting facilities carries significant levels of contaminants. As a result, losses during beneficiation can be significant. </w:t>
      </w:r>
      <w:r w:rsidRPr="004F11F4">
        <w:rPr>
          <w:rFonts w:cstheme="minorHAnsi"/>
        </w:rPr>
        <w:t>A market analysis o</w:t>
      </w:r>
      <w:r>
        <w:rPr>
          <w:rFonts w:cstheme="minorHAnsi"/>
        </w:rPr>
        <w:t>f</w:t>
      </w:r>
      <w:r w:rsidRPr="004F11F4">
        <w:rPr>
          <w:rFonts w:cstheme="minorHAnsi"/>
        </w:rPr>
        <w:t xml:space="preserve"> glass packaging published by S</w:t>
      </w:r>
      <w:r>
        <w:rPr>
          <w:rFonts w:cstheme="minorHAnsi"/>
        </w:rPr>
        <w:t xml:space="preserve">ustainability </w:t>
      </w:r>
      <w:r w:rsidRPr="004F11F4">
        <w:rPr>
          <w:rFonts w:cstheme="minorHAnsi"/>
        </w:rPr>
        <w:t>V</w:t>
      </w:r>
      <w:r>
        <w:rPr>
          <w:rFonts w:cstheme="minorHAnsi"/>
        </w:rPr>
        <w:t>ictoria</w:t>
      </w:r>
      <w:r w:rsidRPr="004F11F4">
        <w:rPr>
          <w:rFonts w:cstheme="minorHAnsi"/>
        </w:rPr>
        <w:t xml:space="preserve"> in 2014 estimated that around 34 per cent of glass that is collected for recycling is lost through collection, sorting and beneficiation losses.</w:t>
      </w:r>
      <w:r>
        <w:rPr>
          <w:rFonts w:cstheme="minorHAnsi"/>
        </w:rPr>
        <w:t xml:space="preserve"> This has been verified recently by glass industry sources. </w:t>
      </w:r>
    </w:p>
    <w:p w14:paraId="09922114" w14:textId="77777777" w:rsidR="00C842B5" w:rsidRDefault="00C842B5" w:rsidP="00C842B5">
      <w:r w:rsidRPr="004F11F4">
        <w:t>Gate fee rates for MRFs sending material for beneficiation can vary, based on quality and quantities. Gate fees of $0 /tonne (EXW MRF</w:t>
      </w:r>
      <w:r w:rsidRPr="004F11F4">
        <w:rPr>
          <w:rStyle w:val="FootnoteReference"/>
          <w:sz w:val="20"/>
          <w:szCs w:val="32"/>
        </w:rPr>
        <w:footnoteReference w:id="2"/>
      </w:r>
      <w:r w:rsidRPr="004F11F4">
        <w:t>) to -$30 /tonne (EXW MRF) are reported.</w:t>
      </w:r>
    </w:p>
    <w:p w14:paraId="460BAF11" w14:textId="77777777" w:rsidR="00C842B5" w:rsidRPr="004F11F4" w:rsidRDefault="00C842B5" w:rsidP="00C842B5">
      <w:pPr>
        <w:pStyle w:val="TableText"/>
        <w:spacing w:before="120" w:after="120"/>
        <w:jc w:val="both"/>
        <w:rPr>
          <w:sz w:val="22"/>
          <w:szCs w:val="22"/>
        </w:rPr>
      </w:pPr>
      <w:r w:rsidRPr="004F11F4">
        <w:rPr>
          <w:sz w:val="22"/>
          <w:szCs w:val="22"/>
        </w:rPr>
        <w:lastRenderedPageBreak/>
        <w:t>There is a small amount of separated glass going directly from pubs and clubs to beneficiation. This material is cleaner and generates a gate price of approximately $70 per tonne.</w:t>
      </w:r>
    </w:p>
    <w:p w14:paraId="4947FEDC" w14:textId="77777777" w:rsidR="00C842B5" w:rsidRPr="004F11F4" w:rsidRDefault="00C842B5" w:rsidP="00C842B5">
      <w:pPr>
        <w:pStyle w:val="TableText"/>
        <w:spacing w:before="120" w:after="120"/>
        <w:jc w:val="both"/>
        <w:rPr>
          <w:sz w:val="22"/>
          <w:szCs w:val="22"/>
        </w:rPr>
      </w:pPr>
      <w:r w:rsidRPr="004F11F4">
        <w:rPr>
          <w:sz w:val="22"/>
          <w:szCs w:val="22"/>
        </w:rPr>
        <w:t>The cost of beneficiation is estimated at around $150–$200 per tonne.</w:t>
      </w:r>
    </w:p>
    <w:p w14:paraId="6A091609" w14:textId="77777777" w:rsidR="00C842B5" w:rsidRDefault="00C842B5" w:rsidP="00C842B5">
      <w:pPr>
        <w:pStyle w:val="Heading4"/>
      </w:pPr>
      <w:r>
        <w:t>Container Deposit Schemes</w:t>
      </w:r>
    </w:p>
    <w:p w14:paraId="799F487C" w14:textId="1DC4FD3C" w:rsidR="00C842B5" w:rsidRDefault="00C842B5" w:rsidP="00C842B5">
      <w:r>
        <w:t xml:space="preserve">When the glass is coming from CDS schemes, the contaminant levels are lower, and the value into beneficiation is higher accordingly. It is reported that the figure applied to pub collections </w:t>
      </w:r>
      <w:r w:rsidR="00EF0813">
        <w:t xml:space="preserve">is </w:t>
      </w:r>
      <w:r w:rsidR="00A31725">
        <w:t>around</w:t>
      </w:r>
      <w:r>
        <w:t xml:space="preserve"> $70 tonne </w:t>
      </w:r>
      <w:r w:rsidR="00A31725">
        <w:t>depending on quality</w:t>
      </w:r>
      <w:r>
        <w:t xml:space="preserve">. </w:t>
      </w:r>
      <w:r w:rsidR="007D042D">
        <w:t>Colour sorted CDS glass is higher v</w:t>
      </w:r>
      <w:r w:rsidR="004B1107">
        <w:t xml:space="preserve">alue than mixed colour CDS glass. </w:t>
      </w:r>
      <w:r>
        <w:t xml:space="preserve">CDS schemes vary in how they handle the </w:t>
      </w:r>
      <w:r w:rsidR="00A31725">
        <w:t>glass,</w:t>
      </w:r>
      <w:r>
        <w:t xml:space="preserve"> and some have different levels of optical sorting equipment based on the minimum fragment size they can sort for contaminants and colour. The bottles collected in South Australia stay intact longer, reducing the risk of contaminants, and would therefore be expected to gain a higher price into beneficiation.</w:t>
      </w:r>
    </w:p>
    <w:p w14:paraId="6EACA87E" w14:textId="77777777" w:rsidR="00C842B5" w:rsidRDefault="00C842B5" w:rsidP="00C842B5">
      <w:r>
        <w:t xml:space="preserve">While there are prospects for increased glass to be collected at a higher quality through CDS schemes, the matching of these tonnes to beneficiation plants and demand for each colour in each state may present challenges. A key aspect is that the beneficiation plant operators are often the MRF operators and will prioritise processing their own sourced material over CDS sourced glass. </w:t>
      </w:r>
    </w:p>
    <w:p w14:paraId="70C8D5E4" w14:textId="77777777" w:rsidR="00C842B5" w:rsidRDefault="00C842B5" w:rsidP="00C842B5">
      <w:pPr>
        <w:pStyle w:val="Heading4"/>
      </w:pPr>
      <w:r>
        <w:t>New approaches to collection and reprocessing</w:t>
      </w:r>
    </w:p>
    <w:p w14:paraId="63C29039" w14:textId="56FAE889" w:rsidR="00C842B5" w:rsidRDefault="00C842B5" w:rsidP="00C842B5">
      <w:r w:rsidRPr="004F11F4">
        <w:t xml:space="preserve">Beyond taking glass packaging waste back into packaging production, there are a range of other secondary markets that can be used, but these do not offer a high market price. These include glass into road base material, abrasives, and filter media. </w:t>
      </w:r>
      <w:r>
        <w:t xml:space="preserve"> The Alex Fraser Group has recently announced a new plant geared to blend glass into asphalt and a range of other road making products. Their plant, which opened in Melbourne in 2018, </w:t>
      </w:r>
      <w:r w:rsidRPr="00F24A98">
        <w:t>is capable of recycling up to 150,000 tonnes a year, equating to four million bottles per day.</w:t>
      </w:r>
      <w:r>
        <w:t xml:space="preserve"> This process separates metals, paper and other contaminants. It has a higher tolerance of CSP (ceramics, stones and porcelain).</w:t>
      </w:r>
      <w:r w:rsidR="00CB7BA6">
        <w:t xml:space="preserve"> The gate fee for glass fines into road material is </w:t>
      </w:r>
      <w:r w:rsidR="009473DF">
        <w:t xml:space="preserve">likely to be -$75 tonne. This places it below the </w:t>
      </w:r>
      <w:r w:rsidR="007D0703">
        <w:t>cost of landfill but higher than applies into beneficiation.</w:t>
      </w:r>
    </w:p>
    <w:p w14:paraId="3A23D969" w14:textId="77777777" w:rsidR="00C842B5" w:rsidRDefault="00C842B5" w:rsidP="00C842B5">
      <w:r>
        <w:t>In recent weeks, the regulatory enforced closure of the beneficiation plant operated by SKM</w:t>
      </w:r>
      <w:r w:rsidRPr="00FD59B6">
        <w:t xml:space="preserve"> </w:t>
      </w:r>
      <w:r>
        <w:t>and sister company Glass Recycling Service is likely to result in significant quantities of glass being sent to landfill in the short to medium term. Thirty Victorian councils were sending material to this sorter.</w:t>
      </w:r>
    </w:p>
    <w:p w14:paraId="0C5870E8" w14:textId="77777777" w:rsidR="00C842B5" w:rsidRDefault="00C842B5" w:rsidP="00C842B5">
      <w:r>
        <w:t>The pricing of cullet into glass packaging production is competing directly with virgin material production. The virgin material inputs are estimated to be in the range $550-650 tonne.</w:t>
      </w:r>
    </w:p>
    <w:p w14:paraId="7A8D6983" w14:textId="77777777" w:rsidR="00894E5F" w:rsidRDefault="00894E5F" w:rsidP="00894E5F">
      <w:pPr>
        <w:pStyle w:val="Heading4"/>
      </w:pPr>
      <w:r>
        <w:t>Source Separation</w:t>
      </w:r>
    </w:p>
    <w:p w14:paraId="37F02D01" w14:textId="39C60E70" w:rsidR="00C842B5" w:rsidRDefault="00C842B5" w:rsidP="00C842B5">
      <w:r>
        <w:t>A number of councils are currently trialling the collection of glass separate from other recyclables. The driver for this is twofold. First, by collecting and sending glass directly to beneficiation, there is a saving from glass losses in MRFs and a cleaner product is provided for bottle production. Second, the glass fragments that cause significant problems to recycled paper production are kept out of the fibre. Based on European experience and the current trial results, separate glass collection could become a major focus in Australian kerbside systems.</w:t>
      </w:r>
    </w:p>
    <w:p w14:paraId="7E24ADE2" w14:textId="3AE18AED" w:rsidR="00E1738D" w:rsidRDefault="00E1738D" w:rsidP="000569AF">
      <w:pPr>
        <w:pStyle w:val="Heading4"/>
      </w:pPr>
      <w:r>
        <w:t>Non packaging glass</w:t>
      </w:r>
    </w:p>
    <w:p w14:paraId="3F744E30" w14:textId="1E31094E" w:rsidR="002F00A1" w:rsidRDefault="00E1738D" w:rsidP="00C842B5">
      <w:r>
        <w:t xml:space="preserve">There are quantities for sheet glass reaching end of life </w:t>
      </w:r>
      <w:r w:rsidR="002F6D40">
        <w:t xml:space="preserve">in the automotive and building sectors. Each year over 800,000 vehicles </w:t>
      </w:r>
      <w:r w:rsidR="002D0C17">
        <w:t xml:space="preserve">are taken off the road </w:t>
      </w:r>
      <w:r w:rsidR="008D3D1B">
        <w:t>and, in most cases,</w:t>
      </w:r>
      <w:r w:rsidR="006514DB">
        <w:t xml:space="preserve"> these</w:t>
      </w:r>
      <w:r w:rsidR="002D0C17">
        <w:t xml:space="preserve"> are sent to metal recyclers </w:t>
      </w:r>
      <w:r w:rsidR="00B11377">
        <w:t xml:space="preserve">for steel and non-ferrous recovery. </w:t>
      </w:r>
      <w:r w:rsidR="00302DF4">
        <w:t>There is little glass window recovery in vehicle recycling systems in Australia. In the Netherlands all mater</w:t>
      </w:r>
      <w:r w:rsidR="005C735D">
        <w:t>ial from vehicle metal recyclers are required to be sent to a plant equipped to recover glass as well as plastics, rubber</w:t>
      </w:r>
      <w:r w:rsidR="002F00A1">
        <w:t xml:space="preserve"> and</w:t>
      </w:r>
      <w:r w:rsidR="005C735D">
        <w:t xml:space="preserve"> textiles</w:t>
      </w:r>
      <w:r w:rsidR="002F00A1">
        <w:t xml:space="preserve">. This offers a model for </w:t>
      </w:r>
      <w:r w:rsidR="006514DB">
        <w:t>consideration by Government and industry in Australia.</w:t>
      </w:r>
    </w:p>
    <w:p w14:paraId="799B7DE9" w14:textId="7D299634" w:rsidR="00E1738D" w:rsidRDefault="00B11377" w:rsidP="00C842B5">
      <w:r>
        <w:lastRenderedPageBreak/>
        <w:t xml:space="preserve">In addition to </w:t>
      </w:r>
      <w:r w:rsidR="00E45A6D">
        <w:t xml:space="preserve">vehicle shredding, there is also </w:t>
      </w:r>
      <w:r w:rsidR="001E72CE">
        <w:t xml:space="preserve">a significant windscreen replacement industry. Some of these windscreens </w:t>
      </w:r>
      <w:r w:rsidR="00B8317D">
        <w:t xml:space="preserve">are sent to Potters Industries who grind the glass into round spheres </w:t>
      </w:r>
      <w:r w:rsidR="00D07EC0">
        <w:t xml:space="preserve">where they are added to road </w:t>
      </w:r>
      <w:r w:rsidR="000569AF">
        <w:t>line marking</w:t>
      </w:r>
      <w:r w:rsidR="00D07EC0">
        <w:t xml:space="preserve"> paint to aid </w:t>
      </w:r>
      <w:r w:rsidR="000569AF">
        <w:t>reflect ability</w:t>
      </w:r>
      <w:r w:rsidR="00D07EC0">
        <w:t xml:space="preserve">. Other smaller, high end </w:t>
      </w:r>
      <w:r w:rsidR="00630072">
        <w:t xml:space="preserve">military </w:t>
      </w:r>
      <w:r w:rsidR="00D07EC0">
        <w:t xml:space="preserve">applications </w:t>
      </w:r>
      <w:r w:rsidR="00630072">
        <w:t xml:space="preserve">can command very high value. </w:t>
      </w:r>
      <w:r w:rsidR="00E659EE">
        <w:t xml:space="preserve">There is presently very </w:t>
      </w:r>
      <w:r w:rsidR="000569AF">
        <w:t>l</w:t>
      </w:r>
      <w:r w:rsidR="00E659EE">
        <w:t>ittle recovery of window glass from either the automotive or building demolition industry</w:t>
      </w:r>
      <w:r w:rsidR="000569AF">
        <w:t xml:space="preserve">. </w:t>
      </w:r>
    </w:p>
    <w:p w14:paraId="504FD1F5" w14:textId="5CD3C18C" w:rsidR="00F668CB" w:rsidRDefault="00F668CB" w:rsidP="00894E5F">
      <w:pPr>
        <w:pStyle w:val="Heading3"/>
      </w:pPr>
      <w:bookmarkStart w:id="18" w:name="_Toc19708294"/>
      <w:r>
        <w:t xml:space="preserve">Opportunities for increased </w:t>
      </w:r>
      <w:proofErr w:type="spellStart"/>
      <w:r w:rsidR="006B6523">
        <w:t>recyclate</w:t>
      </w:r>
      <w:proofErr w:type="spellEnd"/>
      <w:r w:rsidR="006B6523">
        <w:t xml:space="preserve"> </w:t>
      </w:r>
      <w:r>
        <w:t>take</w:t>
      </w:r>
      <w:bookmarkEnd w:id="18"/>
    </w:p>
    <w:p w14:paraId="4A957F9A" w14:textId="77777777" w:rsidR="00D07A17" w:rsidRDefault="00D07A17" w:rsidP="00894E5F">
      <w:pPr>
        <w:pStyle w:val="Heading4"/>
      </w:pPr>
      <w:r>
        <w:t>Glass back into packaging</w:t>
      </w:r>
    </w:p>
    <w:p w14:paraId="56A061E1" w14:textId="77777777" w:rsidR="001B4C5B" w:rsidRDefault="006B6523" w:rsidP="006B6523">
      <w:pPr>
        <w:rPr>
          <w:lang w:val="en-US"/>
        </w:rPr>
      </w:pPr>
      <w:r>
        <w:rPr>
          <w:lang w:val="en-US"/>
        </w:rPr>
        <w:t xml:space="preserve">If </w:t>
      </w:r>
      <w:r w:rsidR="008A7AB0">
        <w:rPr>
          <w:lang w:val="en-US"/>
        </w:rPr>
        <w:t xml:space="preserve">glass can be collected and provided for beneficiation </w:t>
      </w:r>
      <w:r w:rsidR="00EA3587">
        <w:rPr>
          <w:lang w:val="en-US"/>
        </w:rPr>
        <w:t xml:space="preserve">in large enough fragment size for sorting, and in a form free from contaminants, </w:t>
      </w:r>
      <w:r w:rsidR="0010180D">
        <w:rPr>
          <w:lang w:val="en-US"/>
        </w:rPr>
        <w:t xml:space="preserve">there are opportunities for additional cullet usage into packaging production. </w:t>
      </w:r>
      <w:r w:rsidR="0025148F">
        <w:rPr>
          <w:lang w:val="en-US"/>
        </w:rPr>
        <w:t xml:space="preserve">This could amount to an additional 200,000 </w:t>
      </w:r>
      <w:proofErr w:type="spellStart"/>
      <w:r w:rsidR="0025148F">
        <w:rPr>
          <w:lang w:val="en-US"/>
        </w:rPr>
        <w:t>tonnes</w:t>
      </w:r>
      <w:proofErr w:type="spellEnd"/>
      <w:r w:rsidR="0025148F">
        <w:rPr>
          <w:lang w:val="en-US"/>
        </w:rPr>
        <w:t xml:space="preserve">. </w:t>
      </w:r>
    </w:p>
    <w:p w14:paraId="42B4F97E" w14:textId="00C6686A" w:rsidR="006B6523" w:rsidRDefault="0025148F" w:rsidP="006B6523">
      <w:pPr>
        <w:rPr>
          <w:lang w:val="en-US"/>
        </w:rPr>
      </w:pPr>
      <w:r>
        <w:rPr>
          <w:lang w:val="en-US"/>
        </w:rPr>
        <w:t xml:space="preserve">This material </w:t>
      </w:r>
      <w:r w:rsidR="007337FA">
        <w:rPr>
          <w:lang w:val="en-US"/>
        </w:rPr>
        <w:t xml:space="preserve">could be sourced from either CDS systems or from glass separate collections. </w:t>
      </w:r>
      <w:r w:rsidR="00D22F4A">
        <w:rPr>
          <w:lang w:val="en-US"/>
        </w:rPr>
        <w:t xml:space="preserve">The </w:t>
      </w:r>
      <w:r w:rsidR="00B75560">
        <w:rPr>
          <w:lang w:val="en-US"/>
        </w:rPr>
        <w:t xml:space="preserve">quality requirement would also extend to matching glass </w:t>
      </w:r>
      <w:proofErr w:type="spellStart"/>
      <w:r w:rsidR="00B75560">
        <w:rPr>
          <w:lang w:val="en-US"/>
        </w:rPr>
        <w:t>colour</w:t>
      </w:r>
      <w:proofErr w:type="spellEnd"/>
      <w:r w:rsidR="00B75560">
        <w:rPr>
          <w:lang w:val="en-US"/>
        </w:rPr>
        <w:t xml:space="preserve"> supply and demand in each capital as interstate transport </w:t>
      </w:r>
      <w:r w:rsidR="003D5946">
        <w:rPr>
          <w:lang w:val="en-US"/>
        </w:rPr>
        <w:t>is very costly.</w:t>
      </w:r>
      <w:r w:rsidR="00237116">
        <w:rPr>
          <w:lang w:val="en-US"/>
        </w:rPr>
        <w:t xml:space="preserve"> There would also need to be acceptance of a higher recycled content </w:t>
      </w:r>
      <w:r w:rsidR="002A57C9">
        <w:rPr>
          <w:lang w:val="en-US"/>
        </w:rPr>
        <w:t xml:space="preserve">product by the brand owners </w:t>
      </w:r>
      <w:proofErr w:type="spellStart"/>
      <w:r w:rsidR="002A57C9">
        <w:rPr>
          <w:lang w:val="en-US"/>
        </w:rPr>
        <w:t>utilising</w:t>
      </w:r>
      <w:proofErr w:type="spellEnd"/>
      <w:r w:rsidR="002A57C9">
        <w:rPr>
          <w:lang w:val="en-US"/>
        </w:rPr>
        <w:t xml:space="preserve"> glass packaging.</w:t>
      </w:r>
      <w:r w:rsidR="00B75560">
        <w:rPr>
          <w:lang w:val="en-US"/>
        </w:rPr>
        <w:t xml:space="preserve"> </w:t>
      </w:r>
    </w:p>
    <w:p w14:paraId="7AFFC6E5" w14:textId="1E3248B5" w:rsidR="00D07A17" w:rsidRDefault="00D07A17" w:rsidP="00894E5F">
      <w:pPr>
        <w:pStyle w:val="Heading4"/>
      </w:pPr>
      <w:r>
        <w:t>Beneficiation access and capacity</w:t>
      </w:r>
    </w:p>
    <w:p w14:paraId="0A1C04F9" w14:textId="5C8DC5BF" w:rsidR="00D07A17" w:rsidRDefault="009C111D" w:rsidP="006B6523">
      <w:pPr>
        <w:rPr>
          <w:lang w:val="en-US"/>
        </w:rPr>
      </w:pPr>
      <w:r>
        <w:rPr>
          <w:lang w:val="en-US"/>
        </w:rPr>
        <w:t xml:space="preserve">In some cities, the ability to process additional </w:t>
      </w:r>
      <w:proofErr w:type="spellStart"/>
      <w:r>
        <w:rPr>
          <w:lang w:val="en-US"/>
        </w:rPr>
        <w:t>tonnes</w:t>
      </w:r>
      <w:proofErr w:type="spellEnd"/>
      <w:r>
        <w:rPr>
          <w:lang w:val="en-US"/>
        </w:rPr>
        <w:t xml:space="preserve"> would require an increased </w:t>
      </w:r>
      <w:r w:rsidR="007A739F">
        <w:rPr>
          <w:lang w:val="en-US"/>
        </w:rPr>
        <w:t xml:space="preserve">throughput of </w:t>
      </w:r>
      <w:proofErr w:type="spellStart"/>
      <w:r w:rsidR="007A739F">
        <w:rPr>
          <w:lang w:val="en-US"/>
        </w:rPr>
        <w:t>tonnes</w:t>
      </w:r>
      <w:proofErr w:type="spellEnd"/>
      <w:r w:rsidR="007A739F">
        <w:rPr>
          <w:lang w:val="en-US"/>
        </w:rPr>
        <w:t xml:space="preserve"> at benefic</w:t>
      </w:r>
      <w:r w:rsidR="00EF2C00">
        <w:rPr>
          <w:lang w:val="en-US"/>
        </w:rPr>
        <w:t>i</w:t>
      </w:r>
      <w:r w:rsidR="007A739F">
        <w:rPr>
          <w:lang w:val="en-US"/>
        </w:rPr>
        <w:t xml:space="preserve">ation plants. Some of these </w:t>
      </w:r>
      <w:r w:rsidR="004332AC">
        <w:rPr>
          <w:lang w:val="en-US"/>
        </w:rPr>
        <w:t xml:space="preserve">plants may have throughput constraints due </w:t>
      </w:r>
      <w:r w:rsidR="003A397E">
        <w:rPr>
          <w:lang w:val="en-US"/>
        </w:rPr>
        <w:t xml:space="preserve">to optical sorting equipment that is not </w:t>
      </w:r>
      <w:r w:rsidR="00074173">
        <w:rPr>
          <w:lang w:val="en-US"/>
        </w:rPr>
        <w:t>able to detect below a certain fragment size</w:t>
      </w:r>
      <w:r w:rsidR="00EF2C00">
        <w:rPr>
          <w:lang w:val="en-US"/>
        </w:rPr>
        <w:t xml:space="preserve">. There may also be competition for </w:t>
      </w:r>
      <w:r w:rsidR="00FB3AC0">
        <w:rPr>
          <w:lang w:val="en-US"/>
        </w:rPr>
        <w:t xml:space="preserve">access for </w:t>
      </w:r>
      <w:r w:rsidR="00EF2C00">
        <w:rPr>
          <w:lang w:val="en-US"/>
        </w:rPr>
        <w:t xml:space="preserve">material coming from </w:t>
      </w:r>
      <w:r w:rsidR="00FB3AC0">
        <w:rPr>
          <w:lang w:val="en-US"/>
        </w:rPr>
        <w:t xml:space="preserve">contracted </w:t>
      </w:r>
      <w:proofErr w:type="spellStart"/>
      <w:r w:rsidR="00FB3AC0">
        <w:rPr>
          <w:lang w:val="en-US"/>
        </w:rPr>
        <w:t>kerbside</w:t>
      </w:r>
      <w:proofErr w:type="spellEnd"/>
      <w:r w:rsidR="00FB3AC0">
        <w:rPr>
          <w:lang w:val="en-US"/>
        </w:rPr>
        <w:t xml:space="preserve"> contracts rather than </w:t>
      </w:r>
      <w:r w:rsidR="00225C7B">
        <w:rPr>
          <w:lang w:val="en-US"/>
        </w:rPr>
        <w:t xml:space="preserve">CDS. Some expansion of beneficiation </w:t>
      </w:r>
      <w:r w:rsidR="008D2F2E">
        <w:rPr>
          <w:lang w:val="en-US"/>
        </w:rPr>
        <w:t>capacity or sorting technology may be crucial</w:t>
      </w:r>
      <w:r w:rsidR="005212AA">
        <w:rPr>
          <w:lang w:val="en-US"/>
        </w:rPr>
        <w:t xml:space="preserve"> if existing </w:t>
      </w:r>
      <w:proofErr w:type="spellStart"/>
      <w:r w:rsidR="005212AA">
        <w:rPr>
          <w:lang w:val="en-US"/>
        </w:rPr>
        <w:t>beneficiators</w:t>
      </w:r>
      <w:proofErr w:type="spellEnd"/>
      <w:r w:rsidR="005212AA">
        <w:rPr>
          <w:lang w:val="en-US"/>
        </w:rPr>
        <w:t xml:space="preserve"> </w:t>
      </w:r>
    </w:p>
    <w:p w14:paraId="45E80AE6" w14:textId="148E610C" w:rsidR="00894E5F" w:rsidRDefault="00894E5F" w:rsidP="00894E5F">
      <w:pPr>
        <w:pStyle w:val="Heading4"/>
      </w:pPr>
      <w:r>
        <w:t>CDS expansion</w:t>
      </w:r>
    </w:p>
    <w:p w14:paraId="352DD470" w14:textId="6B52D394" w:rsidR="00894E5F" w:rsidRPr="00894E5F" w:rsidRDefault="001B016A" w:rsidP="001B016A">
      <w:pPr>
        <w:pStyle w:val="Heading4"/>
      </w:pPr>
      <w:r>
        <w:t>Road material applications</w:t>
      </w:r>
    </w:p>
    <w:tbl>
      <w:tblPr>
        <w:tblStyle w:val="TableGrid"/>
        <w:tblW w:w="0" w:type="auto"/>
        <w:tblLook w:val="04A0" w:firstRow="1" w:lastRow="0" w:firstColumn="1" w:lastColumn="0" w:noHBand="0" w:noVBand="1"/>
      </w:tblPr>
      <w:tblGrid>
        <w:gridCol w:w="2972"/>
        <w:gridCol w:w="2268"/>
        <w:gridCol w:w="1985"/>
        <w:gridCol w:w="1836"/>
      </w:tblGrid>
      <w:tr w:rsidR="009269FB" w:rsidRPr="00CB60D7" w14:paraId="035031BD" w14:textId="77777777" w:rsidTr="003117AA">
        <w:tc>
          <w:tcPr>
            <w:tcW w:w="2972" w:type="dxa"/>
            <w:shd w:val="clear" w:color="auto" w:fill="99FF99"/>
          </w:tcPr>
          <w:p w14:paraId="6C76EAD8" w14:textId="77777777" w:rsidR="009269FB" w:rsidRPr="00CB60D7" w:rsidRDefault="009269FB" w:rsidP="009D7547">
            <w:pPr>
              <w:jc w:val="both"/>
              <w:rPr>
                <w:rFonts w:asciiTheme="minorHAnsi" w:hAnsiTheme="minorHAnsi" w:cstheme="minorHAnsi"/>
                <w:b/>
              </w:rPr>
            </w:pPr>
            <w:r w:rsidRPr="00CB60D7">
              <w:rPr>
                <w:rFonts w:asciiTheme="minorHAnsi" w:hAnsiTheme="minorHAnsi" w:cstheme="minorHAnsi"/>
                <w:b/>
              </w:rPr>
              <w:t>Opportunity</w:t>
            </w:r>
          </w:p>
        </w:tc>
        <w:tc>
          <w:tcPr>
            <w:tcW w:w="2268" w:type="dxa"/>
            <w:shd w:val="clear" w:color="auto" w:fill="99FF99"/>
          </w:tcPr>
          <w:p w14:paraId="291C5822" w14:textId="77777777" w:rsidR="009269FB" w:rsidRPr="00CB60D7" w:rsidRDefault="009269FB" w:rsidP="009D7547">
            <w:pPr>
              <w:jc w:val="both"/>
              <w:rPr>
                <w:rFonts w:asciiTheme="minorHAnsi" w:hAnsiTheme="minorHAnsi" w:cstheme="minorHAnsi"/>
                <w:b/>
              </w:rPr>
            </w:pPr>
            <w:r w:rsidRPr="00CB60D7">
              <w:rPr>
                <w:rFonts w:asciiTheme="minorHAnsi" w:hAnsiTheme="minorHAnsi" w:cstheme="minorHAnsi"/>
                <w:b/>
              </w:rPr>
              <w:t>Current Take (tonnes)</w:t>
            </w:r>
          </w:p>
        </w:tc>
        <w:tc>
          <w:tcPr>
            <w:tcW w:w="1985" w:type="dxa"/>
            <w:shd w:val="clear" w:color="auto" w:fill="99FF99"/>
          </w:tcPr>
          <w:p w14:paraId="3F6DC6FA" w14:textId="77777777" w:rsidR="009269FB" w:rsidRPr="00CB60D7" w:rsidRDefault="009269FB" w:rsidP="009D7547">
            <w:pPr>
              <w:jc w:val="both"/>
              <w:rPr>
                <w:rFonts w:asciiTheme="minorHAnsi" w:hAnsiTheme="minorHAnsi" w:cstheme="minorHAnsi"/>
                <w:b/>
              </w:rPr>
            </w:pPr>
            <w:r w:rsidRPr="00CB60D7">
              <w:rPr>
                <w:rFonts w:asciiTheme="minorHAnsi" w:hAnsiTheme="minorHAnsi" w:cstheme="minorHAnsi"/>
                <w:b/>
              </w:rPr>
              <w:t>Potential Take (tonnes)</w:t>
            </w:r>
          </w:p>
        </w:tc>
        <w:tc>
          <w:tcPr>
            <w:tcW w:w="1836" w:type="dxa"/>
            <w:shd w:val="clear" w:color="auto" w:fill="99FF99"/>
          </w:tcPr>
          <w:p w14:paraId="71772841" w14:textId="77777777" w:rsidR="009269FB" w:rsidRPr="00CB60D7" w:rsidRDefault="009269FB" w:rsidP="009D7547">
            <w:pPr>
              <w:jc w:val="both"/>
              <w:rPr>
                <w:rFonts w:asciiTheme="minorHAnsi" w:hAnsiTheme="minorHAnsi" w:cstheme="minorHAnsi"/>
                <w:b/>
              </w:rPr>
            </w:pPr>
            <w:r w:rsidRPr="00CB60D7">
              <w:rPr>
                <w:rFonts w:asciiTheme="minorHAnsi" w:hAnsiTheme="minorHAnsi" w:cstheme="minorHAnsi"/>
                <w:b/>
              </w:rPr>
              <w:t>Current Price/tonne</w:t>
            </w:r>
          </w:p>
        </w:tc>
      </w:tr>
      <w:tr w:rsidR="009269FB" w14:paraId="6103DC71" w14:textId="77777777" w:rsidTr="003117AA">
        <w:tc>
          <w:tcPr>
            <w:tcW w:w="2972" w:type="dxa"/>
          </w:tcPr>
          <w:p w14:paraId="3690D755" w14:textId="2B5851B0" w:rsidR="009269FB" w:rsidRDefault="005179B4" w:rsidP="009D7547">
            <w:pPr>
              <w:jc w:val="both"/>
              <w:rPr>
                <w:rFonts w:asciiTheme="minorHAnsi" w:hAnsiTheme="minorHAnsi" w:cstheme="minorHAnsi"/>
                <w:bCs/>
              </w:rPr>
            </w:pPr>
            <w:r>
              <w:rPr>
                <w:rFonts w:asciiTheme="minorHAnsi" w:hAnsiTheme="minorHAnsi" w:cstheme="minorHAnsi"/>
                <w:bCs/>
              </w:rPr>
              <w:t>Geographic e</w:t>
            </w:r>
            <w:r w:rsidR="00C03479">
              <w:rPr>
                <w:rFonts w:asciiTheme="minorHAnsi" w:hAnsiTheme="minorHAnsi" w:cstheme="minorHAnsi"/>
                <w:bCs/>
              </w:rPr>
              <w:t xml:space="preserve">xpansion of </w:t>
            </w:r>
            <w:r>
              <w:rPr>
                <w:rFonts w:asciiTheme="minorHAnsi" w:hAnsiTheme="minorHAnsi" w:cstheme="minorHAnsi"/>
                <w:bCs/>
              </w:rPr>
              <w:t>C</w:t>
            </w:r>
            <w:r w:rsidR="00C03479">
              <w:rPr>
                <w:rFonts w:asciiTheme="minorHAnsi" w:hAnsiTheme="minorHAnsi" w:cstheme="minorHAnsi"/>
                <w:bCs/>
              </w:rPr>
              <w:t>DS schemes</w:t>
            </w:r>
          </w:p>
        </w:tc>
        <w:tc>
          <w:tcPr>
            <w:tcW w:w="2268" w:type="dxa"/>
          </w:tcPr>
          <w:p w14:paraId="6DA1B025" w14:textId="0A5F0ABA" w:rsidR="009269FB" w:rsidRDefault="00D64E37" w:rsidP="009D7547">
            <w:pPr>
              <w:jc w:val="both"/>
              <w:rPr>
                <w:rFonts w:asciiTheme="minorHAnsi" w:hAnsiTheme="minorHAnsi" w:cstheme="minorHAnsi"/>
                <w:bCs/>
              </w:rPr>
            </w:pPr>
            <w:r>
              <w:rPr>
                <w:rFonts w:asciiTheme="minorHAnsi" w:hAnsiTheme="minorHAnsi" w:cstheme="minorHAnsi"/>
                <w:bCs/>
              </w:rPr>
              <w:t>126,000</w:t>
            </w:r>
          </w:p>
        </w:tc>
        <w:tc>
          <w:tcPr>
            <w:tcW w:w="1985" w:type="dxa"/>
          </w:tcPr>
          <w:p w14:paraId="6EEF6B3B" w14:textId="0C7674AD" w:rsidR="009269FB" w:rsidRDefault="001F23B8" w:rsidP="009D7547">
            <w:pPr>
              <w:jc w:val="both"/>
              <w:rPr>
                <w:rFonts w:asciiTheme="minorHAnsi" w:hAnsiTheme="minorHAnsi" w:cstheme="minorHAnsi"/>
                <w:bCs/>
              </w:rPr>
            </w:pPr>
            <w:r>
              <w:rPr>
                <w:rFonts w:asciiTheme="minorHAnsi" w:hAnsiTheme="minorHAnsi" w:cstheme="minorHAnsi"/>
                <w:bCs/>
              </w:rPr>
              <w:t>200,000</w:t>
            </w:r>
          </w:p>
        </w:tc>
        <w:tc>
          <w:tcPr>
            <w:tcW w:w="1836" w:type="dxa"/>
          </w:tcPr>
          <w:p w14:paraId="71F1B6EF" w14:textId="6B5261C0" w:rsidR="009269FB" w:rsidRDefault="00881815" w:rsidP="009D7547">
            <w:pPr>
              <w:jc w:val="both"/>
              <w:rPr>
                <w:rFonts w:asciiTheme="minorHAnsi" w:hAnsiTheme="minorHAnsi" w:cstheme="minorHAnsi"/>
                <w:bCs/>
              </w:rPr>
            </w:pPr>
            <w:r>
              <w:rPr>
                <w:rFonts w:asciiTheme="minorHAnsi" w:hAnsiTheme="minorHAnsi" w:cstheme="minorHAnsi"/>
                <w:bCs/>
              </w:rPr>
              <w:t>$70</w:t>
            </w:r>
          </w:p>
        </w:tc>
      </w:tr>
      <w:tr w:rsidR="009269FB" w14:paraId="0F683CD7" w14:textId="77777777" w:rsidTr="003117AA">
        <w:tc>
          <w:tcPr>
            <w:tcW w:w="2972" w:type="dxa"/>
          </w:tcPr>
          <w:p w14:paraId="6C2CD15C" w14:textId="18956B35" w:rsidR="009269FB" w:rsidRDefault="00FB26A0" w:rsidP="009D7547">
            <w:pPr>
              <w:jc w:val="both"/>
              <w:rPr>
                <w:rFonts w:asciiTheme="minorHAnsi" w:hAnsiTheme="minorHAnsi" w:cstheme="minorHAnsi"/>
                <w:bCs/>
              </w:rPr>
            </w:pPr>
            <w:r>
              <w:rPr>
                <w:rFonts w:asciiTheme="minorHAnsi" w:hAnsiTheme="minorHAnsi" w:cstheme="minorHAnsi"/>
                <w:bCs/>
              </w:rPr>
              <w:t>Expansion of CDS eligible glass</w:t>
            </w:r>
            <w:r w:rsidR="00FE6C69">
              <w:rPr>
                <w:rFonts w:asciiTheme="minorHAnsi" w:hAnsiTheme="minorHAnsi" w:cstheme="minorHAnsi"/>
                <w:bCs/>
              </w:rPr>
              <w:t xml:space="preserve"> to wine and food</w:t>
            </w:r>
          </w:p>
        </w:tc>
        <w:tc>
          <w:tcPr>
            <w:tcW w:w="2268" w:type="dxa"/>
          </w:tcPr>
          <w:p w14:paraId="0E68AF5C" w14:textId="3D7D0C5B" w:rsidR="009269FB" w:rsidRDefault="001F23B8" w:rsidP="009D7547">
            <w:pPr>
              <w:jc w:val="both"/>
              <w:rPr>
                <w:rFonts w:asciiTheme="minorHAnsi" w:hAnsiTheme="minorHAnsi" w:cstheme="minorHAnsi"/>
                <w:bCs/>
              </w:rPr>
            </w:pPr>
            <w:r>
              <w:rPr>
                <w:rFonts w:asciiTheme="minorHAnsi" w:hAnsiTheme="minorHAnsi" w:cstheme="minorHAnsi"/>
                <w:bCs/>
              </w:rPr>
              <w:t>126,000</w:t>
            </w:r>
          </w:p>
        </w:tc>
        <w:tc>
          <w:tcPr>
            <w:tcW w:w="1985" w:type="dxa"/>
          </w:tcPr>
          <w:p w14:paraId="611C167D" w14:textId="087ADA13" w:rsidR="009269FB" w:rsidRDefault="00A73A75" w:rsidP="009D7547">
            <w:pPr>
              <w:jc w:val="both"/>
              <w:rPr>
                <w:rFonts w:asciiTheme="minorHAnsi" w:hAnsiTheme="minorHAnsi" w:cstheme="minorHAnsi"/>
                <w:bCs/>
              </w:rPr>
            </w:pPr>
            <w:r>
              <w:rPr>
                <w:rFonts w:asciiTheme="minorHAnsi" w:hAnsiTheme="minorHAnsi" w:cstheme="minorHAnsi"/>
                <w:bCs/>
              </w:rPr>
              <w:t>200,000</w:t>
            </w:r>
          </w:p>
        </w:tc>
        <w:tc>
          <w:tcPr>
            <w:tcW w:w="1836" w:type="dxa"/>
          </w:tcPr>
          <w:p w14:paraId="0D97B0D9" w14:textId="5CFBBC33" w:rsidR="009269FB" w:rsidRDefault="00A73A75" w:rsidP="009D7547">
            <w:pPr>
              <w:jc w:val="both"/>
              <w:rPr>
                <w:rFonts w:asciiTheme="minorHAnsi" w:hAnsiTheme="minorHAnsi" w:cstheme="minorHAnsi"/>
                <w:bCs/>
              </w:rPr>
            </w:pPr>
            <w:r>
              <w:rPr>
                <w:rFonts w:asciiTheme="minorHAnsi" w:hAnsiTheme="minorHAnsi" w:cstheme="minorHAnsi"/>
                <w:bCs/>
              </w:rPr>
              <w:t>$70</w:t>
            </w:r>
          </w:p>
        </w:tc>
      </w:tr>
      <w:tr w:rsidR="009269FB" w14:paraId="108EA653" w14:textId="77777777" w:rsidTr="003117AA">
        <w:tc>
          <w:tcPr>
            <w:tcW w:w="2972" w:type="dxa"/>
          </w:tcPr>
          <w:p w14:paraId="2CF2CCF0" w14:textId="2940BF2E" w:rsidR="009269FB" w:rsidRDefault="009D2AFE" w:rsidP="009D7547">
            <w:pPr>
              <w:jc w:val="both"/>
              <w:rPr>
                <w:rFonts w:asciiTheme="minorHAnsi" w:hAnsiTheme="minorHAnsi" w:cstheme="minorHAnsi"/>
                <w:bCs/>
              </w:rPr>
            </w:pPr>
            <w:r>
              <w:rPr>
                <w:rFonts w:asciiTheme="minorHAnsi" w:hAnsiTheme="minorHAnsi" w:cstheme="minorHAnsi"/>
                <w:bCs/>
              </w:rPr>
              <w:t>Separate collection of glass at kerbside</w:t>
            </w:r>
          </w:p>
        </w:tc>
        <w:tc>
          <w:tcPr>
            <w:tcW w:w="2268" w:type="dxa"/>
          </w:tcPr>
          <w:p w14:paraId="79ACDBF1" w14:textId="59EA540A" w:rsidR="009269FB" w:rsidRDefault="00881815" w:rsidP="009D7547">
            <w:pPr>
              <w:jc w:val="both"/>
              <w:rPr>
                <w:rFonts w:asciiTheme="minorHAnsi" w:hAnsiTheme="minorHAnsi" w:cstheme="minorHAnsi"/>
                <w:bCs/>
              </w:rPr>
            </w:pPr>
            <w:r>
              <w:rPr>
                <w:rFonts w:asciiTheme="minorHAnsi" w:hAnsiTheme="minorHAnsi" w:cstheme="minorHAnsi"/>
                <w:bCs/>
              </w:rPr>
              <w:t>minimal</w:t>
            </w:r>
          </w:p>
        </w:tc>
        <w:tc>
          <w:tcPr>
            <w:tcW w:w="1985" w:type="dxa"/>
          </w:tcPr>
          <w:p w14:paraId="777E94B3" w14:textId="271B25F2" w:rsidR="009269FB" w:rsidRDefault="00874514" w:rsidP="009D7547">
            <w:pPr>
              <w:jc w:val="both"/>
              <w:rPr>
                <w:rFonts w:asciiTheme="minorHAnsi" w:hAnsiTheme="minorHAnsi" w:cstheme="minorHAnsi"/>
                <w:bCs/>
              </w:rPr>
            </w:pPr>
            <w:r>
              <w:rPr>
                <w:rFonts w:asciiTheme="minorHAnsi" w:hAnsiTheme="minorHAnsi" w:cstheme="minorHAnsi"/>
                <w:bCs/>
              </w:rPr>
              <w:t>200,000</w:t>
            </w:r>
          </w:p>
        </w:tc>
        <w:tc>
          <w:tcPr>
            <w:tcW w:w="1836" w:type="dxa"/>
          </w:tcPr>
          <w:p w14:paraId="4E1B8373" w14:textId="3F53B6A8" w:rsidR="009269FB" w:rsidRDefault="00881815" w:rsidP="009D7547">
            <w:pPr>
              <w:jc w:val="both"/>
              <w:rPr>
                <w:rFonts w:asciiTheme="minorHAnsi" w:hAnsiTheme="minorHAnsi" w:cstheme="minorHAnsi"/>
                <w:bCs/>
              </w:rPr>
            </w:pPr>
            <w:r>
              <w:rPr>
                <w:rFonts w:asciiTheme="minorHAnsi" w:hAnsiTheme="minorHAnsi" w:cstheme="minorHAnsi"/>
                <w:bCs/>
              </w:rPr>
              <w:t>$70</w:t>
            </w:r>
          </w:p>
        </w:tc>
      </w:tr>
      <w:tr w:rsidR="009269FB" w14:paraId="280BD724" w14:textId="77777777" w:rsidTr="003117AA">
        <w:tc>
          <w:tcPr>
            <w:tcW w:w="2972" w:type="dxa"/>
          </w:tcPr>
          <w:p w14:paraId="4B8F85EF" w14:textId="67F283D7" w:rsidR="009269FB" w:rsidRDefault="003117AA" w:rsidP="009D7547">
            <w:pPr>
              <w:jc w:val="both"/>
              <w:rPr>
                <w:rFonts w:asciiTheme="minorHAnsi" w:hAnsiTheme="minorHAnsi" w:cstheme="minorHAnsi"/>
                <w:bCs/>
              </w:rPr>
            </w:pPr>
            <w:r>
              <w:rPr>
                <w:rFonts w:asciiTheme="minorHAnsi" w:hAnsiTheme="minorHAnsi" w:cstheme="minorHAnsi"/>
                <w:bCs/>
              </w:rPr>
              <w:t xml:space="preserve">Brand owner </w:t>
            </w:r>
            <w:r w:rsidR="00BC27FF">
              <w:rPr>
                <w:rFonts w:asciiTheme="minorHAnsi" w:hAnsiTheme="minorHAnsi" w:cstheme="minorHAnsi"/>
                <w:bCs/>
              </w:rPr>
              <w:t xml:space="preserve">commitment for </w:t>
            </w:r>
            <w:r>
              <w:rPr>
                <w:rFonts w:asciiTheme="minorHAnsi" w:hAnsiTheme="minorHAnsi" w:cstheme="minorHAnsi"/>
                <w:bCs/>
              </w:rPr>
              <w:t>increased recycled content</w:t>
            </w:r>
          </w:p>
        </w:tc>
        <w:tc>
          <w:tcPr>
            <w:tcW w:w="2268" w:type="dxa"/>
          </w:tcPr>
          <w:p w14:paraId="5C11FC1D" w14:textId="319DC0E1" w:rsidR="009269FB" w:rsidRDefault="000E19DD" w:rsidP="009D7547">
            <w:pPr>
              <w:jc w:val="both"/>
              <w:rPr>
                <w:rFonts w:asciiTheme="minorHAnsi" w:hAnsiTheme="minorHAnsi" w:cstheme="minorHAnsi"/>
                <w:bCs/>
              </w:rPr>
            </w:pPr>
            <w:r>
              <w:rPr>
                <w:rFonts w:asciiTheme="minorHAnsi" w:hAnsiTheme="minorHAnsi" w:cstheme="minorHAnsi"/>
                <w:bCs/>
              </w:rPr>
              <w:t>300,000</w:t>
            </w:r>
          </w:p>
        </w:tc>
        <w:tc>
          <w:tcPr>
            <w:tcW w:w="1985" w:type="dxa"/>
          </w:tcPr>
          <w:p w14:paraId="3901B9A8" w14:textId="525D916E" w:rsidR="009269FB" w:rsidRDefault="007B5FEF" w:rsidP="009D7547">
            <w:pPr>
              <w:jc w:val="both"/>
              <w:rPr>
                <w:rFonts w:asciiTheme="minorHAnsi" w:hAnsiTheme="minorHAnsi" w:cstheme="minorHAnsi"/>
                <w:bCs/>
              </w:rPr>
            </w:pPr>
            <w:r>
              <w:rPr>
                <w:rFonts w:asciiTheme="minorHAnsi" w:hAnsiTheme="minorHAnsi" w:cstheme="minorHAnsi"/>
                <w:bCs/>
              </w:rPr>
              <w:t>450,000</w:t>
            </w:r>
          </w:p>
        </w:tc>
        <w:tc>
          <w:tcPr>
            <w:tcW w:w="1836" w:type="dxa"/>
          </w:tcPr>
          <w:p w14:paraId="123C22B3" w14:textId="3A43E26D" w:rsidR="009269FB" w:rsidRDefault="00881815" w:rsidP="009D7547">
            <w:pPr>
              <w:jc w:val="both"/>
              <w:rPr>
                <w:rFonts w:asciiTheme="minorHAnsi" w:hAnsiTheme="minorHAnsi" w:cstheme="minorHAnsi"/>
                <w:bCs/>
              </w:rPr>
            </w:pPr>
            <w:r>
              <w:rPr>
                <w:rFonts w:asciiTheme="minorHAnsi" w:hAnsiTheme="minorHAnsi" w:cstheme="minorHAnsi"/>
                <w:bCs/>
              </w:rPr>
              <w:t>-</w:t>
            </w:r>
            <w:r w:rsidR="007B5FEF">
              <w:rPr>
                <w:rFonts w:asciiTheme="minorHAnsi" w:hAnsiTheme="minorHAnsi" w:cstheme="minorHAnsi"/>
                <w:bCs/>
              </w:rPr>
              <w:t>$30-</w:t>
            </w:r>
            <w:r>
              <w:rPr>
                <w:rFonts w:asciiTheme="minorHAnsi" w:hAnsiTheme="minorHAnsi" w:cstheme="minorHAnsi"/>
                <w:bCs/>
              </w:rPr>
              <w:t>$</w:t>
            </w:r>
            <w:r w:rsidR="007B5FEF">
              <w:rPr>
                <w:rFonts w:asciiTheme="minorHAnsi" w:hAnsiTheme="minorHAnsi" w:cstheme="minorHAnsi"/>
                <w:bCs/>
              </w:rPr>
              <w:t>0</w:t>
            </w:r>
          </w:p>
        </w:tc>
      </w:tr>
    </w:tbl>
    <w:p w14:paraId="13FB4619" w14:textId="77777777" w:rsidR="00C842B5" w:rsidRDefault="00C842B5" w:rsidP="00C842B5">
      <w:pPr>
        <w:spacing w:after="0" w:line="240" w:lineRule="auto"/>
      </w:pPr>
      <w:r>
        <w:br w:type="page"/>
      </w:r>
    </w:p>
    <w:p w14:paraId="2928F023" w14:textId="1F525E5B" w:rsidR="001E48BA" w:rsidRDefault="00731812" w:rsidP="0002608E">
      <w:pPr>
        <w:pStyle w:val="Heading1"/>
      </w:pPr>
      <w:bookmarkStart w:id="19" w:name="_Toc15660414"/>
      <w:bookmarkStart w:id="20" w:name="_Toc19708295"/>
      <w:r>
        <w:rPr>
          <w:caps w:val="0"/>
        </w:rPr>
        <w:lastRenderedPageBreak/>
        <w:t xml:space="preserve">KEY </w:t>
      </w:r>
      <w:r w:rsidRPr="0033087E">
        <w:rPr>
          <w:caps w:val="0"/>
        </w:rPr>
        <w:t>FINDINGS</w:t>
      </w:r>
      <w:bookmarkEnd w:id="19"/>
      <w:bookmarkEnd w:id="20"/>
    </w:p>
    <w:p w14:paraId="73FBBE91" w14:textId="053561E5" w:rsidR="00A115BF" w:rsidRDefault="004B2837" w:rsidP="00A115BF">
      <w:pPr>
        <w:pStyle w:val="Heading4"/>
        <w:rPr>
          <w:rFonts w:eastAsiaTheme="majorEastAsia"/>
        </w:rPr>
      </w:pPr>
      <w:r>
        <w:rPr>
          <w:rFonts w:eastAsiaTheme="majorEastAsia"/>
        </w:rPr>
        <w:t xml:space="preserve">Export </w:t>
      </w:r>
      <w:r w:rsidR="00A115BF">
        <w:rPr>
          <w:rFonts w:eastAsiaTheme="majorEastAsia"/>
        </w:rPr>
        <w:t xml:space="preserve">volume and price </w:t>
      </w:r>
      <w:r>
        <w:rPr>
          <w:rFonts w:eastAsiaTheme="majorEastAsia"/>
        </w:rPr>
        <w:t>reduction</w:t>
      </w:r>
    </w:p>
    <w:p w14:paraId="5C6DDB55" w14:textId="6FA761F7" w:rsidR="00556487" w:rsidRPr="002E6BFC" w:rsidRDefault="003C15B2" w:rsidP="00556487">
      <w:pPr>
        <w:pStyle w:val="TableText"/>
        <w:spacing w:before="120" w:after="120"/>
        <w:jc w:val="both"/>
        <w:rPr>
          <w:rFonts w:eastAsiaTheme="majorEastAsia"/>
          <w:sz w:val="22"/>
          <w:szCs w:val="22"/>
        </w:rPr>
      </w:pPr>
      <w:r w:rsidRPr="002E6BFC">
        <w:rPr>
          <w:rFonts w:eastAsiaTheme="majorEastAsia"/>
          <w:sz w:val="22"/>
          <w:szCs w:val="22"/>
        </w:rPr>
        <w:t xml:space="preserve">Australian </w:t>
      </w:r>
      <w:r w:rsidR="00556487" w:rsidRPr="002E6BFC">
        <w:rPr>
          <w:rFonts w:eastAsiaTheme="majorEastAsia"/>
          <w:sz w:val="22"/>
          <w:szCs w:val="22"/>
        </w:rPr>
        <w:t xml:space="preserve">exports of kerbside recovered material have dropped by around 50 </w:t>
      </w:r>
      <w:r w:rsidR="00BD242C">
        <w:rPr>
          <w:rFonts w:eastAsiaTheme="majorEastAsia"/>
          <w:sz w:val="22"/>
          <w:szCs w:val="22"/>
        </w:rPr>
        <w:t>%</w:t>
      </w:r>
      <w:r w:rsidR="00556487" w:rsidRPr="002E6BFC">
        <w:rPr>
          <w:rFonts w:eastAsiaTheme="majorEastAsia"/>
          <w:sz w:val="22"/>
          <w:szCs w:val="22"/>
        </w:rPr>
        <w:t xml:space="preserve"> over the past couple of years. These falls have been driven entirely by lost sales to China, with the fall in export of bales of mixed paper &amp; paperboard the main products contributing to the export reduction. From February to April 2019 there was some recovery in exports from the low in January 2019, which had the lowest export volumes for many years.</w:t>
      </w:r>
    </w:p>
    <w:p w14:paraId="7D842F3B" w14:textId="00F9D77C" w:rsidR="00556487" w:rsidRPr="002E6BFC" w:rsidRDefault="00556487" w:rsidP="00556487">
      <w:pPr>
        <w:pStyle w:val="TableText"/>
        <w:spacing w:before="120" w:after="120"/>
        <w:jc w:val="both"/>
        <w:rPr>
          <w:rFonts w:eastAsiaTheme="majorEastAsia"/>
          <w:sz w:val="22"/>
          <w:szCs w:val="22"/>
        </w:rPr>
      </w:pPr>
      <w:r w:rsidRPr="002E6BFC">
        <w:rPr>
          <w:rFonts w:eastAsiaTheme="majorEastAsia"/>
          <w:sz w:val="22"/>
          <w:szCs w:val="22"/>
        </w:rPr>
        <w:t>May 2019 exports across all materials are fairly steady from April, with some unconfirmed glass cullet export activity possibly developing.</w:t>
      </w:r>
      <w:r w:rsidR="003C15B2" w:rsidRPr="002E6BFC">
        <w:rPr>
          <w:rFonts w:eastAsiaTheme="majorEastAsia"/>
          <w:sz w:val="22"/>
          <w:szCs w:val="22"/>
        </w:rPr>
        <w:t xml:space="preserve"> The following chart shows </w:t>
      </w:r>
      <w:r w:rsidR="001875AE" w:rsidRPr="002E6BFC">
        <w:rPr>
          <w:rFonts w:eastAsiaTheme="majorEastAsia"/>
          <w:sz w:val="22"/>
          <w:szCs w:val="22"/>
        </w:rPr>
        <w:t xml:space="preserve">the </w:t>
      </w:r>
      <w:r w:rsidR="003C15B2" w:rsidRPr="002E6BFC">
        <w:rPr>
          <w:rFonts w:eastAsiaTheme="majorEastAsia"/>
          <w:sz w:val="22"/>
          <w:szCs w:val="22"/>
        </w:rPr>
        <w:t xml:space="preserve">Victorian </w:t>
      </w:r>
      <w:r w:rsidR="001875AE" w:rsidRPr="002E6BFC">
        <w:rPr>
          <w:rFonts w:eastAsiaTheme="majorEastAsia"/>
          <w:sz w:val="22"/>
          <w:szCs w:val="22"/>
        </w:rPr>
        <w:t xml:space="preserve">export trend. It is reported that other jurisdictions have experienced a similar </w:t>
      </w:r>
      <w:r w:rsidR="002E6BFC" w:rsidRPr="002E6BFC">
        <w:rPr>
          <w:rFonts w:eastAsiaTheme="majorEastAsia"/>
          <w:sz w:val="22"/>
          <w:szCs w:val="22"/>
        </w:rPr>
        <w:t>trend.</w:t>
      </w:r>
    </w:p>
    <w:p w14:paraId="5314E517" w14:textId="228220FF" w:rsidR="00556487" w:rsidRPr="004F11F4" w:rsidRDefault="007D4E2E" w:rsidP="00556487">
      <w:pPr>
        <w:pStyle w:val="TableText"/>
        <w:spacing w:before="120" w:after="240"/>
        <w:jc w:val="both"/>
        <w:rPr>
          <w:rFonts w:asciiTheme="majorHAnsi" w:eastAsiaTheme="majorEastAsia" w:hAnsiTheme="majorHAnsi" w:cstheme="majorBidi"/>
          <w:sz w:val="22"/>
          <w:szCs w:val="22"/>
        </w:rPr>
      </w:pPr>
      <w:r w:rsidRPr="004F11F4">
        <w:t>Victorian recovered kerbside materials, to export country (t/month)</w:t>
      </w:r>
    </w:p>
    <w:p w14:paraId="63A58A88" w14:textId="77777777" w:rsidR="00556487" w:rsidRPr="004F11F4" w:rsidRDefault="00556487" w:rsidP="00556487">
      <w:pPr>
        <w:pStyle w:val="FigureCaption"/>
        <w:keepNext/>
        <w:keepLines/>
        <w:jc w:val="both"/>
      </w:pPr>
      <w:bookmarkStart w:id="21" w:name="_Toc13575948"/>
      <w:r w:rsidRPr="004F11F4">
        <w:t xml:space="preserve">Figure </w:t>
      </w:r>
      <w:r>
        <w:t>1</w:t>
      </w:r>
      <w:r w:rsidRPr="004F11F4">
        <w:t>.</w:t>
      </w:r>
      <w:r>
        <w:t>4</w:t>
      </w:r>
      <w:r w:rsidRPr="004F11F4">
        <w:t>.</w:t>
      </w:r>
      <w:r>
        <w:t>1</w:t>
      </w:r>
      <w:r w:rsidRPr="004F11F4">
        <w:t xml:space="preserve"> – Victorian recovered kerbside materials, to export country (t/month)</w:t>
      </w:r>
      <w:bookmarkEnd w:id="21"/>
    </w:p>
    <w:p w14:paraId="60C061D0" w14:textId="77777777" w:rsidR="00556487" w:rsidRPr="004F11F4" w:rsidRDefault="00556487" w:rsidP="00556487">
      <w:pPr>
        <w:jc w:val="both"/>
        <w:rPr>
          <w:b/>
          <w:noProof/>
        </w:rPr>
      </w:pPr>
      <w:r>
        <w:rPr>
          <w:b/>
          <w:noProof/>
        </w:rPr>
        <w:drawing>
          <wp:inline distT="0" distB="0" distL="0" distR="0" wp14:anchorId="4F7563AB" wp14:editId="657D81AB">
            <wp:extent cx="5220000" cy="3268522"/>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20000" cy="3268522"/>
                    </a:xfrm>
                    <a:prstGeom prst="rect">
                      <a:avLst/>
                    </a:prstGeom>
                    <a:noFill/>
                  </pic:spPr>
                </pic:pic>
              </a:graphicData>
            </a:graphic>
          </wp:inline>
        </w:drawing>
      </w:r>
    </w:p>
    <w:p w14:paraId="2203B58F" w14:textId="77777777" w:rsidR="003B4036" w:rsidRPr="003B4036" w:rsidRDefault="003B4036" w:rsidP="003B4036">
      <w:pPr>
        <w:rPr>
          <w:lang w:val="en-US"/>
        </w:rPr>
      </w:pPr>
    </w:p>
    <w:p w14:paraId="2291457C" w14:textId="67F74B19" w:rsidR="001E48BA" w:rsidRDefault="002D211B" w:rsidP="0046458E">
      <w:pPr>
        <w:pStyle w:val="Heading2"/>
      </w:pPr>
      <w:bookmarkStart w:id="22" w:name="_Toc15660415"/>
      <w:bookmarkStart w:id="23" w:name="_Toc19708296"/>
      <w:r>
        <w:t>Plastics</w:t>
      </w:r>
      <w:bookmarkEnd w:id="22"/>
      <w:bookmarkEnd w:id="23"/>
    </w:p>
    <w:p w14:paraId="3E258CF8" w14:textId="35F910ED" w:rsidR="006234A8" w:rsidRDefault="00316A93" w:rsidP="001E48BA">
      <w:r>
        <w:t>In our key export destinations</w:t>
      </w:r>
      <w:r w:rsidR="00AC265B">
        <w:t xml:space="preserve"> of South and East Asia, </w:t>
      </w:r>
      <w:r w:rsidR="005845AF">
        <w:t xml:space="preserve">Australian volumes are </w:t>
      </w:r>
      <w:r w:rsidR="00A60E7D">
        <w:t>usually</w:t>
      </w:r>
      <w:r w:rsidR="005845AF">
        <w:t xml:space="preserve"> competing for market against </w:t>
      </w:r>
      <w:r w:rsidR="006234A8">
        <w:t>material</w:t>
      </w:r>
      <w:r w:rsidR="003D641F">
        <w:t xml:space="preserve"> from other countries</w:t>
      </w:r>
      <w:r w:rsidR="00A60E7D">
        <w:t xml:space="preserve">. </w:t>
      </w:r>
    </w:p>
    <w:p w14:paraId="7F843868" w14:textId="4A01181D" w:rsidR="00CC0834" w:rsidRDefault="00CC0834" w:rsidP="001E48BA">
      <w:r>
        <w:t>Contamination levels</w:t>
      </w:r>
      <w:r w:rsidR="00A60E7D">
        <w:t xml:space="preserve"> are a growing issue</w:t>
      </w:r>
      <w:r w:rsidR="002F5FE0">
        <w:t>. The drive to keep levels below those required in specifications</w:t>
      </w:r>
      <w:r w:rsidR="008F53AA">
        <w:t xml:space="preserve"> has increased the sorting task</w:t>
      </w:r>
      <w:r w:rsidR="008A5E8B">
        <w:t xml:space="preserve">.  The </w:t>
      </w:r>
      <w:r w:rsidR="009C5814">
        <w:t xml:space="preserve">market for </w:t>
      </w:r>
      <w:r w:rsidR="00EF2DCE">
        <w:t xml:space="preserve">mixed polymer plastics is highly </w:t>
      </w:r>
      <w:r w:rsidR="00C625E6">
        <w:t xml:space="preserve">restricted and the price </w:t>
      </w:r>
      <w:r w:rsidR="005A41BF">
        <w:t>for this material is $0 or less.</w:t>
      </w:r>
    </w:p>
    <w:p w14:paraId="05383C61" w14:textId="03662B0F" w:rsidR="00B40EB4" w:rsidRDefault="003D641F" w:rsidP="001E48BA">
      <w:r>
        <w:t xml:space="preserve">Overall, the </w:t>
      </w:r>
      <w:r w:rsidR="00657830">
        <w:t xml:space="preserve">price paid for clean, baled PET and </w:t>
      </w:r>
      <w:r w:rsidR="00B40EB4">
        <w:t>P</w:t>
      </w:r>
      <w:r w:rsidR="00657830">
        <w:t>olyethylene</w:t>
      </w:r>
      <w:r w:rsidR="001667A9">
        <w:t xml:space="preserve"> has</w:t>
      </w:r>
      <w:r w:rsidR="00B40EB4">
        <w:t xml:space="preserve"> held up</w:t>
      </w:r>
      <w:r w:rsidR="001667A9">
        <w:t xml:space="preserve"> </w:t>
      </w:r>
      <w:r w:rsidR="00BD71E7">
        <w:t xml:space="preserve">quite </w:t>
      </w:r>
      <w:r w:rsidR="001667A9">
        <w:t>well. On the other hand, m</w:t>
      </w:r>
      <w:r w:rsidR="005B3C8A">
        <w:t>ixed polymer plastic</w:t>
      </w:r>
      <w:r w:rsidR="00B81AB1">
        <w:t xml:space="preserve"> has limited market outlets</w:t>
      </w:r>
      <w:r w:rsidR="008943F7">
        <w:t xml:space="preserve"> and poor prices </w:t>
      </w:r>
      <w:r w:rsidR="00BD71E7">
        <w:t xml:space="preserve">are </w:t>
      </w:r>
      <w:r w:rsidR="008943F7">
        <w:t>paid locally or into export</w:t>
      </w:r>
      <w:r w:rsidR="00D647CA">
        <w:t>.</w:t>
      </w:r>
    </w:p>
    <w:p w14:paraId="1E9F541D" w14:textId="58510BA5" w:rsidR="00B81AB1" w:rsidRDefault="00B81AB1" w:rsidP="001E48BA">
      <w:r>
        <w:t xml:space="preserve">There is </w:t>
      </w:r>
      <w:r w:rsidR="00FF2919">
        <w:t xml:space="preserve">now considerable </w:t>
      </w:r>
      <w:r>
        <w:t xml:space="preserve">effort going into finding new outlets for </w:t>
      </w:r>
      <w:r w:rsidR="006A12B4">
        <w:t>mixed polymer products</w:t>
      </w:r>
      <w:r w:rsidR="0001794E">
        <w:t xml:space="preserve">. A major plastics recycling plant was opened in the </w:t>
      </w:r>
      <w:r w:rsidR="00DA08E7">
        <w:t>n</w:t>
      </w:r>
      <w:r w:rsidR="0001794E">
        <w:t>orth of Melbourne</w:t>
      </w:r>
      <w:r w:rsidR="00033877">
        <w:t xml:space="preserve"> by Advanced Circular Polymers</w:t>
      </w:r>
      <w:r w:rsidR="00F40C4E">
        <w:t xml:space="preserve"> in June 2019</w:t>
      </w:r>
      <w:r w:rsidR="00B402DC">
        <w:t xml:space="preserve"> at a cost of $20M with $500,000 support from the Victorian Government. It is capable of </w:t>
      </w:r>
      <w:r w:rsidR="00B402DC">
        <w:lastRenderedPageBreak/>
        <w:t xml:space="preserve">processing </w:t>
      </w:r>
      <w:r w:rsidR="00A80FDC">
        <w:t xml:space="preserve">70,000 tonnes of plastic annually. The company may have market </w:t>
      </w:r>
      <w:r w:rsidR="00B52D8A">
        <w:t xml:space="preserve">connections for the product that the plant produces. </w:t>
      </w:r>
    </w:p>
    <w:p w14:paraId="29A803E2" w14:textId="7682976C" w:rsidR="006A12B4" w:rsidRDefault="006C5A3E" w:rsidP="001E48BA">
      <w:r>
        <w:t xml:space="preserve">There is now </w:t>
      </w:r>
      <w:r w:rsidR="002A5870">
        <w:t xml:space="preserve">an increased focus on markets for recycled resin, including </w:t>
      </w:r>
      <w:r w:rsidR="00BD2163">
        <w:t>assessment of the role</w:t>
      </w:r>
      <w:r w:rsidR="006A12B4">
        <w:t xml:space="preserve"> government procurement</w:t>
      </w:r>
      <w:r w:rsidR="00BD2163">
        <w:t xml:space="preserve"> can play in providing outlets for </w:t>
      </w:r>
      <w:r w:rsidR="004C2959">
        <w:t xml:space="preserve">kerbside sourced </w:t>
      </w:r>
      <w:proofErr w:type="spellStart"/>
      <w:r w:rsidR="00BD2163">
        <w:t>recycl</w:t>
      </w:r>
      <w:r w:rsidR="004C2959">
        <w:t>ate</w:t>
      </w:r>
      <w:proofErr w:type="spellEnd"/>
      <w:r w:rsidR="004C2959">
        <w:t>.</w:t>
      </w:r>
    </w:p>
    <w:p w14:paraId="737D5DBF" w14:textId="6C336291" w:rsidR="002D211B" w:rsidRDefault="002D211B" w:rsidP="0046458E">
      <w:pPr>
        <w:pStyle w:val="Heading2"/>
      </w:pPr>
      <w:bookmarkStart w:id="24" w:name="_Toc15660416"/>
      <w:bookmarkStart w:id="25" w:name="_Toc19708297"/>
      <w:r>
        <w:t>Glass</w:t>
      </w:r>
      <w:bookmarkEnd w:id="24"/>
      <w:bookmarkEnd w:id="25"/>
    </w:p>
    <w:p w14:paraId="0A5952C9" w14:textId="29E7D6B6" w:rsidR="00495B89" w:rsidRDefault="009E4114" w:rsidP="00495B89">
      <w:pPr>
        <w:rPr>
          <w:lang w:val="en-US"/>
        </w:rPr>
      </w:pPr>
      <w:r>
        <w:rPr>
          <w:lang w:val="en-US"/>
        </w:rPr>
        <w:t>There are currently e</w:t>
      </w:r>
      <w:r w:rsidR="001746CB">
        <w:rPr>
          <w:lang w:val="en-US"/>
        </w:rPr>
        <w:t xml:space="preserve">xcessive losses </w:t>
      </w:r>
      <w:r w:rsidR="00320E16">
        <w:rPr>
          <w:lang w:val="en-US"/>
        </w:rPr>
        <w:t xml:space="preserve">of glass </w:t>
      </w:r>
      <w:r w:rsidR="001746CB">
        <w:rPr>
          <w:lang w:val="en-US"/>
        </w:rPr>
        <w:t>in collection and sorting</w:t>
      </w:r>
      <w:r>
        <w:rPr>
          <w:lang w:val="en-US"/>
        </w:rPr>
        <w:t xml:space="preserve"> of around </w:t>
      </w:r>
      <w:r w:rsidR="00783358">
        <w:rPr>
          <w:lang w:val="en-US"/>
        </w:rPr>
        <w:t>30-40%. A lot of thought, and some trialing of different systems</w:t>
      </w:r>
      <w:r w:rsidR="00320E16">
        <w:rPr>
          <w:lang w:val="en-US"/>
        </w:rPr>
        <w:t>,</w:t>
      </w:r>
      <w:r w:rsidR="00783358">
        <w:rPr>
          <w:lang w:val="en-US"/>
        </w:rPr>
        <w:t xml:space="preserve"> </w:t>
      </w:r>
      <w:r w:rsidR="0095311C">
        <w:rPr>
          <w:lang w:val="en-US"/>
        </w:rPr>
        <w:t xml:space="preserve">is </w:t>
      </w:r>
      <w:r w:rsidR="00C1272C">
        <w:rPr>
          <w:lang w:val="en-US"/>
        </w:rPr>
        <w:t>occurring to seek a better outcome for collected glass packaging.</w:t>
      </w:r>
    </w:p>
    <w:p w14:paraId="35E12209" w14:textId="443D1610" w:rsidR="001746CB" w:rsidRPr="00495B89" w:rsidRDefault="00C1272C" w:rsidP="00495B89">
      <w:pPr>
        <w:rPr>
          <w:lang w:val="en-US"/>
        </w:rPr>
      </w:pPr>
      <w:r>
        <w:rPr>
          <w:lang w:val="en-US"/>
        </w:rPr>
        <w:t xml:space="preserve">There are </w:t>
      </w:r>
      <w:r w:rsidR="00D37806">
        <w:rPr>
          <w:lang w:val="en-US"/>
        </w:rPr>
        <w:t xml:space="preserve">adequate </w:t>
      </w:r>
      <w:r w:rsidR="00320E16">
        <w:rPr>
          <w:lang w:val="en-US"/>
        </w:rPr>
        <w:t xml:space="preserve">glass packaging </w:t>
      </w:r>
      <w:r w:rsidR="00D37806">
        <w:rPr>
          <w:lang w:val="en-US"/>
        </w:rPr>
        <w:t>m</w:t>
      </w:r>
      <w:r w:rsidR="001746CB">
        <w:rPr>
          <w:lang w:val="en-US"/>
        </w:rPr>
        <w:t xml:space="preserve">arket outlets </w:t>
      </w:r>
      <w:r w:rsidR="0021649A">
        <w:rPr>
          <w:lang w:val="en-US"/>
        </w:rPr>
        <w:t xml:space="preserve">back into packaging production </w:t>
      </w:r>
      <w:r w:rsidR="00514199">
        <w:rPr>
          <w:lang w:val="en-US"/>
        </w:rPr>
        <w:t>through beneficiation facilities in four capital cities</w:t>
      </w:r>
      <w:r w:rsidR="00860A53">
        <w:rPr>
          <w:lang w:val="en-US"/>
        </w:rPr>
        <w:t>.</w:t>
      </w:r>
    </w:p>
    <w:p w14:paraId="532C29DE" w14:textId="76844511" w:rsidR="002D211B" w:rsidRDefault="0021649A" w:rsidP="001E48BA">
      <w:r>
        <w:t xml:space="preserve">More glass </w:t>
      </w:r>
      <w:r w:rsidR="00D37806">
        <w:t xml:space="preserve">is </w:t>
      </w:r>
      <w:r>
        <w:t>coming through deposit sy</w:t>
      </w:r>
      <w:r w:rsidR="00D012DE">
        <w:t>s</w:t>
      </w:r>
      <w:r>
        <w:t xml:space="preserve">tems which </w:t>
      </w:r>
      <w:r w:rsidR="00D012DE">
        <w:t>pro</w:t>
      </w:r>
      <w:r>
        <w:t xml:space="preserve">duce cleaner </w:t>
      </w:r>
      <w:r w:rsidR="0020171F">
        <w:t xml:space="preserve">glass with less </w:t>
      </w:r>
      <w:r w:rsidR="00D012DE">
        <w:t>contaminants</w:t>
      </w:r>
      <w:r w:rsidR="0020171F">
        <w:t xml:space="preserve"> and generates a higher price into </w:t>
      </w:r>
      <w:r w:rsidR="0094714F">
        <w:t>packaging production</w:t>
      </w:r>
      <w:r w:rsidR="00860A53">
        <w:t>.</w:t>
      </w:r>
    </w:p>
    <w:p w14:paraId="6FB447F4" w14:textId="63AEB966" w:rsidR="0094714F" w:rsidRDefault="0094714F" w:rsidP="001E48BA">
      <w:r>
        <w:t xml:space="preserve">O-I </w:t>
      </w:r>
      <w:r w:rsidR="000B5460">
        <w:t xml:space="preserve">and </w:t>
      </w:r>
      <w:proofErr w:type="spellStart"/>
      <w:r w:rsidR="000B5460">
        <w:t>Orora</w:t>
      </w:r>
      <w:proofErr w:type="spellEnd"/>
      <w:r w:rsidR="000B5460">
        <w:t xml:space="preserve"> are</w:t>
      </w:r>
      <w:r w:rsidR="00D37806">
        <w:t xml:space="preserve"> </w:t>
      </w:r>
      <w:r>
        <w:t>committed to increased cullet usage</w:t>
      </w:r>
      <w:r w:rsidR="00D37806">
        <w:t xml:space="preserve"> through each of </w:t>
      </w:r>
      <w:r w:rsidR="000B5460">
        <w:t xml:space="preserve">their </w:t>
      </w:r>
      <w:r w:rsidR="009A070A">
        <w:t>five</w:t>
      </w:r>
      <w:r w:rsidR="00D37806">
        <w:t xml:space="preserve"> </w:t>
      </w:r>
      <w:r w:rsidR="000B5460">
        <w:t>glass production facilities</w:t>
      </w:r>
      <w:r w:rsidR="009A3D64">
        <w:t>.</w:t>
      </w:r>
    </w:p>
    <w:p w14:paraId="04BBF0F5" w14:textId="0DD97B9B" w:rsidR="00D012DE" w:rsidRDefault="00F0565A" w:rsidP="001E48BA">
      <w:r>
        <w:t>In some states t</w:t>
      </w:r>
      <w:r w:rsidR="00D012DE">
        <w:t xml:space="preserve">here are </w:t>
      </w:r>
      <w:r>
        <w:t xml:space="preserve">now strong </w:t>
      </w:r>
      <w:r w:rsidR="00D012DE">
        <w:t xml:space="preserve">secondary markets for application to road </w:t>
      </w:r>
      <w:r>
        <w:t>construction material</w:t>
      </w:r>
      <w:r w:rsidR="00601939">
        <w:t xml:space="preserve">. These may prove to be substantial and </w:t>
      </w:r>
      <w:r w:rsidR="00FB7174">
        <w:t>deal with glass fragments that cannot meet packaging production requirements.</w:t>
      </w:r>
      <w:r w:rsidR="00D012DE">
        <w:t xml:space="preserve"> </w:t>
      </w:r>
    </w:p>
    <w:p w14:paraId="17363D01" w14:textId="68EFA870" w:rsidR="00FF6680" w:rsidRDefault="00FF6680" w:rsidP="001E48BA">
      <w:r>
        <w:t xml:space="preserve">Most sorters receive no revenue </w:t>
      </w:r>
      <w:r w:rsidR="005B3C8A">
        <w:t>for their glass but pay a fee</w:t>
      </w:r>
      <w:r w:rsidR="006520E4">
        <w:t>. This is at a level</w:t>
      </w:r>
      <w:r w:rsidR="005B3C8A">
        <w:t xml:space="preserve"> well below landfill</w:t>
      </w:r>
      <w:r w:rsidR="006520E4">
        <w:t xml:space="preserve"> disposal</w:t>
      </w:r>
      <w:r w:rsidR="005B3C8A">
        <w:t xml:space="preserve"> costs</w:t>
      </w:r>
      <w:r w:rsidR="006C5A3E">
        <w:t>.</w:t>
      </w:r>
      <w:r w:rsidR="00FB7174">
        <w:t xml:space="preserve"> With more material </w:t>
      </w:r>
      <w:r w:rsidR="00227CF2">
        <w:t xml:space="preserve">coming back through deposit systems, the MRF tonnes may decrease and access to beneficiation will need to be </w:t>
      </w:r>
      <w:r w:rsidR="001A14FC">
        <w:t>assured.</w:t>
      </w:r>
    </w:p>
    <w:p w14:paraId="28D361C4" w14:textId="505A69E7" w:rsidR="0046458E" w:rsidRDefault="0046458E" w:rsidP="001E48BA"/>
    <w:p w14:paraId="379DAA9F" w14:textId="22095880" w:rsidR="0046458E" w:rsidRDefault="0046458E" w:rsidP="0046458E">
      <w:pPr>
        <w:pStyle w:val="Heading2"/>
      </w:pPr>
      <w:bookmarkStart w:id="26" w:name="_Toc15660417"/>
      <w:bookmarkStart w:id="27" w:name="_Toc19708298"/>
      <w:r>
        <w:t>Paper and cardboard</w:t>
      </w:r>
      <w:bookmarkEnd w:id="26"/>
      <w:bookmarkEnd w:id="27"/>
    </w:p>
    <w:p w14:paraId="3A236690" w14:textId="3980F45A" w:rsidR="001D2261" w:rsidRDefault="001A14FC" w:rsidP="001E48BA">
      <w:r>
        <w:t xml:space="preserve">The sorting of </w:t>
      </w:r>
      <w:r w:rsidR="00747CA7">
        <w:t xml:space="preserve">paper and cardboard more diligently to specification will likely open up greater local and export destinations and prices. </w:t>
      </w:r>
      <w:r w:rsidR="00B8358C">
        <w:t>The Australian recycling system will need to evolve to be less relian</w:t>
      </w:r>
      <w:r w:rsidR="00BF3752">
        <w:t xml:space="preserve">t on export destinations. Recycled </w:t>
      </w:r>
      <w:r w:rsidR="005F7199">
        <w:t xml:space="preserve">material </w:t>
      </w:r>
      <w:r w:rsidR="00BF3752">
        <w:t xml:space="preserve">will need </w:t>
      </w:r>
      <w:r w:rsidR="005F7199">
        <w:t xml:space="preserve">to lock markets into packaging production, </w:t>
      </w:r>
      <w:r w:rsidR="008F158E">
        <w:t>newspaper</w:t>
      </w:r>
      <w:r w:rsidR="005F7199">
        <w:t xml:space="preserve"> and magazine </w:t>
      </w:r>
      <w:r w:rsidR="008F158E">
        <w:t>manufacture</w:t>
      </w:r>
      <w:r w:rsidR="00520894">
        <w:t>,</w:t>
      </w:r>
      <w:r w:rsidR="008F158E">
        <w:t xml:space="preserve"> and moulded fibre products. To achieve this, </w:t>
      </w:r>
      <w:r w:rsidR="00802CFE">
        <w:t>glass se</w:t>
      </w:r>
      <w:r w:rsidR="00C72CDD">
        <w:t>p</w:t>
      </w:r>
      <w:r w:rsidR="00802CFE">
        <w:t xml:space="preserve">arate collections will assist in specification compliance, as will a more diligent sorting of </w:t>
      </w:r>
      <w:r w:rsidR="00C72CDD">
        <w:t>fibre fractions.</w:t>
      </w:r>
    </w:p>
    <w:p w14:paraId="2538A71B" w14:textId="534656B0" w:rsidR="00C72CDD" w:rsidRDefault="00C72CDD" w:rsidP="001E48BA">
      <w:r>
        <w:t xml:space="preserve">The market pull for paper will increase as more brand owners demand </w:t>
      </w:r>
      <w:r w:rsidR="00B45555">
        <w:t xml:space="preserve">higher recycled content of their packaging. </w:t>
      </w:r>
    </w:p>
    <w:p w14:paraId="4C786DBC" w14:textId="0AFFA574" w:rsidR="00B45555" w:rsidRDefault="00B45555" w:rsidP="001E48BA">
      <w:r>
        <w:t xml:space="preserve">There also needs to be a recognition that Australia is a net importer of goods and therefore export of packaging to </w:t>
      </w:r>
      <w:r w:rsidR="00250385">
        <w:t xml:space="preserve">supplying country markets will be necessary. Rather than focussing on export of </w:t>
      </w:r>
      <w:r w:rsidR="007D5A72">
        <w:t>wastepaper</w:t>
      </w:r>
      <w:r w:rsidR="00250385">
        <w:t xml:space="preserve">, the </w:t>
      </w:r>
      <w:r w:rsidR="00DF6CC8">
        <w:t xml:space="preserve">domestic pulping of the paper and export of pulp may be more market secure and </w:t>
      </w:r>
      <w:r w:rsidR="00EC0342">
        <w:t>will maximise employment through the value adding</w:t>
      </w:r>
      <w:r w:rsidR="007D5A72">
        <w:t xml:space="preserve"> of the pulping process. </w:t>
      </w:r>
    </w:p>
    <w:p w14:paraId="7B2264D8" w14:textId="77777777" w:rsidR="001D2261" w:rsidRPr="001D2261" w:rsidRDefault="001D2261" w:rsidP="001D2261">
      <w:r>
        <w:br w:type="page"/>
      </w:r>
    </w:p>
    <w:p w14:paraId="661F2E92" w14:textId="6EB5E068" w:rsidR="001E48BA" w:rsidRDefault="0011187F" w:rsidP="00CB60D7">
      <w:pPr>
        <w:pStyle w:val="Heading1"/>
      </w:pPr>
      <w:bookmarkStart w:id="28" w:name="_Toc15660418"/>
      <w:bookmarkStart w:id="29" w:name="_Toc19708299"/>
      <w:r>
        <w:lastRenderedPageBreak/>
        <w:t>SUMMARY</w:t>
      </w:r>
      <w:bookmarkEnd w:id="28"/>
      <w:bookmarkEnd w:id="29"/>
    </w:p>
    <w:p w14:paraId="0C512C5A" w14:textId="77777777" w:rsidR="00207EB9" w:rsidRDefault="00207EB9" w:rsidP="00207EB9">
      <w:pPr>
        <w:pStyle w:val="Heading4"/>
      </w:pPr>
      <w:r>
        <w:t>Market</w:t>
      </w:r>
    </w:p>
    <w:p w14:paraId="4F6CDAB3" w14:textId="261F004B" w:rsidR="00601939" w:rsidRDefault="00703181" w:rsidP="001E48BA">
      <w:r>
        <w:t xml:space="preserve">In summary, the local and global markets for </w:t>
      </w:r>
      <w:r w:rsidR="009E5F1C">
        <w:t>the recyclable materials</w:t>
      </w:r>
      <w:r w:rsidR="005075BA">
        <w:t xml:space="preserve"> </w:t>
      </w:r>
      <w:r w:rsidR="009E5F1C">
        <w:t xml:space="preserve">- </w:t>
      </w:r>
      <w:r w:rsidR="005075BA">
        <w:t>p</w:t>
      </w:r>
      <w:r w:rsidR="009E5F1C">
        <w:t>aper and cardboard, plastics</w:t>
      </w:r>
      <w:r w:rsidR="003F6D0A">
        <w:t>,</w:t>
      </w:r>
      <w:r w:rsidR="009E5F1C">
        <w:t xml:space="preserve"> and glass are all volatile in 2019. This is </w:t>
      </w:r>
      <w:r w:rsidR="00B52A80">
        <w:t xml:space="preserve">largely due to regulatory restrictions on the import of </w:t>
      </w:r>
      <w:r w:rsidR="009D3957">
        <w:t xml:space="preserve">recycled material into China, and then into some other Asian nations. The </w:t>
      </w:r>
      <w:r w:rsidR="001478E1">
        <w:t xml:space="preserve">market security and pricing for recyclables is strongly linked to </w:t>
      </w:r>
      <w:r w:rsidR="000B3431">
        <w:t xml:space="preserve">the availability of </w:t>
      </w:r>
      <w:r w:rsidR="00DF3B73">
        <w:t xml:space="preserve">markets back into new product, either </w:t>
      </w:r>
      <w:r w:rsidR="003F6D0A">
        <w:t xml:space="preserve">as </w:t>
      </w:r>
      <w:r w:rsidR="00DF3B73">
        <w:t xml:space="preserve">packaging or durable goods. </w:t>
      </w:r>
    </w:p>
    <w:p w14:paraId="73EC21D7" w14:textId="55BEBCC1" w:rsidR="00207EB9" w:rsidRDefault="00DF3B73" w:rsidP="001E48BA">
      <w:r>
        <w:t xml:space="preserve">There is a recognition </w:t>
      </w:r>
      <w:r w:rsidR="001F30DB">
        <w:t xml:space="preserve">that government and major brands have a role in </w:t>
      </w:r>
      <w:r w:rsidR="00A85B45">
        <w:t xml:space="preserve">procuring recycled content product in order to create the market pull for a healthy </w:t>
      </w:r>
      <w:r w:rsidR="005971B0">
        <w:t xml:space="preserve">circular outcome. </w:t>
      </w:r>
    </w:p>
    <w:p w14:paraId="15A23560" w14:textId="77777777" w:rsidR="00B7121C" w:rsidRDefault="00B7121C" w:rsidP="00B7121C">
      <w:r>
        <w:t>It is unlikely that Australia will have the same opportunities to export recyclable materials in either the quantity or quality that existed previously. If the recycling system is to remain robust and national targets for packaging are to be met, then each of the stakeholders will need to address the issues raised here.</w:t>
      </w:r>
    </w:p>
    <w:p w14:paraId="269C206A" w14:textId="0561AC1F" w:rsidR="00207EB9" w:rsidRDefault="00B7121C" w:rsidP="00B7121C">
      <w:pPr>
        <w:pStyle w:val="Heading4"/>
      </w:pPr>
      <w:r>
        <w:t>Stakeholder roles</w:t>
      </w:r>
    </w:p>
    <w:p w14:paraId="4B04A567" w14:textId="44DB280C" w:rsidR="005971B0" w:rsidRDefault="005971B0" w:rsidP="001E48BA">
      <w:r>
        <w:t xml:space="preserve">Challenges are apparent for consumers to </w:t>
      </w:r>
      <w:r w:rsidR="00AF016C">
        <w:t xml:space="preserve">present recyclables clean and free of </w:t>
      </w:r>
      <w:r w:rsidR="00601939">
        <w:t>contaminant</w:t>
      </w:r>
      <w:r w:rsidR="00AF016C">
        <w:t xml:space="preserve"> material. Local government is </w:t>
      </w:r>
      <w:r w:rsidR="00FA046F">
        <w:t>facing uncertainty in collection an</w:t>
      </w:r>
      <w:r w:rsidR="00601939">
        <w:t>d</w:t>
      </w:r>
      <w:r w:rsidR="00FA046F">
        <w:t xml:space="preserve"> sorting pricing and is under challenge to </w:t>
      </w:r>
      <w:r w:rsidR="0095316A">
        <w:t>commit to procurement of recycled material</w:t>
      </w:r>
      <w:r w:rsidR="006707D6">
        <w:t>. It is also facing calls for greater effort to control contamina</w:t>
      </w:r>
      <w:r w:rsidR="0067033E">
        <w:t xml:space="preserve">nts and to </w:t>
      </w:r>
      <w:r w:rsidR="00460D0A">
        <w:t>adjust collections to accommodate soft plastics and collect glass separately.</w:t>
      </w:r>
    </w:p>
    <w:p w14:paraId="72334399" w14:textId="528600A9" w:rsidR="00460D0A" w:rsidRDefault="00460D0A" w:rsidP="001E48BA">
      <w:r>
        <w:t xml:space="preserve">State and federal governments are being challenged to play a strong role in procurement of </w:t>
      </w:r>
      <w:r w:rsidR="00085F96">
        <w:t xml:space="preserve">recycled content product, </w:t>
      </w:r>
      <w:r w:rsidR="00860512">
        <w:t>particularly</w:t>
      </w:r>
      <w:r w:rsidR="00085F96">
        <w:t xml:space="preserve"> in road and parks agency </w:t>
      </w:r>
      <w:r w:rsidR="00860512">
        <w:t xml:space="preserve">works. There are also </w:t>
      </w:r>
      <w:r w:rsidR="00DC4704">
        <w:t>calls for funding assistance to support new reprocessing infrastructure and modifications</w:t>
      </w:r>
      <w:r w:rsidR="0099216A">
        <w:t xml:space="preserve"> to sorting and collection systems. </w:t>
      </w:r>
    </w:p>
    <w:p w14:paraId="79D42716" w14:textId="4E0A572C" w:rsidR="0099216A" w:rsidRDefault="0099216A" w:rsidP="001E48BA">
      <w:r>
        <w:t>Brand</w:t>
      </w:r>
      <w:r w:rsidR="00353ECC">
        <w:t xml:space="preserve"> </w:t>
      </w:r>
      <w:r>
        <w:t xml:space="preserve">owners and retailers are </w:t>
      </w:r>
      <w:r w:rsidR="002B4CBD">
        <w:t xml:space="preserve">being challenged to modify their packaging to conform </w:t>
      </w:r>
      <w:proofErr w:type="gramStart"/>
      <w:r w:rsidR="002B4CBD">
        <w:t>with</w:t>
      </w:r>
      <w:proofErr w:type="gramEnd"/>
      <w:r w:rsidR="002B4CBD">
        <w:t xml:space="preserve"> recyclability and to utilise recycled content, particularly in plastics. </w:t>
      </w:r>
    </w:p>
    <w:p w14:paraId="28B3018B" w14:textId="77777777" w:rsidR="001D2261" w:rsidRPr="001D2261" w:rsidRDefault="001D2261" w:rsidP="001D2261">
      <w:r>
        <w:br w:type="page"/>
      </w:r>
    </w:p>
    <w:p w14:paraId="341EB937" w14:textId="77777777" w:rsidR="001E48BA" w:rsidRPr="001E48BA" w:rsidRDefault="001D2261" w:rsidP="0002608E">
      <w:pPr>
        <w:pStyle w:val="Heading1"/>
      </w:pPr>
      <w:bookmarkStart w:id="30" w:name="_Toc15660419"/>
      <w:bookmarkStart w:id="31" w:name="_Toc19708300"/>
      <w:r>
        <w:lastRenderedPageBreak/>
        <w:t>REFERENCES</w:t>
      </w:r>
      <w:bookmarkEnd w:id="30"/>
      <w:bookmarkEnd w:id="31"/>
    </w:p>
    <w:tbl>
      <w:tblPr>
        <w:tblW w:w="9206" w:type="dxa"/>
        <w:tblInd w:w="8" w:type="dxa"/>
        <w:tblCellMar>
          <w:left w:w="0" w:type="dxa"/>
          <w:right w:w="0" w:type="dxa"/>
        </w:tblCellMar>
        <w:tblLook w:val="04A0" w:firstRow="1" w:lastRow="0" w:firstColumn="1" w:lastColumn="0" w:noHBand="0" w:noVBand="1"/>
      </w:tblPr>
      <w:tblGrid>
        <w:gridCol w:w="2544"/>
        <w:gridCol w:w="6662"/>
      </w:tblGrid>
      <w:tr w:rsidR="00626597" w14:paraId="2F582273" w14:textId="77777777" w:rsidTr="00626597">
        <w:tc>
          <w:tcPr>
            <w:tcW w:w="2544"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2B47D677" w14:textId="77777777" w:rsidR="00626597" w:rsidRDefault="00626597">
            <w:pPr>
              <w:spacing w:line="256" w:lineRule="auto"/>
              <w:rPr>
                <w:sz w:val="20"/>
                <w:szCs w:val="20"/>
              </w:rPr>
            </w:pPr>
            <w:r>
              <w:rPr>
                <w:sz w:val="20"/>
              </w:rPr>
              <w:t>Victorian Government</w:t>
            </w:r>
          </w:p>
        </w:tc>
        <w:tc>
          <w:tcPr>
            <w:tcW w:w="6662"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7DFB5E28" w14:textId="77777777" w:rsidR="00626597" w:rsidRDefault="00626597">
            <w:pPr>
              <w:spacing w:line="256" w:lineRule="auto"/>
              <w:rPr>
                <w:sz w:val="20"/>
                <w:szCs w:val="20"/>
              </w:rPr>
            </w:pPr>
            <w:r>
              <w:rPr>
                <w:rFonts w:asciiTheme="minorHAnsi" w:hAnsiTheme="minorHAnsi"/>
                <w:sz w:val="20"/>
              </w:rPr>
              <w:t xml:space="preserve">(2019) </w:t>
            </w:r>
            <w:r>
              <w:rPr>
                <w:rFonts w:asciiTheme="minorHAnsi" w:hAnsiTheme="minorHAnsi"/>
                <w:i/>
                <w:iCs/>
                <w:sz w:val="20"/>
              </w:rPr>
              <w:t>Recovered Resources Market Bulletin</w:t>
            </w:r>
          </w:p>
        </w:tc>
      </w:tr>
      <w:tr w:rsidR="00626597" w14:paraId="375EE3ED" w14:textId="77777777" w:rsidTr="00626597">
        <w:tc>
          <w:tcPr>
            <w:tcW w:w="2544"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632E6606" w14:textId="77777777" w:rsidR="00626597" w:rsidRDefault="00626597">
            <w:pPr>
              <w:spacing w:line="256" w:lineRule="auto"/>
              <w:rPr>
                <w:sz w:val="20"/>
                <w:szCs w:val="20"/>
              </w:rPr>
            </w:pPr>
            <w:r>
              <w:rPr>
                <w:sz w:val="20"/>
              </w:rPr>
              <w:t>APCO</w:t>
            </w:r>
          </w:p>
        </w:tc>
        <w:tc>
          <w:tcPr>
            <w:tcW w:w="6662"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060CE2A1" w14:textId="77777777" w:rsidR="00626597" w:rsidRDefault="00626597">
            <w:pPr>
              <w:spacing w:line="256" w:lineRule="auto"/>
              <w:rPr>
                <w:sz w:val="20"/>
                <w:szCs w:val="20"/>
              </w:rPr>
            </w:pPr>
            <w:r>
              <w:rPr>
                <w:rFonts w:asciiTheme="minorHAnsi" w:hAnsiTheme="minorHAnsi"/>
                <w:sz w:val="20"/>
              </w:rPr>
              <w:t xml:space="preserve">(2019) </w:t>
            </w:r>
            <w:r>
              <w:rPr>
                <w:rFonts w:asciiTheme="minorHAnsi" w:hAnsiTheme="minorHAnsi"/>
                <w:i/>
                <w:iCs/>
                <w:sz w:val="20"/>
              </w:rPr>
              <w:t>Packaging Consumption and Recycling Data</w:t>
            </w:r>
          </w:p>
        </w:tc>
      </w:tr>
      <w:tr w:rsidR="00626597" w14:paraId="1193DE42" w14:textId="77777777" w:rsidTr="00626597">
        <w:tc>
          <w:tcPr>
            <w:tcW w:w="2544"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4E5ABFBB" w14:textId="77777777" w:rsidR="00626597" w:rsidRDefault="00626597">
            <w:pPr>
              <w:spacing w:line="256" w:lineRule="auto"/>
              <w:rPr>
                <w:sz w:val="20"/>
                <w:szCs w:val="20"/>
              </w:rPr>
            </w:pPr>
            <w:r>
              <w:rPr>
                <w:sz w:val="20"/>
              </w:rPr>
              <w:t>APCO</w:t>
            </w:r>
          </w:p>
        </w:tc>
        <w:tc>
          <w:tcPr>
            <w:tcW w:w="6662"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0A7A5176" w14:textId="77777777" w:rsidR="00626597" w:rsidRDefault="00626597">
            <w:pPr>
              <w:spacing w:line="256" w:lineRule="auto"/>
              <w:rPr>
                <w:sz w:val="20"/>
                <w:szCs w:val="20"/>
              </w:rPr>
            </w:pPr>
            <w:r>
              <w:rPr>
                <w:rFonts w:asciiTheme="minorHAnsi" w:hAnsiTheme="minorHAnsi"/>
                <w:sz w:val="20"/>
              </w:rPr>
              <w:t xml:space="preserve">(2018) </w:t>
            </w:r>
            <w:r>
              <w:rPr>
                <w:rFonts w:asciiTheme="minorHAnsi" w:hAnsiTheme="minorHAnsi"/>
                <w:i/>
                <w:iCs/>
                <w:sz w:val="20"/>
              </w:rPr>
              <w:t>Market Assessment Report -Chinese Import Restrictions</w:t>
            </w:r>
          </w:p>
        </w:tc>
      </w:tr>
      <w:tr w:rsidR="00626597" w14:paraId="019326A8" w14:textId="77777777" w:rsidTr="00626597">
        <w:tc>
          <w:tcPr>
            <w:tcW w:w="2544"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707467F8" w14:textId="77777777" w:rsidR="00626597" w:rsidRDefault="00626597">
            <w:pPr>
              <w:spacing w:line="256" w:lineRule="auto"/>
              <w:rPr>
                <w:sz w:val="20"/>
                <w:szCs w:val="20"/>
              </w:rPr>
            </w:pPr>
            <w:r>
              <w:rPr>
                <w:sz w:val="20"/>
              </w:rPr>
              <w:t>Fed and state governments</w:t>
            </w:r>
          </w:p>
        </w:tc>
        <w:tc>
          <w:tcPr>
            <w:tcW w:w="6662" w:type="dxa"/>
            <w:tcBorders>
              <w:top w:val="nil"/>
              <w:left w:val="nil"/>
              <w:bottom w:val="single" w:sz="8" w:space="0" w:color="BFBFBF"/>
              <w:right w:val="single" w:sz="8" w:space="0" w:color="BFBFBF"/>
            </w:tcBorders>
            <w:tcMar>
              <w:top w:w="0" w:type="dxa"/>
              <w:left w:w="108" w:type="dxa"/>
              <w:bottom w:w="0" w:type="dxa"/>
              <w:right w:w="108" w:type="dxa"/>
            </w:tcMar>
            <w:vAlign w:val="center"/>
            <w:hideMark/>
          </w:tcPr>
          <w:p w14:paraId="3CC58BDB" w14:textId="1454248D" w:rsidR="00626597" w:rsidRPr="008034AC" w:rsidRDefault="00626597">
            <w:pPr>
              <w:spacing w:line="256" w:lineRule="auto"/>
              <w:rPr>
                <w:rFonts w:asciiTheme="minorHAnsi" w:hAnsiTheme="minorHAnsi"/>
                <w:sz w:val="20"/>
              </w:rPr>
            </w:pPr>
            <w:r w:rsidRPr="008034AC">
              <w:rPr>
                <w:rFonts w:asciiTheme="minorHAnsi" w:hAnsiTheme="minorHAnsi"/>
                <w:sz w:val="20"/>
              </w:rPr>
              <w:t xml:space="preserve">(2000-2018) </w:t>
            </w:r>
            <w:r w:rsidRPr="00301B43">
              <w:rPr>
                <w:rFonts w:asciiTheme="minorHAnsi" w:hAnsiTheme="minorHAnsi"/>
                <w:i/>
                <w:iCs/>
                <w:sz w:val="20"/>
              </w:rPr>
              <w:t>Australian Plastics Recycling Survey</w:t>
            </w:r>
          </w:p>
        </w:tc>
      </w:tr>
      <w:tr w:rsidR="002D513F" w14:paraId="63C06043" w14:textId="77777777" w:rsidTr="00CB60D7">
        <w:tc>
          <w:tcPr>
            <w:tcW w:w="2544" w:type="dxa"/>
            <w:tcBorders>
              <w:top w:val="nil"/>
              <w:left w:val="nil"/>
              <w:bottom w:val="single" w:sz="8" w:space="0" w:color="BFBFBF"/>
              <w:right w:val="single" w:sz="8" w:space="0" w:color="BFBFBF"/>
            </w:tcBorders>
            <w:tcMar>
              <w:top w:w="0" w:type="dxa"/>
              <w:left w:w="108" w:type="dxa"/>
              <w:bottom w:w="0" w:type="dxa"/>
              <w:right w:w="108" w:type="dxa"/>
            </w:tcMar>
          </w:tcPr>
          <w:p w14:paraId="719BE5C3" w14:textId="70432297" w:rsidR="002D513F" w:rsidRPr="008034AC" w:rsidRDefault="002D513F" w:rsidP="008034AC">
            <w:pPr>
              <w:spacing w:line="256" w:lineRule="auto"/>
              <w:rPr>
                <w:sz w:val="20"/>
              </w:rPr>
            </w:pPr>
            <w:r>
              <w:rPr>
                <w:sz w:val="20"/>
              </w:rPr>
              <w:t>Sustainability Victoria</w:t>
            </w:r>
          </w:p>
        </w:tc>
        <w:tc>
          <w:tcPr>
            <w:tcW w:w="6662" w:type="dxa"/>
            <w:tcBorders>
              <w:top w:val="nil"/>
              <w:left w:val="nil"/>
              <w:bottom w:val="single" w:sz="8" w:space="0" w:color="BFBFBF"/>
              <w:right w:val="single" w:sz="8" w:space="0" w:color="BFBFBF"/>
            </w:tcBorders>
            <w:tcMar>
              <w:top w:w="0" w:type="dxa"/>
              <w:left w:w="108" w:type="dxa"/>
              <w:bottom w:w="0" w:type="dxa"/>
              <w:right w:w="108" w:type="dxa"/>
            </w:tcMar>
          </w:tcPr>
          <w:p w14:paraId="04CA663A" w14:textId="34448ACF" w:rsidR="002D513F" w:rsidRPr="008034AC" w:rsidRDefault="00C66B16" w:rsidP="00C66B16">
            <w:pPr>
              <w:pStyle w:val="ReportTitle"/>
              <w:rPr>
                <w:rFonts w:asciiTheme="minorHAnsi" w:hAnsiTheme="minorHAnsi"/>
                <w:sz w:val="20"/>
              </w:rPr>
            </w:pPr>
            <w:r w:rsidRPr="00C66B16">
              <w:rPr>
                <w:rFonts w:asciiTheme="minorHAnsi" w:hAnsiTheme="minorHAnsi"/>
                <w:b w:val="0"/>
                <w:bCs/>
                <w:sz w:val="20"/>
              </w:rPr>
              <w:t xml:space="preserve">(2018) </w:t>
            </w:r>
            <w:r w:rsidRPr="00C66B16">
              <w:rPr>
                <w:rFonts w:asciiTheme="minorHAnsi" w:hAnsiTheme="minorHAnsi" w:cstheme="minorHAnsi"/>
                <w:b w:val="0"/>
                <w:bCs/>
                <w:i/>
                <w:iCs/>
                <w:sz w:val="20"/>
                <w:szCs w:val="20"/>
              </w:rPr>
              <w:fldChar w:fldCharType="begin"/>
            </w:r>
            <w:r w:rsidRPr="00C66B16">
              <w:rPr>
                <w:rFonts w:asciiTheme="minorHAnsi" w:hAnsiTheme="minorHAnsi" w:cstheme="minorHAnsi"/>
                <w:b w:val="0"/>
                <w:bCs/>
                <w:i/>
                <w:iCs/>
                <w:sz w:val="20"/>
                <w:szCs w:val="20"/>
              </w:rPr>
              <w:instrText xml:space="preserve"> DOCPROPERTY  ProjectName  \* MERGEFORMAT </w:instrText>
            </w:r>
            <w:r w:rsidRPr="00C66B16">
              <w:rPr>
                <w:rFonts w:asciiTheme="minorHAnsi" w:hAnsiTheme="minorHAnsi" w:cstheme="minorHAnsi"/>
                <w:b w:val="0"/>
                <w:bCs/>
                <w:i/>
                <w:iCs/>
                <w:sz w:val="20"/>
                <w:szCs w:val="20"/>
              </w:rPr>
              <w:fldChar w:fldCharType="separate"/>
            </w:r>
            <w:r w:rsidRPr="00C66B16">
              <w:rPr>
                <w:rFonts w:asciiTheme="minorHAnsi" w:hAnsiTheme="minorHAnsi" w:cstheme="minorHAnsi"/>
                <w:b w:val="0"/>
                <w:bCs/>
                <w:i/>
                <w:iCs/>
                <w:sz w:val="20"/>
                <w:szCs w:val="20"/>
              </w:rPr>
              <w:t>Chinese import restrictions impact assessment on Victoria</w:t>
            </w:r>
            <w:r w:rsidRPr="00C66B16">
              <w:rPr>
                <w:rFonts w:asciiTheme="minorHAnsi" w:hAnsiTheme="minorHAnsi" w:cstheme="minorHAnsi"/>
                <w:b w:val="0"/>
                <w:bCs/>
                <w:i/>
                <w:iCs/>
                <w:sz w:val="20"/>
                <w:szCs w:val="20"/>
              </w:rPr>
              <w:fldChar w:fldCharType="end"/>
            </w:r>
          </w:p>
        </w:tc>
      </w:tr>
      <w:tr w:rsidR="008034AC" w14:paraId="0AB9E5CB" w14:textId="77777777" w:rsidTr="00CB60D7">
        <w:tc>
          <w:tcPr>
            <w:tcW w:w="2544" w:type="dxa"/>
            <w:tcBorders>
              <w:top w:val="nil"/>
              <w:left w:val="nil"/>
              <w:bottom w:val="single" w:sz="8" w:space="0" w:color="BFBFBF"/>
              <w:right w:val="single" w:sz="8" w:space="0" w:color="BFBFBF"/>
            </w:tcBorders>
            <w:tcMar>
              <w:top w:w="0" w:type="dxa"/>
              <w:left w:w="108" w:type="dxa"/>
              <w:bottom w:w="0" w:type="dxa"/>
              <w:right w:w="108" w:type="dxa"/>
            </w:tcMar>
          </w:tcPr>
          <w:p w14:paraId="62066097" w14:textId="1A5D23D8" w:rsidR="008034AC" w:rsidRDefault="008034AC" w:rsidP="008034AC">
            <w:pPr>
              <w:spacing w:line="256" w:lineRule="auto"/>
              <w:rPr>
                <w:sz w:val="20"/>
              </w:rPr>
            </w:pPr>
            <w:r w:rsidRPr="008034AC">
              <w:rPr>
                <w:sz w:val="20"/>
              </w:rPr>
              <w:t>ACOR</w:t>
            </w:r>
          </w:p>
        </w:tc>
        <w:tc>
          <w:tcPr>
            <w:tcW w:w="6662" w:type="dxa"/>
            <w:tcBorders>
              <w:top w:val="nil"/>
              <w:left w:val="nil"/>
              <w:bottom w:val="single" w:sz="8" w:space="0" w:color="BFBFBF"/>
              <w:right w:val="single" w:sz="8" w:space="0" w:color="BFBFBF"/>
            </w:tcBorders>
            <w:tcMar>
              <w:top w:w="0" w:type="dxa"/>
              <w:left w:w="108" w:type="dxa"/>
              <w:bottom w:w="0" w:type="dxa"/>
              <w:right w:w="108" w:type="dxa"/>
            </w:tcMar>
          </w:tcPr>
          <w:p w14:paraId="29B47359" w14:textId="1BB8B899" w:rsidR="008034AC" w:rsidRPr="008034AC" w:rsidRDefault="008034AC" w:rsidP="008034AC">
            <w:pPr>
              <w:spacing w:line="256" w:lineRule="auto"/>
              <w:rPr>
                <w:rFonts w:asciiTheme="minorHAnsi" w:hAnsiTheme="minorHAnsi"/>
                <w:sz w:val="20"/>
              </w:rPr>
            </w:pPr>
            <w:r w:rsidRPr="008034AC">
              <w:rPr>
                <w:rFonts w:asciiTheme="minorHAnsi" w:hAnsiTheme="minorHAnsi"/>
                <w:sz w:val="20"/>
              </w:rPr>
              <w:t xml:space="preserve">(2018) </w:t>
            </w:r>
            <w:r w:rsidRPr="008034AC">
              <w:rPr>
                <w:rFonts w:asciiTheme="minorHAnsi" w:hAnsiTheme="minorHAnsi"/>
                <w:i/>
                <w:iCs/>
                <w:sz w:val="20"/>
              </w:rPr>
              <w:t>China National Sword-The role of Federal Government</w:t>
            </w:r>
          </w:p>
        </w:tc>
      </w:tr>
      <w:tr w:rsidR="00981E5E" w14:paraId="6C457671" w14:textId="77777777" w:rsidTr="00626597">
        <w:tc>
          <w:tcPr>
            <w:tcW w:w="2544" w:type="dxa"/>
            <w:tcBorders>
              <w:top w:val="nil"/>
              <w:left w:val="nil"/>
              <w:bottom w:val="single" w:sz="8" w:space="0" w:color="BFBFBF"/>
              <w:right w:val="single" w:sz="8" w:space="0" w:color="BFBFBF"/>
            </w:tcBorders>
            <w:tcMar>
              <w:top w:w="0" w:type="dxa"/>
              <w:left w:w="108" w:type="dxa"/>
              <w:bottom w:w="0" w:type="dxa"/>
              <w:right w:w="108" w:type="dxa"/>
            </w:tcMar>
            <w:vAlign w:val="center"/>
          </w:tcPr>
          <w:p w14:paraId="2104C06B" w14:textId="36B63720" w:rsidR="00981E5E" w:rsidRDefault="00981E5E" w:rsidP="00981E5E">
            <w:pPr>
              <w:spacing w:line="256" w:lineRule="auto"/>
              <w:rPr>
                <w:sz w:val="20"/>
              </w:rPr>
            </w:pPr>
            <w:r>
              <w:rPr>
                <w:sz w:val="20"/>
              </w:rPr>
              <w:t>APCO</w:t>
            </w:r>
          </w:p>
        </w:tc>
        <w:tc>
          <w:tcPr>
            <w:tcW w:w="6662" w:type="dxa"/>
            <w:tcBorders>
              <w:top w:val="nil"/>
              <w:left w:val="nil"/>
              <w:bottom w:val="single" w:sz="8" w:space="0" w:color="BFBFBF"/>
              <w:right w:val="single" w:sz="8" w:space="0" w:color="BFBFBF"/>
            </w:tcBorders>
            <w:tcMar>
              <w:top w:w="0" w:type="dxa"/>
              <w:left w:w="108" w:type="dxa"/>
              <w:bottom w:w="0" w:type="dxa"/>
              <w:right w:w="108" w:type="dxa"/>
            </w:tcMar>
            <w:vAlign w:val="center"/>
          </w:tcPr>
          <w:p w14:paraId="4E56A003" w14:textId="55899FC1" w:rsidR="00981E5E" w:rsidRDefault="00981E5E" w:rsidP="00981E5E">
            <w:pPr>
              <w:spacing w:line="256" w:lineRule="auto"/>
              <w:rPr>
                <w:sz w:val="20"/>
              </w:rPr>
            </w:pPr>
            <w:r>
              <w:rPr>
                <w:sz w:val="20"/>
              </w:rPr>
              <w:t xml:space="preserve">(2016) </w:t>
            </w:r>
            <w:r>
              <w:rPr>
                <w:i/>
                <w:sz w:val="20"/>
              </w:rPr>
              <w:t>National Recycling and Recovery Survey (NRRS) for plastics packaging</w:t>
            </w:r>
          </w:p>
        </w:tc>
      </w:tr>
      <w:tr w:rsidR="00626597" w14:paraId="7B6C16A8" w14:textId="77777777" w:rsidTr="00626597">
        <w:tc>
          <w:tcPr>
            <w:tcW w:w="2544" w:type="dxa"/>
            <w:tcBorders>
              <w:top w:val="nil"/>
              <w:left w:val="nil"/>
              <w:bottom w:val="single" w:sz="8" w:space="0" w:color="BFBFBF"/>
              <w:right w:val="single" w:sz="8" w:space="0" w:color="BFBFBF"/>
            </w:tcBorders>
            <w:tcMar>
              <w:top w:w="0" w:type="dxa"/>
              <w:left w:w="108" w:type="dxa"/>
              <w:bottom w:w="0" w:type="dxa"/>
              <w:right w:w="108" w:type="dxa"/>
            </w:tcMar>
            <w:vAlign w:val="center"/>
          </w:tcPr>
          <w:p w14:paraId="43AAF5DF" w14:textId="216C4BE9" w:rsidR="00626597" w:rsidRDefault="000A6B3B">
            <w:pPr>
              <w:spacing w:line="256" w:lineRule="auto"/>
              <w:rPr>
                <w:sz w:val="20"/>
              </w:rPr>
            </w:pPr>
            <w:r>
              <w:rPr>
                <w:sz w:val="20"/>
              </w:rPr>
              <w:t>ACOR</w:t>
            </w:r>
          </w:p>
        </w:tc>
        <w:tc>
          <w:tcPr>
            <w:tcW w:w="6662" w:type="dxa"/>
            <w:tcBorders>
              <w:top w:val="nil"/>
              <w:left w:val="nil"/>
              <w:bottom w:val="single" w:sz="8" w:space="0" w:color="BFBFBF"/>
              <w:right w:val="single" w:sz="8" w:space="0" w:color="BFBFBF"/>
            </w:tcBorders>
            <w:tcMar>
              <w:top w:w="0" w:type="dxa"/>
              <w:left w:w="108" w:type="dxa"/>
              <w:bottom w:w="0" w:type="dxa"/>
              <w:right w:w="108" w:type="dxa"/>
            </w:tcMar>
            <w:vAlign w:val="center"/>
          </w:tcPr>
          <w:p w14:paraId="10A740C2" w14:textId="31AB59CD" w:rsidR="00626597" w:rsidRDefault="000A6B3B">
            <w:pPr>
              <w:spacing w:line="256" w:lineRule="auto"/>
              <w:rPr>
                <w:sz w:val="20"/>
              </w:rPr>
            </w:pPr>
            <w:r>
              <w:rPr>
                <w:sz w:val="20"/>
              </w:rPr>
              <w:t>(2018)</w:t>
            </w:r>
            <w:r w:rsidR="00301B43">
              <w:rPr>
                <w:sz w:val="20"/>
              </w:rPr>
              <w:t xml:space="preserve"> </w:t>
            </w:r>
            <w:r w:rsidR="00301B43" w:rsidRPr="00301B43">
              <w:rPr>
                <w:i/>
                <w:iCs/>
                <w:sz w:val="20"/>
              </w:rPr>
              <w:t>Ten point plan for results based recycling</w:t>
            </w:r>
          </w:p>
        </w:tc>
      </w:tr>
      <w:tr w:rsidR="00626597" w14:paraId="55EC8308" w14:textId="77777777" w:rsidTr="00626597">
        <w:tc>
          <w:tcPr>
            <w:tcW w:w="2544" w:type="dxa"/>
            <w:tcBorders>
              <w:top w:val="nil"/>
              <w:left w:val="nil"/>
              <w:bottom w:val="nil"/>
              <w:right w:val="single" w:sz="8" w:space="0" w:color="BFBFBF"/>
            </w:tcBorders>
            <w:tcMar>
              <w:top w:w="0" w:type="dxa"/>
              <w:left w:w="108" w:type="dxa"/>
              <w:bottom w:w="0" w:type="dxa"/>
              <w:right w:w="108" w:type="dxa"/>
            </w:tcMar>
            <w:vAlign w:val="center"/>
            <w:hideMark/>
          </w:tcPr>
          <w:p w14:paraId="6DECDA07" w14:textId="77777777" w:rsidR="00626597" w:rsidRDefault="00626597">
            <w:pPr>
              <w:spacing w:line="256" w:lineRule="auto"/>
              <w:rPr>
                <w:sz w:val="20"/>
              </w:rPr>
            </w:pPr>
            <w:r>
              <w:rPr>
                <w:sz w:val="20"/>
              </w:rPr>
              <w:t>Sustainability Victoria</w:t>
            </w:r>
          </w:p>
        </w:tc>
        <w:tc>
          <w:tcPr>
            <w:tcW w:w="6662" w:type="dxa"/>
            <w:tcBorders>
              <w:top w:val="nil"/>
              <w:left w:val="nil"/>
              <w:bottom w:val="nil"/>
              <w:right w:val="single" w:sz="8" w:space="0" w:color="BFBFBF"/>
            </w:tcBorders>
            <w:tcMar>
              <w:top w:w="0" w:type="dxa"/>
              <w:left w:w="108" w:type="dxa"/>
              <w:bottom w:w="0" w:type="dxa"/>
              <w:right w:w="108" w:type="dxa"/>
            </w:tcMar>
            <w:vAlign w:val="center"/>
            <w:hideMark/>
          </w:tcPr>
          <w:p w14:paraId="327537DA" w14:textId="77777777" w:rsidR="00626597" w:rsidRDefault="00626597">
            <w:pPr>
              <w:spacing w:line="256" w:lineRule="auto"/>
              <w:rPr>
                <w:sz w:val="20"/>
              </w:rPr>
            </w:pPr>
            <w:r>
              <w:rPr>
                <w:sz w:val="20"/>
              </w:rPr>
              <w:t xml:space="preserve">(2013) </w:t>
            </w:r>
            <w:r>
              <w:rPr>
                <w:i/>
                <w:iCs/>
                <w:sz w:val="20"/>
              </w:rPr>
              <w:t>Recycled materials market report</w:t>
            </w:r>
          </w:p>
        </w:tc>
      </w:tr>
    </w:tbl>
    <w:p w14:paraId="339535BD" w14:textId="77777777" w:rsidR="001D2261" w:rsidRDefault="001D2261" w:rsidP="00363D37"/>
    <w:p w14:paraId="5DC4E3C4" w14:textId="77777777" w:rsidR="005E5E1C" w:rsidRDefault="005E5E1C" w:rsidP="00363D37"/>
    <w:p w14:paraId="6562BBBB" w14:textId="77777777" w:rsidR="005E5E1C" w:rsidRDefault="005E5E1C" w:rsidP="00363D37"/>
    <w:p w14:paraId="3773F946" w14:textId="77777777" w:rsidR="002D513F" w:rsidRPr="00617095" w:rsidRDefault="002D513F" w:rsidP="002D513F"/>
    <w:p w14:paraId="17C8D37F" w14:textId="77777777" w:rsidR="001D2261" w:rsidRDefault="001D2261" w:rsidP="00363D37"/>
    <w:p w14:paraId="0E666B75" w14:textId="77777777" w:rsidR="005E5E1C" w:rsidRDefault="005E5E1C" w:rsidP="00363D37"/>
    <w:sectPr w:rsidR="005E5E1C" w:rsidSect="001D2261">
      <w:footerReference w:type="default" r:id="rId27"/>
      <w:pgSz w:w="11907" w:h="16840" w:code="9"/>
      <w:pgMar w:top="1418" w:right="1418" w:bottom="567" w:left="1418"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90680" w14:textId="77777777" w:rsidR="007B29C9" w:rsidRDefault="007B29C9" w:rsidP="00363D37">
      <w:r>
        <w:separator/>
      </w:r>
    </w:p>
  </w:endnote>
  <w:endnote w:type="continuationSeparator" w:id="0">
    <w:p w14:paraId="2F22051F" w14:textId="77777777" w:rsidR="007B29C9" w:rsidRDefault="007B29C9" w:rsidP="00363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tham Book">
    <w:altName w:val="Times New Roman"/>
    <w:panose1 w:val="00000000000000000000"/>
    <w:charset w:val="00"/>
    <w:family w:val="modern"/>
    <w:notTrueType/>
    <w:pitch w:val="variable"/>
    <w:sig w:usb0="A10000FF" w:usb1="4000005B" w:usb2="00000000" w:usb3="00000000" w:csb0="0000009B" w:csb1="00000000"/>
  </w:font>
  <w:font w:name="Gotham Medium">
    <w:altName w:val="Calibri"/>
    <w:panose1 w:val="00000000000000000000"/>
    <w:charset w:val="00"/>
    <w:family w:val="modern"/>
    <w:notTrueType/>
    <w:pitch w:val="variable"/>
    <w:sig w:usb0="A10000FF"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Gotham Light">
    <w:altName w:val="Calibri"/>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A3414" w14:textId="77777777" w:rsidR="00D9752A" w:rsidRDefault="00D975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9F866" w14:textId="77777777" w:rsidR="00D9752A" w:rsidRDefault="00D975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A16EE" w14:textId="77777777" w:rsidR="00D9752A" w:rsidRDefault="00D9752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00AD68"/>
      </w:tblBorders>
      <w:tblCellMar>
        <w:left w:w="0" w:type="dxa"/>
        <w:right w:w="0" w:type="dxa"/>
      </w:tblCellMar>
      <w:tblLook w:val="01E0" w:firstRow="1" w:lastRow="1" w:firstColumn="1" w:lastColumn="1" w:noHBand="0" w:noVBand="0"/>
    </w:tblPr>
    <w:tblGrid>
      <w:gridCol w:w="7870"/>
      <w:gridCol w:w="1201"/>
    </w:tblGrid>
    <w:tr w:rsidR="00877560" w:rsidRPr="0026116A" w14:paraId="52928F6B" w14:textId="77777777" w:rsidTr="003656AD">
      <w:trPr>
        <w:trHeight w:val="132"/>
      </w:trPr>
      <w:tc>
        <w:tcPr>
          <w:tcW w:w="4338" w:type="pct"/>
        </w:tcPr>
        <w:p w14:paraId="5D1AA1A0" w14:textId="77777777" w:rsidR="00877560" w:rsidRPr="0026116A" w:rsidRDefault="00877560" w:rsidP="0026116A">
          <w:pPr>
            <w:spacing w:before="60" w:after="60" w:line="240" w:lineRule="auto"/>
            <w:rPr>
              <w:sz w:val="18"/>
              <w:szCs w:val="18"/>
            </w:rPr>
          </w:pPr>
          <w:r w:rsidRPr="0026116A">
            <w:rPr>
              <w:sz w:val="18"/>
              <w:szCs w:val="18"/>
            </w:rPr>
            <w:t>Sustainable Resource Use Pty Ltd</w:t>
          </w:r>
        </w:p>
      </w:tc>
      <w:tc>
        <w:tcPr>
          <w:tcW w:w="662" w:type="pct"/>
        </w:tcPr>
        <w:p w14:paraId="61B75DB3" w14:textId="77777777" w:rsidR="00877560" w:rsidRPr="0026116A" w:rsidRDefault="00877560" w:rsidP="0026116A">
          <w:pPr>
            <w:spacing w:before="60" w:after="60" w:line="240" w:lineRule="auto"/>
            <w:jc w:val="right"/>
            <w:rPr>
              <w:sz w:val="18"/>
              <w:szCs w:val="18"/>
            </w:rPr>
          </w:pPr>
          <w:r w:rsidRPr="0026116A">
            <w:rPr>
              <w:sz w:val="18"/>
              <w:szCs w:val="18"/>
            </w:rPr>
            <w:t xml:space="preserve">Page </w:t>
          </w:r>
          <w:r w:rsidRPr="0026116A">
            <w:rPr>
              <w:sz w:val="18"/>
              <w:szCs w:val="18"/>
            </w:rPr>
            <w:fldChar w:fldCharType="begin"/>
          </w:r>
          <w:r w:rsidRPr="0026116A">
            <w:rPr>
              <w:sz w:val="18"/>
              <w:szCs w:val="18"/>
            </w:rPr>
            <w:instrText xml:space="preserve"> PAGE   \* MERGEFORMAT </w:instrText>
          </w:r>
          <w:r w:rsidRPr="0026116A">
            <w:rPr>
              <w:sz w:val="18"/>
              <w:szCs w:val="18"/>
            </w:rPr>
            <w:fldChar w:fldCharType="separate"/>
          </w:r>
          <w:r w:rsidR="00D9752A">
            <w:rPr>
              <w:noProof/>
              <w:sz w:val="18"/>
              <w:szCs w:val="18"/>
            </w:rPr>
            <w:t>iii</w:t>
          </w:r>
          <w:r w:rsidRPr="0026116A">
            <w:rPr>
              <w:noProof/>
              <w:sz w:val="18"/>
              <w:szCs w:val="18"/>
            </w:rPr>
            <w:fldChar w:fldCharType="end"/>
          </w:r>
        </w:p>
      </w:tc>
    </w:tr>
  </w:tbl>
  <w:p w14:paraId="5B94CB38" w14:textId="77777777" w:rsidR="00877560" w:rsidRPr="00840779" w:rsidRDefault="00877560" w:rsidP="0026116A">
    <w:pPr>
      <w:spacing w:after="0" w:line="240" w:lineRule="auto"/>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00613F"/>
      </w:tblBorders>
      <w:tblCellMar>
        <w:left w:w="0" w:type="dxa"/>
        <w:right w:w="0" w:type="dxa"/>
      </w:tblCellMar>
      <w:tblLook w:val="01E0" w:firstRow="1" w:lastRow="1" w:firstColumn="1" w:lastColumn="1" w:noHBand="0" w:noVBand="0"/>
    </w:tblPr>
    <w:tblGrid>
      <w:gridCol w:w="7870"/>
      <w:gridCol w:w="1201"/>
    </w:tblGrid>
    <w:tr w:rsidR="00877560" w:rsidRPr="009664A9" w14:paraId="46272578" w14:textId="77777777" w:rsidTr="003A4D6D">
      <w:trPr>
        <w:trHeight w:val="132"/>
      </w:trPr>
      <w:tc>
        <w:tcPr>
          <w:tcW w:w="4338" w:type="pct"/>
          <w:tcBorders>
            <w:top w:val="single" w:sz="4" w:space="0" w:color="00613F"/>
          </w:tcBorders>
        </w:tcPr>
        <w:p w14:paraId="48A01A7F" w14:textId="24711638" w:rsidR="00877560" w:rsidRPr="002E7825" w:rsidRDefault="00D9752A" w:rsidP="00363D37">
          <w:r>
            <w:fldChar w:fldCharType="begin"/>
          </w:r>
          <w:r>
            <w:instrText xml:space="preserve"> DOCPROPERTY  Client  \* MERGEFORMAT </w:instrText>
          </w:r>
          <w:r>
            <w:fldChar w:fldCharType="separate"/>
          </w:r>
          <w:r w:rsidR="00FA46DB">
            <w:t>[Client field entry]</w:t>
          </w:r>
          <w:r>
            <w:fldChar w:fldCharType="end"/>
          </w:r>
          <w:r w:rsidR="00877560" w:rsidRPr="002E7825">
            <w:t xml:space="preserve"> - </w:t>
          </w:r>
          <w:r>
            <w:fldChar w:fldCharType="begin"/>
          </w:r>
          <w:r>
            <w:instrText xml:space="preserve"> DOCPROPERTY  ReportTitle  \* MERGEFORMAT </w:instrText>
          </w:r>
          <w:r>
            <w:fldChar w:fldCharType="separate"/>
          </w:r>
          <w:r w:rsidR="00FA46DB">
            <w:t>[Report title field entry]</w:t>
          </w:r>
          <w:r>
            <w:fldChar w:fldCharType="end"/>
          </w:r>
          <w:r w:rsidR="00877560" w:rsidRPr="002E7825">
            <w:t xml:space="preserve"> - </w:t>
          </w:r>
          <w:r>
            <w:fldChar w:fldCharType="begin"/>
          </w:r>
          <w:r>
            <w:instrText xml:space="preserve"> DOCPROPERTY  ReportNum  \* MERGEFORMAT </w:instrText>
          </w:r>
          <w:r>
            <w:fldChar w:fldCharType="separate"/>
          </w:r>
          <w:r w:rsidR="00FA46DB">
            <w:t>[R##-##-A#####]</w:t>
          </w:r>
          <w:r>
            <w:fldChar w:fldCharType="end"/>
          </w:r>
        </w:p>
        <w:p w14:paraId="4125497C" w14:textId="77777777" w:rsidR="00877560" w:rsidRPr="002E7825" w:rsidRDefault="00877560" w:rsidP="00363D37">
          <w:r w:rsidRPr="002E7825">
            <w:t>Sustainable Resource Use Pty Ltd I ABN 52 151 861 602</w:t>
          </w:r>
        </w:p>
      </w:tc>
      <w:tc>
        <w:tcPr>
          <w:tcW w:w="662" w:type="pct"/>
          <w:tcBorders>
            <w:top w:val="single" w:sz="4" w:space="0" w:color="00613F"/>
          </w:tcBorders>
        </w:tcPr>
        <w:p w14:paraId="4E810199" w14:textId="77777777" w:rsidR="00877560" w:rsidRPr="003F4254" w:rsidRDefault="00877560" w:rsidP="000B1D52">
          <w:r w:rsidRPr="003F4254">
            <w:t xml:space="preserve">Page </w:t>
          </w:r>
          <w:r w:rsidRPr="002E7825">
            <w:fldChar w:fldCharType="begin"/>
          </w:r>
          <w:r w:rsidRPr="002E7825">
            <w:instrText xml:space="preserve"> PAGE   \* MERGEFORMAT </w:instrText>
          </w:r>
          <w:r w:rsidRPr="002E7825">
            <w:fldChar w:fldCharType="separate"/>
          </w:r>
          <w:r>
            <w:rPr>
              <w:noProof/>
            </w:rPr>
            <w:t>ii</w:t>
          </w:r>
          <w:r w:rsidRPr="002E7825">
            <w:rPr>
              <w:noProof/>
            </w:rPr>
            <w:fldChar w:fldCharType="end"/>
          </w:r>
        </w:p>
      </w:tc>
    </w:tr>
  </w:tbl>
  <w:p w14:paraId="66D55318" w14:textId="77777777" w:rsidR="00877560" w:rsidRDefault="00877560" w:rsidP="000B1D5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00AD68"/>
      </w:tblBorders>
      <w:tblCellMar>
        <w:left w:w="0" w:type="dxa"/>
        <w:right w:w="0" w:type="dxa"/>
      </w:tblCellMar>
      <w:tblLook w:val="01E0" w:firstRow="1" w:lastRow="1" w:firstColumn="1" w:lastColumn="1" w:noHBand="0" w:noVBand="0"/>
    </w:tblPr>
    <w:tblGrid>
      <w:gridCol w:w="7870"/>
      <w:gridCol w:w="1201"/>
    </w:tblGrid>
    <w:tr w:rsidR="00877560" w:rsidRPr="0026116A" w14:paraId="3157A5AE" w14:textId="77777777" w:rsidTr="003656AD">
      <w:trPr>
        <w:trHeight w:val="132"/>
      </w:trPr>
      <w:tc>
        <w:tcPr>
          <w:tcW w:w="4338" w:type="pct"/>
        </w:tcPr>
        <w:p w14:paraId="0C95B48D" w14:textId="77777777" w:rsidR="00877560" w:rsidRPr="0026116A" w:rsidRDefault="00877560" w:rsidP="0026116A">
          <w:pPr>
            <w:spacing w:before="60" w:after="60" w:line="240" w:lineRule="auto"/>
            <w:rPr>
              <w:sz w:val="18"/>
              <w:szCs w:val="18"/>
            </w:rPr>
          </w:pPr>
          <w:r w:rsidRPr="0026116A">
            <w:rPr>
              <w:sz w:val="18"/>
              <w:szCs w:val="18"/>
            </w:rPr>
            <w:t>Sustainable Resource Use Pty Ltd</w:t>
          </w:r>
        </w:p>
      </w:tc>
      <w:tc>
        <w:tcPr>
          <w:tcW w:w="662" w:type="pct"/>
        </w:tcPr>
        <w:p w14:paraId="663C4609" w14:textId="77777777" w:rsidR="00877560" w:rsidRPr="0026116A" w:rsidRDefault="00877560" w:rsidP="0026116A">
          <w:pPr>
            <w:spacing w:before="60" w:after="60" w:line="240" w:lineRule="auto"/>
            <w:jc w:val="right"/>
            <w:rPr>
              <w:sz w:val="18"/>
              <w:szCs w:val="18"/>
            </w:rPr>
          </w:pPr>
          <w:r w:rsidRPr="0026116A">
            <w:rPr>
              <w:sz w:val="18"/>
              <w:szCs w:val="18"/>
            </w:rPr>
            <w:t xml:space="preserve">Page </w:t>
          </w:r>
          <w:r w:rsidRPr="0026116A">
            <w:rPr>
              <w:sz w:val="18"/>
              <w:szCs w:val="18"/>
            </w:rPr>
            <w:fldChar w:fldCharType="begin"/>
          </w:r>
          <w:r w:rsidRPr="0026116A">
            <w:rPr>
              <w:sz w:val="18"/>
              <w:szCs w:val="18"/>
            </w:rPr>
            <w:instrText xml:space="preserve"> PAGE   \* MERGEFORMAT </w:instrText>
          </w:r>
          <w:r w:rsidRPr="0026116A">
            <w:rPr>
              <w:sz w:val="18"/>
              <w:szCs w:val="18"/>
            </w:rPr>
            <w:fldChar w:fldCharType="separate"/>
          </w:r>
          <w:r w:rsidR="00D9752A">
            <w:rPr>
              <w:noProof/>
              <w:sz w:val="18"/>
              <w:szCs w:val="18"/>
            </w:rPr>
            <w:t>22</w:t>
          </w:r>
          <w:r w:rsidRPr="0026116A">
            <w:rPr>
              <w:noProof/>
              <w:sz w:val="18"/>
              <w:szCs w:val="18"/>
            </w:rPr>
            <w:fldChar w:fldCharType="end"/>
          </w:r>
        </w:p>
      </w:tc>
    </w:tr>
  </w:tbl>
  <w:p w14:paraId="0A7BD8F5" w14:textId="77777777" w:rsidR="00877560" w:rsidRPr="0026116A" w:rsidRDefault="00877560" w:rsidP="0026116A">
    <w:pPr>
      <w:spacing w:after="0" w:line="240" w:lineRule="auto"/>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80BD1" w14:textId="77777777" w:rsidR="007B29C9" w:rsidRDefault="007B29C9" w:rsidP="00363D37">
      <w:r>
        <w:separator/>
      </w:r>
    </w:p>
  </w:footnote>
  <w:footnote w:type="continuationSeparator" w:id="0">
    <w:p w14:paraId="1F1F4FA5" w14:textId="77777777" w:rsidR="007B29C9" w:rsidRDefault="007B29C9" w:rsidP="00363D37">
      <w:r>
        <w:continuationSeparator/>
      </w:r>
    </w:p>
  </w:footnote>
  <w:footnote w:id="1">
    <w:p w14:paraId="71088C8E" w14:textId="77777777" w:rsidR="00877560" w:rsidRDefault="00877560" w:rsidP="00FE6BEB">
      <w:pPr>
        <w:pStyle w:val="FootnoteText"/>
      </w:pPr>
      <w:r>
        <w:rPr>
          <w:rStyle w:val="FootnoteReference"/>
        </w:rPr>
        <w:footnoteRef/>
      </w:r>
      <w:r>
        <w:t xml:space="preserve"> </w:t>
      </w:r>
      <w:r w:rsidRPr="00DD2F74">
        <w:t>EXW MRF means that the sale price is an estimate at the outgoing gate of the MRF.</w:t>
      </w:r>
    </w:p>
  </w:footnote>
  <w:footnote w:id="2">
    <w:p w14:paraId="29BCF28B" w14:textId="77777777" w:rsidR="00877560" w:rsidRDefault="00877560" w:rsidP="00C842B5">
      <w:pPr>
        <w:pStyle w:val="FootnoteText"/>
      </w:pPr>
      <w:r>
        <w:rPr>
          <w:rStyle w:val="FootnoteReference"/>
        </w:rPr>
        <w:footnoteRef/>
      </w:r>
      <w:r>
        <w:t xml:space="preserve"> </w:t>
      </w:r>
      <w:r w:rsidRPr="00DD2F74">
        <w:t>EXW MRF means that the sale price is an estimate at the outgoing gate of the MRF.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75899" w14:textId="77777777" w:rsidR="00D9752A" w:rsidRDefault="00D975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FC46D" w14:textId="77777777" w:rsidR="00D9752A" w:rsidRDefault="00D975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DA928" w14:textId="77777777" w:rsidR="00877560" w:rsidRDefault="00877560" w:rsidP="00363D37">
    <w:r w:rsidRPr="00E71DE1">
      <w:rPr>
        <w:noProof/>
      </w:rPr>
      <w:drawing>
        <wp:anchor distT="0" distB="0" distL="114300" distR="114300" simplePos="0" relativeHeight="251699200" behindDoc="1" locked="1" layoutInCell="1" allowOverlap="0" wp14:anchorId="10846C12" wp14:editId="43329D38">
          <wp:simplePos x="0" y="0"/>
          <wp:positionH relativeFrom="page">
            <wp:posOffset>6276975</wp:posOffset>
          </wp:positionH>
          <wp:positionV relativeFrom="page">
            <wp:posOffset>400050</wp:posOffset>
          </wp:positionV>
          <wp:extent cx="523875" cy="497205"/>
          <wp:effectExtent l="0" t="0" r="9525" b="0"/>
          <wp:wrapNone/>
          <wp:docPr id="9" name="Picture 9" descr="head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df"/>
                  <pic:cNvPicPr/>
                </pic:nvPicPr>
                <pic:blipFill rotWithShape="1">
                  <a:blip r:embed="rId1" cstate="email">
                    <a:clrChange>
                      <a:clrFrom>
                        <a:srgbClr val="000000">
                          <a:alpha val="0"/>
                        </a:srgbClr>
                      </a:clrFrom>
                      <a:clrTo>
                        <a:srgbClr val="000000">
                          <a:alpha val="0"/>
                        </a:srgbClr>
                      </a:clrTo>
                    </a:clrChange>
                    <a:extLst>
                      <a:ext uri="{BEBA8EAE-BF5A-486C-A8C5-ECC9F3942E4B}">
                        <a14:imgProps xmlns:a14="http://schemas.microsoft.com/office/drawing/2010/main">
                          <a14:imgLayer r:embed="rId2">
                            <a14:imgEffect>
                              <a14:sharpenSoften amount="56000"/>
                            </a14:imgEffect>
                            <a14:imgEffect>
                              <a14:brightnessContrast bright="-40000" contrast="-40000"/>
                            </a14:imgEffect>
                          </a14:imgLayer>
                        </a14:imgProps>
                      </a:ext>
                      <a:ext uri="{28A0092B-C50C-407E-A947-70E740481C1C}">
                        <a14:useLocalDpi xmlns:a14="http://schemas.microsoft.com/office/drawing/2010/main"/>
                      </a:ext>
                    </a:extLst>
                  </a:blip>
                  <a:srcRect/>
                  <a:stretch/>
                </pic:blipFill>
                <pic:spPr bwMode="auto">
                  <a:xfrm>
                    <a:off x="0" y="0"/>
                    <a:ext cx="523875" cy="497205"/>
                  </a:xfrm>
                  <a:prstGeom prst="rect">
                    <a:avLst/>
                  </a:prstGeom>
                  <a:noFill/>
                  <a:ln>
                    <a:noFill/>
                  </a:ln>
                  <a:effectLst>
                    <a:outerShdw sx="1000" sy="1000" algn="ctr" rotWithShape="0">
                      <a:srgbClr val="000000"/>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365DA" w14:textId="77777777" w:rsidR="00877560" w:rsidRPr="00376347" w:rsidRDefault="00877560" w:rsidP="00396C3A">
    <w:r w:rsidRPr="00E71DE1">
      <w:rPr>
        <w:noProof/>
      </w:rPr>
      <w:drawing>
        <wp:anchor distT="0" distB="0" distL="114300" distR="114300" simplePos="0" relativeHeight="251657216" behindDoc="1" locked="1" layoutInCell="1" allowOverlap="0" wp14:anchorId="07C64D68" wp14:editId="5D943D03">
          <wp:simplePos x="0" y="0"/>
          <wp:positionH relativeFrom="page">
            <wp:posOffset>6429375</wp:posOffset>
          </wp:positionH>
          <wp:positionV relativeFrom="page">
            <wp:posOffset>314960</wp:posOffset>
          </wp:positionV>
          <wp:extent cx="523875" cy="497205"/>
          <wp:effectExtent l="0" t="0" r="9525" b="0"/>
          <wp:wrapNone/>
          <wp:docPr id="11" name="Picture 11" descr="head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df"/>
                  <pic:cNvPicPr/>
                </pic:nvPicPr>
                <pic:blipFill rotWithShape="1">
                  <a:blip r:embed="rId1" cstate="print">
                    <a:clrChange>
                      <a:clrFrom>
                        <a:srgbClr val="000000">
                          <a:alpha val="0"/>
                        </a:srgbClr>
                      </a:clrFrom>
                      <a:clrTo>
                        <a:srgbClr val="000000">
                          <a:alpha val="0"/>
                        </a:srgbClr>
                      </a:clrTo>
                    </a:clrChange>
                    <a:extLst>
                      <a:ext uri="{BEBA8EAE-BF5A-486C-A8C5-ECC9F3942E4B}">
                        <a14:imgProps xmlns:a14="http://schemas.microsoft.com/office/drawing/2010/main">
                          <a14:imgLayer r:embed="rId2">
                            <a14:imgEffect>
                              <a14:sharpenSoften amount="56000"/>
                            </a14:imgEffect>
                            <a14:imgEffect>
                              <a14:brightnessContrast bright="-40000" contrast="-40000"/>
                            </a14:imgEffect>
                          </a14:imgLayer>
                        </a14:imgProps>
                      </a:ext>
                      <a:ext uri="{28A0092B-C50C-407E-A947-70E740481C1C}">
                        <a14:useLocalDpi xmlns:a14="http://schemas.microsoft.com/office/drawing/2010/main"/>
                      </a:ext>
                    </a:extLst>
                  </a:blip>
                  <a:srcRect/>
                  <a:stretch/>
                </pic:blipFill>
                <pic:spPr bwMode="auto">
                  <a:xfrm>
                    <a:off x="0" y="0"/>
                    <a:ext cx="523875" cy="497205"/>
                  </a:xfrm>
                  <a:prstGeom prst="rect">
                    <a:avLst/>
                  </a:prstGeom>
                  <a:noFill/>
                  <a:ln>
                    <a:noFill/>
                  </a:ln>
                  <a:effectLst>
                    <a:outerShdw sx="1000" sy="1000" algn="ctr" rotWithShape="0">
                      <a:srgbClr val="000000"/>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FCE14" w14:textId="77777777" w:rsidR="00877560" w:rsidRDefault="00877560" w:rsidP="00363D37">
    <w:r w:rsidRPr="00E71DE1">
      <w:rPr>
        <w:noProof/>
      </w:rPr>
      <w:drawing>
        <wp:anchor distT="0" distB="0" distL="114300" distR="114300" simplePos="0" relativeHeight="251659264" behindDoc="1" locked="1" layoutInCell="1" allowOverlap="0" wp14:anchorId="1AF578B4" wp14:editId="56245859">
          <wp:simplePos x="0" y="0"/>
          <wp:positionH relativeFrom="page">
            <wp:posOffset>6276975</wp:posOffset>
          </wp:positionH>
          <wp:positionV relativeFrom="page">
            <wp:posOffset>400050</wp:posOffset>
          </wp:positionV>
          <wp:extent cx="523875" cy="497205"/>
          <wp:effectExtent l="0" t="0" r="9525" b="0"/>
          <wp:wrapNone/>
          <wp:docPr id="12" name="Picture 12" descr="head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df"/>
                  <pic:cNvPicPr/>
                </pic:nvPicPr>
                <pic:blipFill rotWithShape="1">
                  <a:blip r:embed="rId1" cstate="email">
                    <a:clrChange>
                      <a:clrFrom>
                        <a:srgbClr val="000000">
                          <a:alpha val="0"/>
                        </a:srgbClr>
                      </a:clrFrom>
                      <a:clrTo>
                        <a:srgbClr val="000000">
                          <a:alpha val="0"/>
                        </a:srgbClr>
                      </a:clrTo>
                    </a:clrChange>
                    <a:extLst>
                      <a:ext uri="{BEBA8EAE-BF5A-486C-A8C5-ECC9F3942E4B}">
                        <a14:imgProps xmlns:a14="http://schemas.microsoft.com/office/drawing/2010/main">
                          <a14:imgLayer r:embed="rId2">
                            <a14:imgEffect>
                              <a14:sharpenSoften amount="56000"/>
                            </a14:imgEffect>
                            <a14:imgEffect>
                              <a14:brightnessContrast bright="-40000" contrast="-40000"/>
                            </a14:imgEffect>
                          </a14:imgLayer>
                        </a14:imgProps>
                      </a:ext>
                      <a:ext uri="{28A0092B-C50C-407E-A947-70E740481C1C}">
                        <a14:useLocalDpi xmlns:a14="http://schemas.microsoft.com/office/drawing/2010/main"/>
                      </a:ext>
                    </a:extLst>
                  </a:blip>
                  <a:srcRect/>
                  <a:stretch/>
                </pic:blipFill>
                <pic:spPr bwMode="auto">
                  <a:xfrm>
                    <a:off x="0" y="0"/>
                    <a:ext cx="523875" cy="497205"/>
                  </a:xfrm>
                  <a:prstGeom prst="rect">
                    <a:avLst/>
                  </a:prstGeom>
                  <a:noFill/>
                  <a:ln>
                    <a:noFill/>
                  </a:ln>
                  <a:effectLst>
                    <a:outerShdw sx="1000" sy="1000" algn="ctr" rotWithShape="0">
                      <a:srgbClr val="000000"/>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C34F6"/>
    <w:multiLevelType w:val="hybridMultilevel"/>
    <w:tmpl w:val="137A88C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ED3099"/>
    <w:multiLevelType w:val="singleLevel"/>
    <w:tmpl w:val="EFFC6048"/>
    <w:lvl w:ilvl="0">
      <w:start w:val="1"/>
      <w:numFmt w:val="decimal"/>
      <w:pStyle w:val="NumberPoints"/>
      <w:lvlText w:val="%1."/>
      <w:lvlJc w:val="left"/>
      <w:pPr>
        <w:ind w:left="360" w:hanging="360"/>
      </w:pPr>
      <w:rPr>
        <w:rFonts w:hint="default"/>
        <w:b w:val="0"/>
        <w:i w:val="0"/>
        <w:sz w:val="22"/>
      </w:rPr>
    </w:lvl>
  </w:abstractNum>
  <w:abstractNum w:abstractNumId="2" w15:restartNumberingAfterBreak="0">
    <w:nsid w:val="2F592F47"/>
    <w:multiLevelType w:val="hybridMultilevel"/>
    <w:tmpl w:val="EBDCF36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6B4D3A"/>
    <w:multiLevelType w:val="multilevel"/>
    <w:tmpl w:val="3E3A857A"/>
    <w:lvl w:ilvl="0">
      <w:start w:val="1"/>
      <w:numFmt w:val="bullet"/>
      <w:pStyle w:val="BulletPoints"/>
      <w:lvlText w:val=""/>
      <w:lvlJc w:val="left"/>
      <w:pPr>
        <w:ind w:left="1211"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832D6A"/>
    <w:multiLevelType w:val="multilevel"/>
    <w:tmpl w:val="CF220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D46EBC"/>
    <w:multiLevelType w:val="hybridMultilevel"/>
    <w:tmpl w:val="F83E03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E8C6E1A"/>
    <w:multiLevelType w:val="multilevel"/>
    <w:tmpl w:val="AD700E5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7CFE73C3"/>
    <w:multiLevelType w:val="hybridMultilevel"/>
    <w:tmpl w:val="7BD87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lvlOverride w:ilvl="0">
      <w:lvl w:ilvl="0">
        <w:start w:val="1"/>
        <w:numFmt w:val="decimal"/>
        <w:pStyle w:val="Heading1"/>
        <w:lvlText w:val="%1"/>
        <w:lvlJc w:val="left"/>
        <w:pPr>
          <w:ind w:left="360" w:hanging="360"/>
        </w:pPr>
        <w:rPr>
          <w:rFonts w:hint="default"/>
        </w:rPr>
      </w:lvl>
    </w:lvlOverride>
  </w:num>
  <w:num w:numId="2">
    <w:abstractNumId w:val="3"/>
  </w:num>
  <w:num w:numId="3">
    <w:abstractNumId w:val="1"/>
  </w:num>
  <w:num w:numId="4">
    <w:abstractNumId w:val="6"/>
    <w:lvlOverride w:ilvl="0">
      <w:lvl w:ilvl="0">
        <w:start w:val="1"/>
        <w:numFmt w:val="decimal"/>
        <w:pStyle w:val="Heading1"/>
        <w:lvlText w:val="%1"/>
        <w:lvlJc w:val="left"/>
        <w:pPr>
          <w:ind w:left="360" w:hanging="360"/>
        </w:pPr>
        <w:rPr>
          <w:rFonts w:hint="default"/>
        </w:rPr>
      </w:lvl>
    </w:lvlOverride>
  </w:num>
  <w:num w:numId="5">
    <w:abstractNumId w:val="4"/>
  </w:num>
  <w:num w:numId="6">
    <w:abstractNumId w:val="5"/>
  </w:num>
  <w:num w:numId="7">
    <w:abstractNumId w:val="2"/>
  </w:num>
  <w:num w:numId="8">
    <w:abstractNumId w:val="0"/>
  </w:num>
  <w:num w:numId="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539"/>
    <w:rsid w:val="000000BE"/>
    <w:rsid w:val="0000120C"/>
    <w:rsid w:val="0000284B"/>
    <w:rsid w:val="00002AC4"/>
    <w:rsid w:val="00002E83"/>
    <w:rsid w:val="00005040"/>
    <w:rsid w:val="00007A65"/>
    <w:rsid w:val="00010650"/>
    <w:rsid w:val="00011984"/>
    <w:rsid w:val="00013701"/>
    <w:rsid w:val="00014599"/>
    <w:rsid w:val="00015F51"/>
    <w:rsid w:val="0001794E"/>
    <w:rsid w:val="000208F5"/>
    <w:rsid w:val="000218E7"/>
    <w:rsid w:val="000218EB"/>
    <w:rsid w:val="00022A65"/>
    <w:rsid w:val="000233C8"/>
    <w:rsid w:val="00023EFE"/>
    <w:rsid w:val="000240FF"/>
    <w:rsid w:val="00024F5B"/>
    <w:rsid w:val="0002608E"/>
    <w:rsid w:val="00026346"/>
    <w:rsid w:val="00026C8E"/>
    <w:rsid w:val="00030AB5"/>
    <w:rsid w:val="00030CE7"/>
    <w:rsid w:val="00032DC8"/>
    <w:rsid w:val="0003384C"/>
    <w:rsid w:val="00033877"/>
    <w:rsid w:val="0003693A"/>
    <w:rsid w:val="0003700D"/>
    <w:rsid w:val="00040226"/>
    <w:rsid w:val="00041413"/>
    <w:rsid w:val="00042209"/>
    <w:rsid w:val="00043F4B"/>
    <w:rsid w:val="00044F1F"/>
    <w:rsid w:val="00045DBF"/>
    <w:rsid w:val="00046EF6"/>
    <w:rsid w:val="000470EF"/>
    <w:rsid w:val="00051944"/>
    <w:rsid w:val="000543B3"/>
    <w:rsid w:val="000547F2"/>
    <w:rsid w:val="000551FC"/>
    <w:rsid w:val="00055A81"/>
    <w:rsid w:val="000569AF"/>
    <w:rsid w:val="00056FCD"/>
    <w:rsid w:val="00057793"/>
    <w:rsid w:val="00060633"/>
    <w:rsid w:val="00063951"/>
    <w:rsid w:val="00063A0E"/>
    <w:rsid w:val="00063D8D"/>
    <w:rsid w:val="00064B6E"/>
    <w:rsid w:val="00064DEA"/>
    <w:rsid w:val="00065C37"/>
    <w:rsid w:val="00067DDB"/>
    <w:rsid w:val="00072EFC"/>
    <w:rsid w:val="00073DC5"/>
    <w:rsid w:val="00074173"/>
    <w:rsid w:val="00075419"/>
    <w:rsid w:val="00076392"/>
    <w:rsid w:val="00076CAC"/>
    <w:rsid w:val="00077558"/>
    <w:rsid w:val="00082C81"/>
    <w:rsid w:val="000835C5"/>
    <w:rsid w:val="00083623"/>
    <w:rsid w:val="000848F5"/>
    <w:rsid w:val="00085F96"/>
    <w:rsid w:val="000879C8"/>
    <w:rsid w:val="00091C3A"/>
    <w:rsid w:val="000940DB"/>
    <w:rsid w:val="000947DE"/>
    <w:rsid w:val="000A0965"/>
    <w:rsid w:val="000A155F"/>
    <w:rsid w:val="000A286A"/>
    <w:rsid w:val="000A4E1F"/>
    <w:rsid w:val="000A52F9"/>
    <w:rsid w:val="000A6339"/>
    <w:rsid w:val="000A6991"/>
    <w:rsid w:val="000A6B3B"/>
    <w:rsid w:val="000B1019"/>
    <w:rsid w:val="000B1D52"/>
    <w:rsid w:val="000B33A7"/>
    <w:rsid w:val="000B3431"/>
    <w:rsid w:val="000B5460"/>
    <w:rsid w:val="000B5D9A"/>
    <w:rsid w:val="000B69E7"/>
    <w:rsid w:val="000B76C5"/>
    <w:rsid w:val="000C031E"/>
    <w:rsid w:val="000C1540"/>
    <w:rsid w:val="000C171C"/>
    <w:rsid w:val="000C1C6D"/>
    <w:rsid w:val="000C2FD9"/>
    <w:rsid w:val="000C33E4"/>
    <w:rsid w:val="000C34AD"/>
    <w:rsid w:val="000C37CF"/>
    <w:rsid w:val="000C3C60"/>
    <w:rsid w:val="000C549E"/>
    <w:rsid w:val="000C6443"/>
    <w:rsid w:val="000C6962"/>
    <w:rsid w:val="000C6D5A"/>
    <w:rsid w:val="000C6FB9"/>
    <w:rsid w:val="000C7F1D"/>
    <w:rsid w:val="000D03C6"/>
    <w:rsid w:val="000D05CA"/>
    <w:rsid w:val="000D0F67"/>
    <w:rsid w:val="000D1233"/>
    <w:rsid w:val="000D262B"/>
    <w:rsid w:val="000D29E7"/>
    <w:rsid w:val="000D3047"/>
    <w:rsid w:val="000D364F"/>
    <w:rsid w:val="000D3CCA"/>
    <w:rsid w:val="000D3D5A"/>
    <w:rsid w:val="000D41C6"/>
    <w:rsid w:val="000D5249"/>
    <w:rsid w:val="000D6753"/>
    <w:rsid w:val="000E0C51"/>
    <w:rsid w:val="000E1325"/>
    <w:rsid w:val="000E19DD"/>
    <w:rsid w:val="000E2733"/>
    <w:rsid w:val="000E2DC5"/>
    <w:rsid w:val="000E3199"/>
    <w:rsid w:val="000E7AF3"/>
    <w:rsid w:val="000F0377"/>
    <w:rsid w:val="000F22DB"/>
    <w:rsid w:val="000F3C65"/>
    <w:rsid w:val="000F3CF2"/>
    <w:rsid w:val="000F4575"/>
    <w:rsid w:val="000F4E1F"/>
    <w:rsid w:val="0010012D"/>
    <w:rsid w:val="00101456"/>
    <w:rsid w:val="0010180D"/>
    <w:rsid w:val="00101DE1"/>
    <w:rsid w:val="00101E3B"/>
    <w:rsid w:val="00104CE1"/>
    <w:rsid w:val="0010583A"/>
    <w:rsid w:val="00106640"/>
    <w:rsid w:val="0010682A"/>
    <w:rsid w:val="00110D4E"/>
    <w:rsid w:val="001113A2"/>
    <w:rsid w:val="0011187F"/>
    <w:rsid w:val="00111C1E"/>
    <w:rsid w:val="001121A4"/>
    <w:rsid w:val="001179FF"/>
    <w:rsid w:val="001206AE"/>
    <w:rsid w:val="001207DD"/>
    <w:rsid w:val="00121F62"/>
    <w:rsid w:val="001228DE"/>
    <w:rsid w:val="001245ED"/>
    <w:rsid w:val="00124A55"/>
    <w:rsid w:val="00130853"/>
    <w:rsid w:val="00132959"/>
    <w:rsid w:val="001329DC"/>
    <w:rsid w:val="001329F0"/>
    <w:rsid w:val="00132B56"/>
    <w:rsid w:val="0013327B"/>
    <w:rsid w:val="0013340B"/>
    <w:rsid w:val="001369EC"/>
    <w:rsid w:val="001372C5"/>
    <w:rsid w:val="0014068B"/>
    <w:rsid w:val="00141456"/>
    <w:rsid w:val="00142AD3"/>
    <w:rsid w:val="00146807"/>
    <w:rsid w:val="00147155"/>
    <w:rsid w:val="001478E1"/>
    <w:rsid w:val="0015069C"/>
    <w:rsid w:val="0015095C"/>
    <w:rsid w:val="00152B4A"/>
    <w:rsid w:val="00152D2D"/>
    <w:rsid w:val="00152EBE"/>
    <w:rsid w:val="00156445"/>
    <w:rsid w:val="001575EB"/>
    <w:rsid w:val="00160B7F"/>
    <w:rsid w:val="00160FF3"/>
    <w:rsid w:val="00161D64"/>
    <w:rsid w:val="00165EE0"/>
    <w:rsid w:val="001667A9"/>
    <w:rsid w:val="001674AD"/>
    <w:rsid w:val="001674B9"/>
    <w:rsid w:val="001678CD"/>
    <w:rsid w:val="00171ED3"/>
    <w:rsid w:val="0017372C"/>
    <w:rsid w:val="001746CB"/>
    <w:rsid w:val="001760BB"/>
    <w:rsid w:val="001800C2"/>
    <w:rsid w:val="00180DC1"/>
    <w:rsid w:val="0018363F"/>
    <w:rsid w:val="001838BE"/>
    <w:rsid w:val="00183E08"/>
    <w:rsid w:val="0018537C"/>
    <w:rsid w:val="001853F4"/>
    <w:rsid w:val="00186479"/>
    <w:rsid w:val="001875AE"/>
    <w:rsid w:val="001902E9"/>
    <w:rsid w:val="00192BEF"/>
    <w:rsid w:val="00194AD6"/>
    <w:rsid w:val="00197426"/>
    <w:rsid w:val="001A069D"/>
    <w:rsid w:val="001A06AC"/>
    <w:rsid w:val="001A0EAD"/>
    <w:rsid w:val="001A14FC"/>
    <w:rsid w:val="001A2086"/>
    <w:rsid w:val="001A285F"/>
    <w:rsid w:val="001A5808"/>
    <w:rsid w:val="001A6522"/>
    <w:rsid w:val="001A6F6D"/>
    <w:rsid w:val="001B016A"/>
    <w:rsid w:val="001B25F1"/>
    <w:rsid w:val="001B287C"/>
    <w:rsid w:val="001B2E9D"/>
    <w:rsid w:val="001B3073"/>
    <w:rsid w:val="001B4C5B"/>
    <w:rsid w:val="001B7814"/>
    <w:rsid w:val="001B7C0B"/>
    <w:rsid w:val="001C0E89"/>
    <w:rsid w:val="001C176E"/>
    <w:rsid w:val="001C2779"/>
    <w:rsid w:val="001C2EAE"/>
    <w:rsid w:val="001C32D4"/>
    <w:rsid w:val="001D0797"/>
    <w:rsid w:val="001D2261"/>
    <w:rsid w:val="001D3616"/>
    <w:rsid w:val="001D36A4"/>
    <w:rsid w:val="001D433C"/>
    <w:rsid w:val="001D54B1"/>
    <w:rsid w:val="001D5A61"/>
    <w:rsid w:val="001D5FD3"/>
    <w:rsid w:val="001D7676"/>
    <w:rsid w:val="001E0E35"/>
    <w:rsid w:val="001E0E9B"/>
    <w:rsid w:val="001E1E89"/>
    <w:rsid w:val="001E1ECB"/>
    <w:rsid w:val="001E2B64"/>
    <w:rsid w:val="001E3E73"/>
    <w:rsid w:val="001E48BA"/>
    <w:rsid w:val="001E72CE"/>
    <w:rsid w:val="001E7B93"/>
    <w:rsid w:val="001F07D0"/>
    <w:rsid w:val="001F23B8"/>
    <w:rsid w:val="001F30DB"/>
    <w:rsid w:val="001F3C53"/>
    <w:rsid w:val="001F40F9"/>
    <w:rsid w:val="00200F06"/>
    <w:rsid w:val="0020171F"/>
    <w:rsid w:val="002021F0"/>
    <w:rsid w:val="00203DCD"/>
    <w:rsid w:val="00207EB9"/>
    <w:rsid w:val="002100E8"/>
    <w:rsid w:val="00210B99"/>
    <w:rsid w:val="00211762"/>
    <w:rsid w:val="002132EF"/>
    <w:rsid w:val="00214190"/>
    <w:rsid w:val="002145A4"/>
    <w:rsid w:val="0021500D"/>
    <w:rsid w:val="0021649A"/>
    <w:rsid w:val="0021650C"/>
    <w:rsid w:val="00216609"/>
    <w:rsid w:val="00220339"/>
    <w:rsid w:val="00222AD3"/>
    <w:rsid w:val="00223253"/>
    <w:rsid w:val="00224481"/>
    <w:rsid w:val="002249FD"/>
    <w:rsid w:val="00225C7B"/>
    <w:rsid w:val="00225E5E"/>
    <w:rsid w:val="0022613E"/>
    <w:rsid w:val="00226CA4"/>
    <w:rsid w:val="00227CF2"/>
    <w:rsid w:val="00233500"/>
    <w:rsid w:val="00236AC7"/>
    <w:rsid w:val="00236DB1"/>
    <w:rsid w:val="00237116"/>
    <w:rsid w:val="002378BA"/>
    <w:rsid w:val="00237C3C"/>
    <w:rsid w:val="002406BF"/>
    <w:rsid w:val="00242E88"/>
    <w:rsid w:val="002433BF"/>
    <w:rsid w:val="00243E0F"/>
    <w:rsid w:val="0024495E"/>
    <w:rsid w:val="002476F2"/>
    <w:rsid w:val="00250385"/>
    <w:rsid w:val="0025148F"/>
    <w:rsid w:val="00251739"/>
    <w:rsid w:val="00251F41"/>
    <w:rsid w:val="00253746"/>
    <w:rsid w:val="002544EE"/>
    <w:rsid w:val="00254E95"/>
    <w:rsid w:val="00256B64"/>
    <w:rsid w:val="0026116A"/>
    <w:rsid w:val="00261256"/>
    <w:rsid w:val="00261B26"/>
    <w:rsid w:val="00261D18"/>
    <w:rsid w:val="00262C43"/>
    <w:rsid w:val="00263B6F"/>
    <w:rsid w:val="00265CFF"/>
    <w:rsid w:val="0026603F"/>
    <w:rsid w:val="00267975"/>
    <w:rsid w:val="00267F1B"/>
    <w:rsid w:val="00272F20"/>
    <w:rsid w:val="00274D51"/>
    <w:rsid w:val="0027604D"/>
    <w:rsid w:val="002766D5"/>
    <w:rsid w:val="002767CB"/>
    <w:rsid w:val="00276C60"/>
    <w:rsid w:val="002805A6"/>
    <w:rsid w:val="002808BB"/>
    <w:rsid w:val="002825F2"/>
    <w:rsid w:val="002829B6"/>
    <w:rsid w:val="00284879"/>
    <w:rsid w:val="00284C49"/>
    <w:rsid w:val="00286329"/>
    <w:rsid w:val="00290B5C"/>
    <w:rsid w:val="00291BDA"/>
    <w:rsid w:val="0029278B"/>
    <w:rsid w:val="00292E36"/>
    <w:rsid w:val="002936AE"/>
    <w:rsid w:val="00293988"/>
    <w:rsid w:val="00293FFE"/>
    <w:rsid w:val="002944B4"/>
    <w:rsid w:val="00294CBC"/>
    <w:rsid w:val="002950B0"/>
    <w:rsid w:val="002958F0"/>
    <w:rsid w:val="00295DCD"/>
    <w:rsid w:val="002969A0"/>
    <w:rsid w:val="00296B06"/>
    <w:rsid w:val="00296F1F"/>
    <w:rsid w:val="0029797B"/>
    <w:rsid w:val="002A14DA"/>
    <w:rsid w:val="002A1DBB"/>
    <w:rsid w:val="002A2C2A"/>
    <w:rsid w:val="002A32C8"/>
    <w:rsid w:val="002A57C9"/>
    <w:rsid w:val="002A5870"/>
    <w:rsid w:val="002A5C7B"/>
    <w:rsid w:val="002A5DDE"/>
    <w:rsid w:val="002A5F24"/>
    <w:rsid w:val="002A6177"/>
    <w:rsid w:val="002A6D73"/>
    <w:rsid w:val="002A7F70"/>
    <w:rsid w:val="002B13E2"/>
    <w:rsid w:val="002B3ACB"/>
    <w:rsid w:val="002B4CBD"/>
    <w:rsid w:val="002B51F3"/>
    <w:rsid w:val="002C13F8"/>
    <w:rsid w:val="002C1E14"/>
    <w:rsid w:val="002C26D2"/>
    <w:rsid w:val="002C3A34"/>
    <w:rsid w:val="002C56FD"/>
    <w:rsid w:val="002C6605"/>
    <w:rsid w:val="002C6A18"/>
    <w:rsid w:val="002C6A89"/>
    <w:rsid w:val="002C6C92"/>
    <w:rsid w:val="002C72AA"/>
    <w:rsid w:val="002D02F2"/>
    <w:rsid w:val="002D0C17"/>
    <w:rsid w:val="002D211B"/>
    <w:rsid w:val="002D2E22"/>
    <w:rsid w:val="002D3F71"/>
    <w:rsid w:val="002D4FC9"/>
    <w:rsid w:val="002D513F"/>
    <w:rsid w:val="002D532E"/>
    <w:rsid w:val="002D534C"/>
    <w:rsid w:val="002D6FC3"/>
    <w:rsid w:val="002D7156"/>
    <w:rsid w:val="002D7EB1"/>
    <w:rsid w:val="002E1DA0"/>
    <w:rsid w:val="002E2CB8"/>
    <w:rsid w:val="002E342D"/>
    <w:rsid w:val="002E58B6"/>
    <w:rsid w:val="002E5CB4"/>
    <w:rsid w:val="002E60FA"/>
    <w:rsid w:val="002E6BFC"/>
    <w:rsid w:val="002E6D55"/>
    <w:rsid w:val="002E7825"/>
    <w:rsid w:val="002F00A1"/>
    <w:rsid w:val="002F0DA7"/>
    <w:rsid w:val="002F2BE6"/>
    <w:rsid w:val="002F3B5E"/>
    <w:rsid w:val="002F4032"/>
    <w:rsid w:val="002F5FE0"/>
    <w:rsid w:val="002F6D40"/>
    <w:rsid w:val="00301802"/>
    <w:rsid w:val="00301B43"/>
    <w:rsid w:val="00302DF4"/>
    <w:rsid w:val="0030465F"/>
    <w:rsid w:val="00304BDB"/>
    <w:rsid w:val="00304BFE"/>
    <w:rsid w:val="00310B76"/>
    <w:rsid w:val="0031127F"/>
    <w:rsid w:val="003117AA"/>
    <w:rsid w:val="0031191B"/>
    <w:rsid w:val="00313E5F"/>
    <w:rsid w:val="00315329"/>
    <w:rsid w:val="00315EF8"/>
    <w:rsid w:val="00316A93"/>
    <w:rsid w:val="0032082C"/>
    <w:rsid w:val="00320E16"/>
    <w:rsid w:val="00323028"/>
    <w:rsid w:val="00324897"/>
    <w:rsid w:val="00324C8C"/>
    <w:rsid w:val="00324D2E"/>
    <w:rsid w:val="00330823"/>
    <w:rsid w:val="0033087E"/>
    <w:rsid w:val="00330ACF"/>
    <w:rsid w:val="00330C86"/>
    <w:rsid w:val="00330D1D"/>
    <w:rsid w:val="003333A9"/>
    <w:rsid w:val="003338EE"/>
    <w:rsid w:val="0033432F"/>
    <w:rsid w:val="00334CD5"/>
    <w:rsid w:val="00336250"/>
    <w:rsid w:val="00336E1A"/>
    <w:rsid w:val="00337388"/>
    <w:rsid w:val="00337606"/>
    <w:rsid w:val="0034228A"/>
    <w:rsid w:val="00345167"/>
    <w:rsid w:val="00346BF6"/>
    <w:rsid w:val="0034757A"/>
    <w:rsid w:val="003475FC"/>
    <w:rsid w:val="00353ECC"/>
    <w:rsid w:val="00354CA2"/>
    <w:rsid w:val="003551CA"/>
    <w:rsid w:val="0036063A"/>
    <w:rsid w:val="00361344"/>
    <w:rsid w:val="00361869"/>
    <w:rsid w:val="00362F3E"/>
    <w:rsid w:val="00363A15"/>
    <w:rsid w:val="00363D37"/>
    <w:rsid w:val="003656AD"/>
    <w:rsid w:val="00366107"/>
    <w:rsid w:val="00366672"/>
    <w:rsid w:val="003666F3"/>
    <w:rsid w:val="003667B6"/>
    <w:rsid w:val="0036689C"/>
    <w:rsid w:val="003678BD"/>
    <w:rsid w:val="00370E03"/>
    <w:rsid w:val="0037193F"/>
    <w:rsid w:val="00371A01"/>
    <w:rsid w:val="003758F1"/>
    <w:rsid w:val="003762E9"/>
    <w:rsid w:val="00376347"/>
    <w:rsid w:val="00377E44"/>
    <w:rsid w:val="00380D39"/>
    <w:rsid w:val="00381016"/>
    <w:rsid w:val="00381850"/>
    <w:rsid w:val="0038302F"/>
    <w:rsid w:val="0038446B"/>
    <w:rsid w:val="003867C4"/>
    <w:rsid w:val="00386B64"/>
    <w:rsid w:val="003872F5"/>
    <w:rsid w:val="003907F7"/>
    <w:rsid w:val="00390E27"/>
    <w:rsid w:val="00391719"/>
    <w:rsid w:val="00393651"/>
    <w:rsid w:val="00394A7C"/>
    <w:rsid w:val="003966C5"/>
    <w:rsid w:val="00396C3A"/>
    <w:rsid w:val="00397409"/>
    <w:rsid w:val="00397BCD"/>
    <w:rsid w:val="003A070F"/>
    <w:rsid w:val="003A0D6E"/>
    <w:rsid w:val="003A22D1"/>
    <w:rsid w:val="003A234B"/>
    <w:rsid w:val="003A397E"/>
    <w:rsid w:val="003A3A66"/>
    <w:rsid w:val="003A4780"/>
    <w:rsid w:val="003A4D6D"/>
    <w:rsid w:val="003A5B9F"/>
    <w:rsid w:val="003A642E"/>
    <w:rsid w:val="003A6EE0"/>
    <w:rsid w:val="003B2A97"/>
    <w:rsid w:val="003B3D36"/>
    <w:rsid w:val="003B4036"/>
    <w:rsid w:val="003C15B2"/>
    <w:rsid w:val="003C361B"/>
    <w:rsid w:val="003C48CB"/>
    <w:rsid w:val="003C6291"/>
    <w:rsid w:val="003C75F0"/>
    <w:rsid w:val="003D0CD5"/>
    <w:rsid w:val="003D2406"/>
    <w:rsid w:val="003D4FA4"/>
    <w:rsid w:val="003D573B"/>
    <w:rsid w:val="003D5946"/>
    <w:rsid w:val="003D5B0D"/>
    <w:rsid w:val="003D641F"/>
    <w:rsid w:val="003E2F7E"/>
    <w:rsid w:val="003E3389"/>
    <w:rsid w:val="003E38F9"/>
    <w:rsid w:val="003E6980"/>
    <w:rsid w:val="003F0F82"/>
    <w:rsid w:val="003F1A01"/>
    <w:rsid w:val="003F1B37"/>
    <w:rsid w:val="003F2205"/>
    <w:rsid w:val="003F347E"/>
    <w:rsid w:val="003F3562"/>
    <w:rsid w:val="003F458B"/>
    <w:rsid w:val="003F4BC2"/>
    <w:rsid w:val="003F6D0A"/>
    <w:rsid w:val="00400E65"/>
    <w:rsid w:val="00403D38"/>
    <w:rsid w:val="00404751"/>
    <w:rsid w:val="00406D45"/>
    <w:rsid w:val="00406E04"/>
    <w:rsid w:val="00407C62"/>
    <w:rsid w:val="00410514"/>
    <w:rsid w:val="00410CE2"/>
    <w:rsid w:val="00410DB8"/>
    <w:rsid w:val="00411188"/>
    <w:rsid w:val="00411BCE"/>
    <w:rsid w:val="004124E4"/>
    <w:rsid w:val="00412990"/>
    <w:rsid w:val="004129DB"/>
    <w:rsid w:val="004136B2"/>
    <w:rsid w:val="00414EE4"/>
    <w:rsid w:val="004158C0"/>
    <w:rsid w:val="004171A0"/>
    <w:rsid w:val="00417EAD"/>
    <w:rsid w:val="00420364"/>
    <w:rsid w:val="0042117B"/>
    <w:rsid w:val="00421C8B"/>
    <w:rsid w:val="00423E57"/>
    <w:rsid w:val="00426FB9"/>
    <w:rsid w:val="00427839"/>
    <w:rsid w:val="00427A7C"/>
    <w:rsid w:val="00427EE8"/>
    <w:rsid w:val="004302A5"/>
    <w:rsid w:val="0043126A"/>
    <w:rsid w:val="00431937"/>
    <w:rsid w:val="004332AC"/>
    <w:rsid w:val="00434C38"/>
    <w:rsid w:val="00435BCF"/>
    <w:rsid w:val="00435C0E"/>
    <w:rsid w:val="00436F45"/>
    <w:rsid w:val="00441303"/>
    <w:rsid w:val="00441712"/>
    <w:rsid w:val="004421A3"/>
    <w:rsid w:val="004421E6"/>
    <w:rsid w:val="004444EC"/>
    <w:rsid w:val="00444557"/>
    <w:rsid w:val="004458DF"/>
    <w:rsid w:val="004474A0"/>
    <w:rsid w:val="00447BC6"/>
    <w:rsid w:val="00450ADA"/>
    <w:rsid w:val="0045213E"/>
    <w:rsid w:val="00453C5C"/>
    <w:rsid w:val="00455022"/>
    <w:rsid w:val="00455B4C"/>
    <w:rsid w:val="00456AAA"/>
    <w:rsid w:val="00457CE5"/>
    <w:rsid w:val="00460542"/>
    <w:rsid w:val="00460D0A"/>
    <w:rsid w:val="0046133C"/>
    <w:rsid w:val="00462107"/>
    <w:rsid w:val="0046458E"/>
    <w:rsid w:val="00464D83"/>
    <w:rsid w:val="0046645D"/>
    <w:rsid w:val="004667C7"/>
    <w:rsid w:val="00466D3D"/>
    <w:rsid w:val="004719A2"/>
    <w:rsid w:val="00472C07"/>
    <w:rsid w:val="00473DB4"/>
    <w:rsid w:val="00474A45"/>
    <w:rsid w:val="00475539"/>
    <w:rsid w:val="00475E7F"/>
    <w:rsid w:val="00476618"/>
    <w:rsid w:val="00476B97"/>
    <w:rsid w:val="00476C52"/>
    <w:rsid w:val="00476E1A"/>
    <w:rsid w:val="004770BC"/>
    <w:rsid w:val="004776ED"/>
    <w:rsid w:val="0048049D"/>
    <w:rsid w:val="00480669"/>
    <w:rsid w:val="00480D06"/>
    <w:rsid w:val="00482BA8"/>
    <w:rsid w:val="00483258"/>
    <w:rsid w:val="004834A2"/>
    <w:rsid w:val="0048719D"/>
    <w:rsid w:val="004875E7"/>
    <w:rsid w:val="004878D1"/>
    <w:rsid w:val="00490BED"/>
    <w:rsid w:val="00490FE3"/>
    <w:rsid w:val="00492828"/>
    <w:rsid w:val="00495B89"/>
    <w:rsid w:val="00497284"/>
    <w:rsid w:val="0049732D"/>
    <w:rsid w:val="00497F9E"/>
    <w:rsid w:val="004A3917"/>
    <w:rsid w:val="004A4AA3"/>
    <w:rsid w:val="004A4C89"/>
    <w:rsid w:val="004A52A0"/>
    <w:rsid w:val="004B1107"/>
    <w:rsid w:val="004B18C3"/>
    <w:rsid w:val="004B2837"/>
    <w:rsid w:val="004B47A7"/>
    <w:rsid w:val="004B5090"/>
    <w:rsid w:val="004B69F1"/>
    <w:rsid w:val="004B771E"/>
    <w:rsid w:val="004C11B3"/>
    <w:rsid w:val="004C2959"/>
    <w:rsid w:val="004C3DB3"/>
    <w:rsid w:val="004C3F07"/>
    <w:rsid w:val="004C4ECF"/>
    <w:rsid w:val="004C6B7E"/>
    <w:rsid w:val="004C7F96"/>
    <w:rsid w:val="004D00CA"/>
    <w:rsid w:val="004D0116"/>
    <w:rsid w:val="004D07D1"/>
    <w:rsid w:val="004D62D7"/>
    <w:rsid w:val="004D7360"/>
    <w:rsid w:val="004E4AA7"/>
    <w:rsid w:val="004E77B0"/>
    <w:rsid w:val="004F3027"/>
    <w:rsid w:val="004F3028"/>
    <w:rsid w:val="004F3C91"/>
    <w:rsid w:val="004F3D5E"/>
    <w:rsid w:val="004F3E75"/>
    <w:rsid w:val="004F5DD9"/>
    <w:rsid w:val="004F67D0"/>
    <w:rsid w:val="0050114D"/>
    <w:rsid w:val="005013EB"/>
    <w:rsid w:val="00502376"/>
    <w:rsid w:val="005024F0"/>
    <w:rsid w:val="005026F0"/>
    <w:rsid w:val="0050460F"/>
    <w:rsid w:val="005060E5"/>
    <w:rsid w:val="00506B14"/>
    <w:rsid w:val="005075BA"/>
    <w:rsid w:val="005107AC"/>
    <w:rsid w:val="00511DA3"/>
    <w:rsid w:val="00512A25"/>
    <w:rsid w:val="0051311D"/>
    <w:rsid w:val="0051311E"/>
    <w:rsid w:val="00513162"/>
    <w:rsid w:val="0051407C"/>
    <w:rsid w:val="00514199"/>
    <w:rsid w:val="00515C1A"/>
    <w:rsid w:val="00515D30"/>
    <w:rsid w:val="005179B4"/>
    <w:rsid w:val="005179C6"/>
    <w:rsid w:val="00520894"/>
    <w:rsid w:val="00521217"/>
    <w:rsid w:val="005212AA"/>
    <w:rsid w:val="005219FD"/>
    <w:rsid w:val="0052580A"/>
    <w:rsid w:val="00525CE3"/>
    <w:rsid w:val="005266BE"/>
    <w:rsid w:val="005302FE"/>
    <w:rsid w:val="00531370"/>
    <w:rsid w:val="00532EE4"/>
    <w:rsid w:val="00533686"/>
    <w:rsid w:val="00534C37"/>
    <w:rsid w:val="005350D9"/>
    <w:rsid w:val="0053633F"/>
    <w:rsid w:val="005416D0"/>
    <w:rsid w:val="00541926"/>
    <w:rsid w:val="00541AD3"/>
    <w:rsid w:val="00544504"/>
    <w:rsid w:val="00546568"/>
    <w:rsid w:val="00547016"/>
    <w:rsid w:val="0054717F"/>
    <w:rsid w:val="0055111F"/>
    <w:rsid w:val="005511EB"/>
    <w:rsid w:val="00552CD7"/>
    <w:rsid w:val="00554C23"/>
    <w:rsid w:val="00555196"/>
    <w:rsid w:val="00556487"/>
    <w:rsid w:val="005564AB"/>
    <w:rsid w:val="00556F66"/>
    <w:rsid w:val="00561251"/>
    <w:rsid w:val="00562AE5"/>
    <w:rsid w:val="005633AA"/>
    <w:rsid w:val="00564653"/>
    <w:rsid w:val="00565764"/>
    <w:rsid w:val="00566942"/>
    <w:rsid w:val="00566A82"/>
    <w:rsid w:val="00566C3E"/>
    <w:rsid w:val="00566E30"/>
    <w:rsid w:val="00567370"/>
    <w:rsid w:val="005748AC"/>
    <w:rsid w:val="00575502"/>
    <w:rsid w:val="005760D4"/>
    <w:rsid w:val="00576B4A"/>
    <w:rsid w:val="00577248"/>
    <w:rsid w:val="0057747C"/>
    <w:rsid w:val="00580FB6"/>
    <w:rsid w:val="005817A9"/>
    <w:rsid w:val="00582601"/>
    <w:rsid w:val="00582E8A"/>
    <w:rsid w:val="00583907"/>
    <w:rsid w:val="005845AF"/>
    <w:rsid w:val="0058603D"/>
    <w:rsid w:val="0058714D"/>
    <w:rsid w:val="005905C8"/>
    <w:rsid w:val="0059061E"/>
    <w:rsid w:val="00590A34"/>
    <w:rsid w:val="00591AE9"/>
    <w:rsid w:val="00591C17"/>
    <w:rsid w:val="00591C39"/>
    <w:rsid w:val="00592365"/>
    <w:rsid w:val="0059293E"/>
    <w:rsid w:val="005929EC"/>
    <w:rsid w:val="00594E82"/>
    <w:rsid w:val="00595175"/>
    <w:rsid w:val="0059539E"/>
    <w:rsid w:val="00595438"/>
    <w:rsid w:val="0059630D"/>
    <w:rsid w:val="005971B0"/>
    <w:rsid w:val="005A0936"/>
    <w:rsid w:val="005A1D8E"/>
    <w:rsid w:val="005A2D9A"/>
    <w:rsid w:val="005A3247"/>
    <w:rsid w:val="005A41BF"/>
    <w:rsid w:val="005A5B39"/>
    <w:rsid w:val="005A5BC7"/>
    <w:rsid w:val="005B1920"/>
    <w:rsid w:val="005B257A"/>
    <w:rsid w:val="005B25E4"/>
    <w:rsid w:val="005B28F1"/>
    <w:rsid w:val="005B3C8A"/>
    <w:rsid w:val="005B4B74"/>
    <w:rsid w:val="005B571B"/>
    <w:rsid w:val="005C0EF3"/>
    <w:rsid w:val="005C38FB"/>
    <w:rsid w:val="005C3BB2"/>
    <w:rsid w:val="005C3CDC"/>
    <w:rsid w:val="005C3F0A"/>
    <w:rsid w:val="005C4867"/>
    <w:rsid w:val="005C6877"/>
    <w:rsid w:val="005C6AED"/>
    <w:rsid w:val="005C735D"/>
    <w:rsid w:val="005D2A09"/>
    <w:rsid w:val="005D3623"/>
    <w:rsid w:val="005D3CB3"/>
    <w:rsid w:val="005D7639"/>
    <w:rsid w:val="005D77DE"/>
    <w:rsid w:val="005E0915"/>
    <w:rsid w:val="005E300F"/>
    <w:rsid w:val="005E3D42"/>
    <w:rsid w:val="005E4198"/>
    <w:rsid w:val="005E4869"/>
    <w:rsid w:val="005E54C7"/>
    <w:rsid w:val="005E5945"/>
    <w:rsid w:val="005E5E1C"/>
    <w:rsid w:val="005E6017"/>
    <w:rsid w:val="005E60B1"/>
    <w:rsid w:val="005E6681"/>
    <w:rsid w:val="005F17D9"/>
    <w:rsid w:val="005F2CBC"/>
    <w:rsid w:val="005F44E0"/>
    <w:rsid w:val="005F50E6"/>
    <w:rsid w:val="005F6B78"/>
    <w:rsid w:val="005F7199"/>
    <w:rsid w:val="005F76FE"/>
    <w:rsid w:val="0060175D"/>
    <w:rsid w:val="00601939"/>
    <w:rsid w:val="006025EB"/>
    <w:rsid w:val="00602DFA"/>
    <w:rsid w:val="00604AA4"/>
    <w:rsid w:val="00607E1C"/>
    <w:rsid w:val="006141EA"/>
    <w:rsid w:val="00614E7F"/>
    <w:rsid w:val="00615F5D"/>
    <w:rsid w:val="00616E1D"/>
    <w:rsid w:val="006229BC"/>
    <w:rsid w:val="006234A8"/>
    <w:rsid w:val="006259F8"/>
    <w:rsid w:val="00626597"/>
    <w:rsid w:val="00630072"/>
    <w:rsid w:val="00631040"/>
    <w:rsid w:val="00631B12"/>
    <w:rsid w:val="006331FE"/>
    <w:rsid w:val="00634376"/>
    <w:rsid w:val="006345CA"/>
    <w:rsid w:val="00634639"/>
    <w:rsid w:val="0063728A"/>
    <w:rsid w:val="00637C1E"/>
    <w:rsid w:val="00640736"/>
    <w:rsid w:val="00641EC5"/>
    <w:rsid w:val="00642B24"/>
    <w:rsid w:val="00642FC7"/>
    <w:rsid w:val="0064313E"/>
    <w:rsid w:val="0064333D"/>
    <w:rsid w:val="00647C8A"/>
    <w:rsid w:val="006501FF"/>
    <w:rsid w:val="006506AE"/>
    <w:rsid w:val="0065103E"/>
    <w:rsid w:val="006514DB"/>
    <w:rsid w:val="00651C07"/>
    <w:rsid w:val="00651E7B"/>
    <w:rsid w:val="006520E4"/>
    <w:rsid w:val="00653043"/>
    <w:rsid w:val="006532FE"/>
    <w:rsid w:val="0065372C"/>
    <w:rsid w:val="00653E83"/>
    <w:rsid w:val="00657830"/>
    <w:rsid w:val="006609EF"/>
    <w:rsid w:val="00662386"/>
    <w:rsid w:val="00663A0C"/>
    <w:rsid w:val="00663E69"/>
    <w:rsid w:val="00663EE9"/>
    <w:rsid w:val="006647AF"/>
    <w:rsid w:val="00664ED5"/>
    <w:rsid w:val="00664EDD"/>
    <w:rsid w:val="00665925"/>
    <w:rsid w:val="00665C17"/>
    <w:rsid w:val="006662C9"/>
    <w:rsid w:val="00667DD5"/>
    <w:rsid w:val="0067033E"/>
    <w:rsid w:val="006707D6"/>
    <w:rsid w:val="006739B6"/>
    <w:rsid w:val="006763D3"/>
    <w:rsid w:val="00676509"/>
    <w:rsid w:val="006769CE"/>
    <w:rsid w:val="00677CC0"/>
    <w:rsid w:val="00680850"/>
    <w:rsid w:val="00681D8E"/>
    <w:rsid w:val="006823D2"/>
    <w:rsid w:val="006834E7"/>
    <w:rsid w:val="00684606"/>
    <w:rsid w:val="00685AE4"/>
    <w:rsid w:val="006869FD"/>
    <w:rsid w:val="00686D2C"/>
    <w:rsid w:val="00686E00"/>
    <w:rsid w:val="00687D6D"/>
    <w:rsid w:val="00690B8D"/>
    <w:rsid w:val="00691A0D"/>
    <w:rsid w:val="00692DF5"/>
    <w:rsid w:val="00693496"/>
    <w:rsid w:val="006965B6"/>
    <w:rsid w:val="006975FD"/>
    <w:rsid w:val="006A04BF"/>
    <w:rsid w:val="006A0563"/>
    <w:rsid w:val="006A0C27"/>
    <w:rsid w:val="006A12B4"/>
    <w:rsid w:val="006A27CE"/>
    <w:rsid w:val="006A3C40"/>
    <w:rsid w:val="006A48E7"/>
    <w:rsid w:val="006A4C6D"/>
    <w:rsid w:val="006A52AE"/>
    <w:rsid w:val="006A692D"/>
    <w:rsid w:val="006A6A45"/>
    <w:rsid w:val="006B171A"/>
    <w:rsid w:val="006B3C72"/>
    <w:rsid w:val="006B5A78"/>
    <w:rsid w:val="006B6523"/>
    <w:rsid w:val="006B6ABB"/>
    <w:rsid w:val="006B764B"/>
    <w:rsid w:val="006C0A27"/>
    <w:rsid w:val="006C3500"/>
    <w:rsid w:val="006C3901"/>
    <w:rsid w:val="006C4772"/>
    <w:rsid w:val="006C5A3E"/>
    <w:rsid w:val="006C6166"/>
    <w:rsid w:val="006C6554"/>
    <w:rsid w:val="006C673B"/>
    <w:rsid w:val="006C6B7E"/>
    <w:rsid w:val="006C774B"/>
    <w:rsid w:val="006D53D1"/>
    <w:rsid w:val="006D543F"/>
    <w:rsid w:val="006D722D"/>
    <w:rsid w:val="006E027F"/>
    <w:rsid w:val="006E1850"/>
    <w:rsid w:val="006E1888"/>
    <w:rsid w:val="006E30B1"/>
    <w:rsid w:val="006E386B"/>
    <w:rsid w:val="006E4064"/>
    <w:rsid w:val="006E44E6"/>
    <w:rsid w:val="006E540C"/>
    <w:rsid w:val="006E6650"/>
    <w:rsid w:val="006E682D"/>
    <w:rsid w:val="006E6A62"/>
    <w:rsid w:val="006E6E00"/>
    <w:rsid w:val="006F0617"/>
    <w:rsid w:val="006F069E"/>
    <w:rsid w:val="006F2B4A"/>
    <w:rsid w:val="006F33D2"/>
    <w:rsid w:val="006F493B"/>
    <w:rsid w:val="006F60C0"/>
    <w:rsid w:val="006F61BD"/>
    <w:rsid w:val="0070252B"/>
    <w:rsid w:val="007029B7"/>
    <w:rsid w:val="00702CD1"/>
    <w:rsid w:val="00702DC4"/>
    <w:rsid w:val="00703181"/>
    <w:rsid w:val="007038C0"/>
    <w:rsid w:val="00703D0C"/>
    <w:rsid w:val="007043A4"/>
    <w:rsid w:val="00704B21"/>
    <w:rsid w:val="00704D8F"/>
    <w:rsid w:val="0070539F"/>
    <w:rsid w:val="007075F7"/>
    <w:rsid w:val="00712E32"/>
    <w:rsid w:val="00713EAB"/>
    <w:rsid w:val="0071699D"/>
    <w:rsid w:val="00717485"/>
    <w:rsid w:val="0072216B"/>
    <w:rsid w:val="00722534"/>
    <w:rsid w:val="007230EA"/>
    <w:rsid w:val="00725048"/>
    <w:rsid w:val="00727666"/>
    <w:rsid w:val="0072777A"/>
    <w:rsid w:val="00731812"/>
    <w:rsid w:val="0073251D"/>
    <w:rsid w:val="007328FB"/>
    <w:rsid w:val="00732B8A"/>
    <w:rsid w:val="007336D8"/>
    <w:rsid w:val="007337FA"/>
    <w:rsid w:val="0073425A"/>
    <w:rsid w:val="007345E4"/>
    <w:rsid w:val="00734745"/>
    <w:rsid w:val="00735FE0"/>
    <w:rsid w:val="00737756"/>
    <w:rsid w:val="00740409"/>
    <w:rsid w:val="007409BF"/>
    <w:rsid w:val="00741712"/>
    <w:rsid w:val="00741E33"/>
    <w:rsid w:val="007436BB"/>
    <w:rsid w:val="007448C2"/>
    <w:rsid w:val="0074498A"/>
    <w:rsid w:val="0074569C"/>
    <w:rsid w:val="00746841"/>
    <w:rsid w:val="0074718F"/>
    <w:rsid w:val="00747CA7"/>
    <w:rsid w:val="0075139A"/>
    <w:rsid w:val="00753514"/>
    <w:rsid w:val="00754F60"/>
    <w:rsid w:val="00755148"/>
    <w:rsid w:val="00756923"/>
    <w:rsid w:val="0075735B"/>
    <w:rsid w:val="0075787A"/>
    <w:rsid w:val="00757AB3"/>
    <w:rsid w:val="007603CD"/>
    <w:rsid w:val="007610D2"/>
    <w:rsid w:val="0076217C"/>
    <w:rsid w:val="00763637"/>
    <w:rsid w:val="00764263"/>
    <w:rsid w:val="0076594D"/>
    <w:rsid w:val="007667F7"/>
    <w:rsid w:val="007733B8"/>
    <w:rsid w:val="007736D8"/>
    <w:rsid w:val="007740E3"/>
    <w:rsid w:val="00775E5E"/>
    <w:rsid w:val="0077613D"/>
    <w:rsid w:val="0077730F"/>
    <w:rsid w:val="007804BD"/>
    <w:rsid w:val="00780D60"/>
    <w:rsid w:val="00780F8F"/>
    <w:rsid w:val="0078135C"/>
    <w:rsid w:val="0078213A"/>
    <w:rsid w:val="00782518"/>
    <w:rsid w:val="007825BC"/>
    <w:rsid w:val="00782BF6"/>
    <w:rsid w:val="00783358"/>
    <w:rsid w:val="00783D7E"/>
    <w:rsid w:val="00786C19"/>
    <w:rsid w:val="007901A2"/>
    <w:rsid w:val="0079244C"/>
    <w:rsid w:val="00794834"/>
    <w:rsid w:val="00797207"/>
    <w:rsid w:val="007A0677"/>
    <w:rsid w:val="007A1EE0"/>
    <w:rsid w:val="007A21D7"/>
    <w:rsid w:val="007A4405"/>
    <w:rsid w:val="007A4665"/>
    <w:rsid w:val="007A6908"/>
    <w:rsid w:val="007A739F"/>
    <w:rsid w:val="007A7935"/>
    <w:rsid w:val="007A7FB9"/>
    <w:rsid w:val="007B0CBE"/>
    <w:rsid w:val="007B18C9"/>
    <w:rsid w:val="007B2843"/>
    <w:rsid w:val="007B29C9"/>
    <w:rsid w:val="007B5530"/>
    <w:rsid w:val="007B5FEF"/>
    <w:rsid w:val="007B6B6B"/>
    <w:rsid w:val="007B6B82"/>
    <w:rsid w:val="007C0EBE"/>
    <w:rsid w:val="007C0FCB"/>
    <w:rsid w:val="007C3085"/>
    <w:rsid w:val="007C46AF"/>
    <w:rsid w:val="007C5B3E"/>
    <w:rsid w:val="007C60AC"/>
    <w:rsid w:val="007D042D"/>
    <w:rsid w:val="007D0703"/>
    <w:rsid w:val="007D18C8"/>
    <w:rsid w:val="007D3261"/>
    <w:rsid w:val="007D3535"/>
    <w:rsid w:val="007D3FD7"/>
    <w:rsid w:val="007D48D9"/>
    <w:rsid w:val="007D4E2E"/>
    <w:rsid w:val="007D5A72"/>
    <w:rsid w:val="007E06EC"/>
    <w:rsid w:val="007E1127"/>
    <w:rsid w:val="007E2D45"/>
    <w:rsid w:val="007E3D19"/>
    <w:rsid w:val="007E4981"/>
    <w:rsid w:val="007E7A24"/>
    <w:rsid w:val="007F062A"/>
    <w:rsid w:val="007F1637"/>
    <w:rsid w:val="007F3C0D"/>
    <w:rsid w:val="007F3DA3"/>
    <w:rsid w:val="007F5200"/>
    <w:rsid w:val="007F57D9"/>
    <w:rsid w:val="007F5E49"/>
    <w:rsid w:val="007F760D"/>
    <w:rsid w:val="0080146B"/>
    <w:rsid w:val="00802C69"/>
    <w:rsid w:val="00802CFE"/>
    <w:rsid w:val="00803205"/>
    <w:rsid w:val="008034AC"/>
    <w:rsid w:val="00803CCE"/>
    <w:rsid w:val="0080470B"/>
    <w:rsid w:val="00804B26"/>
    <w:rsid w:val="008067DE"/>
    <w:rsid w:val="0081020A"/>
    <w:rsid w:val="0081041D"/>
    <w:rsid w:val="00812D9E"/>
    <w:rsid w:val="00813921"/>
    <w:rsid w:val="00816277"/>
    <w:rsid w:val="00817058"/>
    <w:rsid w:val="008208D5"/>
    <w:rsid w:val="00821BB1"/>
    <w:rsid w:val="0082400E"/>
    <w:rsid w:val="008259B7"/>
    <w:rsid w:val="008312C9"/>
    <w:rsid w:val="008334D3"/>
    <w:rsid w:val="00833EDC"/>
    <w:rsid w:val="00835611"/>
    <w:rsid w:val="00835750"/>
    <w:rsid w:val="008358A1"/>
    <w:rsid w:val="008405AD"/>
    <w:rsid w:val="00840779"/>
    <w:rsid w:val="00840E46"/>
    <w:rsid w:val="00842C85"/>
    <w:rsid w:val="00843D29"/>
    <w:rsid w:val="00844097"/>
    <w:rsid w:val="008442CF"/>
    <w:rsid w:val="00844F7A"/>
    <w:rsid w:val="00845246"/>
    <w:rsid w:val="00845A4B"/>
    <w:rsid w:val="0085018D"/>
    <w:rsid w:val="00850583"/>
    <w:rsid w:val="0085081A"/>
    <w:rsid w:val="008528A5"/>
    <w:rsid w:val="00853DCF"/>
    <w:rsid w:val="00860512"/>
    <w:rsid w:val="00860A53"/>
    <w:rsid w:val="00860AF2"/>
    <w:rsid w:val="00861004"/>
    <w:rsid w:val="00862AC9"/>
    <w:rsid w:val="00865165"/>
    <w:rsid w:val="00865A70"/>
    <w:rsid w:val="00865C9E"/>
    <w:rsid w:val="008700E8"/>
    <w:rsid w:val="00872FDE"/>
    <w:rsid w:val="00873892"/>
    <w:rsid w:val="00873989"/>
    <w:rsid w:val="00874514"/>
    <w:rsid w:val="0087460C"/>
    <w:rsid w:val="008757EE"/>
    <w:rsid w:val="008770ED"/>
    <w:rsid w:val="00877560"/>
    <w:rsid w:val="00880CEE"/>
    <w:rsid w:val="00881815"/>
    <w:rsid w:val="00881FC6"/>
    <w:rsid w:val="00883524"/>
    <w:rsid w:val="00883EF7"/>
    <w:rsid w:val="00884176"/>
    <w:rsid w:val="00884E04"/>
    <w:rsid w:val="00885716"/>
    <w:rsid w:val="00886B63"/>
    <w:rsid w:val="008900EA"/>
    <w:rsid w:val="008919FB"/>
    <w:rsid w:val="008925BE"/>
    <w:rsid w:val="008938E8"/>
    <w:rsid w:val="00893AEF"/>
    <w:rsid w:val="008943F7"/>
    <w:rsid w:val="00894E5F"/>
    <w:rsid w:val="008964F3"/>
    <w:rsid w:val="008A0F3A"/>
    <w:rsid w:val="008A1177"/>
    <w:rsid w:val="008A15FD"/>
    <w:rsid w:val="008A2CEE"/>
    <w:rsid w:val="008A40D4"/>
    <w:rsid w:val="008A454D"/>
    <w:rsid w:val="008A5E8B"/>
    <w:rsid w:val="008A67EE"/>
    <w:rsid w:val="008A7AB0"/>
    <w:rsid w:val="008B18A2"/>
    <w:rsid w:val="008B274B"/>
    <w:rsid w:val="008B28DB"/>
    <w:rsid w:val="008B3B73"/>
    <w:rsid w:val="008B512B"/>
    <w:rsid w:val="008B57D0"/>
    <w:rsid w:val="008B64CF"/>
    <w:rsid w:val="008B7265"/>
    <w:rsid w:val="008B7D73"/>
    <w:rsid w:val="008B7EA4"/>
    <w:rsid w:val="008C0766"/>
    <w:rsid w:val="008C0FAE"/>
    <w:rsid w:val="008C0FBD"/>
    <w:rsid w:val="008C3518"/>
    <w:rsid w:val="008C3C12"/>
    <w:rsid w:val="008C4D8D"/>
    <w:rsid w:val="008C58B2"/>
    <w:rsid w:val="008C5C48"/>
    <w:rsid w:val="008C677D"/>
    <w:rsid w:val="008C785E"/>
    <w:rsid w:val="008D0200"/>
    <w:rsid w:val="008D2370"/>
    <w:rsid w:val="008D2E5E"/>
    <w:rsid w:val="008D2F2E"/>
    <w:rsid w:val="008D3415"/>
    <w:rsid w:val="008D3D1B"/>
    <w:rsid w:val="008D4371"/>
    <w:rsid w:val="008D4FA4"/>
    <w:rsid w:val="008D6F09"/>
    <w:rsid w:val="008D7A6B"/>
    <w:rsid w:val="008E02BB"/>
    <w:rsid w:val="008E0595"/>
    <w:rsid w:val="008E4FAF"/>
    <w:rsid w:val="008E6C6C"/>
    <w:rsid w:val="008E7B1D"/>
    <w:rsid w:val="008E7C0C"/>
    <w:rsid w:val="008F154B"/>
    <w:rsid w:val="008F158E"/>
    <w:rsid w:val="008F15E5"/>
    <w:rsid w:val="008F1700"/>
    <w:rsid w:val="008F20CE"/>
    <w:rsid w:val="008F27E5"/>
    <w:rsid w:val="008F53AA"/>
    <w:rsid w:val="008F6BA3"/>
    <w:rsid w:val="008F7A07"/>
    <w:rsid w:val="00902142"/>
    <w:rsid w:val="00903069"/>
    <w:rsid w:val="00904022"/>
    <w:rsid w:val="009045D1"/>
    <w:rsid w:val="00904B05"/>
    <w:rsid w:val="0090503C"/>
    <w:rsid w:val="00905358"/>
    <w:rsid w:val="009054C7"/>
    <w:rsid w:val="00905ECD"/>
    <w:rsid w:val="00906440"/>
    <w:rsid w:val="009079FC"/>
    <w:rsid w:val="00910B62"/>
    <w:rsid w:val="00910FE0"/>
    <w:rsid w:val="009112D8"/>
    <w:rsid w:val="00911529"/>
    <w:rsid w:val="009124A5"/>
    <w:rsid w:val="00912B3C"/>
    <w:rsid w:val="00913915"/>
    <w:rsid w:val="00913A90"/>
    <w:rsid w:val="00913C0C"/>
    <w:rsid w:val="00914306"/>
    <w:rsid w:val="00916030"/>
    <w:rsid w:val="009160AF"/>
    <w:rsid w:val="00920D0B"/>
    <w:rsid w:val="00921650"/>
    <w:rsid w:val="00923A5B"/>
    <w:rsid w:val="00924D46"/>
    <w:rsid w:val="009269FB"/>
    <w:rsid w:val="0092747A"/>
    <w:rsid w:val="00930781"/>
    <w:rsid w:val="00933FDA"/>
    <w:rsid w:val="00934BC5"/>
    <w:rsid w:val="00934D51"/>
    <w:rsid w:val="0093553C"/>
    <w:rsid w:val="00936E78"/>
    <w:rsid w:val="009371E5"/>
    <w:rsid w:val="0094114D"/>
    <w:rsid w:val="0094318B"/>
    <w:rsid w:val="00943498"/>
    <w:rsid w:val="00944227"/>
    <w:rsid w:val="00944C51"/>
    <w:rsid w:val="0094714F"/>
    <w:rsid w:val="00947238"/>
    <w:rsid w:val="009473DF"/>
    <w:rsid w:val="00951C98"/>
    <w:rsid w:val="0095311C"/>
    <w:rsid w:val="0095316A"/>
    <w:rsid w:val="00954FE7"/>
    <w:rsid w:val="00955408"/>
    <w:rsid w:val="00955674"/>
    <w:rsid w:val="009569E7"/>
    <w:rsid w:val="00957712"/>
    <w:rsid w:val="009612BE"/>
    <w:rsid w:val="00961AFD"/>
    <w:rsid w:val="00963167"/>
    <w:rsid w:val="00964368"/>
    <w:rsid w:val="00964523"/>
    <w:rsid w:val="00965448"/>
    <w:rsid w:val="0096592C"/>
    <w:rsid w:val="009661A7"/>
    <w:rsid w:val="009664A9"/>
    <w:rsid w:val="009711A5"/>
    <w:rsid w:val="00972BE7"/>
    <w:rsid w:val="00973DC0"/>
    <w:rsid w:val="009761AF"/>
    <w:rsid w:val="00977827"/>
    <w:rsid w:val="00980B72"/>
    <w:rsid w:val="00981E5E"/>
    <w:rsid w:val="009823EC"/>
    <w:rsid w:val="009824CD"/>
    <w:rsid w:val="009836E7"/>
    <w:rsid w:val="0098461A"/>
    <w:rsid w:val="00985CF0"/>
    <w:rsid w:val="009866F0"/>
    <w:rsid w:val="0098742A"/>
    <w:rsid w:val="00987DAE"/>
    <w:rsid w:val="009905C4"/>
    <w:rsid w:val="00991DF0"/>
    <w:rsid w:val="0099216A"/>
    <w:rsid w:val="00992ED1"/>
    <w:rsid w:val="00993C58"/>
    <w:rsid w:val="00994423"/>
    <w:rsid w:val="009946F5"/>
    <w:rsid w:val="00995976"/>
    <w:rsid w:val="00997C32"/>
    <w:rsid w:val="009A070A"/>
    <w:rsid w:val="009A0DFB"/>
    <w:rsid w:val="009A0E65"/>
    <w:rsid w:val="009A1499"/>
    <w:rsid w:val="009A3D64"/>
    <w:rsid w:val="009A5595"/>
    <w:rsid w:val="009A697A"/>
    <w:rsid w:val="009A6FC3"/>
    <w:rsid w:val="009B072E"/>
    <w:rsid w:val="009B15A0"/>
    <w:rsid w:val="009B1C48"/>
    <w:rsid w:val="009B228F"/>
    <w:rsid w:val="009B27BD"/>
    <w:rsid w:val="009B5561"/>
    <w:rsid w:val="009C111D"/>
    <w:rsid w:val="009C1FF4"/>
    <w:rsid w:val="009C23B0"/>
    <w:rsid w:val="009C500B"/>
    <w:rsid w:val="009C5814"/>
    <w:rsid w:val="009C723C"/>
    <w:rsid w:val="009C7539"/>
    <w:rsid w:val="009C7B49"/>
    <w:rsid w:val="009C7F48"/>
    <w:rsid w:val="009D01EA"/>
    <w:rsid w:val="009D182B"/>
    <w:rsid w:val="009D2AFE"/>
    <w:rsid w:val="009D3957"/>
    <w:rsid w:val="009D451F"/>
    <w:rsid w:val="009D58AA"/>
    <w:rsid w:val="009D6239"/>
    <w:rsid w:val="009D714B"/>
    <w:rsid w:val="009D7547"/>
    <w:rsid w:val="009E025D"/>
    <w:rsid w:val="009E3EC2"/>
    <w:rsid w:val="009E4114"/>
    <w:rsid w:val="009E5F1C"/>
    <w:rsid w:val="009E7620"/>
    <w:rsid w:val="009E79B4"/>
    <w:rsid w:val="009F0B39"/>
    <w:rsid w:val="009F2DBB"/>
    <w:rsid w:val="009F4CCD"/>
    <w:rsid w:val="009F5A49"/>
    <w:rsid w:val="009F647C"/>
    <w:rsid w:val="009F6D10"/>
    <w:rsid w:val="009F7367"/>
    <w:rsid w:val="009F738C"/>
    <w:rsid w:val="00A00CDE"/>
    <w:rsid w:val="00A021C1"/>
    <w:rsid w:val="00A023DC"/>
    <w:rsid w:val="00A03886"/>
    <w:rsid w:val="00A04F1F"/>
    <w:rsid w:val="00A051E6"/>
    <w:rsid w:val="00A0603B"/>
    <w:rsid w:val="00A06171"/>
    <w:rsid w:val="00A076C4"/>
    <w:rsid w:val="00A07D10"/>
    <w:rsid w:val="00A10CD2"/>
    <w:rsid w:val="00A115BF"/>
    <w:rsid w:val="00A139A4"/>
    <w:rsid w:val="00A13DC3"/>
    <w:rsid w:val="00A14F65"/>
    <w:rsid w:val="00A17582"/>
    <w:rsid w:val="00A175E0"/>
    <w:rsid w:val="00A177F0"/>
    <w:rsid w:val="00A20D35"/>
    <w:rsid w:val="00A2204C"/>
    <w:rsid w:val="00A22C85"/>
    <w:rsid w:val="00A232C2"/>
    <w:rsid w:val="00A23DED"/>
    <w:rsid w:val="00A3064A"/>
    <w:rsid w:val="00A30E52"/>
    <w:rsid w:val="00A31725"/>
    <w:rsid w:val="00A33D66"/>
    <w:rsid w:val="00A34371"/>
    <w:rsid w:val="00A34CA2"/>
    <w:rsid w:val="00A34D09"/>
    <w:rsid w:val="00A35F6D"/>
    <w:rsid w:val="00A36DC6"/>
    <w:rsid w:val="00A37C4E"/>
    <w:rsid w:val="00A37F8C"/>
    <w:rsid w:val="00A401B9"/>
    <w:rsid w:val="00A4033D"/>
    <w:rsid w:val="00A432A9"/>
    <w:rsid w:val="00A444D5"/>
    <w:rsid w:val="00A446AE"/>
    <w:rsid w:val="00A45D82"/>
    <w:rsid w:val="00A460DB"/>
    <w:rsid w:val="00A46152"/>
    <w:rsid w:val="00A50214"/>
    <w:rsid w:val="00A509C8"/>
    <w:rsid w:val="00A50A55"/>
    <w:rsid w:val="00A54841"/>
    <w:rsid w:val="00A559AC"/>
    <w:rsid w:val="00A57C48"/>
    <w:rsid w:val="00A60E34"/>
    <w:rsid w:val="00A60E7D"/>
    <w:rsid w:val="00A622AB"/>
    <w:rsid w:val="00A6258C"/>
    <w:rsid w:val="00A64560"/>
    <w:rsid w:val="00A64E5C"/>
    <w:rsid w:val="00A65916"/>
    <w:rsid w:val="00A659A4"/>
    <w:rsid w:val="00A67BC9"/>
    <w:rsid w:val="00A73671"/>
    <w:rsid w:val="00A73A75"/>
    <w:rsid w:val="00A7449F"/>
    <w:rsid w:val="00A74F2B"/>
    <w:rsid w:val="00A75879"/>
    <w:rsid w:val="00A75D03"/>
    <w:rsid w:val="00A775F7"/>
    <w:rsid w:val="00A77930"/>
    <w:rsid w:val="00A80FDC"/>
    <w:rsid w:val="00A8144E"/>
    <w:rsid w:val="00A81E09"/>
    <w:rsid w:val="00A822D9"/>
    <w:rsid w:val="00A832D7"/>
    <w:rsid w:val="00A84462"/>
    <w:rsid w:val="00A85085"/>
    <w:rsid w:val="00A85B45"/>
    <w:rsid w:val="00A85FD9"/>
    <w:rsid w:val="00A872BE"/>
    <w:rsid w:val="00A91B12"/>
    <w:rsid w:val="00A91DB5"/>
    <w:rsid w:val="00A9342C"/>
    <w:rsid w:val="00A9420C"/>
    <w:rsid w:val="00A96DD0"/>
    <w:rsid w:val="00A96DE4"/>
    <w:rsid w:val="00A97341"/>
    <w:rsid w:val="00A9778F"/>
    <w:rsid w:val="00AA1D87"/>
    <w:rsid w:val="00AA4542"/>
    <w:rsid w:val="00AA4817"/>
    <w:rsid w:val="00AA4F4A"/>
    <w:rsid w:val="00AA5198"/>
    <w:rsid w:val="00AA5BFE"/>
    <w:rsid w:val="00AA6456"/>
    <w:rsid w:val="00AA6EEF"/>
    <w:rsid w:val="00AA7F0E"/>
    <w:rsid w:val="00AB0E21"/>
    <w:rsid w:val="00AB1FAE"/>
    <w:rsid w:val="00AB2254"/>
    <w:rsid w:val="00AB31D2"/>
    <w:rsid w:val="00AB413E"/>
    <w:rsid w:val="00AB5942"/>
    <w:rsid w:val="00AC2104"/>
    <w:rsid w:val="00AC265B"/>
    <w:rsid w:val="00AC411F"/>
    <w:rsid w:val="00AC43C3"/>
    <w:rsid w:val="00AC549B"/>
    <w:rsid w:val="00AC57ED"/>
    <w:rsid w:val="00AC6A57"/>
    <w:rsid w:val="00AC7066"/>
    <w:rsid w:val="00AD2B8E"/>
    <w:rsid w:val="00AD4B30"/>
    <w:rsid w:val="00AD4FE7"/>
    <w:rsid w:val="00AD5DB5"/>
    <w:rsid w:val="00AD6B6B"/>
    <w:rsid w:val="00AD6F8D"/>
    <w:rsid w:val="00AD738A"/>
    <w:rsid w:val="00AE04D7"/>
    <w:rsid w:val="00AE1310"/>
    <w:rsid w:val="00AE156D"/>
    <w:rsid w:val="00AE60BA"/>
    <w:rsid w:val="00AF016C"/>
    <w:rsid w:val="00AF24C1"/>
    <w:rsid w:val="00AF24E9"/>
    <w:rsid w:val="00AF3ADB"/>
    <w:rsid w:val="00AF3D7A"/>
    <w:rsid w:val="00AF512B"/>
    <w:rsid w:val="00AF7C55"/>
    <w:rsid w:val="00B0032F"/>
    <w:rsid w:val="00B00814"/>
    <w:rsid w:val="00B036A9"/>
    <w:rsid w:val="00B04862"/>
    <w:rsid w:val="00B06735"/>
    <w:rsid w:val="00B07AF1"/>
    <w:rsid w:val="00B07CE7"/>
    <w:rsid w:val="00B07E77"/>
    <w:rsid w:val="00B1035E"/>
    <w:rsid w:val="00B11377"/>
    <w:rsid w:val="00B120F8"/>
    <w:rsid w:val="00B13705"/>
    <w:rsid w:val="00B168D1"/>
    <w:rsid w:val="00B176F9"/>
    <w:rsid w:val="00B17EB3"/>
    <w:rsid w:val="00B20B2D"/>
    <w:rsid w:val="00B21DAC"/>
    <w:rsid w:val="00B22153"/>
    <w:rsid w:val="00B225CC"/>
    <w:rsid w:val="00B226EB"/>
    <w:rsid w:val="00B22C66"/>
    <w:rsid w:val="00B22CFE"/>
    <w:rsid w:val="00B23126"/>
    <w:rsid w:val="00B23F4F"/>
    <w:rsid w:val="00B241BE"/>
    <w:rsid w:val="00B27744"/>
    <w:rsid w:val="00B27F2A"/>
    <w:rsid w:val="00B3055B"/>
    <w:rsid w:val="00B31076"/>
    <w:rsid w:val="00B3135C"/>
    <w:rsid w:val="00B31D8A"/>
    <w:rsid w:val="00B321A9"/>
    <w:rsid w:val="00B32AEE"/>
    <w:rsid w:val="00B33960"/>
    <w:rsid w:val="00B3634F"/>
    <w:rsid w:val="00B36810"/>
    <w:rsid w:val="00B36D71"/>
    <w:rsid w:val="00B402DC"/>
    <w:rsid w:val="00B40EB4"/>
    <w:rsid w:val="00B40FF3"/>
    <w:rsid w:val="00B45555"/>
    <w:rsid w:val="00B46356"/>
    <w:rsid w:val="00B46B2E"/>
    <w:rsid w:val="00B46C67"/>
    <w:rsid w:val="00B50F62"/>
    <w:rsid w:val="00B51B7C"/>
    <w:rsid w:val="00B52A80"/>
    <w:rsid w:val="00B52D8A"/>
    <w:rsid w:val="00B53B34"/>
    <w:rsid w:val="00B5403D"/>
    <w:rsid w:val="00B61270"/>
    <w:rsid w:val="00B61DD6"/>
    <w:rsid w:val="00B62344"/>
    <w:rsid w:val="00B636F1"/>
    <w:rsid w:val="00B70F04"/>
    <w:rsid w:val="00B7121C"/>
    <w:rsid w:val="00B714B3"/>
    <w:rsid w:val="00B72D3B"/>
    <w:rsid w:val="00B75560"/>
    <w:rsid w:val="00B771BC"/>
    <w:rsid w:val="00B778A7"/>
    <w:rsid w:val="00B7797E"/>
    <w:rsid w:val="00B80B9E"/>
    <w:rsid w:val="00B80BE7"/>
    <w:rsid w:val="00B80D60"/>
    <w:rsid w:val="00B80DA0"/>
    <w:rsid w:val="00B81721"/>
    <w:rsid w:val="00B81AB1"/>
    <w:rsid w:val="00B825C4"/>
    <w:rsid w:val="00B826C4"/>
    <w:rsid w:val="00B8287F"/>
    <w:rsid w:val="00B8317D"/>
    <w:rsid w:val="00B8358C"/>
    <w:rsid w:val="00B84270"/>
    <w:rsid w:val="00B8446A"/>
    <w:rsid w:val="00B84FEA"/>
    <w:rsid w:val="00B8550E"/>
    <w:rsid w:val="00B85955"/>
    <w:rsid w:val="00B8697F"/>
    <w:rsid w:val="00B91018"/>
    <w:rsid w:val="00B9244B"/>
    <w:rsid w:val="00B950E8"/>
    <w:rsid w:val="00B95FA1"/>
    <w:rsid w:val="00B96497"/>
    <w:rsid w:val="00B97B50"/>
    <w:rsid w:val="00BA05AA"/>
    <w:rsid w:val="00BA2021"/>
    <w:rsid w:val="00BA2106"/>
    <w:rsid w:val="00BA2E80"/>
    <w:rsid w:val="00BA3E43"/>
    <w:rsid w:val="00BA4453"/>
    <w:rsid w:val="00BA6A13"/>
    <w:rsid w:val="00BA6CA4"/>
    <w:rsid w:val="00BA7737"/>
    <w:rsid w:val="00BA7C76"/>
    <w:rsid w:val="00BB0F16"/>
    <w:rsid w:val="00BB2C12"/>
    <w:rsid w:val="00BB5A6D"/>
    <w:rsid w:val="00BB6DE9"/>
    <w:rsid w:val="00BB70D9"/>
    <w:rsid w:val="00BB7592"/>
    <w:rsid w:val="00BB7911"/>
    <w:rsid w:val="00BC02D2"/>
    <w:rsid w:val="00BC0ECB"/>
    <w:rsid w:val="00BC20DE"/>
    <w:rsid w:val="00BC27FF"/>
    <w:rsid w:val="00BC67B1"/>
    <w:rsid w:val="00BC6EA5"/>
    <w:rsid w:val="00BD03C2"/>
    <w:rsid w:val="00BD0676"/>
    <w:rsid w:val="00BD1581"/>
    <w:rsid w:val="00BD2163"/>
    <w:rsid w:val="00BD242C"/>
    <w:rsid w:val="00BD2651"/>
    <w:rsid w:val="00BD43A5"/>
    <w:rsid w:val="00BD539A"/>
    <w:rsid w:val="00BD53D9"/>
    <w:rsid w:val="00BD5470"/>
    <w:rsid w:val="00BD7196"/>
    <w:rsid w:val="00BD71E7"/>
    <w:rsid w:val="00BE37F6"/>
    <w:rsid w:val="00BE5359"/>
    <w:rsid w:val="00BE57EE"/>
    <w:rsid w:val="00BE5DA8"/>
    <w:rsid w:val="00BE6E77"/>
    <w:rsid w:val="00BE72BE"/>
    <w:rsid w:val="00BF0A4C"/>
    <w:rsid w:val="00BF0AD4"/>
    <w:rsid w:val="00BF14ED"/>
    <w:rsid w:val="00BF210B"/>
    <w:rsid w:val="00BF2C64"/>
    <w:rsid w:val="00BF2E67"/>
    <w:rsid w:val="00BF3752"/>
    <w:rsid w:val="00BF5EED"/>
    <w:rsid w:val="00BF68CD"/>
    <w:rsid w:val="00BF7376"/>
    <w:rsid w:val="00BF79AC"/>
    <w:rsid w:val="00C016F5"/>
    <w:rsid w:val="00C01990"/>
    <w:rsid w:val="00C01BA4"/>
    <w:rsid w:val="00C02149"/>
    <w:rsid w:val="00C03479"/>
    <w:rsid w:val="00C0413A"/>
    <w:rsid w:val="00C04D4D"/>
    <w:rsid w:val="00C051ED"/>
    <w:rsid w:val="00C07F60"/>
    <w:rsid w:val="00C1021F"/>
    <w:rsid w:val="00C1040C"/>
    <w:rsid w:val="00C11F2E"/>
    <w:rsid w:val="00C120EF"/>
    <w:rsid w:val="00C1272C"/>
    <w:rsid w:val="00C147B6"/>
    <w:rsid w:val="00C14E90"/>
    <w:rsid w:val="00C15B15"/>
    <w:rsid w:val="00C17B49"/>
    <w:rsid w:val="00C203EB"/>
    <w:rsid w:val="00C21115"/>
    <w:rsid w:val="00C21A61"/>
    <w:rsid w:val="00C25436"/>
    <w:rsid w:val="00C300F2"/>
    <w:rsid w:val="00C30398"/>
    <w:rsid w:val="00C31765"/>
    <w:rsid w:val="00C34737"/>
    <w:rsid w:val="00C34F05"/>
    <w:rsid w:val="00C35C4A"/>
    <w:rsid w:val="00C36520"/>
    <w:rsid w:val="00C37399"/>
    <w:rsid w:val="00C40ACC"/>
    <w:rsid w:val="00C41A24"/>
    <w:rsid w:val="00C41D3B"/>
    <w:rsid w:val="00C4311A"/>
    <w:rsid w:val="00C43315"/>
    <w:rsid w:val="00C45E75"/>
    <w:rsid w:val="00C46A4D"/>
    <w:rsid w:val="00C503C9"/>
    <w:rsid w:val="00C5055C"/>
    <w:rsid w:val="00C50627"/>
    <w:rsid w:val="00C50635"/>
    <w:rsid w:val="00C5184A"/>
    <w:rsid w:val="00C51A4A"/>
    <w:rsid w:val="00C51C0D"/>
    <w:rsid w:val="00C530B2"/>
    <w:rsid w:val="00C55770"/>
    <w:rsid w:val="00C56B3B"/>
    <w:rsid w:val="00C5768D"/>
    <w:rsid w:val="00C60BC1"/>
    <w:rsid w:val="00C61A7B"/>
    <w:rsid w:val="00C625E6"/>
    <w:rsid w:val="00C62A94"/>
    <w:rsid w:val="00C648D1"/>
    <w:rsid w:val="00C663BD"/>
    <w:rsid w:val="00C66B16"/>
    <w:rsid w:val="00C676E6"/>
    <w:rsid w:val="00C702E2"/>
    <w:rsid w:val="00C709F8"/>
    <w:rsid w:val="00C71E97"/>
    <w:rsid w:val="00C7222C"/>
    <w:rsid w:val="00C72CDD"/>
    <w:rsid w:val="00C73966"/>
    <w:rsid w:val="00C74057"/>
    <w:rsid w:val="00C745DF"/>
    <w:rsid w:val="00C749C6"/>
    <w:rsid w:val="00C7542E"/>
    <w:rsid w:val="00C75F78"/>
    <w:rsid w:val="00C765D7"/>
    <w:rsid w:val="00C8081B"/>
    <w:rsid w:val="00C813FE"/>
    <w:rsid w:val="00C82832"/>
    <w:rsid w:val="00C83E4B"/>
    <w:rsid w:val="00C842B5"/>
    <w:rsid w:val="00C8466E"/>
    <w:rsid w:val="00C84E43"/>
    <w:rsid w:val="00C85F91"/>
    <w:rsid w:val="00C874C6"/>
    <w:rsid w:val="00C91191"/>
    <w:rsid w:val="00C91ABE"/>
    <w:rsid w:val="00C91E67"/>
    <w:rsid w:val="00C92C66"/>
    <w:rsid w:val="00C941CC"/>
    <w:rsid w:val="00C947CC"/>
    <w:rsid w:val="00C97289"/>
    <w:rsid w:val="00C97778"/>
    <w:rsid w:val="00C97B41"/>
    <w:rsid w:val="00CA0F26"/>
    <w:rsid w:val="00CA13BB"/>
    <w:rsid w:val="00CA1405"/>
    <w:rsid w:val="00CA255F"/>
    <w:rsid w:val="00CA4B1F"/>
    <w:rsid w:val="00CA5ADE"/>
    <w:rsid w:val="00CA5D1C"/>
    <w:rsid w:val="00CA6909"/>
    <w:rsid w:val="00CA6A61"/>
    <w:rsid w:val="00CA7C13"/>
    <w:rsid w:val="00CB332B"/>
    <w:rsid w:val="00CB3F38"/>
    <w:rsid w:val="00CB60D7"/>
    <w:rsid w:val="00CB665F"/>
    <w:rsid w:val="00CB66C0"/>
    <w:rsid w:val="00CB6A50"/>
    <w:rsid w:val="00CB6BA5"/>
    <w:rsid w:val="00CB6C8E"/>
    <w:rsid w:val="00CB76EA"/>
    <w:rsid w:val="00CB794D"/>
    <w:rsid w:val="00CB7BA6"/>
    <w:rsid w:val="00CC0834"/>
    <w:rsid w:val="00CC2BAE"/>
    <w:rsid w:val="00CC3C12"/>
    <w:rsid w:val="00CC6450"/>
    <w:rsid w:val="00CC7E7C"/>
    <w:rsid w:val="00CD04CF"/>
    <w:rsid w:val="00CD0EAC"/>
    <w:rsid w:val="00CD1B3A"/>
    <w:rsid w:val="00CD1CD7"/>
    <w:rsid w:val="00CD44E5"/>
    <w:rsid w:val="00CD4AA5"/>
    <w:rsid w:val="00CD4DA3"/>
    <w:rsid w:val="00CD67E2"/>
    <w:rsid w:val="00CD75DD"/>
    <w:rsid w:val="00CD7925"/>
    <w:rsid w:val="00CD7A74"/>
    <w:rsid w:val="00CD7DC7"/>
    <w:rsid w:val="00CE04F4"/>
    <w:rsid w:val="00CE229B"/>
    <w:rsid w:val="00CE329C"/>
    <w:rsid w:val="00CE4082"/>
    <w:rsid w:val="00CE72C2"/>
    <w:rsid w:val="00CE7951"/>
    <w:rsid w:val="00CE7BAB"/>
    <w:rsid w:val="00CE7FD1"/>
    <w:rsid w:val="00CF0A82"/>
    <w:rsid w:val="00CF11F0"/>
    <w:rsid w:val="00CF5474"/>
    <w:rsid w:val="00CF5709"/>
    <w:rsid w:val="00CF5AC4"/>
    <w:rsid w:val="00D00698"/>
    <w:rsid w:val="00D009AD"/>
    <w:rsid w:val="00D012DE"/>
    <w:rsid w:val="00D02AE2"/>
    <w:rsid w:val="00D02E67"/>
    <w:rsid w:val="00D051EF"/>
    <w:rsid w:val="00D05C23"/>
    <w:rsid w:val="00D05DB7"/>
    <w:rsid w:val="00D06EBC"/>
    <w:rsid w:val="00D07A17"/>
    <w:rsid w:val="00D07EC0"/>
    <w:rsid w:val="00D126E9"/>
    <w:rsid w:val="00D14791"/>
    <w:rsid w:val="00D16206"/>
    <w:rsid w:val="00D16E15"/>
    <w:rsid w:val="00D17D95"/>
    <w:rsid w:val="00D206DD"/>
    <w:rsid w:val="00D21383"/>
    <w:rsid w:val="00D22931"/>
    <w:rsid w:val="00D22B66"/>
    <w:rsid w:val="00D22F4A"/>
    <w:rsid w:val="00D2332A"/>
    <w:rsid w:val="00D23FDC"/>
    <w:rsid w:val="00D25266"/>
    <w:rsid w:val="00D27789"/>
    <w:rsid w:val="00D30662"/>
    <w:rsid w:val="00D3543E"/>
    <w:rsid w:val="00D37806"/>
    <w:rsid w:val="00D405E6"/>
    <w:rsid w:val="00D40659"/>
    <w:rsid w:val="00D40A2B"/>
    <w:rsid w:val="00D420F6"/>
    <w:rsid w:val="00D423E5"/>
    <w:rsid w:val="00D427BF"/>
    <w:rsid w:val="00D44B75"/>
    <w:rsid w:val="00D46159"/>
    <w:rsid w:val="00D464C4"/>
    <w:rsid w:val="00D46C21"/>
    <w:rsid w:val="00D475CD"/>
    <w:rsid w:val="00D5046B"/>
    <w:rsid w:val="00D51765"/>
    <w:rsid w:val="00D52FA1"/>
    <w:rsid w:val="00D53274"/>
    <w:rsid w:val="00D533BA"/>
    <w:rsid w:val="00D540D9"/>
    <w:rsid w:val="00D54311"/>
    <w:rsid w:val="00D5459F"/>
    <w:rsid w:val="00D54F2F"/>
    <w:rsid w:val="00D55CCC"/>
    <w:rsid w:val="00D56227"/>
    <w:rsid w:val="00D604A0"/>
    <w:rsid w:val="00D60611"/>
    <w:rsid w:val="00D6076D"/>
    <w:rsid w:val="00D61178"/>
    <w:rsid w:val="00D6418C"/>
    <w:rsid w:val="00D647CA"/>
    <w:rsid w:val="00D64E37"/>
    <w:rsid w:val="00D653E4"/>
    <w:rsid w:val="00D65BA0"/>
    <w:rsid w:val="00D67A8F"/>
    <w:rsid w:val="00D70BFE"/>
    <w:rsid w:val="00D70FF4"/>
    <w:rsid w:val="00D7290D"/>
    <w:rsid w:val="00D74120"/>
    <w:rsid w:val="00D7519A"/>
    <w:rsid w:val="00D754EC"/>
    <w:rsid w:val="00D75F0C"/>
    <w:rsid w:val="00D760E1"/>
    <w:rsid w:val="00D80AEA"/>
    <w:rsid w:val="00D80D73"/>
    <w:rsid w:val="00D80D9C"/>
    <w:rsid w:val="00D81CD1"/>
    <w:rsid w:val="00D91231"/>
    <w:rsid w:val="00D920E8"/>
    <w:rsid w:val="00D93A82"/>
    <w:rsid w:val="00D94C8B"/>
    <w:rsid w:val="00D94DFE"/>
    <w:rsid w:val="00D9752A"/>
    <w:rsid w:val="00D97CC3"/>
    <w:rsid w:val="00DA08E7"/>
    <w:rsid w:val="00DA10F4"/>
    <w:rsid w:val="00DA1370"/>
    <w:rsid w:val="00DA2529"/>
    <w:rsid w:val="00DA2E8A"/>
    <w:rsid w:val="00DA39BA"/>
    <w:rsid w:val="00DA3BE2"/>
    <w:rsid w:val="00DA3D43"/>
    <w:rsid w:val="00DA45BE"/>
    <w:rsid w:val="00DA6A68"/>
    <w:rsid w:val="00DA70F0"/>
    <w:rsid w:val="00DA7EC9"/>
    <w:rsid w:val="00DB0C61"/>
    <w:rsid w:val="00DB1703"/>
    <w:rsid w:val="00DB1FA8"/>
    <w:rsid w:val="00DB25C0"/>
    <w:rsid w:val="00DB26E8"/>
    <w:rsid w:val="00DB338A"/>
    <w:rsid w:val="00DB4C35"/>
    <w:rsid w:val="00DB51DE"/>
    <w:rsid w:val="00DB5578"/>
    <w:rsid w:val="00DB5846"/>
    <w:rsid w:val="00DB5E66"/>
    <w:rsid w:val="00DB6A10"/>
    <w:rsid w:val="00DC1237"/>
    <w:rsid w:val="00DC13B8"/>
    <w:rsid w:val="00DC3DB3"/>
    <w:rsid w:val="00DC432B"/>
    <w:rsid w:val="00DC4704"/>
    <w:rsid w:val="00DC609C"/>
    <w:rsid w:val="00DC655F"/>
    <w:rsid w:val="00DD4091"/>
    <w:rsid w:val="00DD6236"/>
    <w:rsid w:val="00DD6EA8"/>
    <w:rsid w:val="00DD7DF9"/>
    <w:rsid w:val="00DE199F"/>
    <w:rsid w:val="00DE1B56"/>
    <w:rsid w:val="00DE1F45"/>
    <w:rsid w:val="00DE4964"/>
    <w:rsid w:val="00DE4A2B"/>
    <w:rsid w:val="00DF18B7"/>
    <w:rsid w:val="00DF3B73"/>
    <w:rsid w:val="00DF3E80"/>
    <w:rsid w:val="00DF432C"/>
    <w:rsid w:val="00DF47BD"/>
    <w:rsid w:val="00DF6CC8"/>
    <w:rsid w:val="00DF6ED3"/>
    <w:rsid w:val="00DF7367"/>
    <w:rsid w:val="00E024BE"/>
    <w:rsid w:val="00E04DFB"/>
    <w:rsid w:val="00E07743"/>
    <w:rsid w:val="00E10080"/>
    <w:rsid w:val="00E10D92"/>
    <w:rsid w:val="00E11126"/>
    <w:rsid w:val="00E11428"/>
    <w:rsid w:val="00E11968"/>
    <w:rsid w:val="00E11F60"/>
    <w:rsid w:val="00E1233D"/>
    <w:rsid w:val="00E1738D"/>
    <w:rsid w:val="00E21437"/>
    <w:rsid w:val="00E23231"/>
    <w:rsid w:val="00E23640"/>
    <w:rsid w:val="00E240EF"/>
    <w:rsid w:val="00E24482"/>
    <w:rsid w:val="00E26589"/>
    <w:rsid w:val="00E268EC"/>
    <w:rsid w:val="00E270CB"/>
    <w:rsid w:val="00E27BDC"/>
    <w:rsid w:val="00E30CC6"/>
    <w:rsid w:val="00E32BD3"/>
    <w:rsid w:val="00E335CA"/>
    <w:rsid w:val="00E338CD"/>
    <w:rsid w:val="00E33C12"/>
    <w:rsid w:val="00E34E0F"/>
    <w:rsid w:val="00E36021"/>
    <w:rsid w:val="00E3775E"/>
    <w:rsid w:val="00E37AF5"/>
    <w:rsid w:val="00E41C76"/>
    <w:rsid w:val="00E41D7F"/>
    <w:rsid w:val="00E42676"/>
    <w:rsid w:val="00E45903"/>
    <w:rsid w:val="00E45A6D"/>
    <w:rsid w:val="00E53923"/>
    <w:rsid w:val="00E5429C"/>
    <w:rsid w:val="00E546BE"/>
    <w:rsid w:val="00E549AF"/>
    <w:rsid w:val="00E54A2E"/>
    <w:rsid w:val="00E566FF"/>
    <w:rsid w:val="00E63F0B"/>
    <w:rsid w:val="00E65036"/>
    <w:rsid w:val="00E659EE"/>
    <w:rsid w:val="00E66ADA"/>
    <w:rsid w:val="00E67080"/>
    <w:rsid w:val="00E67E96"/>
    <w:rsid w:val="00E70379"/>
    <w:rsid w:val="00E716DA"/>
    <w:rsid w:val="00E71B85"/>
    <w:rsid w:val="00E721DC"/>
    <w:rsid w:val="00E72484"/>
    <w:rsid w:val="00E72E19"/>
    <w:rsid w:val="00E74E5A"/>
    <w:rsid w:val="00E7654B"/>
    <w:rsid w:val="00E7677E"/>
    <w:rsid w:val="00E76FB7"/>
    <w:rsid w:val="00E800B6"/>
    <w:rsid w:val="00E81759"/>
    <w:rsid w:val="00E81AB1"/>
    <w:rsid w:val="00E820A9"/>
    <w:rsid w:val="00E825F8"/>
    <w:rsid w:val="00E846D4"/>
    <w:rsid w:val="00E84782"/>
    <w:rsid w:val="00E84A6E"/>
    <w:rsid w:val="00E8740B"/>
    <w:rsid w:val="00E90C47"/>
    <w:rsid w:val="00E940D6"/>
    <w:rsid w:val="00E95786"/>
    <w:rsid w:val="00EA00A9"/>
    <w:rsid w:val="00EA09ED"/>
    <w:rsid w:val="00EA0F52"/>
    <w:rsid w:val="00EA1304"/>
    <w:rsid w:val="00EA1443"/>
    <w:rsid w:val="00EA1A63"/>
    <w:rsid w:val="00EA2733"/>
    <w:rsid w:val="00EA3587"/>
    <w:rsid w:val="00EA3DA0"/>
    <w:rsid w:val="00EA685A"/>
    <w:rsid w:val="00EA7037"/>
    <w:rsid w:val="00EB095A"/>
    <w:rsid w:val="00EB0CA4"/>
    <w:rsid w:val="00EB1019"/>
    <w:rsid w:val="00EB2932"/>
    <w:rsid w:val="00EB3EF5"/>
    <w:rsid w:val="00EB4742"/>
    <w:rsid w:val="00EB4CF7"/>
    <w:rsid w:val="00EB5383"/>
    <w:rsid w:val="00EB5EB0"/>
    <w:rsid w:val="00EB60BD"/>
    <w:rsid w:val="00EC00D2"/>
    <w:rsid w:val="00EC0342"/>
    <w:rsid w:val="00EC0AE9"/>
    <w:rsid w:val="00EC0F2E"/>
    <w:rsid w:val="00EC0F5C"/>
    <w:rsid w:val="00EC1C5E"/>
    <w:rsid w:val="00EC1E6F"/>
    <w:rsid w:val="00EC2820"/>
    <w:rsid w:val="00EC731B"/>
    <w:rsid w:val="00EC7B24"/>
    <w:rsid w:val="00ED07D3"/>
    <w:rsid w:val="00ED273D"/>
    <w:rsid w:val="00ED3BC9"/>
    <w:rsid w:val="00ED5603"/>
    <w:rsid w:val="00ED638D"/>
    <w:rsid w:val="00ED697F"/>
    <w:rsid w:val="00ED6CA8"/>
    <w:rsid w:val="00EE23CF"/>
    <w:rsid w:val="00EE3A95"/>
    <w:rsid w:val="00EE542B"/>
    <w:rsid w:val="00EF0813"/>
    <w:rsid w:val="00EF1997"/>
    <w:rsid w:val="00EF24F5"/>
    <w:rsid w:val="00EF2C00"/>
    <w:rsid w:val="00EF2DCE"/>
    <w:rsid w:val="00F00531"/>
    <w:rsid w:val="00F01A7E"/>
    <w:rsid w:val="00F01B45"/>
    <w:rsid w:val="00F03EE5"/>
    <w:rsid w:val="00F0565A"/>
    <w:rsid w:val="00F05CA2"/>
    <w:rsid w:val="00F07192"/>
    <w:rsid w:val="00F07307"/>
    <w:rsid w:val="00F07550"/>
    <w:rsid w:val="00F10B95"/>
    <w:rsid w:val="00F1220F"/>
    <w:rsid w:val="00F14583"/>
    <w:rsid w:val="00F159BB"/>
    <w:rsid w:val="00F16012"/>
    <w:rsid w:val="00F166F8"/>
    <w:rsid w:val="00F17996"/>
    <w:rsid w:val="00F22711"/>
    <w:rsid w:val="00F22C0C"/>
    <w:rsid w:val="00F22CA4"/>
    <w:rsid w:val="00F233E6"/>
    <w:rsid w:val="00F23CF6"/>
    <w:rsid w:val="00F2408E"/>
    <w:rsid w:val="00F24A98"/>
    <w:rsid w:val="00F24B08"/>
    <w:rsid w:val="00F25369"/>
    <w:rsid w:val="00F275B3"/>
    <w:rsid w:val="00F31C73"/>
    <w:rsid w:val="00F3227F"/>
    <w:rsid w:val="00F322A6"/>
    <w:rsid w:val="00F3254B"/>
    <w:rsid w:val="00F34F2C"/>
    <w:rsid w:val="00F35FE9"/>
    <w:rsid w:val="00F36220"/>
    <w:rsid w:val="00F36A41"/>
    <w:rsid w:val="00F374B8"/>
    <w:rsid w:val="00F37C95"/>
    <w:rsid w:val="00F40C4E"/>
    <w:rsid w:val="00F44437"/>
    <w:rsid w:val="00F50AFB"/>
    <w:rsid w:val="00F606E1"/>
    <w:rsid w:val="00F61628"/>
    <w:rsid w:val="00F61A79"/>
    <w:rsid w:val="00F62157"/>
    <w:rsid w:val="00F64E51"/>
    <w:rsid w:val="00F65A1A"/>
    <w:rsid w:val="00F668CB"/>
    <w:rsid w:val="00F679D8"/>
    <w:rsid w:val="00F7050A"/>
    <w:rsid w:val="00F72F15"/>
    <w:rsid w:val="00F74C9C"/>
    <w:rsid w:val="00F76132"/>
    <w:rsid w:val="00F763DE"/>
    <w:rsid w:val="00F8080E"/>
    <w:rsid w:val="00F813A9"/>
    <w:rsid w:val="00F819B5"/>
    <w:rsid w:val="00F8314C"/>
    <w:rsid w:val="00F84F31"/>
    <w:rsid w:val="00F86262"/>
    <w:rsid w:val="00F86A39"/>
    <w:rsid w:val="00F86B6B"/>
    <w:rsid w:val="00F87B0A"/>
    <w:rsid w:val="00F87B15"/>
    <w:rsid w:val="00F908C2"/>
    <w:rsid w:val="00F912FD"/>
    <w:rsid w:val="00F91449"/>
    <w:rsid w:val="00F9364C"/>
    <w:rsid w:val="00F93A12"/>
    <w:rsid w:val="00F94816"/>
    <w:rsid w:val="00F95521"/>
    <w:rsid w:val="00F95958"/>
    <w:rsid w:val="00F95F85"/>
    <w:rsid w:val="00F97179"/>
    <w:rsid w:val="00F97617"/>
    <w:rsid w:val="00F97681"/>
    <w:rsid w:val="00FA046F"/>
    <w:rsid w:val="00FA46DB"/>
    <w:rsid w:val="00FA5988"/>
    <w:rsid w:val="00FB002C"/>
    <w:rsid w:val="00FB1AEC"/>
    <w:rsid w:val="00FB2119"/>
    <w:rsid w:val="00FB2609"/>
    <w:rsid w:val="00FB26A0"/>
    <w:rsid w:val="00FB293A"/>
    <w:rsid w:val="00FB29DC"/>
    <w:rsid w:val="00FB31E8"/>
    <w:rsid w:val="00FB3AC0"/>
    <w:rsid w:val="00FB5CC1"/>
    <w:rsid w:val="00FB644F"/>
    <w:rsid w:val="00FB7174"/>
    <w:rsid w:val="00FC1C86"/>
    <w:rsid w:val="00FC31C9"/>
    <w:rsid w:val="00FC3232"/>
    <w:rsid w:val="00FC3274"/>
    <w:rsid w:val="00FC32B5"/>
    <w:rsid w:val="00FC39E1"/>
    <w:rsid w:val="00FC41BD"/>
    <w:rsid w:val="00FC4B29"/>
    <w:rsid w:val="00FC4C28"/>
    <w:rsid w:val="00FC5338"/>
    <w:rsid w:val="00FC5826"/>
    <w:rsid w:val="00FC5877"/>
    <w:rsid w:val="00FC5907"/>
    <w:rsid w:val="00FC719E"/>
    <w:rsid w:val="00FD0648"/>
    <w:rsid w:val="00FD4925"/>
    <w:rsid w:val="00FD59B6"/>
    <w:rsid w:val="00FD5CC0"/>
    <w:rsid w:val="00FD74A8"/>
    <w:rsid w:val="00FE01F0"/>
    <w:rsid w:val="00FE026D"/>
    <w:rsid w:val="00FE140A"/>
    <w:rsid w:val="00FE1DF5"/>
    <w:rsid w:val="00FE34F3"/>
    <w:rsid w:val="00FE39CE"/>
    <w:rsid w:val="00FE6BEB"/>
    <w:rsid w:val="00FE6C69"/>
    <w:rsid w:val="00FE72A1"/>
    <w:rsid w:val="00FE7358"/>
    <w:rsid w:val="00FE7645"/>
    <w:rsid w:val="00FF00EB"/>
    <w:rsid w:val="00FF0120"/>
    <w:rsid w:val="00FF207D"/>
    <w:rsid w:val="00FF20EE"/>
    <w:rsid w:val="00FF2919"/>
    <w:rsid w:val="00FF310E"/>
    <w:rsid w:val="00FF3579"/>
    <w:rsid w:val="00FF4455"/>
    <w:rsid w:val="00FF46E4"/>
    <w:rsid w:val="00FF6680"/>
    <w:rsid w:val="00FF794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64C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AU" w:eastAsia="en-AU" w:bidi="ar-SA"/>
      </w:rPr>
    </w:rPrDefault>
    <w:pPrDefault/>
  </w:docDefaults>
  <w:latentStyles w:defLockedState="0" w:defUIPriority="99" w:defSemiHidden="0" w:defUnhideWhenUsed="0" w:defQFormat="0" w:count="371">
    <w:lsdException w:name="Normal" w:locked="1" w:uiPriority="4" w:qFormat="1"/>
    <w:lsdException w:name="heading 1" w:locked="1" w:uiPriority="0" w:qFormat="1"/>
    <w:lsdException w:name="heading 2" w:locked="1" w:uiPriority="1" w:qFormat="1"/>
    <w:lsdException w:name="heading 3" w:locked="1" w:uiPriority="3" w:qFormat="1"/>
    <w:lsdException w:name="heading 4" w:locked="1" w:uiPriority="4" w:qFormat="1"/>
    <w:lsdException w:name="heading 5" w:locked="1" w:qFormat="1"/>
    <w:lsdException w:name="heading 6" w:lock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iPriority="1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Intense Reference" w:uiPriority="32"/>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DF0"/>
    <w:pPr>
      <w:spacing w:after="180" w:line="280" w:lineRule="atLeast"/>
    </w:pPr>
  </w:style>
  <w:style w:type="paragraph" w:styleId="Heading1">
    <w:name w:val="heading 1"/>
    <w:next w:val="Normal"/>
    <w:link w:val="Heading1Char"/>
    <w:uiPriority w:val="1"/>
    <w:qFormat/>
    <w:rsid w:val="00BA7C76"/>
    <w:pPr>
      <w:keepNext/>
      <w:numPr>
        <w:numId w:val="4"/>
      </w:numPr>
      <w:spacing w:after="240"/>
      <w:ind w:left="1134" w:hanging="1134"/>
      <w:outlineLvl w:val="0"/>
    </w:pPr>
    <w:rPr>
      <w:rFonts w:ascii="Arial" w:hAnsi="Arial" w:cs="Arial"/>
      <w:caps/>
      <w:color w:val="00AD68"/>
      <w:kern w:val="28"/>
      <w:sz w:val="36"/>
      <w:lang w:val="en-US"/>
    </w:rPr>
  </w:style>
  <w:style w:type="paragraph" w:styleId="Heading2">
    <w:name w:val="heading 2"/>
    <w:basedOn w:val="Heading1"/>
    <w:next w:val="Normal"/>
    <w:link w:val="Heading2Char"/>
    <w:uiPriority w:val="2"/>
    <w:qFormat/>
    <w:rsid w:val="0002608E"/>
    <w:pPr>
      <w:numPr>
        <w:ilvl w:val="1"/>
      </w:numPr>
      <w:spacing w:before="120"/>
      <w:ind w:left="1134" w:hanging="1134"/>
      <w:outlineLvl w:val="1"/>
    </w:pPr>
    <w:rPr>
      <w:caps w:val="0"/>
      <w:sz w:val="32"/>
    </w:rPr>
  </w:style>
  <w:style w:type="paragraph" w:styleId="Heading3">
    <w:name w:val="heading 3"/>
    <w:basedOn w:val="Heading2"/>
    <w:next w:val="Normal"/>
    <w:link w:val="Heading3Char"/>
    <w:uiPriority w:val="3"/>
    <w:qFormat/>
    <w:rsid w:val="00BA7C76"/>
    <w:pPr>
      <w:numPr>
        <w:ilvl w:val="2"/>
      </w:numPr>
      <w:spacing w:after="180"/>
      <w:ind w:left="1134" w:hanging="1134"/>
      <w:outlineLvl w:val="2"/>
    </w:pPr>
    <w:rPr>
      <w:sz w:val="28"/>
    </w:rPr>
  </w:style>
  <w:style w:type="paragraph" w:styleId="Heading4">
    <w:name w:val="heading 4"/>
    <w:basedOn w:val="Heading3"/>
    <w:next w:val="Normal"/>
    <w:link w:val="Heading4Char"/>
    <w:uiPriority w:val="4"/>
    <w:qFormat/>
    <w:rsid w:val="00BA7C76"/>
    <w:pPr>
      <w:numPr>
        <w:ilvl w:val="0"/>
        <w:numId w:val="0"/>
      </w:numPr>
      <w:spacing w:after="120"/>
      <w:outlineLvl w:val="3"/>
    </w:pPr>
    <w:rPr>
      <w:sz w:val="24"/>
    </w:rPr>
  </w:style>
  <w:style w:type="paragraph" w:styleId="Heading5">
    <w:name w:val="heading 5"/>
    <w:basedOn w:val="Heading4"/>
    <w:next w:val="Normal"/>
    <w:link w:val="Heading5Char"/>
    <w:uiPriority w:val="99"/>
    <w:rsid w:val="00396C3A"/>
    <w:pPr>
      <w:outlineLvl w:val="4"/>
    </w:pPr>
  </w:style>
  <w:style w:type="paragraph" w:styleId="Heading6">
    <w:name w:val="heading 6"/>
    <w:basedOn w:val="Normal"/>
    <w:next w:val="Normal"/>
    <w:link w:val="Heading6Char"/>
    <w:uiPriority w:val="99"/>
    <w:rsid w:val="00396C3A"/>
    <w:pPr>
      <w:spacing w:before="240" w:after="60"/>
      <w:outlineLvl w:val="5"/>
    </w:pPr>
    <w:rPr>
      <w:b/>
      <w:bCs/>
    </w:rPr>
  </w:style>
  <w:style w:type="paragraph" w:styleId="Heading7">
    <w:name w:val="heading 7"/>
    <w:basedOn w:val="Heading6"/>
    <w:next w:val="Normal"/>
    <w:link w:val="Heading7Char"/>
    <w:uiPriority w:val="99"/>
    <w:rsid w:val="00396C3A"/>
    <w:pPr>
      <w:keepNext/>
      <w:tabs>
        <w:tab w:val="left" w:pos="1134"/>
      </w:tabs>
      <w:spacing w:line="240" w:lineRule="auto"/>
      <w:outlineLvl w:val="6"/>
    </w:pPr>
    <w:rPr>
      <w:rFonts w:ascii="Gotham Book" w:hAnsi="Gotham Book" w:cs="Arial"/>
      <w:color w:val="00AD68"/>
      <w:kern w:val="28"/>
      <w:sz w:val="24"/>
    </w:rPr>
  </w:style>
  <w:style w:type="paragraph" w:styleId="Heading8">
    <w:name w:val="heading 8"/>
    <w:basedOn w:val="Heading7"/>
    <w:next w:val="Normal"/>
    <w:link w:val="Heading8Char"/>
    <w:uiPriority w:val="99"/>
    <w:rsid w:val="00396C3A"/>
    <w:pPr>
      <w:outlineLvl w:val="7"/>
    </w:pPr>
    <w:rPr>
      <w:i/>
      <w:iCs/>
    </w:rPr>
  </w:style>
  <w:style w:type="paragraph" w:styleId="Heading9">
    <w:name w:val="heading 9"/>
    <w:basedOn w:val="Heading8"/>
    <w:next w:val="Normal"/>
    <w:link w:val="Heading9Char"/>
    <w:uiPriority w:val="99"/>
    <w:rsid w:val="00396C3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BA7C76"/>
    <w:rPr>
      <w:rFonts w:ascii="Arial" w:hAnsi="Arial" w:cs="Arial"/>
      <w:caps/>
      <w:color w:val="00AD68"/>
      <w:kern w:val="28"/>
      <w:sz w:val="36"/>
      <w:lang w:val="en-US"/>
    </w:rPr>
  </w:style>
  <w:style w:type="character" w:customStyle="1" w:styleId="Heading2Char">
    <w:name w:val="Heading 2 Char"/>
    <w:link w:val="Heading2"/>
    <w:uiPriority w:val="2"/>
    <w:locked/>
    <w:rsid w:val="0002608E"/>
    <w:rPr>
      <w:rFonts w:ascii="Gotham Medium" w:hAnsi="Gotham Medium" w:cs="Arial"/>
      <w:color w:val="00AD68"/>
      <w:kern w:val="28"/>
      <w:sz w:val="32"/>
      <w:lang w:val="en-US"/>
    </w:rPr>
  </w:style>
  <w:style w:type="character" w:customStyle="1" w:styleId="Heading3Char">
    <w:name w:val="Heading 3 Char"/>
    <w:link w:val="Heading3"/>
    <w:uiPriority w:val="3"/>
    <w:locked/>
    <w:rsid w:val="00BA7C76"/>
    <w:rPr>
      <w:rFonts w:ascii="Arial" w:hAnsi="Arial" w:cs="Arial"/>
      <w:color w:val="00AD68"/>
      <w:kern w:val="28"/>
      <w:sz w:val="28"/>
      <w:lang w:val="en-US"/>
    </w:rPr>
  </w:style>
  <w:style w:type="character" w:customStyle="1" w:styleId="Heading4Char">
    <w:name w:val="Heading 4 Char"/>
    <w:link w:val="Heading4"/>
    <w:uiPriority w:val="4"/>
    <w:locked/>
    <w:rsid w:val="00BA7C76"/>
    <w:rPr>
      <w:rFonts w:ascii="Arial" w:hAnsi="Arial" w:cs="Arial"/>
      <w:color w:val="00AD68"/>
      <w:kern w:val="28"/>
      <w:sz w:val="24"/>
      <w:lang w:val="en-US"/>
    </w:rPr>
  </w:style>
  <w:style w:type="character" w:customStyle="1" w:styleId="Heading5Char">
    <w:name w:val="Heading 5 Char"/>
    <w:link w:val="Heading5"/>
    <w:uiPriority w:val="99"/>
    <w:locked/>
    <w:rsid w:val="00396C3A"/>
    <w:rPr>
      <w:rFonts w:ascii="Gotham Book" w:hAnsi="Gotham Book" w:cs="Arial"/>
      <w:color w:val="00AD68"/>
      <w:kern w:val="28"/>
      <w:sz w:val="24"/>
      <w:lang w:val="en-US"/>
    </w:rPr>
  </w:style>
  <w:style w:type="character" w:customStyle="1" w:styleId="Heading6Char">
    <w:name w:val="Heading 6 Char"/>
    <w:link w:val="Heading6"/>
    <w:uiPriority w:val="99"/>
    <w:locked/>
    <w:rsid w:val="00396C3A"/>
    <w:rPr>
      <w:rFonts w:asciiTheme="minorHAnsi" w:hAnsiTheme="minorHAnsi" w:cs="Tahoma"/>
      <w:b/>
      <w:bCs/>
      <w:sz w:val="22"/>
      <w:szCs w:val="22"/>
      <w:lang w:val="en-US"/>
    </w:rPr>
  </w:style>
  <w:style w:type="character" w:customStyle="1" w:styleId="Heading7Char">
    <w:name w:val="Heading 7 Char"/>
    <w:link w:val="Heading7"/>
    <w:uiPriority w:val="99"/>
    <w:locked/>
    <w:rsid w:val="00396C3A"/>
    <w:rPr>
      <w:rFonts w:ascii="Gotham Book" w:hAnsi="Gotham Book" w:cs="Arial"/>
      <w:b/>
      <w:bCs/>
      <w:color w:val="00AD68"/>
      <w:kern w:val="28"/>
      <w:sz w:val="24"/>
      <w:szCs w:val="22"/>
      <w:lang w:val="en-US"/>
    </w:rPr>
  </w:style>
  <w:style w:type="character" w:customStyle="1" w:styleId="Heading8Char">
    <w:name w:val="Heading 8 Char"/>
    <w:link w:val="Heading8"/>
    <w:uiPriority w:val="99"/>
    <w:locked/>
    <w:rsid w:val="00396C3A"/>
    <w:rPr>
      <w:rFonts w:ascii="Gotham Book" w:hAnsi="Gotham Book" w:cs="Arial"/>
      <w:b/>
      <w:bCs/>
      <w:i/>
      <w:iCs/>
      <w:color w:val="00AD68"/>
      <w:kern w:val="28"/>
      <w:sz w:val="24"/>
      <w:szCs w:val="22"/>
      <w:lang w:val="en-US"/>
    </w:rPr>
  </w:style>
  <w:style w:type="character" w:customStyle="1" w:styleId="Heading9Char">
    <w:name w:val="Heading 9 Char"/>
    <w:link w:val="Heading9"/>
    <w:uiPriority w:val="99"/>
    <w:locked/>
    <w:rsid w:val="00396C3A"/>
    <w:rPr>
      <w:rFonts w:ascii="Gotham Book" w:hAnsi="Gotham Book" w:cs="Arial"/>
      <w:b/>
      <w:bCs/>
      <w:i/>
      <w:iCs/>
      <w:color w:val="00AD68"/>
      <w:kern w:val="28"/>
      <w:sz w:val="24"/>
      <w:szCs w:val="22"/>
      <w:lang w:val="en-US"/>
    </w:rPr>
  </w:style>
  <w:style w:type="paragraph" w:customStyle="1" w:styleId="ReportTitle">
    <w:name w:val="Report Title"/>
    <w:basedOn w:val="Normal"/>
    <w:uiPriority w:val="9"/>
    <w:qFormat/>
    <w:rsid w:val="00BA7C76"/>
    <w:rPr>
      <w:rFonts w:ascii="Arial" w:hAnsi="Arial"/>
      <w:b/>
      <w:sz w:val="56"/>
    </w:rPr>
  </w:style>
  <w:style w:type="paragraph" w:customStyle="1" w:styleId="ReportSubtitle">
    <w:name w:val="Report Subtitle"/>
    <w:basedOn w:val="Normal"/>
    <w:uiPriority w:val="10"/>
    <w:rsid w:val="00BA7C76"/>
    <w:pPr>
      <w:spacing w:after="0"/>
    </w:pPr>
    <w:rPr>
      <w:rFonts w:ascii="Arial" w:hAnsi="Arial"/>
      <w:color w:val="00AD68"/>
      <w:sz w:val="48"/>
    </w:rPr>
  </w:style>
  <w:style w:type="paragraph" w:customStyle="1" w:styleId="ReportNumber">
    <w:name w:val="Report Number"/>
    <w:basedOn w:val="Normal"/>
    <w:uiPriority w:val="9"/>
    <w:rsid w:val="003656AD"/>
    <w:rPr>
      <w:b/>
      <w:color w:val="0BB082"/>
      <w:sz w:val="28"/>
    </w:rPr>
  </w:style>
  <w:style w:type="paragraph" w:customStyle="1" w:styleId="BulletPoints">
    <w:name w:val="Bullet Points"/>
    <w:basedOn w:val="Normal"/>
    <w:link w:val="BulletPointsChar"/>
    <w:uiPriority w:val="5"/>
    <w:qFormat/>
    <w:rsid w:val="00233500"/>
    <w:pPr>
      <w:numPr>
        <w:numId w:val="2"/>
      </w:numPr>
      <w:spacing w:after="120" w:line="240" w:lineRule="auto"/>
      <w:ind w:left="567" w:hanging="567"/>
    </w:pPr>
  </w:style>
  <w:style w:type="paragraph" w:styleId="Caption">
    <w:name w:val="caption"/>
    <w:basedOn w:val="Normal"/>
    <w:next w:val="Normal"/>
    <w:uiPriority w:val="99"/>
    <w:qFormat/>
    <w:rsid w:val="00BE5DA8"/>
    <w:pPr>
      <w:keepNext/>
      <w:spacing w:after="60" w:line="240" w:lineRule="auto"/>
      <w:ind w:left="1134" w:hanging="1134"/>
    </w:pPr>
    <w:rPr>
      <w:b/>
      <w:sz w:val="20"/>
    </w:rPr>
  </w:style>
  <w:style w:type="character" w:styleId="Hyperlink">
    <w:name w:val="Hyperlink"/>
    <w:basedOn w:val="DefaultParagraphFont"/>
    <w:uiPriority w:val="99"/>
    <w:unhideWhenUsed/>
    <w:locked/>
    <w:rsid w:val="001D2261"/>
    <w:rPr>
      <w:color w:val="0000FF" w:themeColor="hyperlink"/>
      <w:u w:val="single"/>
    </w:rPr>
  </w:style>
  <w:style w:type="table" w:customStyle="1" w:styleId="SRUTable">
    <w:name w:val="SRU Table"/>
    <w:basedOn w:val="TableNormal"/>
    <w:uiPriority w:val="99"/>
    <w:rsid w:val="004D00CA"/>
    <w:rPr>
      <w:rFonts w:ascii="Arial" w:hAnsi="Arial"/>
      <w:sz w:val="20"/>
      <w:szCs w:val="20"/>
    </w:rPr>
    <w:tblPr>
      <w:tblBorders>
        <w:top w:val="single" w:sz="4" w:space="0" w:color="00B082"/>
        <w:bottom w:val="single" w:sz="4" w:space="0" w:color="00B082"/>
      </w:tblBorders>
    </w:tblPr>
    <w:tblStylePr w:type="firstRow">
      <w:rPr>
        <w:rFonts w:ascii="Arial" w:hAnsi="Arial"/>
        <w:b/>
      </w:rPr>
      <w:tblPr/>
      <w:tcPr>
        <w:tcBorders>
          <w:bottom w:val="single" w:sz="4" w:space="0" w:color="00B082"/>
        </w:tcBorders>
      </w:tcPr>
    </w:tblStylePr>
  </w:style>
  <w:style w:type="paragraph" w:styleId="FootnoteText">
    <w:name w:val="footnote text"/>
    <w:basedOn w:val="Normal"/>
    <w:link w:val="FootnoteTextChar"/>
    <w:uiPriority w:val="99"/>
    <w:rsid w:val="00396C3A"/>
    <w:rPr>
      <w:sz w:val="18"/>
    </w:rPr>
  </w:style>
  <w:style w:type="character" w:customStyle="1" w:styleId="FootnoteTextChar">
    <w:name w:val="Footnote Text Char"/>
    <w:link w:val="FootnoteText"/>
    <w:uiPriority w:val="99"/>
    <w:locked/>
    <w:rsid w:val="00396C3A"/>
    <w:rPr>
      <w:rFonts w:asciiTheme="minorHAnsi" w:hAnsiTheme="minorHAnsi" w:cs="Tahoma"/>
      <w:sz w:val="18"/>
      <w:lang w:val="en-US"/>
    </w:rPr>
  </w:style>
  <w:style w:type="paragraph" w:customStyle="1" w:styleId="NumberPoints">
    <w:name w:val="Number Points"/>
    <w:basedOn w:val="Normal"/>
    <w:uiPriority w:val="6"/>
    <w:qFormat/>
    <w:rsid w:val="00233500"/>
    <w:pPr>
      <w:numPr>
        <w:numId w:val="3"/>
      </w:numPr>
      <w:spacing w:after="120" w:line="240" w:lineRule="auto"/>
      <w:ind w:left="567" w:hanging="567"/>
    </w:pPr>
  </w:style>
  <w:style w:type="paragraph" w:customStyle="1" w:styleId="TableText">
    <w:name w:val="Table Text"/>
    <w:basedOn w:val="Normal"/>
    <w:uiPriority w:val="8"/>
    <w:qFormat/>
    <w:rsid w:val="004D00CA"/>
    <w:pPr>
      <w:spacing w:before="60" w:after="60" w:line="240" w:lineRule="auto"/>
    </w:pPr>
    <w:rPr>
      <w:rFonts w:asciiTheme="minorHAnsi" w:hAnsiTheme="minorHAnsi" w:cstheme="minorHAnsi"/>
      <w:sz w:val="20"/>
      <w:szCs w:val="18"/>
    </w:rPr>
  </w:style>
  <w:style w:type="paragraph" w:styleId="TOC1">
    <w:name w:val="toc 1"/>
    <w:uiPriority w:val="39"/>
    <w:rsid w:val="00396C3A"/>
    <w:pPr>
      <w:tabs>
        <w:tab w:val="left" w:pos="567"/>
        <w:tab w:val="left" w:leader="dot" w:pos="8789"/>
      </w:tabs>
      <w:spacing w:before="80" w:after="80"/>
    </w:pPr>
    <w:rPr>
      <w:rFonts w:ascii="Gotham Light" w:hAnsi="Gotham Light" w:cs="Tahoma"/>
      <w:noProof/>
      <w:lang w:val="en-US"/>
    </w:rPr>
  </w:style>
  <w:style w:type="paragraph" w:styleId="TOC2">
    <w:name w:val="toc 2"/>
    <w:uiPriority w:val="39"/>
    <w:rsid w:val="00396C3A"/>
    <w:pPr>
      <w:tabs>
        <w:tab w:val="left" w:pos="567"/>
        <w:tab w:val="left" w:pos="1134"/>
        <w:tab w:val="left" w:leader="dot" w:pos="8789"/>
      </w:tabs>
      <w:spacing w:before="80" w:after="80"/>
      <w:ind w:left="567"/>
    </w:pPr>
    <w:rPr>
      <w:rFonts w:ascii="Gotham Light" w:hAnsi="Gotham Light" w:cs="Tahoma"/>
      <w:noProof/>
      <w:lang w:val="en-US"/>
    </w:rPr>
  </w:style>
  <w:style w:type="paragraph" w:styleId="TOC3">
    <w:name w:val="toc 3"/>
    <w:basedOn w:val="Normal"/>
    <w:uiPriority w:val="39"/>
    <w:rsid w:val="00396C3A"/>
    <w:rPr>
      <w:color w:val="000000"/>
    </w:rPr>
  </w:style>
  <w:style w:type="paragraph" w:styleId="TOC4">
    <w:name w:val="toc 4"/>
    <w:basedOn w:val="Normal"/>
    <w:uiPriority w:val="99"/>
    <w:rsid w:val="00396C3A"/>
  </w:style>
  <w:style w:type="character" w:customStyle="1" w:styleId="BulletPointsChar">
    <w:name w:val="Bullet Points Char"/>
    <w:link w:val="BulletPoints"/>
    <w:uiPriority w:val="5"/>
    <w:rsid w:val="00233500"/>
  </w:style>
  <w:style w:type="paragraph" w:customStyle="1" w:styleId="TableHeading">
    <w:name w:val="Table Heading"/>
    <w:basedOn w:val="Normal"/>
    <w:uiPriority w:val="7"/>
    <w:qFormat/>
    <w:rsid w:val="004D00CA"/>
    <w:pPr>
      <w:spacing w:before="60" w:after="60" w:line="240" w:lineRule="auto"/>
      <w:jc w:val="center"/>
    </w:pPr>
    <w:rPr>
      <w:rFonts w:asciiTheme="minorHAnsi" w:hAnsiTheme="minorHAnsi" w:cstheme="minorHAnsi"/>
      <w:b/>
      <w:sz w:val="20"/>
      <w:szCs w:val="16"/>
    </w:rPr>
  </w:style>
  <w:style w:type="paragraph" w:styleId="Header">
    <w:name w:val="header"/>
    <w:basedOn w:val="Normal"/>
    <w:link w:val="HeaderChar"/>
    <w:uiPriority w:val="10"/>
    <w:unhideWhenUsed/>
    <w:rsid w:val="0026116A"/>
    <w:pPr>
      <w:tabs>
        <w:tab w:val="center" w:pos="4513"/>
        <w:tab w:val="right" w:pos="9026"/>
      </w:tabs>
      <w:spacing w:after="0" w:line="240" w:lineRule="auto"/>
    </w:pPr>
  </w:style>
  <w:style w:type="character" w:customStyle="1" w:styleId="HeaderChar">
    <w:name w:val="Header Char"/>
    <w:basedOn w:val="DefaultParagraphFont"/>
    <w:link w:val="Header"/>
    <w:uiPriority w:val="10"/>
    <w:rsid w:val="0026116A"/>
    <w:rPr>
      <w:rFonts w:asciiTheme="minorHAnsi" w:hAnsiTheme="minorHAnsi" w:cs="Tahoma"/>
      <w:sz w:val="22"/>
      <w:lang w:val="en-US"/>
    </w:rPr>
  </w:style>
  <w:style w:type="paragraph" w:styleId="Footer">
    <w:name w:val="footer"/>
    <w:basedOn w:val="Normal"/>
    <w:link w:val="FooterChar"/>
    <w:uiPriority w:val="11"/>
    <w:unhideWhenUsed/>
    <w:rsid w:val="0026116A"/>
    <w:pPr>
      <w:tabs>
        <w:tab w:val="center" w:pos="4513"/>
        <w:tab w:val="right" w:pos="9026"/>
      </w:tabs>
      <w:spacing w:after="0" w:line="240" w:lineRule="auto"/>
    </w:pPr>
  </w:style>
  <w:style w:type="character" w:customStyle="1" w:styleId="FooterChar">
    <w:name w:val="Footer Char"/>
    <w:basedOn w:val="DefaultParagraphFont"/>
    <w:link w:val="Footer"/>
    <w:uiPriority w:val="11"/>
    <w:rsid w:val="0026116A"/>
    <w:rPr>
      <w:rFonts w:asciiTheme="minorHAnsi" w:hAnsiTheme="minorHAnsi" w:cs="Tahoma"/>
      <w:sz w:val="22"/>
      <w:lang w:val="en-US"/>
    </w:rPr>
  </w:style>
  <w:style w:type="paragraph" w:customStyle="1" w:styleId="Disclaimer-footer">
    <w:name w:val="Disclaimer - footer"/>
    <w:basedOn w:val="Normal"/>
    <w:next w:val="Normal"/>
    <w:link w:val="Disclaimer-footerChar"/>
    <w:autoRedefine/>
    <w:qFormat/>
    <w:rsid w:val="00400E65"/>
    <w:pPr>
      <w:tabs>
        <w:tab w:val="left" w:pos="0"/>
      </w:tabs>
      <w:spacing w:after="0" w:line="260" w:lineRule="atLeast"/>
      <w:jc w:val="both"/>
    </w:pPr>
    <w:rPr>
      <w:rFonts w:cs="Arial"/>
      <w:color w:val="00AD68"/>
      <w:sz w:val="24"/>
      <w:szCs w:val="24"/>
      <w:lang w:eastAsia="en-US"/>
    </w:rPr>
  </w:style>
  <w:style w:type="paragraph" w:styleId="BodyText2">
    <w:name w:val="Body Text 2"/>
    <w:basedOn w:val="Normal"/>
    <w:link w:val="BodyText2Char"/>
    <w:uiPriority w:val="99"/>
    <w:rsid w:val="00400E65"/>
    <w:pPr>
      <w:spacing w:after="120" w:line="480" w:lineRule="auto"/>
      <w:jc w:val="both"/>
    </w:pPr>
    <w:rPr>
      <w:rFonts w:cs="Tahoma"/>
      <w:szCs w:val="20"/>
      <w:lang w:eastAsia="en-US"/>
    </w:rPr>
  </w:style>
  <w:style w:type="character" w:customStyle="1" w:styleId="BodyText2Char">
    <w:name w:val="Body Text 2 Char"/>
    <w:basedOn w:val="DefaultParagraphFont"/>
    <w:link w:val="BodyText2"/>
    <w:uiPriority w:val="99"/>
    <w:rsid w:val="00400E65"/>
    <w:rPr>
      <w:rFonts w:cs="Tahoma"/>
      <w:szCs w:val="20"/>
      <w:lang w:eastAsia="en-US"/>
    </w:rPr>
  </w:style>
  <w:style w:type="character" w:customStyle="1" w:styleId="Disclaimer-footerChar">
    <w:name w:val="Disclaimer - footer Char"/>
    <w:link w:val="Disclaimer-footer"/>
    <w:locked/>
    <w:rsid w:val="00400E65"/>
    <w:rPr>
      <w:rFonts w:cs="Arial"/>
      <w:color w:val="00AD68"/>
      <w:sz w:val="24"/>
      <w:szCs w:val="24"/>
      <w:lang w:eastAsia="en-US"/>
    </w:rPr>
  </w:style>
  <w:style w:type="character" w:styleId="FootnoteReference">
    <w:name w:val="footnote reference"/>
    <w:basedOn w:val="DefaultParagraphFont"/>
    <w:uiPriority w:val="99"/>
    <w:rsid w:val="00D21383"/>
    <w:rPr>
      <w:rFonts w:asciiTheme="minorHAnsi" w:hAnsiTheme="minorHAnsi"/>
      <w:sz w:val="14"/>
      <w:vertAlign w:val="superscript"/>
    </w:rPr>
  </w:style>
  <w:style w:type="character" w:customStyle="1" w:styleId="apple-converted-space">
    <w:name w:val="apple-converted-space"/>
    <w:basedOn w:val="DefaultParagraphFont"/>
    <w:rsid w:val="00F24A98"/>
  </w:style>
  <w:style w:type="paragraph" w:styleId="BodyText">
    <w:name w:val="Body Text"/>
    <w:aliases w:val="(Alt+1),block,bt,BodyText,b,Body Text before bullet,IRMS (T),TEXT BOX,body,Body,text,Body Text(Alt+1),b Char Char,b Char Char Char,b Char Char Char Char Char Char,Body Char1 Char1,b Char Ch...,B,Concepto,Body Text - Level 2"/>
    <w:basedOn w:val="Normal"/>
    <w:link w:val="BodyTextChar1"/>
    <w:uiPriority w:val="1"/>
    <w:qFormat/>
    <w:rsid w:val="009E7620"/>
    <w:pPr>
      <w:spacing w:after="120"/>
    </w:pPr>
    <w:rPr>
      <w:rFonts w:asciiTheme="minorHAnsi" w:hAnsiTheme="minorHAnsi" w:cs="Tahoma"/>
      <w:szCs w:val="20"/>
      <w:lang w:val="en-US"/>
    </w:rPr>
  </w:style>
  <w:style w:type="character" w:customStyle="1" w:styleId="BodyTextChar">
    <w:name w:val="Body Text Char"/>
    <w:basedOn w:val="DefaultParagraphFont"/>
    <w:uiPriority w:val="99"/>
    <w:semiHidden/>
    <w:rsid w:val="009E7620"/>
  </w:style>
  <w:style w:type="character" w:customStyle="1" w:styleId="BodyTextChar1">
    <w:name w:val="Body Text Char1"/>
    <w:aliases w:val="(Alt+1) Char,block Char,bt Char,BodyText Char,b Char,Body Text before bullet Char,IRMS (T) Char,TEXT BOX Char,body Char,Body Char,text Char,Body Text(Alt+1) Char,b Char Char Char1,b Char Char Char Char,Body Char1 Char1 Char,B Char"/>
    <w:link w:val="BodyText"/>
    <w:uiPriority w:val="1"/>
    <w:locked/>
    <w:rsid w:val="009E7620"/>
    <w:rPr>
      <w:rFonts w:asciiTheme="minorHAnsi" w:hAnsiTheme="minorHAnsi" w:cs="Tahoma"/>
      <w:szCs w:val="20"/>
      <w:lang w:val="en-US"/>
    </w:rPr>
  </w:style>
  <w:style w:type="paragraph" w:customStyle="1" w:styleId="TableCaption">
    <w:name w:val="Table Caption"/>
    <w:basedOn w:val="Normal"/>
    <w:next w:val="Normal"/>
    <w:qFormat/>
    <w:rsid w:val="00980B72"/>
    <w:pPr>
      <w:pBdr>
        <w:top w:val="single" w:sz="2" w:space="5" w:color="FFFFFF" w:themeColor="background1"/>
      </w:pBdr>
      <w:spacing w:before="200" w:after="142" w:line="250" w:lineRule="atLeast"/>
    </w:pPr>
    <w:rPr>
      <w:rFonts w:asciiTheme="minorHAnsi" w:eastAsiaTheme="minorHAnsi" w:hAnsiTheme="minorHAnsi"/>
      <w:color w:val="FFFFFF" w:themeColor="background1"/>
      <w:sz w:val="19"/>
      <w:szCs w:val="20"/>
      <w:lang w:eastAsia="en-US"/>
    </w:rPr>
  </w:style>
  <w:style w:type="paragraph" w:customStyle="1" w:styleId="FigureCaption">
    <w:name w:val="Figure Caption"/>
    <w:basedOn w:val="Normal"/>
    <w:next w:val="Normal"/>
    <w:qFormat/>
    <w:rsid w:val="00556487"/>
    <w:pPr>
      <w:pBdr>
        <w:top w:val="single" w:sz="2" w:space="5" w:color="FFFFFF" w:themeColor="background1"/>
      </w:pBdr>
      <w:spacing w:before="200" w:after="142" w:line="250" w:lineRule="atLeast"/>
    </w:pPr>
    <w:rPr>
      <w:rFonts w:asciiTheme="minorHAnsi" w:eastAsiaTheme="minorHAnsi" w:hAnsiTheme="minorHAnsi"/>
      <w:color w:val="FFFFFF" w:themeColor="background1"/>
      <w:sz w:val="19"/>
      <w:szCs w:val="20"/>
      <w:lang w:eastAsia="en-US"/>
    </w:rPr>
  </w:style>
  <w:style w:type="paragraph" w:styleId="ListParagraph">
    <w:name w:val="List Paragraph"/>
    <w:basedOn w:val="Normal"/>
    <w:uiPriority w:val="99"/>
    <w:rsid w:val="000000BE"/>
    <w:pPr>
      <w:ind w:left="720"/>
      <w:contextualSpacing/>
    </w:pPr>
  </w:style>
  <w:style w:type="character" w:styleId="CommentReference">
    <w:name w:val="annotation reference"/>
    <w:basedOn w:val="DefaultParagraphFont"/>
    <w:uiPriority w:val="99"/>
    <w:semiHidden/>
    <w:unhideWhenUsed/>
    <w:rsid w:val="00D46159"/>
    <w:rPr>
      <w:sz w:val="16"/>
      <w:szCs w:val="16"/>
    </w:rPr>
  </w:style>
  <w:style w:type="paragraph" w:styleId="CommentText">
    <w:name w:val="annotation text"/>
    <w:basedOn w:val="Normal"/>
    <w:link w:val="CommentTextChar"/>
    <w:uiPriority w:val="99"/>
    <w:semiHidden/>
    <w:unhideWhenUsed/>
    <w:rsid w:val="00D46159"/>
    <w:pPr>
      <w:spacing w:line="240" w:lineRule="auto"/>
    </w:pPr>
    <w:rPr>
      <w:sz w:val="20"/>
      <w:szCs w:val="20"/>
    </w:rPr>
  </w:style>
  <w:style w:type="character" w:customStyle="1" w:styleId="CommentTextChar">
    <w:name w:val="Comment Text Char"/>
    <w:basedOn w:val="DefaultParagraphFont"/>
    <w:link w:val="CommentText"/>
    <w:uiPriority w:val="99"/>
    <w:semiHidden/>
    <w:rsid w:val="00D46159"/>
    <w:rPr>
      <w:sz w:val="20"/>
      <w:szCs w:val="20"/>
    </w:rPr>
  </w:style>
  <w:style w:type="paragraph" w:styleId="CommentSubject">
    <w:name w:val="annotation subject"/>
    <w:basedOn w:val="CommentText"/>
    <w:next w:val="CommentText"/>
    <w:link w:val="CommentSubjectChar"/>
    <w:uiPriority w:val="99"/>
    <w:semiHidden/>
    <w:unhideWhenUsed/>
    <w:rsid w:val="00D46159"/>
    <w:rPr>
      <w:b/>
      <w:bCs/>
    </w:rPr>
  </w:style>
  <w:style w:type="character" w:customStyle="1" w:styleId="CommentSubjectChar">
    <w:name w:val="Comment Subject Char"/>
    <w:basedOn w:val="CommentTextChar"/>
    <w:link w:val="CommentSubject"/>
    <w:uiPriority w:val="99"/>
    <w:semiHidden/>
    <w:rsid w:val="00D46159"/>
    <w:rPr>
      <w:b/>
      <w:bCs/>
      <w:sz w:val="20"/>
      <w:szCs w:val="20"/>
    </w:rPr>
  </w:style>
  <w:style w:type="paragraph" w:styleId="BalloonText">
    <w:name w:val="Balloon Text"/>
    <w:basedOn w:val="Normal"/>
    <w:link w:val="BalloonTextChar"/>
    <w:uiPriority w:val="99"/>
    <w:semiHidden/>
    <w:unhideWhenUsed/>
    <w:rsid w:val="00D461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159"/>
    <w:rPr>
      <w:rFonts w:ascii="Segoe UI" w:hAnsi="Segoe UI" w:cs="Segoe UI"/>
      <w:sz w:val="18"/>
      <w:szCs w:val="18"/>
    </w:rPr>
  </w:style>
  <w:style w:type="paragraph" w:styleId="TOCHeading">
    <w:name w:val="TOC Heading"/>
    <w:basedOn w:val="Heading1"/>
    <w:next w:val="Normal"/>
    <w:uiPriority w:val="39"/>
    <w:unhideWhenUsed/>
    <w:qFormat/>
    <w:rsid w:val="00C91E67"/>
    <w:pPr>
      <w:keepLines/>
      <w:numPr>
        <w:numId w:val="0"/>
      </w:numPr>
      <w:spacing w:before="240" w:after="0" w:line="259" w:lineRule="auto"/>
      <w:outlineLvl w:val="9"/>
    </w:pPr>
    <w:rPr>
      <w:rFonts w:asciiTheme="majorHAnsi" w:eastAsiaTheme="majorEastAsia" w:hAnsiTheme="majorHAnsi" w:cstheme="majorBidi"/>
      <w:caps w:val="0"/>
      <w:color w:val="365F91" w:themeColor="accent1" w:themeShade="BF"/>
      <w:kern w:val="0"/>
      <w:sz w:val="32"/>
      <w:szCs w:val="32"/>
      <w:lang w:eastAsia="en-US"/>
    </w:rPr>
  </w:style>
  <w:style w:type="table" w:styleId="TableGrid">
    <w:name w:val="Table Grid"/>
    <w:basedOn w:val="TableNormal"/>
    <w:locked/>
    <w:rsid w:val="00366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0645">
      <w:bodyDiv w:val="1"/>
      <w:marLeft w:val="0"/>
      <w:marRight w:val="0"/>
      <w:marTop w:val="0"/>
      <w:marBottom w:val="0"/>
      <w:divBdr>
        <w:top w:val="none" w:sz="0" w:space="0" w:color="auto"/>
        <w:left w:val="none" w:sz="0" w:space="0" w:color="auto"/>
        <w:bottom w:val="none" w:sz="0" w:space="0" w:color="auto"/>
        <w:right w:val="none" w:sz="0" w:space="0" w:color="auto"/>
      </w:divBdr>
    </w:div>
    <w:div w:id="195586850">
      <w:bodyDiv w:val="1"/>
      <w:marLeft w:val="0"/>
      <w:marRight w:val="0"/>
      <w:marTop w:val="0"/>
      <w:marBottom w:val="0"/>
      <w:divBdr>
        <w:top w:val="none" w:sz="0" w:space="0" w:color="auto"/>
        <w:left w:val="none" w:sz="0" w:space="0" w:color="auto"/>
        <w:bottom w:val="none" w:sz="0" w:space="0" w:color="auto"/>
        <w:right w:val="none" w:sz="0" w:space="0" w:color="auto"/>
      </w:divBdr>
    </w:div>
    <w:div w:id="288711255">
      <w:bodyDiv w:val="1"/>
      <w:marLeft w:val="0"/>
      <w:marRight w:val="0"/>
      <w:marTop w:val="0"/>
      <w:marBottom w:val="0"/>
      <w:divBdr>
        <w:top w:val="none" w:sz="0" w:space="0" w:color="auto"/>
        <w:left w:val="none" w:sz="0" w:space="0" w:color="auto"/>
        <w:bottom w:val="none" w:sz="0" w:space="0" w:color="auto"/>
        <w:right w:val="none" w:sz="0" w:space="0" w:color="auto"/>
      </w:divBdr>
    </w:div>
    <w:div w:id="358313389">
      <w:marLeft w:val="0"/>
      <w:marRight w:val="0"/>
      <w:marTop w:val="0"/>
      <w:marBottom w:val="0"/>
      <w:divBdr>
        <w:top w:val="none" w:sz="0" w:space="0" w:color="auto"/>
        <w:left w:val="none" w:sz="0" w:space="0" w:color="auto"/>
        <w:bottom w:val="none" w:sz="0" w:space="0" w:color="auto"/>
        <w:right w:val="none" w:sz="0" w:space="0" w:color="auto"/>
      </w:divBdr>
    </w:div>
    <w:div w:id="358313390">
      <w:marLeft w:val="0"/>
      <w:marRight w:val="0"/>
      <w:marTop w:val="0"/>
      <w:marBottom w:val="0"/>
      <w:divBdr>
        <w:top w:val="none" w:sz="0" w:space="0" w:color="auto"/>
        <w:left w:val="none" w:sz="0" w:space="0" w:color="auto"/>
        <w:bottom w:val="none" w:sz="0" w:space="0" w:color="auto"/>
        <w:right w:val="none" w:sz="0" w:space="0" w:color="auto"/>
      </w:divBdr>
    </w:div>
    <w:div w:id="358313391">
      <w:marLeft w:val="0"/>
      <w:marRight w:val="0"/>
      <w:marTop w:val="0"/>
      <w:marBottom w:val="0"/>
      <w:divBdr>
        <w:top w:val="none" w:sz="0" w:space="0" w:color="auto"/>
        <w:left w:val="none" w:sz="0" w:space="0" w:color="auto"/>
        <w:bottom w:val="none" w:sz="0" w:space="0" w:color="auto"/>
        <w:right w:val="none" w:sz="0" w:space="0" w:color="auto"/>
      </w:divBdr>
    </w:div>
    <w:div w:id="358313392">
      <w:marLeft w:val="0"/>
      <w:marRight w:val="0"/>
      <w:marTop w:val="0"/>
      <w:marBottom w:val="0"/>
      <w:divBdr>
        <w:top w:val="none" w:sz="0" w:space="0" w:color="auto"/>
        <w:left w:val="none" w:sz="0" w:space="0" w:color="auto"/>
        <w:bottom w:val="none" w:sz="0" w:space="0" w:color="auto"/>
        <w:right w:val="none" w:sz="0" w:space="0" w:color="auto"/>
      </w:divBdr>
    </w:div>
    <w:div w:id="358313393">
      <w:marLeft w:val="0"/>
      <w:marRight w:val="0"/>
      <w:marTop w:val="0"/>
      <w:marBottom w:val="0"/>
      <w:divBdr>
        <w:top w:val="none" w:sz="0" w:space="0" w:color="auto"/>
        <w:left w:val="none" w:sz="0" w:space="0" w:color="auto"/>
        <w:bottom w:val="none" w:sz="0" w:space="0" w:color="auto"/>
        <w:right w:val="none" w:sz="0" w:space="0" w:color="auto"/>
      </w:divBdr>
    </w:div>
    <w:div w:id="358313394">
      <w:marLeft w:val="0"/>
      <w:marRight w:val="0"/>
      <w:marTop w:val="0"/>
      <w:marBottom w:val="0"/>
      <w:divBdr>
        <w:top w:val="none" w:sz="0" w:space="0" w:color="auto"/>
        <w:left w:val="none" w:sz="0" w:space="0" w:color="auto"/>
        <w:bottom w:val="none" w:sz="0" w:space="0" w:color="auto"/>
        <w:right w:val="none" w:sz="0" w:space="0" w:color="auto"/>
      </w:divBdr>
    </w:div>
    <w:div w:id="358313395">
      <w:marLeft w:val="0"/>
      <w:marRight w:val="0"/>
      <w:marTop w:val="0"/>
      <w:marBottom w:val="0"/>
      <w:divBdr>
        <w:top w:val="none" w:sz="0" w:space="0" w:color="auto"/>
        <w:left w:val="none" w:sz="0" w:space="0" w:color="auto"/>
        <w:bottom w:val="none" w:sz="0" w:space="0" w:color="auto"/>
        <w:right w:val="none" w:sz="0" w:space="0" w:color="auto"/>
      </w:divBdr>
    </w:div>
    <w:div w:id="358313396">
      <w:marLeft w:val="0"/>
      <w:marRight w:val="0"/>
      <w:marTop w:val="0"/>
      <w:marBottom w:val="0"/>
      <w:divBdr>
        <w:top w:val="none" w:sz="0" w:space="0" w:color="auto"/>
        <w:left w:val="none" w:sz="0" w:space="0" w:color="auto"/>
        <w:bottom w:val="none" w:sz="0" w:space="0" w:color="auto"/>
        <w:right w:val="none" w:sz="0" w:space="0" w:color="auto"/>
      </w:divBdr>
    </w:div>
    <w:div w:id="358313398">
      <w:marLeft w:val="0"/>
      <w:marRight w:val="0"/>
      <w:marTop w:val="0"/>
      <w:marBottom w:val="0"/>
      <w:divBdr>
        <w:top w:val="none" w:sz="0" w:space="0" w:color="auto"/>
        <w:left w:val="none" w:sz="0" w:space="0" w:color="auto"/>
        <w:bottom w:val="none" w:sz="0" w:space="0" w:color="auto"/>
        <w:right w:val="none" w:sz="0" w:space="0" w:color="auto"/>
      </w:divBdr>
    </w:div>
    <w:div w:id="358313399">
      <w:marLeft w:val="0"/>
      <w:marRight w:val="0"/>
      <w:marTop w:val="0"/>
      <w:marBottom w:val="0"/>
      <w:divBdr>
        <w:top w:val="none" w:sz="0" w:space="0" w:color="auto"/>
        <w:left w:val="none" w:sz="0" w:space="0" w:color="auto"/>
        <w:bottom w:val="none" w:sz="0" w:space="0" w:color="auto"/>
        <w:right w:val="none" w:sz="0" w:space="0" w:color="auto"/>
      </w:divBdr>
      <w:divsChild>
        <w:div w:id="358313397">
          <w:marLeft w:val="2880"/>
          <w:marRight w:val="2795"/>
          <w:marTop w:val="0"/>
          <w:marBottom w:val="0"/>
          <w:divBdr>
            <w:top w:val="none" w:sz="0" w:space="0" w:color="auto"/>
            <w:left w:val="none" w:sz="0" w:space="0" w:color="auto"/>
            <w:bottom w:val="none" w:sz="0" w:space="0" w:color="auto"/>
            <w:right w:val="none" w:sz="0" w:space="0" w:color="auto"/>
          </w:divBdr>
        </w:div>
      </w:divsChild>
    </w:div>
    <w:div w:id="358313400">
      <w:marLeft w:val="0"/>
      <w:marRight w:val="0"/>
      <w:marTop w:val="0"/>
      <w:marBottom w:val="0"/>
      <w:divBdr>
        <w:top w:val="none" w:sz="0" w:space="0" w:color="auto"/>
        <w:left w:val="none" w:sz="0" w:space="0" w:color="auto"/>
        <w:bottom w:val="none" w:sz="0" w:space="0" w:color="auto"/>
        <w:right w:val="none" w:sz="0" w:space="0" w:color="auto"/>
      </w:divBdr>
    </w:div>
    <w:div w:id="358313401">
      <w:marLeft w:val="0"/>
      <w:marRight w:val="0"/>
      <w:marTop w:val="0"/>
      <w:marBottom w:val="0"/>
      <w:divBdr>
        <w:top w:val="none" w:sz="0" w:space="0" w:color="auto"/>
        <w:left w:val="none" w:sz="0" w:space="0" w:color="auto"/>
        <w:bottom w:val="none" w:sz="0" w:space="0" w:color="auto"/>
        <w:right w:val="none" w:sz="0" w:space="0" w:color="auto"/>
      </w:divBdr>
    </w:div>
    <w:div w:id="358313402">
      <w:marLeft w:val="0"/>
      <w:marRight w:val="0"/>
      <w:marTop w:val="0"/>
      <w:marBottom w:val="0"/>
      <w:divBdr>
        <w:top w:val="none" w:sz="0" w:space="0" w:color="auto"/>
        <w:left w:val="none" w:sz="0" w:space="0" w:color="auto"/>
        <w:bottom w:val="none" w:sz="0" w:space="0" w:color="auto"/>
        <w:right w:val="none" w:sz="0" w:space="0" w:color="auto"/>
      </w:divBdr>
    </w:div>
    <w:div w:id="125771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footer" Target="footer6.xm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ABS19</b:Tag>
    <b:SourceType>Report</b:SourceType>
    <b:Guid>{E6C69394-F2E6-449C-A1E3-A9CA2FF030CF}</b:Guid>
    <b:Author>
      <b:Author>
        <b:Corporate>ABS</b:Corporate>
      </b:Author>
    </b:Author>
    <b:Title>Australian Harmonized Export Commodity Classification (AHECC) data by month, classification and destination country</b:Title>
    <b:Year>2019</b:Year>
    <b:Publisher>Australian Bureau of Statistics</b:Publisher>
    <b:City>Canberra</b:City>
    <b:RefOrder>3</b:RefOrder>
  </b:Source>
</b:Sources>
</file>

<file path=customXml/itemProps1.xml><?xml version="1.0" encoding="utf-8"?>
<ds:datastoreItem xmlns:ds="http://schemas.openxmlformats.org/officeDocument/2006/customXml" ds:itemID="{3B230004-CDDB-4DF6-8E6B-091FA82A8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F76EDA13.dotm</Template>
  <TotalTime>0</TotalTime>
  <Pages>27</Pages>
  <Words>7468</Words>
  <Characters>41867</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Environment and Energy and Sustainable Resource Use Pty Ltd</dc:title>
  <dc:subject/>
  <dc:creator/>
  <cp:keywords/>
  <cp:lastModifiedBy/>
  <cp:revision>1</cp:revision>
  <dcterms:created xsi:type="dcterms:W3CDTF">2020-01-30T00:00:00Z</dcterms:created>
  <dcterms:modified xsi:type="dcterms:W3CDTF">2020-01-30T00:00:00Z</dcterms:modified>
</cp:coreProperties>
</file>