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DDDD7" w14:textId="71A822EB" w:rsidR="00DE0DCE" w:rsidRDefault="00CE4D13" w:rsidP="009A6A91">
      <w:pPr>
        <w:spacing w:after="120"/>
        <w:contextualSpacing/>
        <w:jc w:val="center"/>
        <w:rPr>
          <w:b/>
        </w:rPr>
      </w:pPr>
      <w:r>
        <w:rPr>
          <w:rFonts w:cs="Arial"/>
          <w:noProof/>
          <w:sz w:val="21"/>
          <w:szCs w:val="21"/>
          <w:lang w:eastAsia="en-AU"/>
        </w:rPr>
        <w:drawing>
          <wp:inline distT="0" distB="0" distL="0" distR="0" wp14:anchorId="5A508BF4" wp14:editId="5F15EFC6">
            <wp:extent cx="3807569" cy="1579172"/>
            <wp:effectExtent l="0" t="0" r="0" b="0"/>
            <wp:docPr id="12" name="Picture 11" descr="original-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09.png"/>
                    <pic:cNvPicPr/>
                  </pic:nvPicPr>
                  <pic:blipFill>
                    <a:blip r:embed="rId8" cstate="print"/>
                    <a:stretch>
                      <a:fillRect/>
                    </a:stretch>
                  </pic:blipFill>
                  <pic:spPr>
                    <a:xfrm>
                      <a:off x="0" y="0"/>
                      <a:ext cx="3807569" cy="1579172"/>
                    </a:xfrm>
                    <a:prstGeom prst="rect">
                      <a:avLst/>
                    </a:prstGeom>
                  </pic:spPr>
                </pic:pic>
              </a:graphicData>
            </a:graphic>
          </wp:inline>
        </w:drawing>
      </w:r>
      <w:r w:rsidR="00E86575">
        <w:rPr>
          <w:b/>
        </w:rPr>
        <w:br/>
      </w:r>
      <w:r w:rsidR="00DE0DCE">
        <w:rPr>
          <w:b/>
        </w:rPr>
        <w:t>OVERVIEW:</w:t>
      </w:r>
      <w:r w:rsidR="00DE0DCE" w:rsidRPr="00256808">
        <w:rPr>
          <w:b/>
        </w:rPr>
        <w:t xml:space="preserve"> </w:t>
      </w:r>
    </w:p>
    <w:p w14:paraId="4C2B40BF" w14:textId="77777777" w:rsidR="00DE0DCE" w:rsidRDefault="00DE0DCE" w:rsidP="009A6A91">
      <w:pPr>
        <w:spacing w:after="120"/>
        <w:contextualSpacing/>
        <w:jc w:val="center"/>
        <w:rPr>
          <w:b/>
        </w:rPr>
      </w:pPr>
    </w:p>
    <w:p w14:paraId="077565DD" w14:textId="7C3DCE68" w:rsidR="006B14DB" w:rsidRPr="00256808" w:rsidRDefault="00EC1D4D" w:rsidP="009A6A91">
      <w:pPr>
        <w:spacing w:after="120"/>
        <w:contextualSpacing/>
        <w:jc w:val="center"/>
        <w:rPr>
          <w:b/>
        </w:rPr>
      </w:pPr>
      <w:r>
        <w:rPr>
          <w:b/>
        </w:rPr>
        <w:t>Grant Agreement b</w:t>
      </w:r>
      <w:r w:rsidR="00A668FA">
        <w:rPr>
          <w:b/>
        </w:rPr>
        <w:t xml:space="preserve">etween the </w:t>
      </w:r>
      <w:r w:rsidR="00256808" w:rsidRPr="00256808">
        <w:rPr>
          <w:b/>
        </w:rPr>
        <w:t xml:space="preserve">Reef Trust </w:t>
      </w:r>
      <w:r w:rsidR="00A668FA">
        <w:rPr>
          <w:b/>
        </w:rPr>
        <w:t>and</w:t>
      </w:r>
      <w:r w:rsidR="00256808" w:rsidRPr="00256808">
        <w:rPr>
          <w:b/>
        </w:rPr>
        <w:t xml:space="preserve"> Great Barrier Reef Foundation </w:t>
      </w:r>
    </w:p>
    <w:p w14:paraId="27950873" w14:textId="2C9FDC0E" w:rsidR="004F5E64" w:rsidRDefault="00E86575" w:rsidP="004F5E64">
      <w:pPr>
        <w:rPr>
          <w:rFonts w:cs="Arial"/>
          <w:i/>
          <w:iCs/>
        </w:rPr>
      </w:pPr>
      <w:r>
        <w:rPr>
          <w:b/>
        </w:rPr>
        <w:br/>
      </w:r>
      <w:r w:rsidR="004F5E64">
        <w:rPr>
          <w:i/>
          <w:iCs/>
          <w:color w:val="FF0000"/>
        </w:rPr>
        <w:t>This document provides an overview of the Grant Agreement which commenced on 27 June 2018 between the Australian Government’s Reef Trust and the Great Barrier Reef Foundation for the investment of an additional $443.3 million to improve the health and resili</w:t>
      </w:r>
      <w:r w:rsidR="003058EC">
        <w:rPr>
          <w:i/>
          <w:iCs/>
          <w:color w:val="FF0000"/>
        </w:rPr>
        <w:t>ence of the Great Barrier Reef.</w:t>
      </w:r>
      <w:r w:rsidR="00846484">
        <w:rPr>
          <w:rStyle w:val="FootnoteReference"/>
          <w:i/>
          <w:iCs/>
          <w:color w:val="FF0000"/>
        </w:rPr>
        <w:footnoteReference w:id="1"/>
      </w:r>
      <w:r w:rsidR="00846484">
        <w:rPr>
          <w:i/>
          <w:iCs/>
          <w:color w:val="FF0000"/>
        </w:rPr>
        <w:t xml:space="preserve"> </w:t>
      </w:r>
    </w:p>
    <w:p w14:paraId="7FE4F431" w14:textId="4BFC9A12" w:rsidR="005D61F0" w:rsidRPr="00615B1F" w:rsidRDefault="004C7979" w:rsidP="00615B1F">
      <w:pPr>
        <w:pStyle w:val="ListBullet"/>
        <w:numPr>
          <w:ilvl w:val="0"/>
          <w:numId w:val="0"/>
        </w:numPr>
        <w:spacing w:after="120"/>
        <w:ind w:left="369" w:hanging="369"/>
        <w:rPr>
          <w:b/>
        </w:rPr>
      </w:pPr>
      <w:r>
        <w:rPr>
          <w:b/>
        </w:rPr>
        <w:t>Objective</w:t>
      </w:r>
      <w:r w:rsidR="00A43B9B">
        <w:rPr>
          <w:b/>
        </w:rPr>
        <w:t xml:space="preserve"> and outcomes</w:t>
      </w:r>
      <w:r w:rsidR="005D61F0" w:rsidRPr="00615B1F">
        <w:rPr>
          <w:b/>
        </w:rPr>
        <w:t>:</w:t>
      </w:r>
    </w:p>
    <w:p w14:paraId="59E0DC6B" w14:textId="4E4620F1" w:rsidR="00A43B9B" w:rsidRDefault="00A43B9B" w:rsidP="00A43B9B">
      <w:pPr>
        <w:pStyle w:val="ListBullet"/>
        <w:spacing w:after="120"/>
      </w:pPr>
      <w:r>
        <w:t xml:space="preserve">A Grant of </w:t>
      </w:r>
      <w:r w:rsidRPr="000026EE">
        <w:t>$443</w:t>
      </w:r>
      <w:r>
        <w:t>.</w:t>
      </w:r>
      <w:r w:rsidRPr="000026EE">
        <w:t>3 million (GST exclusive)</w:t>
      </w:r>
      <w:r w:rsidRPr="00967104">
        <w:t xml:space="preserve"> </w:t>
      </w:r>
      <w:r>
        <w:t>has been provided to the Great Barrier Reef Foundation (the Foundation) through a comprehensive and robust legal Agreement with the Australian Government</w:t>
      </w:r>
      <w:r w:rsidR="00BC7212">
        <w:t xml:space="preserve"> Department of the Environment and Energy (the Department)</w:t>
      </w:r>
      <w:r>
        <w:t>.</w:t>
      </w:r>
    </w:p>
    <w:p w14:paraId="4C5D65E4" w14:textId="7E4905E7" w:rsidR="008D70F6" w:rsidRPr="000026EE" w:rsidRDefault="003A37CC" w:rsidP="00615B1F">
      <w:pPr>
        <w:pStyle w:val="ListBullet"/>
      </w:pPr>
      <w:r w:rsidRPr="000026EE">
        <w:t>The objective of the Agreem</w:t>
      </w:r>
      <w:bookmarkStart w:id="0" w:name="_GoBack"/>
      <w:bookmarkEnd w:id="0"/>
      <w:r w:rsidRPr="000026EE">
        <w:t>ent is to achieve significant</w:t>
      </w:r>
      <w:r w:rsidR="00F9527A">
        <w:t>, measurable</w:t>
      </w:r>
      <w:r w:rsidR="00A8418E">
        <w:t xml:space="preserve"> </w:t>
      </w:r>
      <w:r w:rsidRPr="000026EE">
        <w:t>improvement in the health of the Great Barrier Reef World Heritage</w:t>
      </w:r>
      <w:r w:rsidR="009E7843" w:rsidRPr="000026EE">
        <w:t xml:space="preserve"> Area</w:t>
      </w:r>
      <w:r w:rsidRPr="000026EE">
        <w:t xml:space="preserve"> in accordance with the </w:t>
      </w:r>
      <w:r w:rsidR="00A8418E" w:rsidRPr="00B318C5">
        <w:rPr>
          <w:i/>
        </w:rPr>
        <w:t>Reef 2050 Long Term Sustainability Plan</w:t>
      </w:r>
      <w:r w:rsidR="00A8418E">
        <w:rPr>
          <w:i/>
        </w:rPr>
        <w:t>,</w:t>
      </w:r>
      <w:r w:rsidR="00A8418E" w:rsidRPr="000026EE" w:rsidDel="00A8418E">
        <w:t xml:space="preserve"> </w:t>
      </w:r>
      <w:r w:rsidRPr="000026EE">
        <w:t xml:space="preserve">underpinned by innovation, science and community engagement. </w:t>
      </w:r>
      <w:r w:rsidR="008D70F6" w:rsidRPr="000026EE">
        <w:t xml:space="preserve">The expected outcomes are: </w:t>
      </w:r>
    </w:p>
    <w:p w14:paraId="361ACA20" w14:textId="596DDE49" w:rsidR="008D70F6" w:rsidRPr="000026EE" w:rsidRDefault="00F9527A" w:rsidP="008D70F6">
      <w:pPr>
        <w:pStyle w:val="ListBullet2"/>
      </w:pPr>
      <w:r>
        <w:t>improved</w:t>
      </w:r>
      <w:r w:rsidR="00DE0DCE" w:rsidRPr="000026EE">
        <w:t xml:space="preserve"> </w:t>
      </w:r>
      <w:r w:rsidR="008D70F6" w:rsidRPr="000026EE">
        <w:t xml:space="preserve">management of the Great Barrier Reef World Heritage Area and </w:t>
      </w:r>
      <w:r>
        <w:t xml:space="preserve">relevant activities in </w:t>
      </w:r>
      <w:r w:rsidR="008D70F6" w:rsidRPr="000026EE">
        <w:t xml:space="preserve">adjacent catchments; </w:t>
      </w:r>
    </w:p>
    <w:p w14:paraId="3CC9067E" w14:textId="56514FC2" w:rsidR="008D70F6" w:rsidRPr="000026EE" w:rsidRDefault="008D70F6" w:rsidP="008D70F6">
      <w:pPr>
        <w:pStyle w:val="ListBullet2"/>
      </w:pPr>
      <w:r w:rsidRPr="000026EE">
        <w:t xml:space="preserve">protection of the </w:t>
      </w:r>
      <w:r w:rsidR="00E56E2A">
        <w:t>O</w:t>
      </w:r>
      <w:r w:rsidRPr="000026EE">
        <w:t xml:space="preserve">utstanding </w:t>
      </w:r>
      <w:r w:rsidR="00E56E2A">
        <w:t>U</w:t>
      </w:r>
      <w:r w:rsidRPr="000026EE">
        <w:t xml:space="preserve">niversal </w:t>
      </w:r>
      <w:r w:rsidR="00E56E2A">
        <w:t>V</w:t>
      </w:r>
      <w:r w:rsidRPr="000026EE">
        <w:t xml:space="preserve">alue of the Great Barrier Reef World Heritage Area, including species, habitats and </w:t>
      </w:r>
      <w:r w:rsidR="00846484">
        <w:t>I</w:t>
      </w:r>
      <w:r w:rsidRPr="000026EE">
        <w:t>ndigenous values; and</w:t>
      </w:r>
    </w:p>
    <w:p w14:paraId="070AD396" w14:textId="77777777" w:rsidR="008D70F6" w:rsidRDefault="008D70F6" w:rsidP="008D70F6">
      <w:pPr>
        <w:pStyle w:val="ListBullet2"/>
      </w:pPr>
      <w:proofErr w:type="gramStart"/>
      <w:r w:rsidRPr="000026EE">
        <w:t>management</w:t>
      </w:r>
      <w:proofErr w:type="gramEnd"/>
      <w:r w:rsidRPr="000026EE">
        <w:t xml:space="preserve"> of key threats to the Great Barrier Reef World Heritage Area, including poor water quality and crown-of thorns starfish outbreaks. </w:t>
      </w:r>
    </w:p>
    <w:p w14:paraId="612C2794" w14:textId="6E3463BC" w:rsidR="00600D77" w:rsidRPr="00615B1F" w:rsidRDefault="00A92ADB" w:rsidP="00615B1F">
      <w:pPr>
        <w:pStyle w:val="ListBullet"/>
        <w:numPr>
          <w:ilvl w:val="0"/>
          <w:numId w:val="0"/>
        </w:numPr>
        <w:spacing w:after="120"/>
        <w:ind w:left="369" w:hanging="369"/>
        <w:rPr>
          <w:b/>
        </w:rPr>
      </w:pPr>
      <w:r>
        <w:rPr>
          <w:b/>
        </w:rPr>
        <w:t>Activity</w:t>
      </w:r>
      <w:r w:rsidR="00A43B9B" w:rsidRPr="00615B1F">
        <w:rPr>
          <w:b/>
        </w:rPr>
        <w:t xml:space="preserve"> </w:t>
      </w:r>
      <w:r w:rsidR="00A43B9B" w:rsidRPr="00A43B9B">
        <w:rPr>
          <w:b/>
        </w:rPr>
        <w:t>components</w:t>
      </w:r>
      <w:r w:rsidR="00A43B9B" w:rsidRPr="00615B1F">
        <w:rPr>
          <w:b/>
        </w:rPr>
        <w:t>:</w:t>
      </w:r>
      <w:r w:rsidR="00967104" w:rsidRPr="00615B1F">
        <w:rPr>
          <w:b/>
        </w:rPr>
        <w:t xml:space="preserve"> </w:t>
      </w:r>
    </w:p>
    <w:p w14:paraId="7F55B4EF" w14:textId="75F74389" w:rsidR="00967104" w:rsidRPr="000026EE" w:rsidRDefault="00967104">
      <w:pPr>
        <w:pStyle w:val="ListBullet"/>
        <w:spacing w:after="120"/>
      </w:pPr>
      <w:r>
        <w:t>The Agreement requires the F</w:t>
      </w:r>
      <w:r w:rsidRPr="000026EE">
        <w:t xml:space="preserve">oundation to </w:t>
      </w:r>
      <w:r>
        <w:t>invest</w:t>
      </w:r>
      <w:r w:rsidRPr="000026EE">
        <w:t xml:space="preserve"> the following amounts</w:t>
      </w:r>
      <w:r>
        <w:t xml:space="preserve"> (</w:t>
      </w:r>
      <w:r w:rsidRPr="000026EE">
        <w:t>GST exclusive</w:t>
      </w:r>
      <w:r>
        <w:t>)</w:t>
      </w:r>
      <w:r w:rsidRPr="000026EE">
        <w:t xml:space="preserve"> </w:t>
      </w:r>
      <w:r>
        <w:t xml:space="preserve">on activities described in the schedules of the Agreement </w:t>
      </w:r>
      <w:r w:rsidRPr="000026EE">
        <w:t>between 2018-19 to 2023-24:</w:t>
      </w:r>
    </w:p>
    <w:p w14:paraId="2BBE3338" w14:textId="510EB10B" w:rsidR="00BE3362" w:rsidRPr="000026EE" w:rsidRDefault="002D1A68" w:rsidP="00EB273C">
      <w:pPr>
        <w:pStyle w:val="ListBullet2"/>
      </w:pPr>
      <w:r w:rsidRPr="000026EE">
        <w:t xml:space="preserve">up to $200,649,000 for </w:t>
      </w:r>
      <w:r w:rsidR="00CD334F" w:rsidRPr="000026EE">
        <w:t>w</w:t>
      </w:r>
      <w:r w:rsidR="009B573F" w:rsidRPr="000026EE">
        <w:t>ater quality</w:t>
      </w:r>
      <w:r w:rsidR="00A83839" w:rsidRPr="000026EE">
        <w:t xml:space="preserve"> improvement</w:t>
      </w:r>
      <w:r w:rsidR="00CD334F" w:rsidRPr="000026EE">
        <w:t xml:space="preserve"> </w:t>
      </w:r>
      <w:r w:rsidR="00FF4DC5" w:rsidRPr="000026EE">
        <w:t>activities</w:t>
      </w:r>
      <w:r w:rsidR="00973D35" w:rsidRPr="000026EE">
        <w:t xml:space="preserve"> (Schedule 3)</w:t>
      </w:r>
      <w:r w:rsidR="00CD334F" w:rsidRPr="000026EE">
        <w:t xml:space="preserve">; </w:t>
      </w:r>
    </w:p>
    <w:p w14:paraId="69419626" w14:textId="29EFC098" w:rsidR="00BE3362" w:rsidRPr="000026EE" w:rsidRDefault="002D1A68" w:rsidP="00EB273C">
      <w:pPr>
        <w:pStyle w:val="ListBullet2"/>
      </w:pPr>
      <w:r w:rsidRPr="000026EE">
        <w:t xml:space="preserve">up to $57,800,000 for </w:t>
      </w:r>
      <w:r w:rsidR="00CD334F" w:rsidRPr="000026EE">
        <w:t>crown-of-thorns s</w:t>
      </w:r>
      <w:r w:rsidR="009B573F" w:rsidRPr="000026EE">
        <w:t>tarfish co</w:t>
      </w:r>
      <w:r w:rsidR="00CD334F" w:rsidRPr="000026EE">
        <w:t>ntrol</w:t>
      </w:r>
      <w:r w:rsidR="00FF4DC5" w:rsidRPr="000026EE">
        <w:t xml:space="preserve"> activities</w:t>
      </w:r>
      <w:r w:rsidR="00973D35" w:rsidRPr="000026EE">
        <w:t xml:space="preserve"> (Schedule 4)</w:t>
      </w:r>
      <w:r w:rsidR="00CD334F" w:rsidRPr="000026EE">
        <w:t xml:space="preserve">; </w:t>
      </w:r>
    </w:p>
    <w:p w14:paraId="31557057" w14:textId="6D1B42AE" w:rsidR="00BE3362" w:rsidRPr="000026EE" w:rsidRDefault="002D1A68" w:rsidP="00EB273C">
      <w:pPr>
        <w:pStyle w:val="ListBullet2"/>
      </w:pPr>
      <w:r w:rsidRPr="000026EE">
        <w:t xml:space="preserve">up to $100,000,000 for </w:t>
      </w:r>
      <w:r w:rsidR="00CD334F" w:rsidRPr="000026EE">
        <w:t>r</w:t>
      </w:r>
      <w:r w:rsidR="009B573F" w:rsidRPr="000026EE">
        <w:t>eef resto</w:t>
      </w:r>
      <w:r w:rsidR="00CD334F" w:rsidRPr="000026EE">
        <w:t>ration and adaptation science</w:t>
      </w:r>
      <w:r w:rsidR="00FF4DC5" w:rsidRPr="000026EE">
        <w:t xml:space="preserve"> activities</w:t>
      </w:r>
      <w:r w:rsidR="00973D35" w:rsidRPr="000026EE">
        <w:t xml:space="preserve"> (Schedule 5)</w:t>
      </w:r>
      <w:r w:rsidR="00CD334F" w:rsidRPr="000026EE">
        <w:t xml:space="preserve">; </w:t>
      </w:r>
    </w:p>
    <w:p w14:paraId="28AF0899" w14:textId="49DA101C" w:rsidR="00BE3362" w:rsidRPr="000026EE" w:rsidRDefault="002D1A68" w:rsidP="00EB273C">
      <w:pPr>
        <w:pStyle w:val="ListBullet2"/>
      </w:pPr>
      <w:r w:rsidRPr="000026EE">
        <w:t xml:space="preserve">up to $22,349,000 for </w:t>
      </w:r>
      <w:r w:rsidR="00CD334F" w:rsidRPr="000026EE">
        <w:t xml:space="preserve">Indigenous and community </w:t>
      </w:r>
      <w:r w:rsidR="00FF4DC5" w:rsidRPr="000026EE">
        <w:t xml:space="preserve">reef protection </w:t>
      </w:r>
      <w:r w:rsidR="00F05A3A" w:rsidRPr="000026EE">
        <w:t>activities</w:t>
      </w:r>
      <w:r w:rsidR="00973D35" w:rsidRPr="000026EE">
        <w:t xml:space="preserve"> (Schedule 6)</w:t>
      </w:r>
      <w:r w:rsidR="00CD334F" w:rsidRPr="000026EE">
        <w:t>;</w:t>
      </w:r>
      <w:r w:rsidR="009B573F" w:rsidRPr="000026EE">
        <w:t xml:space="preserve"> and </w:t>
      </w:r>
    </w:p>
    <w:p w14:paraId="6909F342" w14:textId="0D49FFDD" w:rsidR="00BE3362" w:rsidRPr="000026EE" w:rsidRDefault="002D1A68" w:rsidP="00EB273C">
      <w:pPr>
        <w:pStyle w:val="ListBullet2"/>
      </w:pPr>
      <w:proofErr w:type="gramStart"/>
      <w:r w:rsidRPr="000026EE">
        <w:t>up</w:t>
      </w:r>
      <w:proofErr w:type="gramEnd"/>
      <w:r w:rsidRPr="000026EE">
        <w:t xml:space="preserve"> to $40,000,000 for </w:t>
      </w:r>
      <w:r w:rsidR="00973D35" w:rsidRPr="000026EE">
        <w:t xml:space="preserve">Reef </w:t>
      </w:r>
      <w:r w:rsidR="00CD334F" w:rsidRPr="000026EE">
        <w:t>integrated m</w:t>
      </w:r>
      <w:r w:rsidR="009B573F" w:rsidRPr="000026EE">
        <w:t xml:space="preserve">onitoring </w:t>
      </w:r>
      <w:r w:rsidR="00CD334F" w:rsidRPr="000026EE">
        <w:t>and reporting</w:t>
      </w:r>
      <w:r w:rsidR="00FF4DC5" w:rsidRPr="000026EE">
        <w:t xml:space="preserve"> activities</w:t>
      </w:r>
      <w:r w:rsidR="00973D35" w:rsidRPr="000026EE">
        <w:t xml:space="preserve"> (Schedule 7)</w:t>
      </w:r>
      <w:r w:rsidR="00CD334F" w:rsidRPr="000026EE">
        <w:t xml:space="preserve">. </w:t>
      </w:r>
    </w:p>
    <w:p w14:paraId="7A82FE9B" w14:textId="19061014" w:rsidR="00A43B9B" w:rsidRPr="00615B1F" w:rsidRDefault="00A43B9B" w:rsidP="00615B1F">
      <w:pPr>
        <w:pStyle w:val="ListBullet"/>
        <w:spacing w:after="120"/>
      </w:pPr>
      <w:r>
        <w:lastRenderedPageBreak/>
        <w:t xml:space="preserve">The Foundation has been provided with $22.5 million </w:t>
      </w:r>
      <w:r w:rsidRPr="000026EE">
        <w:t>for administrati</w:t>
      </w:r>
      <w:r>
        <w:t>on</w:t>
      </w:r>
      <w:r w:rsidRPr="000026EE">
        <w:t xml:space="preserve"> and sca</w:t>
      </w:r>
      <w:r>
        <w:t xml:space="preserve">ling up activities (Schedule 2). The Foundation may also use a capped amount of interest earned on the Grant funds for this purpose. </w:t>
      </w:r>
    </w:p>
    <w:p w14:paraId="0D457B08" w14:textId="40D3BF2E" w:rsidR="00A43B9B" w:rsidRPr="00615B1F" w:rsidRDefault="00A43B9B" w:rsidP="00615B1F">
      <w:pPr>
        <w:pStyle w:val="ListBullet"/>
        <w:numPr>
          <w:ilvl w:val="0"/>
          <w:numId w:val="0"/>
        </w:numPr>
        <w:spacing w:after="120"/>
        <w:rPr>
          <w:b/>
        </w:rPr>
      </w:pPr>
      <w:r w:rsidRPr="00615B1F">
        <w:rPr>
          <w:b/>
        </w:rPr>
        <w:t>Delivery</w:t>
      </w:r>
      <w:r>
        <w:rPr>
          <w:b/>
        </w:rPr>
        <w:t xml:space="preserve"> requirements</w:t>
      </w:r>
      <w:r w:rsidRPr="00615B1F">
        <w:rPr>
          <w:b/>
        </w:rPr>
        <w:t>:</w:t>
      </w:r>
    </w:p>
    <w:p w14:paraId="20FA0528" w14:textId="086D9DE5" w:rsidR="00954503" w:rsidRPr="000026EE" w:rsidRDefault="00954503">
      <w:pPr>
        <w:pStyle w:val="ListBullet"/>
        <w:spacing w:after="120"/>
      </w:pPr>
      <w:r w:rsidRPr="000026EE">
        <w:t xml:space="preserve">The Foundation </w:t>
      </w:r>
      <w:r w:rsidR="007736EE">
        <w:t>is required</w:t>
      </w:r>
      <w:r w:rsidRPr="000026EE">
        <w:t xml:space="preserve"> to achieve the Agreement’s o</w:t>
      </w:r>
      <w:r w:rsidR="00A02E8E">
        <w:t xml:space="preserve">utcomes </w:t>
      </w:r>
      <w:r w:rsidRPr="000026EE">
        <w:t>in a manner that is consistent with</w:t>
      </w:r>
      <w:r w:rsidR="00846484">
        <w:t>:</w:t>
      </w:r>
    </w:p>
    <w:p w14:paraId="32A49E6F" w14:textId="3A7BF62B" w:rsidR="00954503" w:rsidRPr="000026EE" w:rsidRDefault="00BD0215" w:rsidP="00954503">
      <w:pPr>
        <w:pStyle w:val="ListBullet2"/>
      </w:pPr>
      <w:r>
        <w:t xml:space="preserve">Government administrative law: especially the </w:t>
      </w:r>
      <w:r w:rsidR="00954503" w:rsidRPr="000026EE">
        <w:rPr>
          <w:i/>
        </w:rPr>
        <w:t xml:space="preserve">PGPA Act (Reef Trust Special Account 2014) Determination 01 </w:t>
      </w:r>
      <w:r w:rsidR="00954503" w:rsidRPr="000026EE">
        <w:t>(</w:t>
      </w:r>
      <w:proofErr w:type="spellStart"/>
      <w:r w:rsidR="00954503" w:rsidRPr="000026EE">
        <w:t>Cth</w:t>
      </w:r>
      <w:proofErr w:type="spellEnd"/>
      <w:r w:rsidR="00954503" w:rsidRPr="000026EE">
        <w:t>); and</w:t>
      </w:r>
    </w:p>
    <w:p w14:paraId="3F11350B" w14:textId="0DE9BBAC" w:rsidR="007736EE" w:rsidRDefault="00BD0215" w:rsidP="00954503">
      <w:pPr>
        <w:pStyle w:val="ListBullet2"/>
      </w:pPr>
      <w:r>
        <w:t xml:space="preserve">Government Policy: especially </w:t>
      </w:r>
      <w:r w:rsidR="00954503" w:rsidRPr="000026EE">
        <w:t xml:space="preserve">the </w:t>
      </w:r>
      <w:r w:rsidR="00954503" w:rsidRPr="000026EE">
        <w:rPr>
          <w:i/>
        </w:rPr>
        <w:t>Reef 2050 Long-Term Sustainability Plan</w:t>
      </w:r>
      <w:r w:rsidR="00954503" w:rsidRPr="000026EE">
        <w:t xml:space="preserve">, the draft </w:t>
      </w:r>
      <w:r w:rsidR="00954503" w:rsidRPr="000026EE">
        <w:rPr>
          <w:i/>
        </w:rPr>
        <w:t>Reef 2050 Water Quality Improvement Plan 2017-2022</w:t>
      </w:r>
      <w:r w:rsidR="00954503" w:rsidRPr="000026EE">
        <w:t xml:space="preserve">, the </w:t>
      </w:r>
      <w:r w:rsidR="00954503" w:rsidRPr="000026EE">
        <w:rPr>
          <w:i/>
        </w:rPr>
        <w:t>Reef 2050 Plan Investment Framework,</w:t>
      </w:r>
      <w:r w:rsidR="00954503" w:rsidRPr="000026EE">
        <w:t xml:space="preserve"> the </w:t>
      </w:r>
      <w:r w:rsidR="00954503" w:rsidRPr="000026EE">
        <w:rPr>
          <w:i/>
        </w:rPr>
        <w:t>Reef Trust Objectives, Outcomes and Investment Principles</w:t>
      </w:r>
      <w:r w:rsidR="00954503" w:rsidRPr="000026EE">
        <w:t xml:space="preserve"> and the </w:t>
      </w:r>
      <w:r w:rsidR="00954503" w:rsidRPr="000026EE">
        <w:rPr>
          <w:i/>
        </w:rPr>
        <w:t>Reef 2050 Plan Integrated Monitoring and Reporting Strategy</w:t>
      </w:r>
      <w:r w:rsidR="00954503" w:rsidRPr="000026EE">
        <w:t xml:space="preserve">; </w:t>
      </w:r>
      <w:r w:rsidR="00846484">
        <w:t>and</w:t>
      </w:r>
    </w:p>
    <w:p w14:paraId="7EE1476C" w14:textId="3F2D353D" w:rsidR="00954503" w:rsidRPr="000026EE" w:rsidRDefault="00954503" w:rsidP="00954503">
      <w:pPr>
        <w:pStyle w:val="ListBullet2"/>
      </w:pPr>
      <w:r w:rsidRPr="000026EE">
        <w:t>Plans required to be developed under the Agreement (as discussed below); and</w:t>
      </w:r>
    </w:p>
    <w:p w14:paraId="237E04EE" w14:textId="77777777" w:rsidR="00954503" w:rsidRPr="000026EE" w:rsidRDefault="00954503" w:rsidP="00954503">
      <w:pPr>
        <w:pStyle w:val="ListBullet2"/>
      </w:pPr>
      <w:proofErr w:type="gramStart"/>
      <w:r w:rsidRPr="000026EE">
        <w:t>all</w:t>
      </w:r>
      <w:proofErr w:type="gramEnd"/>
      <w:r w:rsidRPr="000026EE">
        <w:t xml:space="preserve"> applicable laws.</w:t>
      </w:r>
    </w:p>
    <w:p w14:paraId="58DB6072" w14:textId="11EBD936" w:rsidR="00A43B9B" w:rsidRDefault="00A43B9B">
      <w:pPr>
        <w:pStyle w:val="ListBullet"/>
        <w:spacing w:after="120"/>
      </w:pPr>
      <w:r w:rsidRPr="000026EE">
        <w:t xml:space="preserve">The Foundation </w:t>
      </w:r>
      <w:r>
        <w:t>will</w:t>
      </w:r>
      <w:r w:rsidRPr="000026EE">
        <w:t xml:space="preserve"> hold Grant funds in a</w:t>
      </w:r>
      <w:r>
        <w:t xml:space="preserve">n account </w:t>
      </w:r>
      <w:r w:rsidRPr="000026EE">
        <w:t xml:space="preserve">separate to </w:t>
      </w:r>
      <w:r>
        <w:t xml:space="preserve">its </w:t>
      </w:r>
      <w:r w:rsidRPr="000026EE">
        <w:t>other operational accounts.</w:t>
      </w:r>
    </w:p>
    <w:p w14:paraId="6EF53CDB" w14:textId="71F1A35F" w:rsidR="00A43B9B" w:rsidRPr="00615B1F" w:rsidRDefault="00BC7212" w:rsidP="00615B1F">
      <w:pPr>
        <w:pStyle w:val="ListBullet"/>
        <w:numPr>
          <w:ilvl w:val="0"/>
          <w:numId w:val="0"/>
        </w:numPr>
        <w:spacing w:after="120"/>
        <w:ind w:left="369" w:hanging="369"/>
        <w:rPr>
          <w:b/>
        </w:rPr>
      </w:pPr>
      <w:r w:rsidRPr="00615B1F">
        <w:rPr>
          <w:b/>
        </w:rPr>
        <w:t xml:space="preserve">Development of </w:t>
      </w:r>
      <w:r>
        <w:rPr>
          <w:b/>
        </w:rPr>
        <w:t>guiding documents</w:t>
      </w:r>
      <w:r w:rsidRPr="00615B1F">
        <w:rPr>
          <w:b/>
        </w:rPr>
        <w:t>:</w:t>
      </w:r>
    </w:p>
    <w:p w14:paraId="1463C56C" w14:textId="77777777" w:rsidR="00BC7212" w:rsidRDefault="00BC7212" w:rsidP="00615B1F">
      <w:pPr>
        <w:pStyle w:val="ListBullet"/>
      </w:pPr>
      <w:r>
        <w:t>The</w:t>
      </w:r>
      <w:r w:rsidRPr="00BC7212">
        <w:t xml:space="preserve"> </w:t>
      </w:r>
      <w:r>
        <w:t xml:space="preserve">Agreement requires the development of guiding documents </w:t>
      </w:r>
      <w:r w:rsidRPr="000026EE">
        <w:t xml:space="preserve">to govern </w:t>
      </w:r>
      <w:r>
        <w:t>the</w:t>
      </w:r>
      <w:r w:rsidRPr="000026EE">
        <w:t xml:space="preserve"> achievement of the Agreement’s o</w:t>
      </w:r>
      <w:r>
        <w:t>utcomes</w:t>
      </w:r>
      <w:r w:rsidRPr="000026EE">
        <w:t>.</w:t>
      </w:r>
      <w:r w:rsidRPr="00BC7212">
        <w:t xml:space="preserve"> </w:t>
      </w:r>
    </w:p>
    <w:p w14:paraId="42FF6D72" w14:textId="2F421E9C" w:rsidR="002C49F7" w:rsidRPr="000026EE" w:rsidRDefault="00BC7212" w:rsidP="00615B1F">
      <w:pPr>
        <w:pStyle w:val="ListBullet"/>
      </w:pPr>
      <w:r>
        <w:t xml:space="preserve">Two of the most important guiding documents are the </w:t>
      </w:r>
      <w:r w:rsidRPr="000026EE">
        <w:t>Investment Strategy</w:t>
      </w:r>
      <w:r>
        <w:t xml:space="preserve"> and the Annual Work Plan</w:t>
      </w:r>
      <w:r w:rsidRPr="000026EE">
        <w:t>.</w:t>
      </w:r>
      <w:r>
        <w:t xml:space="preserve"> </w:t>
      </w:r>
      <w:r w:rsidR="005D61F0">
        <w:t>Through these documents</w:t>
      </w:r>
      <w:r w:rsidR="00FF4DC5" w:rsidRPr="000026EE">
        <w:t xml:space="preserve">, the Foundation </w:t>
      </w:r>
      <w:r>
        <w:t>will</w:t>
      </w:r>
      <w:r w:rsidRPr="000026EE">
        <w:t xml:space="preserve"> </w:t>
      </w:r>
      <w:r w:rsidR="00A00AAB">
        <w:t xml:space="preserve">seek to </w:t>
      </w:r>
      <w:r w:rsidR="00FF4DC5" w:rsidRPr="000026EE">
        <w:t xml:space="preserve">address the highest priority threats to the Great Barrier Reef, deliver cost-effective on-ground change, complement previous and current investments, generate co-investment and establish </w:t>
      </w:r>
      <w:r>
        <w:t xml:space="preserve">delivery </w:t>
      </w:r>
      <w:r w:rsidR="00A00AAB">
        <w:t>partnerships</w:t>
      </w:r>
      <w:r w:rsidR="00FF4DC5" w:rsidRPr="000026EE">
        <w:t xml:space="preserve">. </w:t>
      </w:r>
      <w:r>
        <w:t>T</w:t>
      </w:r>
      <w:r w:rsidRPr="000026EE">
        <w:t>he Investment Strategy</w:t>
      </w:r>
      <w:r>
        <w:t xml:space="preserve"> and </w:t>
      </w:r>
      <w:r w:rsidRPr="000026EE">
        <w:t>Annual Work Plans will be published on the Foundation’s website.</w:t>
      </w:r>
    </w:p>
    <w:p w14:paraId="0A9FD26C" w14:textId="02DBCB8F" w:rsidR="007B7F2E" w:rsidRPr="000026EE" w:rsidRDefault="00F83CE1" w:rsidP="00615B1F">
      <w:pPr>
        <w:pStyle w:val="ListBullet"/>
      </w:pPr>
      <w:r w:rsidRPr="000026EE">
        <w:t xml:space="preserve">In developing </w:t>
      </w:r>
      <w:r w:rsidR="004A4A8C">
        <w:t xml:space="preserve">and finalising </w:t>
      </w:r>
      <w:r w:rsidRPr="000026EE">
        <w:t>the</w:t>
      </w:r>
      <w:r w:rsidR="00D30649" w:rsidRPr="000026EE">
        <w:t xml:space="preserve"> </w:t>
      </w:r>
      <w:r w:rsidR="00EB0816" w:rsidRPr="000026EE">
        <w:t xml:space="preserve">Investment </w:t>
      </w:r>
      <w:r w:rsidR="00D30649" w:rsidRPr="000026EE">
        <w:t xml:space="preserve">Strategy and </w:t>
      </w:r>
      <w:r w:rsidR="00EB0816" w:rsidRPr="000026EE">
        <w:t xml:space="preserve">the Annual </w:t>
      </w:r>
      <w:r w:rsidR="00D30649" w:rsidRPr="000026EE">
        <w:t>Work Plans</w:t>
      </w:r>
      <w:r w:rsidRPr="000026EE">
        <w:t>, t</w:t>
      </w:r>
      <w:r w:rsidR="007B7F2E" w:rsidRPr="000026EE">
        <w:t xml:space="preserve">he Foundation will </w:t>
      </w:r>
      <w:r w:rsidRPr="000026EE">
        <w:t>consult with</w:t>
      </w:r>
      <w:r w:rsidR="007B7F2E" w:rsidRPr="000026EE">
        <w:t xml:space="preserve"> the </w:t>
      </w:r>
      <w:r w:rsidR="00175752" w:rsidRPr="000026EE">
        <w:t>Department</w:t>
      </w:r>
      <w:r w:rsidR="00846484">
        <w:t>,</w:t>
      </w:r>
      <w:r w:rsidR="00175752" w:rsidRPr="000026EE">
        <w:t xml:space="preserve"> </w:t>
      </w:r>
      <w:r w:rsidR="007B7F2E" w:rsidRPr="000026EE">
        <w:t>the Reef 2050 Independent Expert Panel</w:t>
      </w:r>
      <w:r w:rsidR="00CA550D">
        <w:t>,</w:t>
      </w:r>
      <w:r w:rsidR="00CA550D" w:rsidRPr="000026EE">
        <w:t xml:space="preserve"> </w:t>
      </w:r>
      <w:r w:rsidR="007B7F2E" w:rsidRPr="000026EE">
        <w:t>the Reef 2050 Advisory Committee</w:t>
      </w:r>
      <w:r w:rsidR="00CA550D">
        <w:t>,</w:t>
      </w:r>
      <w:r w:rsidR="00CA550D" w:rsidRPr="000026EE">
        <w:t xml:space="preserve"> </w:t>
      </w:r>
      <w:r w:rsidR="007B7F2E" w:rsidRPr="000026EE">
        <w:t>the Great Barrier Reef Ministerial Forum</w:t>
      </w:r>
      <w:r w:rsidR="00CA550D">
        <w:t>,</w:t>
      </w:r>
      <w:r w:rsidR="00CA550D" w:rsidRPr="000026EE">
        <w:t xml:space="preserve"> </w:t>
      </w:r>
      <w:r w:rsidRPr="000026EE">
        <w:t>Queensland</w:t>
      </w:r>
      <w:r w:rsidR="00EB0816" w:rsidRPr="000026EE">
        <w:t>’s</w:t>
      </w:r>
      <w:r w:rsidRPr="000026EE">
        <w:t xml:space="preserve"> Office of the Great Barrier Reef</w:t>
      </w:r>
      <w:r w:rsidR="00175752" w:rsidRPr="000026EE">
        <w:t xml:space="preserve"> and</w:t>
      </w:r>
      <w:r w:rsidRPr="000026EE">
        <w:t xml:space="preserve"> the Great Barrier Reef Marine Park Authority</w:t>
      </w:r>
      <w:r w:rsidR="007B7F2E" w:rsidRPr="000026EE">
        <w:t>.</w:t>
      </w:r>
    </w:p>
    <w:p w14:paraId="795512A6" w14:textId="1FF449D4" w:rsidR="00657327" w:rsidRDefault="005D61F0" w:rsidP="00CA206C">
      <w:pPr>
        <w:pStyle w:val="ListBullet"/>
        <w:spacing w:after="120"/>
      </w:pPr>
      <w:r>
        <w:t>The Foundation is also required to d</w:t>
      </w:r>
      <w:r w:rsidR="00BC7212">
        <w:t>evelop</w:t>
      </w:r>
      <w:r w:rsidR="00657327">
        <w:t xml:space="preserve"> support</w:t>
      </w:r>
      <w:r w:rsidR="007736EE">
        <w:t>ing</w:t>
      </w:r>
      <w:r w:rsidR="00657327">
        <w:t xml:space="preserve"> Plans </w:t>
      </w:r>
      <w:r w:rsidR="00BC7212">
        <w:t xml:space="preserve">for delivery of the </w:t>
      </w:r>
      <w:r w:rsidR="004A4A8C">
        <w:t>Grant</w:t>
      </w:r>
      <w:r w:rsidR="00BC7212">
        <w:t xml:space="preserve"> </w:t>
      </w:r>
      <w:r w:rsidR="00657327">
        <w:t>including:</w:t>
      </w:r>
    </w:p>
    <w:p w14:paraId="54DA6CEF" w14:textId="2266F554" w:rsidR="00657327" w:rsidRDefault="00294BB2" w:rsidP="00615B1F">
      <w:pPr>
        <w:pStyle w:val="ListBullet2"/>
      </w:pPr>
      <w:r w:rsidRPr="000026EE">
        <w:t xml:space="preserve">a </w:t>
      </w:r>
      <w:r w:rsidR="00471843" w:rsidRPr="000026EE">
        <w:t xml:space="preserve">Resourcing Plan </w:t>
      </w:r>
      <w:r w:rsidR="00014F58">
        <w:t>that</w:t>
      </w:r>
      <w:r w:rsidR="00014F58" w:rsidRPr="000026EE">
        <w:t xml:space="preserve"> </w:t>
      </w:r>
      <w:r w:rsidR="00471843" w:rsidRPr="000026EE">
        <w:t xml:space="preserve">sets out </w:t>
      </w:r>
      <w:r w:rsidR="00090626" w:rsidRPr="000026EE">
        <w:t xml:space="preserve">how it will </w:t>
      </w:r>
      <w:r w:rsidR="00A00AAB">
        <w:t>deploy</w:t>
      </w:r>
      <w:r w:rsidR="00CA206C" w:rsidRPr="000026EE">
        <w:t xml:space="preserve"> resources </w:t>
      </w:r>
      <w:r w:rsidR="00A00AAB">
        <w:t>to deliver on its obligations</w:t>
      </w:r>
      <w:r w:rsidR="00657327">
        <w:t>;</w:t>
      </w:r>
    </w:p>
    <w:p w14:paraId="3BAFB3C8" w14:textId="3E7F3894" w:rsidR="00657327" w:rsidRDefault="00CA206C" w:rsidP="00615B1F">
      <w:pPr>
        <w:pStyle w:val="ListBullet2"/>
      </w:pPr>
      <w:r w:rsidRPr="000026EE">
        <w:t xml:space="preserve">a Co-Financing Strategy Plan </w:t>
      </w:r>
      <w:r w:rsidR="00A00AAB">
        <w:t>outlining</w:t>
      </w:r>
      <w:r w:rsidRPr="000026EE">
        <w:t xml:space="preserve"> the Foundation’s approach to rais</w:t>
      </w:r>
      <w:r w:rsidR="00A00AAB">
        <w:t>ing</w:t>
      </w:r>
      <w:r w:rsidRPr="000026EE">
        <w:t xml:space="preserve"> other contributions from private and philanthropic donors</w:t>
      </w:r>
      <w:r w:rsidR="00657327">
        <w:t>;</w:t>
      </w:r>
    </w:p>
    <w:p w14:paraId="18001C79" w14:textId="708A0A52" w:rsidR="007736EE" w:rsidRDefault="007736EE" w:rsidP="00615B1F">
      <w:pPr>
        <w:pStyle w:val="ListBullet2"/>
      </w:pPr>
      <w:r w:rsidRPr="000026EE">
        <w:t xml:space="preserve">a Communication and Stakeholder Engagement Plan to </w:t>
      </w:r>
      <w:r>
        <w:t>drive</w:t>
      </w:r>
      <w:r w:rsidRPr="000026EE">
        <w:t xml:space="preserve"> </w:t>
      </w:r>
      <w:r>
        <w:t>c</w:t>
      </w:r>
      <w:r w:rsidRPr="000026EE">
        <w:t>ollaborative</w:t>
      </w:r>
      <w:r>
        <w:t xml:space="preserve"> efforts and ensure comprehensive engagement with the community;</w:t>
      </w:r>
    </w:p>
    <w:p w14:paraId="54E1B71B" w14:textId="4286382A" w:rsidR="00422356" w:rsidRPr="000026EE" w:rsidRDefault="00657327" w:rsidP="00615B1F">
      <w:pPr>
        <w:pStyle w:val="ListBullet2"/>
        <w:spacing w:after="120"/>
      </w:pPr>
      <w:proofErr w:type="gramStart"/>
      <w:r>
        <w:t>a</w:t>
      </w:r>
      <w:proofErr w:type="gramEnd"/>
      <w:r>
        <w:t xml:space="preserve"> </w:t>
      </w:r>
      <w:r w:rsidR="00B343A9" w:rsidRPr="000026EE">
        <w:t>Monitoring and Evaluation Plan</w:t>
      </w:r>
      <w:r w:rsidR="00B30C6A">
        <w:t xml:space="preserve"> </w:t>
      </w:r>
      <w:r>
        <w:t>to</w:t>
      </w:r>
      <w:r w:rsidR="00B30C6A">
        <w:t xml:space="preserve"> support an </w:t>
      </w:r>
      <w:r w:rsidR="00B30C6A" w:rsidRPr="000026EE">
        <w:t xml:space="preserve">adaptive management </w:t>
      </w:r>
      <w:r w:rsidR="00B30C6A">
        <w:t xml:space="preserve">approach </w:t>
      </w:r>
      <w:r>
        <w:t>over the life</w:t>
      </w:r>
      <w:r w:rsidR="00B30C6A" w:rsidRPr="000026EE">
        <w:t xml:space="preserve"> of the</w:t>
      </w:r>
      <w:r w:rsidR="004746C1">
        <w:t xml:space="preserve"> Agreement</w:t>
      </w:r>
      <w:r w:rsidR="00B30C6A" w:rsidRPr="000026EE">
        <w:t xml:space="preserve">. </w:t>
      </w:r>
      <w:r w:rsidR="00B30C6A">
        <w:t>The</w:t>
      </w:r>
      <w:r w:rsidR="00B30C6A" w:rsidRPr="000026EE">
        <w:t xml:space="preserve"> Foundation </w:t>
      </w:r>
      <w:r w:rsidR="00B30C6A">
        <w:t xml:space="preserve">will </w:t>
      </w:r>
      <w:r w:rsidR="00B30C6A" w:rsidRPr="000026EE">
        <w:t>monitor and evaluate the outcomes of each Activity Component and participate</w:t>
      </w:r>
      <w:r w:rsidR="00B30C6A">
        <w:t xml:space="preserve"> </w:t>
      </w:r>
      <w:r w:rsidR="00B30C6A" w:rsidRPr="000026EE">
        <w:t xml:space="preserve">in any </w:t>
      </w:r>
      <w:r>
        <w:t xml:space="preserve">formal </w:t>
      </w:r>
      <w:r w:rsidR="00B30C6A" w:rsidRPr="000026EE">
        <w:t>review or evaluation of the Agreement.</w:t>
      </w:r>
    </w:p>
    <w:p w14:paraId="47A67B5E" w14:textId="58D7AA13" w:rsidR="00657327" w:rsidRPr="00615B1F" w:rsidRDefault="00657327" w:rsidP="00615B1F">
      <w:pPr>
        <w:pStyle w:val="ListBullet"/>
        <w:numPr>
          <w:ilvl w:val="0"/>
          <w:numId w:val="0"/>
        </w:numPr>
        <w:spacing w:after="120"/>
        <w:ind w:left="369" w:hanging="369"/>
        <w:rPr>
          <w:b/>
        </w:rPr>
      </w:pPr>
      <w:r w:rsidRPr="00615B1F">
        <w:rPr>
          <w:b/>
        </w:rPr>
        <w:t>Accounting and Reporting:</w:t>
      </w:r>
    </w:p>
    <w:p w14:paraId="2C24DB8D" w14:textId="0E26C93C" w:rsidR="00422356" w:rsidRPr="000026EE" w:rsidRDefault="00A92ADB" w:rsidP="00422356">
      <w:pPr>
        <w:pStyle w:val="ListBullet"/>
        <w:spacing w:after="120"/>
      </w:pPr>
      <w:r>
        <w:t xml:space="preserve">The </w:t>
      </w:r>
      <w:r w:rsidR="00F810ED">
        <w:t>Agreement</w:t>
      </w:r>
      <w:r>
        <w:t xml:space="preserve"> requires </w:t>
      </w:r>
      <w:r w:rsidR="00F810ED">
        <w:t>t</w:t>
      </w:r>
      <w:r w:rsidR="00422356" w:rsidRPr="000026EE">
        <w:t xml:space="preserve">he Foundation </w:t>
      </w:r>
      <w:r>
        <w:t>to</w:t>
      </w:r>
      <w:r w:rsidR="00422356" w:rsidRPr="000026EE">
        <w:t xml:space="preserve"> maintain </w:t>
      </w:r>
      <w:r w:rsidR="00E71B97" w:rsidRPr="000026EE">
        <w:t xml:space="preserve">detailed </w:t>
      </w:r>
      <w:r w:rsidR="00422356" w:rsidRPr="000026EE">
        <w:t>accounts and records, including</w:t>
      </w:r>
      <w:r w:rsidR="00D73479" w:rsidRPr="000026EE">
        <w:t xml:space="preserve"> records of the</w:t>
      </w:r>
      <w:r w:rsidR="00422356" w:rsidRPr="000026EE">
        <w:t xml:space="preserve"> progress, selection and performance of projects, use of Grant funds and other contributions</w:t>
      </w:r>
      <w:r w:rsidR="00D73479" w:rsidRPr="000026EE">
        <w:t>,</w:t>
      </w:r>
      <w:r w:rsidR="00422356" w:rsidRPr="000026EE">
        <w:t xml:space="preserve"> and the creation, acquisition and disposal of assets. </w:t>
      </w:r>
    </w:p>
    <w:p w14:paraId="3DF7576D" w14:textId="47AFE2F5" w:rsidR="00422356" w:rsidRPr="000026EE" w:rsidRDefault="00422356" w:rsidP="00422356">
      <w:pPr>
        <w:pStyle w:val="ListBullet"/>
        <w:spacing w:after="120"/>
      </w:pPr>
      <w:r w:rsidRPr="000026EE">
        <w:t>The Foundation</w:t>
      </w:r>
      <w:r w:rsidR="00E71B97" w:rsidRPr="000026EE">
        <w:t xml:space="preserve"> </w:t>
      </w:r>
      <w:r w:rsidR="00F810ED">
        <w:t>will</w:t>
      </w:r>
      <w:r w:rsidR="00F810ED" w:rsidRPr="000026EE">
        <w:t xml:space="preserve"> </w:t>
      </w:r>
      <w:r w:rsidR="00F810ED">
        <w:t>p</w:t>
      </w:r>
      <w:r w:rsidRPr="000026EE">
        <w:t>rovide written reports to the Department</w:t>
      </w:r>
      <w:r w:rsidR="00316786" w:rsidRPr="000026EE">
        <w:t xml:space="preserve"> (detailed in Schedule 1)</w:t>
      </w:r>
      <w:r w:rsidRPr="000026EE">
        <w:t xml:space="preserve">, including: </w:t>
      </w:r>
    </w:p>
    <w:p w14:paraId="4EED7589" w14:textId="181C56AB" w:rsidR="00422356" w:rsidRPr="000026EE" w:rsidRDefault="00422356" w:rsidP="00EB273C">
      <w:pPr>
        <w:pStyle w:val="ListBullet2"/>
      </w:pPr>
      <w:r w:rsidRPr="000026EE">
        <w:lastRenderedPageBreak/>
        <w:t xml:space="preserve">six-monthly progress reports </w:t>
      </w:r>
      <w:r w:rsidR="00955E70">
        <w:t xml:space="preserve">outlining </w:t>
      </w:r>
      <w:r w:rsidR="00E71B97" w:rsidRPr="000026EE">
        <w:t xml:space="preserve">the performance of each </w:t>
      </w:r>
      <w:r w:rsidR="00955E70">
        <w:t xml:space="preserve">Activity </w:t>
      </w:r>
      <w:r w:rsidR="00E71B97" w:rsidRPr="000026EE">
        <w:t>Component and the expenditure of the Grant</w:t>
      </w:r>
      <w:r w:rsidRPr="000026EE">
        <w:t xml:space="preserve">; </w:t>
      </w:r>
    </w:p>
    <w:p w14:paraId="1E2785E5" w14:textId="1235AE4C" w:rsidR="00422356" w:rsidRPr="000026EE" w:rsidRDefault="00E71B97" w:rsidP="00EB273C">
      <w:pPr>
        <w:pStyle w:val="ListBullet2"/>
      </w:pPr>
      <w:r w:rsidRPr="000026EE">
        <w:t xml:space="preserve">audited </w:t>
      </w:r>
      <w:r w:rsidR="00422356" w:rsidRPr="000026EE">
        <w:t xml:space="preserve">annual </w:t>
      </w:r>
      <w:r w:rsidRPr="000026EE">
        <w:t xml:space="preserve">financial </w:t>
      </w:r>
      <w:r w:rsidR="00422356" w:rsidRPr="000026EE">
        <w:t xml:space="preserve">reports </w:t>
      </w:r>
      <w:r w:rsidRPr="000026EE">
        <w:t>regarding the expenditure of the Grant and other contributions</w:t>
      </w:r>
      <w:r w:rsidR="00422356" w:rsidRPr="000026EE">
        <w:t>;</w:t>
      </w:r>
    </w:p>
    <w:p w14:paraId="61DD26EB" w14:textId="451CDBA1" w:rsidR="00422356" w:rsidRPr="000026EE" w:rsidRDefault="00422356" w:rsidP="00EB273C">
      <w:pPr>
        <w:pStyle w:val="ListBullet2"/>
      </w:pPr>
      <w:r w:rsidRPr="000026EE">
        <w:t xml:space="preserve">annual reports to the Great Barrier Reef Ministerial Forum on progress against the </w:t>
      </w:r>
      <w:r w:rsidR="00D73479" w:rsidRPr="00615B1F">
        <w:rPr>
          <w:i/>
        </w:rPr>
        <w:t>Reef 2050 Long</w:t>
      </w:r>
      <w:r w:rsidR="00846484">
        <w:rPr>
          <w:i/>
        </w:rPr>
        <w:noBreakHyphen/>
      </w:r>
      <w:r w:rsidR="00D73479" w:rsidRPr="00615B1F">
        <w:rPr>
          <w:i/>
        </w:rPr>
        <w:t>Term Sustainability Pla</w:t>
      </w:r>
      <w:r w:rsidR="00E71B97" w:rsidRPr="00615B1F">
        <w:rPr>
          <w:i/>
        </w:rPr>
        <w:t>n</w:t>
      </w:r>
      <w:r w:rsidRPr="000026EE">
        <w:t xml:space="preserve">, </w:t>
      </w:r>
      <w:r w:rsidR="00E50665" w:rsidRPr="000026EE">
        <w:t xml:space="preserve">the </w:t>
      </w:r>
      <w:r w:rsidRPr="000026EE">
        <w:t xml:space="preserve">Investment Strategy and </w:t>
      </w:r>
      <w:r w:rsidR="00E71B97" w:rsidRPr="000026EE">
        <w:t xml:space="preserve">the </w:t>
      </w:r>
      <w:r w:rsidRPr="000026EE">
        <w:t xml:space="preserve">relevant Annual Work Plan; </w:t>
      </w:r>
    </w:p>
    <w:p w14:paraId="3E2E6AEA" w14:textId="306C5AB9" w:rsidR="00920089" w:rsidRPr="000026EE" w:rsidRDefault="00422356" w:rsidP="00EB273C">
      <w:pPr>
        <w:pStyle w:val="ListBullet2"/>
      </w:pPr>
      <w:r w:rsidRPr="000026EE">
        <w:t xml:space="preserve">a final report following completion of </w:t>
      </w:r>
      <w:r w:rsidR="00955E70">
        <w:t>an</w:t>
      </w:r>
      <w:r w:rsidR="00955E70" w:rsidRPr="000026EE">
        <w:t xml:space="preserve"> </w:t>
      </w:r>
      <w:r w:rsidRPr="000026EE">
        <w:t xml:space="preserve">Activity </w:t>
      </w:r>
      <w:r w:rsidR="00955E70">
        <w:t xml:space="preserve">Component </w:t>
      </w:r>
      <w:r w:rsidRPr="000026EE">
        <w:t xml:space="preserve">or </w:t>
      </w:r>
      <w:r w:rsidR="00E71B97" w:rsidRPr="000026EE">
        <w:t xml:space="preserve">earlier </w:t>
      </w:r>
      <w:r w:rsidRPr="000026EE">
        <w:t xml:space="preserve">termination </w:t>
      </w:r>
      <w:r w:rsidR="00E71B97" w:rsidRPr="000026EE">
        <w:t>o</w:t>
      </w:r>
      <w:r w:rsidRPr="000026EE">
        <w:t>f the Agreeme</w:t>
      </w:r>
      <w:r w:rsidR="00D73479" w:rsidRPr="000026EE">
        <w:t>nt</w:t>
      </w:r>
      <w:r w:rsidR="00E50665" w:rsidRPr="000026EE">
        <w:t xml:space="preserve">; </w:t>
      </w:r>
    </w:p>
    <w:p w14:paraId="6C72D18D" w14:textId="7835E31B" w:rsidR="00E50665" w:rsidRPr="000026EE" w:rsidRDefault="00920089" w:rsidP="00EB273C">
      <w:pPr>
        <w:pStyle w:val="ListBullet2"/>
      </w:pPr>
      <w:r w:rsidRPr="000026EE">
        <w:t>other specific reports for Activity Components as set out in the Schedule</w:t>
      </w:r>
      <w:r w:rsidR="00E71B97" w:rsidRPr="000026EE">
        <w:t>s to the Agreement</w:t>
      </w:r>
      <w:r w:rsidRPr="000026EE">
        <w:t xml:space="preserve">; </w:t>
      </w:r>
      <w:r w:rsidR="00E50665" w:rsidRPr="000026EE">
        <w:t>and</w:t>
      </w:r>
    </w:p>
    <w:p w14:paraId="54098F55" w14:textId="57F11673" w:rsidR="00D73479" w:rsidRPr="000026EE" w:rsidRDefault="00E50665" w:rsidP="00EB273C">
      <w:pPr>
        <w:pStyle w:val="ListBullet2"/>
      </w:pPr>
      <w:proofErr w:type="gramStart"/>
      <w:r w:rsidRPr="000026EE">
        <w:t>other</w:t>
      </w:r>
      <w:proofErr w:type="gramEnd"/>
      <w:r w:rsidRPr="000026EE">
        <w:t xml:space="preserve"> ad-hoc reports as required by the Department throughout the term of the Agreement</w:t>
      </w:r>
      <w:r w:rsidR="00D73479" w:rsidRPr="000026EE">
        <w:t xml:space="preserve">. </w:t>
      </w:r>
    </w:p>
    <w:p w14:paraId="75287B3E" w14:textId="0DFB0696" w:rsidR="00E50665" w:rsidRPr="000026EE" w:rsidRDefault="00E71B97" w:rsidP="00615B1F">
      <w:pPr>
        <w:pStyle w:val="ListBullet"/>
        <w:spacing w:after="120"/>
      </w:pPr>
      <w:r w:rsidRPr="000026EE">
        <w:t>Each</w:t>
      </w:r>
      <w:r w:rsidR="00E50665" w:rsidRPr="000026EE">
        <w:t xml:space="preserve"> six-monthly progress report</w:t>
      </w:r>
      <w:r w:rsidRPr="000026EE">
        <w:t xml:space="preserve"> </w:t>
      </w:r>
      <w:r w:rsidR="0085042D" w:rsidRPr="000026EE">
        <w:t xml:space="preserve">and audited annual report </w:t>
      </w:r>
      <w:r w:rsidR="00846484">
        <w:t xml:space="preserve">is required to </w:t>
      </w:r>
      <w:r w:rsidR="0085042D" w:rsidRPr="000026EE">
        <w:t>include</w:t>
      </w:r>
      <w:r w:rsidRPr="000026EE">
        <w:t xml:space="preserve"> a </w:t>
      </w:r>
      <w:r w:rsidR="00B43532" w:rsidRPr="000026EE">
        <w:t xml:space="preserve">statement from </w:t>
      </w:r>
      <w:r w:rsidR="00E50665" w:rsidRPr="000026EE">
        <w:t xml:space="preserve">the Foundation’s authorised person that Grant funds </w:t>
      </w:r>
      <w:r w:rsidR="00B43532" w:rsidRPr="000026EE">
        <w:t>have been</w:t>
      </w:r>
      <w:r w:rsidR="00E50665" w:rsidRPr="000026EE">
        <w:t xml:space="preserve"> spent in accordance with the Agreement. </w:t>
      </w:r>
    </w:p>
    <w:p w14:paraId="2A127927" w14:textId="3282CE8C" w:rsidR="00F810ED" w:rsidRPr="00615B1F" w:rsidRDefault="00F810ED" w:rsidP="00615B1F">
      <w:pPr>
        <w:pStyle w:val="ListBullet"/>
        <w:keepNext/>
        <w:numPr>
          <w:ilvl w:val="0"/>
          <w:numId w:val="0"/>
        </w:numPr>
        <w:spacing w:after="120"/>
        <w:ind w:left="369" w:hanging="369"/>
        <w:rPr>
          <w:b/>
        </w:rPr>
      </w:pPr>
      <w:r>
        <w:rPr>
          <w:b/>
        </w:rPr>
        <w:t xml:space="preserve">Sub- </w:t>
      </w:r>
      <w:r w:rsidRPr="00615B1F">
        <w:rPr>
          <w:b/>
        </w:rPr>
        <w:t>Contracting:</w:t>
      </w:r>
    </w:p>
    <w:p w14:paraId="26AA30F9" w14:textId="4A52D7E3" w:rsidR="00F810ED" w:rsidRDefault="00D2723B" w:rsidP="00EB273C">
      <w:pPr>
        <w:pStyle w:val="ListBullet"/>
        <w:keepNext/>
        <w:spacing w:after="120"/>
      </w:pPr>
      <w:r>
        <w:t xml:space="preserve">The Agreement allows the Foundation to </w:t>
      </w:r>
      <w:r w:rsidR="00A66FAE" w:rsidRPr="000026EE">
        <w:t>subcontract</w:t>
      </w:r>
      <w:r w:rsidR="00ED4695" w:rsidRPr="00ED4695">
        <w:t xml:space="preserve"> </w:t>
      </w:r>
      <w:r w:rsidR="00ED4695" w:rsidRPr="000026EE">
        <w:t>th</w:t>
      </w:r>
      <w:r w:rsidR="00ED4695">
        <w:t xml:space="preserve">e delivery </w:t>
      </w:r>
      <w:r w:rsidR="00ED4695" w:rsidRPr="000026EE">
        <w:t>of Activities to appropriately qualified and experienced subcontractors</w:t>
      </w:r>
      <w:r>
        <w:t xml:space="preserve"> </w:t>
      </w:r>
      <w:r w:rsidR="00ED4695">
        <w:t>using</w:t>
      </w:r>
      <w:r>
        <w:t xml:space="preserve"> </w:t>
      </w:r>
      <w:r w:rsidRPr="000026EE">
        <w:t>rigorous assessment criteria</w:t>
      </w:r>
      <w:r w:rsidR="00ED4695">
        <w:t>.</w:t>
      </w:r>
    </w:p>
    <w:p w14:paraId="1A40E06F" w14:textId="204CED8E" w:rsidR="001267D4" w:rsidRPr="000026EE" w:rsidRDefault="00123319" w:rsidP="00615B1F">
      <w:pPr>
        <w:pStyle w:val="ListBullet2"/>
      </w:pPr>
      <w:r w:rsidRPr="000026EE">
        <w:t xml:space="preserve">The </w:t>
      </w:r>
      <w:r w:rsidR="00243053" w:rsidRPr="000026EE">
        <w:t>terms of each subcontract must be consistent with the terms of the</w:t>
      </w:r>
      <w:r w:rsidR="00D2723B">
        <w:t xml:space="preserve"> </w:t>
      </w:r>
      <w:r w:rsidR="007736EE">
        <w:t xml:space="preserve">Agreement and the Agreement </w:t>
      </w:r>
      <w:r w:rsidRPr="000026EE">
        <w:t xml:space="preserve">specifies </w:t>
      </w:r>
      <w:r w:rsidR="00243053" w:rsidRPr="000026EE">
        <w:t xml:space="preserve">a number of </w:t>
      </w:r>
      <w:r w:rsidRPr="000026EE">
        <w:t xml:space="preserve">provisions that </w:t>
      </w:r>
      <w:r w:rsidR="00243053" w:rsidRPr="000026EE">
        <w:t>the Foundation must ensure are included in its</w:t>
      </w:r>
      <w:r w:rsidRPr="000026EE">
        <w:t xml:space="preserve"> subcontract</w:t>
      </w:r>
      <w:r w:rsidR="00243053" w:rsidRPr="000026EE">
        <w:t>s and funding agreements</w:t>
      </w:r>
      <w:r w:rsidR="00DD3D86" w:rsidRPr="000026EE">
        <w:t>.</w:t>
      </w:r>
      <w:r w:rsidR="002966C8" w:rsidRPr="000026EE">
        <w:t xml:space="preserve"> </w:t>
      </w:r>
    </w:p>
    <w:p w14:paraId="60E409FD" w14:textId="42421735" w:rsidR="00D2723B" w:rsidRPr="00615B1F" w:rsidRDefault="00D2723B" w:rsidP="00615B1F">
      <w:pPr>
        <w:pStyle w:val="ListBullet"/>
        <w:numPr>
          <w:ilvl w:val="0"/>
          <w:numId w:val="0"/>
        </w:numPr>
        <w:spacing w:after="120"/>
        <w:ind w:left="369" w:hanging="369"/>
        <w:rPr>
          <w:b/>
        </w:rPr>
      </w:pPr>
      <w:r w:rsidRPr="00615B1F">
        <w:rPr>
          <w:b/>
        </w:rPr>
        <w:t xml:space="preserve">Governance: </w:t>
      </w:r>
    </w:p>
    <w:p w14:paraId="7C49695D" w14:textId="7A0142CA" w:rsidR="00D2723B" w:rsidRDefault="00D2723B" w:rsidP="009A6A91">
      <w:pPr>
        <w:pStyle w:val="ListBullet"/>
        <w:spacing w:after="120"/>
      </w:pPr>
      <w:r>
        <w:t>The</w:t>
      </w:r>
      <w:r w:rsidR="00D30649" w:rsidRPr="000026EE">
        <w:t xml:space="preserve"> Agreement</w:t>
      </w:r>
      <w:r w:rsidR="00B12870" w:rsidRPr="000026EE">
        <w:t xml:space="preserve"> </w:t>
      </w:r>
      <w:r>
        <w:t xml:space="preserve">allows </w:t>
      </w:r>
      <w:r w:rsidR="002966C8" w:rsidRPr="000026EE">
        <w:t>the Department to appoint</w:t>
      </w:r>
      <w:r w:rsidR="00B12870" w:rsidRPr="000026EE">
        <w:t xml:space="preserve"> a </w:t>
      </w:r>
      <w:r w:rsidR="00C41AD7" w:rsidRPr="000026EE">
        <w:t xml:space="preserve">Commonwealth Observer </w:t>
      </w:r>
      <w:r w:rsidR="002966C8" w:rsidRPr="000026EE">
        <w:t xml:space="preserve">to </w:t>
      </w:r>
      <w:r w:rsidR="009D556B" w:rsidRPr="000026EE">
        <w:t>the Foundation’s Board</w:t>
      </w:r>
      <w:r w:rsidR="00D30649" w:rsidRPr="000026EE">
        <w:t xml:space="preserve"> and </w:t>
      </w:r>
      <w:r w:rsidR="002966C8" w:rsidRPr="000026EE">
        <w:t xml:space="preserve">a Departmental representative to </w:t>
      </w:r>
      <w:r w:rsidR="00D30649" w:rsidRPr="000026EE">
        <w:t xml:space="preserve">the </w:t>
      </w:r>
      <w:r w:rsidR="002966C8" w:rsidRPr="000026EE">
        <w:t xml:space="preserve">Foundation’s </w:t>
      </w:r>
      <w:r w:rsidR="00CA206C" w:rsidRPr="000026EE">
        <w:t>Partnership Management Committee</w:t>
      </w:r>
      <w:r w:rsidR="000F51D5" w:rsidRPr="000026EE">
        <w:t xml:space="preserve"> for the Activity</w:t>
      </w:r>
      <w:r w:rsidR="00576ADD" w:rsidRPr="000026EE">
        <w:t xml:space="preserve">. </w:t>
      </w:r>
    </w:p>
    <w:p w14:paraId="311B4B84" w14:textId="1AA334D5" w:rsidR="000F51D5" w:rsidRPr="000026EE" w:rsidRDefault="00D2723B" w:rsidP="00615B1F">
      <w:pPr>
        <w:pStyle w:val="ListBullet2"/>
      </w:pPr>
      <w:r>
        <w:t>T</w:t>
      </w:r>
      <w:r w:rsidR="000F51D5" w:rsidRPr="000026EE">
        <w:t xml:space="preserve">he Commonwealth Observer will attend meetings of the Foundation’s Board (subject to certain exceptions </w:t>
      </w:r>
      <w:r w:rsidR="007736EE">
        <w:t xml:space="preserve">described </w:t>
      </w:r>
      <w:r w:rsidR="000F51D5" w:rsidRPr="000026EE">
        <w:t xml:space="preserve">in the Agreement) </w:t>
      </w:r>
      <w:r w:rsidR="007736EE">
        <w:t>and report back to the Department</w:t>
      </w:r>
      <w:r w:rsidR="002966C8" w:rsidRPr="000026EE">
        <w:t>.</w:t>
      </w:r>
      <w:r w:rsidR="000F51D5" w:rsidRPr="000026EE">
        <w:t xml:space="preserve"> </w:t>
      </w:r>
    </w:p>
    <w:p w14:paraId="03B88DDB" w14:textId="03C04923" w:rsidR="003866AD" w:rsidRDefault="003866AD" w:rsidP="003866AD">
      <w:pPr>
        <w:pStyle w:val="ListBullet"/>
        <w:spacing w:after="120"/>
      </w:pPr>
      <w:r w:rsidRPr="000026EE">
        <w:t xml:space="preserve">The </w:t>
      </w:r>
      <w:r>
        <w:t xml:space="preserve">Agreement requires the </w:t>
      </w:r>
      <w:r w:rsidRPr="000026EE">
        <w:t xml:space="preserve">Foundation </w:t>
      </w:r>
      <w:r>
        <w:t xml:space="preserve">to share all relevant </w:t>
      </w:r>
      <w:r w:rsidRPr="000026EE">
        <w:t xml:space="preserve">information </w:t>
      </w:r>
      <w:r>
        <w:t>pertaining</w:t>
      </w:r>
      <w:r w:rsidRPr="000026EE">
        <w:t xml:space="preserve"> to the Activity</w:t>
      </w:r>
      <w:r>
        <w:t xml:space="preserve"> with the Department. T</w:t>
      </w:r>
      <w:r w:rsidRPr="000026EE">
        <w:t>he Foundation is required to notify the Department of any proposed or actual material change in its constitution, structure, management or financial position</w:t>
      </w:r>
      <w:r>
        <w:t xml:space="preserve">. </w:t>
      </w:r>
    </w:p>
    <w:p w14:paraId="5B986383" w14:textId="0D5F4A29" w:rsidR="003866AD" w:rsidRDefault="003866AD" w:rsidP="003866AD">
      <w:pPr>
        <w:pStyle w:val="ListBullet"/>
        <w:spacing w:after="120"/>
      </w:pPr>
      <w:r w:rsidRPr="000026EE">
        <w:t xml:space="preserve">The </w:t>
      </w:r>
      <w:r>
        <w:t xml:space="preserve">Agreement requires the </w:t>
      </w:r>
      <w:r w:rsidRPr="000026EE">
        <w:t xml:space="preserve">Foundation to employ best practice corporate governance arrangements and engage governance and risk management experts to </w:t>
      </w:r>
      <w:r>
        <w:t>help</w:t>
      </w:r>
      <w:r w:rsidRPr="000026EE">
        <w:t xml:space="preserve"> develop and implement </w:t>
      </w:r>
      <w:r>
        <w:t>strong</w:t>
      </w:r>
      <w:r w:rsidRPr="000026EE">
        <w:t xml:space="preserve"> governance, anti-corruption, fraud prevention and audit and risk management policies and procedures. </w:t>
      </w:r>
    </w:p>
    <w:p w14:paraId="1688250A" w14:textId="4405443E" w:rsidR="003866AD" w:rsidRPr="000026EE" w:rsidRDefault="003866AD" w:rsidP="003866AD">
      <w:pPr>
        <w:pStyle w:val="ListBullet2"/>
      </w:pPr>
      <w:r w:rsidRPr="000026EE">
        <w:t>This includes the development of a Fraud Prevention Plan that covers the Foundation and its subcontractors. The Foundation will also prepare a Risk Management Plan that outlines how it will manage and mitigate risks, including appointing a Risk and Compliance officer.</w:t>
      </w:r>
    </w:p>
    <w:p w14:paraId="78847359" w14:textId="77777777" w:rsidR="003866AD" w:rsidRPr="000026EE" w:rsidRDefault="003866AD" w:rsidP="00615B1F">
      <w:pPr>
        <w:pStyle w:val="ListBullet2"/>
      </w:pPr>
      <w:r>
        <w:t>T</w:t>
      </w:r>
      <w:r w:rsidRPr="000026EE">
        <w:t xml:space="preserve">he Agreement prevents persons who have a history of poor governance or financial management from being involved in the management of the Grant or </w:t>
      </w:r>
      <w:r>
        <w:t xml:space="preserve">an </w:t>
      </w:r>
      <w:r w:rsidRPr="000026EE">
        <w:t>Activity</w:t>
      </w:r>
      <w:r>
        <w:t xml:space="preserve"> Component</w:t>
      </w:r>
      <w:r w:rsidRPr="000026EE">
        <w:t>.</w:t>
      </w:r>
    </w:p>
    <w:p w14:paraId="739095A6" w14:textId="742CA626" w:rsidR="00D563E4" w:rsidRPr="00615B1F" w:rsidRDefault="00D563E4" w:rsidP="00615B1F">
      <w:pPr>
        <w:pStyle w:val="ListBullet"/>
        <w:numPr>
          <w:ilvl w:val="0"/>
          <w:numId w:val="0"/>
        </w:numPr>
        <w:spacing w:after="120"/>
        <w:rPr>
          <w:b/>
        </w:rPr>
      </w:pPr>
      <w:r w:rsidRPr="00615B1F">
        <w:rPr>
          <w:b/>
        </w:rPr>
        <w:t>Compliance:</w:t>
      </w:r>
    </w:p>
    <w:p w14:paraId="4DCE4376" w14:textId="0548310E" w:rsidR="00D563E4" w:rsidRPr="000026EE" w:rsidRDefault="00D563E4" w:rsidP="00A562E2">
      <w:pPr>
        <w:pStyle w:val="ListBullet"/>
      </w:pPr>
      <w:r>
        <w:t>As is usual practi</w:t>
      </w:r>
      <w:r w:rsidR="005B7803">
        <w:t>c</w:t>
      </w:r>
      <w:r>
        <w:t>e in government contracting, t</w:t>
      </w:r>
      <w:r w:rsidR="001E2DF7" w:rsidRPr="000026EE">
        <w:t>he Foundation indemnifies the Department for any loss, cost, damage or claim arising from</w:t>
      </w:r>
      <w:r w:rsidR="00D815C6" w:rsidRPr="000026EE">
        <w:t>, amongst other things,</w:t>
      </w:r>
      <w:r w:rsidR="001E2DF7" w:rsidRPr="000026EE">
        <w:t xml:space="preserve"> the Foundation’s breach of the Agreement or its negligent or unlawful act or omission or wilful misconduct in connection with the Agreement. </w:t>
      </w:r>
    </w:p>
    <w:p w14:paraId="0A107425" w14:textId="797B0F10" w:rsidR="00A562E2" w:rsidRPr="000026EE" w:rsidRDefault="00A562E2">
      <w:pPr>
        <w:pStyle w:val="ListBullet"/>
      </w:pPr>
      <w:r w:rsidRPr="000026EE">
        <w:t xml:space="preserve">The Agreement </w:t>
      </w:r>
      <w:r w:rsidR="00D563E4">
        <w:t xml:space="preserve">also </w:t>
      </w:r>
      <w:r w:rsidRPr="000026EE">
        <w:t>provides for termination or reduction in its scope and outlines the conditions under which a termination event may occur, including</w:t>
      </w:r>
      <w:r w:rsidR="00D563E4">
        <w:t xml:space="preserve"> as a result of non-performance, breach of obligation, or insolvency or other significant change to the nature of the Foundation.</w:t>
      </w:r>
    </w:p>
    <w:p w14:paraId="62EA3F94" w14:textId="65CB642D" w:rsidR="002B2842" w:rsidRPr="000026EE" w:rsidRDefault="00A66FAE" w:rsidP="00615B1F">
      <w:pPr>
        <w:pStyle w:val="ListBullet"/>
      </w:pPr>
      <w:r w:rsidRPr="000026EE">
        <w:lastRenderedPageBreak/>
        <w:t xml:space="preserve">The </w:t>
      </w:r>
      <w:r w:rsidR="00EC1D4D" w:rsidRPr="000026EE">
        <w:t xml:space="preserve">Department </w:t>
      </w:r>
      <w:r w:rsidR="00F70BE3" w:rsidRPr="000026EE">
        <w:t xml:space="preserve">may </w:t>
      </w:r>
      <w:r w:rsidR="00D563E4">
        <w:t xml:space="preserve">elect to continue </w:t>
      </w:r>
      <w:r w:rsidR="00F70BE3" w:rsidRPr="000026EE">
        <w:t>all or part of the Activity if</w:t>
      </w:r>
      <w:r w:rsidR="00D563E4">
        <w:t xml:space="preserve"> the Agreement is terminated for any reason, </w:t>
      </w:r>
      <w:r w:rsidR="00F70BE3" w:rsidRPr="000026EE">
        <w:t xml:space="preserve">or if the Foundation </w:t>
      </w:r>
      <w:r w:rsidR="002B2842" w:rsidRPr="000026EE">
        <w:t xml:space="preserve">so </w:t>
      </w:r>
      <w:r w:rsidR="00F70BE3" w:rsidRPr="000026EE">
        <w:t>requests</w:t>
      </w:r>
      <w:r w:rsidR="00D563E4">
        <w:t xml:space="preserve"> it. T</w:t>
      </w:r>
      <w:r w:rsidR="00F70BE3" w:rsidRPr="000026EE">
        <w:t xml:space="preserve">he Department may recover from the Foundation reasonable costs incurred in exercising </w:t>
      </w:r>
      <w:r w:rsidR="00D563E4">
        <w:t>these provisions</w:t>
      </w:r>
      <w:r w:rsidR="00F70BE3" w:rsidRPr="000026EE">
        <w:t>.</w:t>
      </w:r>
      <w:r w:rsidR="00D563E4">
        <w:t xml:space="preserve"> The Department may also seek to recover for the Government, </w:t>
      </w:r>
      <w:r w:rsidR="00E42C99" w:rsidRPr="000026EE">
        <w:t>any Grant funds which</w:t>
      </w:r>
      <w:r w:rsidR="00D563E4">
        <w:t xml:space="preserve"> are </w:t>
      </w:r>
      <w:r w:rsidR="002B2842" w:rsidRPr="000026EE">
        <w:t xml:space="preserve">not legally committed </w:t>
      </w:r>
      <w:r w:rsidR="00D563E4">
        <w:t xml:space="preserve">or </w:t>
      </w:r>
      <w:r w:rsidR="003866AD">
        <w:t xml:space="preserve">that </w:t>
      </w:r>
      <w:r w:rsidR="00D563E4">
        <w:t xml:space="preserve">have not </w:t>
      </w:r>
      <w:r w:rsidR="00E42C99" w:rsidRPr="000026EE">
        <w:t xml:space="preserve">been spent by the Foundation in accordance with the Agreement. </w:t>
      </w:r>
    </w:p>
    <w:p w14:paraId="75C22F25" w14:textId="2C138AC0" w:rsidR="00864F24" w:rsidRPr="000026EE" w:rsidRDefault="00FF1FD9">
      <w:pPr>
        <w:pStyle w:val="ListBullet"/>
        <w:spacing w:after="120"/>
      </w:pPr>
      <w:r w:rsidRPr="000026EE">
        <w:t xml:space="preserve">The Agreement </w:t>
      </w:r>
      <w:r w:rsidR="00035297" w:rsidRPr="000026EE">
        <w:t xml:space="preserve">also </w:t>
      </w:r>
      <w:r w:rsidRPr="000026EE">
        <w:t xml:space="preserve">includes </w:t>
      </w:r>
      <w:r w:rsidR="002B2842" w:rsidRPr="000026EE">
        <w:t xml:space="preserve">a number of other </w:t>
      </w:r>
      <w:r w:rsidRPr="000026EE">
        <w:t xml:space="preserve">provisions </w:t>
      </w:r>
      <w:r w:rsidR="002B2842" w:rsidRPr="000026EE">
        <w:t>common to Commonwealth grants regarding</w:t>
      </w:r>
      <w:r w:rsidR="006A4F10" w:rsidRPr="000026EE">
        <w:t xml:space="preserve"> </w:t>
      </w:r>
      <w:r w:rsidR="005B7803">
        <w:t>a</w:t>
      </w:r>
      <w:r w:rsidR="009D556B" w:rsidRPr="000026EE">
        <w:t xml:space="preserve">ssets; </w:t>
      </w:r>
      <w:r w:rsidR="005B7803">
        <w:t>i</w:t>
      </w:r>
      <w:r w:rsidR="006A4F10" w:rsidRPr="000026EE">
        <w:t>ntellectual property;</w:t>
      </w:r>
      <w:r w:rsidR="00F67D7C" w:rsidRPr="000026EE">
        <w:t xml:space="preserve"> </w:t>
      </w:r>
      <w:r w:rsidR="005B7803">
        <w:t>c</w:t>
      </w:r>
      <w:r w:rsidRPr="000026EE">
        <w:t>onf</w:t>
      </w:r>
      <w:r w:rsidR="00F67D7C" w:rsidRPr="000026EE">
        <w:t xml:space="preserve">idential </w:t>
      </w:r>
      <w:r w:rsidR="005B7803">
        <w:t>i</w:t>
      </w:r>
      <w:r w:rsidR="00F67D7C" w:rsidRPr="000026EE">
        <w:t xml:space="preserve">nformation; </w:t>
      </w:r>
      <w:r w:rsidR="00A10DEB" w:rsidRPr="000026EE">
        <w:t>p</w:t>
      </w:r>
      <w:r w:rsidR="00F67D7C" w:rsidRPr="000026EE">
        <w:t xml:space="preserve">rivacy obligations; </w:t>
      </w:r>
      <w:r w:rsidR="00A10DEB" w:rsidRPr="000026EE">
        <w:t>c</w:t>
      </w:r>
      <w:r w:rsidR="00F67D7C" w:rsidRPr="000026EE">
        <w:t xml:space="preserve">onflicts of </w:t>
      </w:r>
      <w:r w:rsidR="00A10DEB" w:rsidRPr="000026EE">
        <w:t>i</w:t>
      </w:r>
      <w:r w:rsidR="00F67D7C" w:rsidRPr="000026EE">
        <w:t xml:space="preserve">nterest; </w:t>
      </w:r>
      <w:r w:rsidR="00A10DEB" w:rsidRPr="000026EE">
        <w:t>c</w:t>
      </w:r>
      <w:r w:rsidRPr="000026EE">
        <w:t>omplia</w:t>
      </w:r>
      <w:r w:rsidR="00F67D7C" w:rsidRPr="000026EE">
        <w:t xml:space="preserve">nce with </w:t>
      </w:r>
      <w:r w:rsidR="00A10DEB" w:rsidRPr="000026EE">
        <w:t>l</w:t>
      </w:r>
      <w:r w:rsidR="00F67D7C" w:rsidRPr="000026EE">
        <w:t xml:space="preserve">egislation; </w:t>
      </w:r>
      <w:r w:rsidR="00A10DEB" w:rsidRPr="000026EE">
        <w:t>w</w:t>
      </w:r>
      <w:r w:rsidRPr="000026EE">
        <w:t>o</w:t>
      </w:r>
      <w:r w:rsidR="00F67D7C" w:rsidRPr="000026EE">
        <w:t xml:space="preserve">rk </w:t>
      </w:r>
      <w:r w:rsidR="00A10DEB" w:rsidRPr="000026EE">
        <w:t>h</w:t>
      </w:r>
      <w:r w:rsidR="00F67D7C" w:rsidRPr="000026EE">
        <w:t xml:space="preserve">ealth and </w:t>
      </w:r>
      <w:r w:rsidR="00A10DEB" w:rsidRPr="000026EE">
        <w:t>s</w:t>
      </w:r>
      <w:r w:rsidR="00F67D7C" w:rsidRPr="000026EE">
        <w:t xml:space="preserve">afety; </w:t>
      </w:r>
      <w:r w:rsidR="002B2842" w:rsidRPr="000026EE">
        <w:t>Foundation representations and warranties</w:t>
      </w:r>
      <w:r w:rsidR="00F67D7C" w:rsidRPr="000026EE">
        <w:t xml:space="preserve">; </w:t>
      </w:r>
      <w:r w:rsidR="00E42F3B" w:rsidRPr="000026EE">
        <w:t>i</w:t>
      </w:r>
      <w:r w:rsidR="00F67D7C" w:rsidRPr="000026EE">
        <w:t>nsurance</w:t>
      </w:r>
      <w:r w:rsidR="00E42F3B" w:rsidRPr="000026EE">
        <w:t xml:space="preserve"> policies required to be effected and maintained by the Foundation</w:t>
      </w:r>
      <w:r w:rsidR="00F67D7C" w:rsidRPr="000026EE">
        <w:t xml:space="preserve">; </w:t>
      </w:r>
      <w:r w:rsidR="00E42F3B" w:rsidRPr="000026EE">
        <w:t>d</w:t>
      </w:r>
      <w:r w:rsidR="00F67D7C" w:rsidRPr="000026EE">
        <w:t xml:space="preserve">ispute </w:t>
      </w:r>
      <w:r w:rsidR="009D556B" w:rsidRPr="000026EE">
        <w:t>resolution</w:t>
      </w:r>
      <w:r w:rsidR="00E42F3B" w:rsidRPr="000026EE">
        <w:t xml:space="preserve"> procedures</w:t>
      </w:r>
      <w:r w:rsidR="009D556B" w:rsidRPr="000026EE">
        <w:t xml:space="preserve">; </w:t>
      </w:r>
      <w:r w:rsidR="00F842A6" w:rsidRPr="000026EE">
        <w:t>f</w:t>
      </w:r>
      <w:r w:rsidR="009D556B" w:rsidRPr="000026EE">
        <w:t>orce maj</w:t>
      </w:r>
      <w:r w:rsidR="00EC1D4D" w:rsidRPr="000026EE">
        <w:t>e</w:t>
      </w:r>
      <w:r w:rsidR="009D556B" w:rsidRPr="000026EE">
        <w:t xml:space="preserve">ure events; </w:t>
      </w:r>
      <w:r w:rsidR="001008B5" w:rsidRPr="000026EE">
        <w:t>n</w:t>
      </w:r>
      <w:r w:rsidR="00F67D7C" w:rsidRPr="000026EE">
        <w:t>otices</w:t>
      </w:r>
      <w:r w:rsidR="00864F24" w:rsidRPr="000026EE">
        <w:t>;</w:t>
      </w:r>
      <w:r w:rsidR="00F67D7C" w:rsidRPr="000026EE">
        <w:t xml:space="preserve"> and </w:t>
      </w:r>
      <w:r w:rsidR="00EC1D4D" w:rsidRPr="000026EE">
        <w:t xml:space="preserve">preparation of an </w:t>
      </w:r>
      <w:r w:rsidRPr="000026EE">
        <w:t>Australian Industr</w:t>
      </w:r>
      <w:r w:rsidR="00F67D7C" w:rsidRPr="000026EE">
        <w:t>y Participation Plan</w:t>
      </w:r>
      <w:r w:rsidR="000F488D" w:rsidRPr="000026EE">
        <w:t>.</w:t>
      </w:r>
      <w:r w:rsidR="00DA34C4" w:rsidRPr="000026EE">
        <w:t xml:space="preserve"> </w:t>
      </w:r>
    </w:p>
    <w:sectPr w:rsidR="00864F24" w:rsidRPr="000026EE" w:rsidSect="00B0491A">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F2FCB" w14:textId="77777777" w:rsidR="00C06F43" w:rsidRDefault="00C06F43" w:rsidP="00A60185">
      <w:pPr>
        <w:spacing w:after="0" w:line="240" w:lineRule="auto"/>
      </w:pPr>
      <w:r>
        <w:separator/>
      </w:r>
    </w:p>
  </w:endnote>
  <w:endnote w:type="continuationSeparator" w:id="0">
    <w:p w14:paraId="3618590C" w14:textId="77777777" w:rsidR="00C06F43" w:rsidRDefault="00C06F43"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8F83" w14:textId="77777777" w:rsidR="006403F2" w:rsidRDefault="00640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17D14225" w14:textId="40FBAE0C" w:rsidR="00100BEF" w:rsidRDefault="00630B8D">
        <w:pPr>
          <w:pStyle w:val="Footer"/>
          <w:jc w:val="center"/>
        </w:pPr>
        <w:r>
          <w:fldChar w:fldCharType="begin"/>
        </w:r>
        <w:r>
          <w:instrText xml:space="preserve"> PAGE   \* MERGEFORMAT </w:instrText>
        </w:r>
        <w:r>
          <w:fldChar w:fldCharType="separate"/>
        </w:r>
        <w:r w:rsidR="006403F2">
          <w:rPr>
            <w:noProof/>
          </w:rPr>
          <w:t>2</w:t>
        </w:r>
        <w:r>
          <w:rPr>
            <w:noProof/>
          </w:rPr>
          <w:fldChar w:fldCharType="end"/>
        </w:r>
      </w:p>
    </w:sdtContent>
  </w:sdt>
  <w:p w14:paraId="1250E904" w14:textId="40AB2FE7" w:rsidR="00E86575" w:rsidRPr="00EB273C" w:rsidRDefault="00E86575" w:rsidP="00EB273C">
    <w:pPr>
      <w:pStyle w:val="Footer"/>
      <w:rPr>
        <w:sz w:val="16"/>
      </w:rPr>
    </w:pPr>
    <w:r>
      <w:rPr>
        <w:sz w:val="16"/>
      </w:rPr>
      <w:fldChar w:fldCharType="begin"/>
    </w:r>
    <w:r>
      <w:rPr>
        <w:sz w:val="16"/>
      </w:rPr>
      <w:instrText xml:space="preserve"> DOCPROPERTY  WSFooter  \* MERGEFORMAT </w:instrText>
    </w:r>
    <w:r>
      <w:rPr>
        <w:sz w:val="16"/>
      </w:rPr>
      <w:fldChar w:fldCharType="separate"/>
    </w:r>
    <w:r w:rsidR="00C14F51">
      <w:rPr>
        <w:sz w:val="16"/>
      </w:rPr>
      <w:t>30069197</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157713"/>
      <w:docPartObj>
        <w:docPartGallery w:val="Page Numbers (Bottom of Page)"/>
        <w:docPartUnique/>
      </w:docPartObj>
    </w:sdtPr>
    <w:sdtEndPr/>
    <w:sdtContent>
      <w:p w14:paraId="16E2CBD6" w14:textId="77777777" w:rsidR="00100BEF" w:rsidRDefault="00677270" w:rsidP="00677270">
        <w:pPr>
          <w:pStyle w:val="Footer"/>
          <w:jc w:val="center"/>
        </w:pPr>
        <w:r>
          <w:fldChar w:fldCharType="begin"/>
        </w:r>
        <w:r>
          <w:instrText xml:space="preserve"> PAGE   \* MERGEFORMAT </w:instrText>
        </w:r>
        <w:r>
          <w:fldChar w:fldCharType="separate"/>
        </w:r>
        <w:r w:rsidR="00B0491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5A64" w14:textId="77777777" w:rsidR="00C06F43" w:rsidRDefault="00C06F43" w:rsidP="00A60185">
      <w:pPr>
        <w:spacing w:after="0" w:line="240" w:lineRule="auto"/>
      </w:pPr>
      <w:r>
        <w:separator/>
      </w:r>
    </w:p>
  </w:footnote>
  <w:footnote w:type="continuationSeparator" w:id="0">
    <w:p w14:paraId="7F015D86" w14:textId="77777777" w:rsidR="00C06F43" w:rsidRDefault="00C06F43" w:rsidP="00A60185">
      <w:pPr>
        <w:spacing w:after="0" w:line="240" w:lineRule="auto"/>
      </w:pPr>
      <w:r>
        <w:continuationSeparator/>
      </w:r>
    </w:p>
  </w:footnote>
  <w:footnote w:id="1">
    <w:p w14:paraId="26EA5DB8" w14:textId="1F0D1DE4" w:rsidR="00846484" w:rsidRDefault="00846484" w:rsidP="00846484">
      <w:pPr>
        <w:rPr>
          <w:rFonts w:cs="Arial"/>
          <w:i/>
          <w:iCs/>
        </w:rPr>
      </w:pPr>
      <w:r>
        <w:rPr>
          <w:rStyle w:val="FootnoteReference"/>
        </w:rPr>
        <w:footnoteRef/>
      </w:r>
      <w:r>
        <w:t xml:space="preserve"> </w:t>
      </w:r>
      <w:r w:rsidRPr="00CA550D">
        <w:rPr>
          <w:i/>
          <w:iCs/>
          <w:color w:val="FF0000"/>
          <w:sz w:val="20"/>
          <w:szCs w:val="20"/>
        </w:rPr>
        <w:t>This document should not be relied on to describe, qualify or limit the terms and conditions of the Agreement.  For full terms and conditions, please refer to the executed Agreement.</w:t>
      </w:r>
      <w:r>
        <w:rPr>
          <w:i/>
          <w:iCs/>
        </w:rPr>
        <w:t xml:space="preserve"> </w:t>
      </w:r>
    </w:p>
    <w:p w14:paraId="0ED8E264" w14:textId="7762DDF8" w:rsidR="00846484" w:rsidRDefault="0084648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A38B" w14:textId="77777777" w:rsidR="006403F2" w:rsidRDefault="00640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B30D" w14:textId="77777777" w:rsidR="006403F2" w:rsidRDefault="00640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3746" w14:textId="77777777" w:rsidR="006403F2" w:rsidRDefault="00640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C4A32A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98284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FA0F14"/>
    <w:multiLevelType w:val="multilevel"/>
    <w:tmpl w:val="4410B0A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bullet"/>
      <w:lvlText w:val="o"/>
      <w:lvlJc w:val="left"/>
      <w:pPr>
        <w:ind w:left="1106" w:hanging="369"/>
      </w:pPr>
      <w:rPr>
        <w:rFonts w:ascii="Courier New" w:hAnsi="Courier New" w:cs="Courier New"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65456429"/>
    <w:multiLevelType w:val="multilevel"/>
    <w:tmpl w:val="E898CC72"/>
    <w:numStyleLink w:val="KeyPoints"/>
  </w:abstractNum>
  <w:abstractNum w:abstractNumId="8" w15:restartNumberingAfterBreak="0">
    <w:nsid w:val="685C5189"/>
    <w:multiLevelType w:val="multilevel"/>
    <w:tmpl w:val="7F1602D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2"/>
  </w:num>
  <w:num w:numId="3">
    <w:abstractNumId w:val="5"/>
  </w:num>
  <w:num w:numId="4">
    <w:abstractNumId w:val="4"/>
  </w:num>
  <w:num w:numId="5">
    <w:abstractNumId w:val="7"/>
  </w:num>
  <w:num w:numId="6">
    <w:abstractNumId w:val="3"/>
  </w:num>
  <w:num w:numId="7">
    <w:abstractNumId w:val="6"/>
  </w:num>
  <w:num w:numId="8">
    <w:abstractNumId w:val="3"/>
  </w:num>
  <w:num w:numId="9">
    <w:abstractNumId w:val="1"/>
  </w:num>
  <w:num w:numId="10">
    <w:abstractNumId w:val="3"/>
  </w:num>
  <w:num w:numId="11">
    <w:abstractNumId w:val="3"/>
  </w:num>
  <w:num w:numId="12">
    <w:abstractNumId w:val="3"/>
  </w:num>
  <w:num w:numId="13">
    <w:abstractNumId w:val="3"/>
  </w:num>
  <w:num w:numId="14">
    <w:abstractNumId w:val="0"/>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8"/>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06F43"/>
    <w:rsid w:val="000026EE"/>
    <w:rsid w:val="00004AEE"/>
    <w:rsid w:val="00004E5A"/>
    <w:rsid w:val="00005CAA"/>
    <w:rsid w:val="00007A19"/>
    <w:rsid w:val="00010210"/>
    <w:rsid w:val="00012D66"/>
    <w:rsid w:val="00014F58"/>
    <w:rsid w:val="00015ADA"/>
    <w:rsid w:val="00020C99"/>
    <w:rsid w:val="0002540C"/>
    <w:rsid w:val="000263E7"/>
    <w:rsid w:val="0002707B"/>
    <w:rsid w:val="00035297"/>
    <w:rsid w:val="00042E53"/>
    <w:rsid w:val="000466CF"/>
    <w:rsid w:val="0005148E"/>
    <w:rsid w:val="00055844"/>
    <w:rsid w:val="00055CCD"/>
    <w:rsid w:val="000562F4"/>
    <w:rsid w:val="00072C5A"/>
    <w:rsid w:val="000759E5"/>
    <w:rsid w:val="00084AC6"/>
    <w:rsid w:val="00090626"/>
    <w:rsid w:val="00091608"/>
    <w:rsid w:val="0009333C"/>
    <w:rsid w:val="0009704F"/>
    <w:rsid w:val="000A0F11"/>
    <w:rsid w:val="000A125A"/>
    <w:rsid w:val="000A300F"/>
    <w:rsid w:val="000A57CD"/>
    <w:rsid w:val="000B3758"/>
    <w:rsid w:val="000B7681"/>
    <w:rsid w:val="000B7B42"/>
    <w:rsid w:val="000C02B7"/>
    <w:rsid w:val="000C5100"/>
    <w:rsid w:val="000C5342"/>
    <w:rsid w:val="000C706A"/>
    <w:rsid w:val="000D2887"/>
    <w:rsid w:val="000D6D63"/>
    <w:rsid w:val="000D73C6"/>
    <w:rsid w:val="000E0081"/>
    <w:rsid w:val="000E07CF"/>
    <w:rsid w:val="000E31C1"/>
    <w:rsid w:val="000F2CF2"/>
    <w:rsid w:val="000F3B42"/>
    <w:rsid w:val="000F488D"/>
    <w:rsid w:val="000F51D5"/>
    <w:rsid w:val="001008B5"/>
    <w:rsid w:val="00100BEF"/>
    <w:rsid w:val="00105861"/>
    <w:rsid w:val="00111326"/>
    <w:rsid w:val="0011498E"/>
    <w:rsid w:val="00117A45"/>
    <w:rsid w:val="001224AE"/>
    <w:rsid w:val="00123319"/>
    <w:rsid w:val="001267D4"/>
    <w:rsid w:val="001322FB"/>
    <w:rsid w:val="001337D4"/>
    <w:rsid w:val="00147C12"/>
    <w:rsid w:val="00152077"/>
    <w:rsid w:val="001527A1"/>
    <w:rsid w:val="001530DC"/>
    <w:rsid w:val="00154989"/>
    <w:rsid w:val="00155A9F"/>
    <w:rsid w:val="00160262"/>
    <w:rsid w:val="0016780A"/>
    <w:rsid w:val="001713FA"/>
    <w:rsid w:val="00173EBF"/>
    <w:rsid w:val="00175752"/>
    <w:rsid w:val="00175ED3"/>
    <w:rsid w:val="00182900"/>
    <w:rsid w:val="001842A2"/>
    <w:rsid w:val="00185390"/>
    <w:rsid w:val="00187B04"/>
    <w:rsid w:val="00187FA8"/>
    <w:rsid w:val="00192F5E"/>
    <w:rsid w:val="00192FCA"/>
    <w:rsid w:val="0019467A"/>
    <w:rsid w:val="00197772"/>
    <w:rsid w:val="001A51C8"/>
    <w:rsid w:val="001B0805"/>
    <w:rsid w:val="001B4CA8"/>
    <w:rsid w:val="001B5EA1"/>
    <w:rsid w:val="001C4143"/>
    <w:rsid w:val="001C4F3D"/>
    <w:rsid w:val="001D0CDC"/>
    <w:rsid w:val="001D1D82"/>
    <w:rsid w:val="001E012E"/>
    <w:rsid w:val="001E1182"/>
    <w:rsid w:val="001E2DF7"/>
    <w:rsid w:val="001E3290"/>
    <w:rsid w:val="001E4DE7"/>
    <w:rsid w:val="001F00A1"/>
    <w:rsid w:val="001F7AFC"/>
    <w:rsid w:val="00202C90"/>
    <w:rsid w:val="00213DE8"/>
    <w:rsid w:val="00214ACF"/>
    <w:rsid w:val="00216118"/>
    <w:rsid w:val="002209AB"/>
    <w:rsid w:val="002251E3"/>
    <w:rsid w:val="00227A95"/>
    <w:rsid w:val="002316BD"/>
    <w:rsid w:val="00234AAD"/>
    <w:rsid w:val="00235CF0"/>
    <w:rsid w:val="00243053"/>
    <w:rsid w:val="002473FC"/>
    <w:rsid w:val="00252E3C"/>
    <w:rsid w:val="00256808"/>
    <w:rsid w:val="00262198"/>
    <w:rsid w:val="00273FDD"/>
    <w:rsid w:val="00276D60"/>
    <w:rsid w:val="00285F1B"/>
    <w:rsid w:val="00292B81"/>
    <w:rsid w:val="00294BB2"/>
    <w:rsid w:val="0029559D"/>
    <w:rsid w:val="002966C8"/>
    <w:rsid w:val="002A6C6D"/>
    <w:rsid w:val="002B18AE"/>
    <w:rsid w:val="002B1AA0"/>
    <w:rsid w:val="002B2842"/>
    <w:rsid w:val="002C1C93"/>
    <w:rsid w:val="002C49F7"/>
    <w:rsid w:val="002C5066"/>
    <w:rsid w:val="002C5813"/>
    <w:rsid w:val="002D057A"/>
    <w:rsid w:val="002D1A68"/>
    <w:rsid w:val="002D4AAC"/>
    <w:rsid w:val="002D5F1D"/>
    <w:rsid w:val="002E5E91"/>
    <w:rsid w:val="002F045A"/>
    <w:rsid w:val="002F5F99"/>
    <w:rsid w:val="0030039D"/>
    <w:rsid w:val="0030326F"/>
    <w:rsid w:val="003058EC"/>
    <w:rsid w:val="00310701"/>
    <w:rsid w:val="00315980"/>
    <w:rsid w:val="00316786"/>
    <w:rsid w:val="00316F7F"/>
    <w:rsid w:val="003218E8"/>
    <w:rsid w:val="0032231A"/>
    <w:rsid w:val="00325E34"/>
    <w:rsid w:val="00330DCE"/>
    <w:rsid w:val="00331E11"/>
    <w:rsid w:val="00334761"/>
    <w:rsid w:val="00337EBC"/>
    <w:rsid w:val="00341DCD"/>
    <w:rsid w:val="0034563E"/>
    <w:rsid w:val="003518D6"/>
    <w:rsid w:val="003537D1"/>
    <w:rsid w:val="0035460C"/>
    <w:rsid w:val="003556BD"/>
    <w:rsid w:val="00355F82"/>
    <w:rsid w:val="003579AB"/>
    <w:rsid w:val="00365147"/>
    <w:rsid w:val="00367C66"/>
    <w:rsid w:val="0037016E"/>
    <w:rsid w:val="00372908"/>
    <w:rsid w:val="00372CAD"/>
    <w:rsid w:val="0037712C"/>
    <w:rsid w:val="00381B08"/>
    <w:rsid w:val="00383020"/>
    <w:rsid w:val="003866AD"/>
    <w:rsid w:val="00394D7E"/>
    <w:rsid w:val="003975FD"/>
    <w:rsid w:val="003A37CC"/>
    <w:rsid w:val="003B057D"/>
    <w:rsid w:val="003B60CC"/>
    <w:rsid w:val="003B6945"/>
    <w:rsid w:val="003C1B25"/>
    <w:rsid w:val="003C2443"/>
    <w:rsid w:val="003C5DA3"/>
    <w:rsid w:val="003D4BCD"/>
    <w:rsid w:val="003D6C2B"/>
    <w:rsid w:val="003E01D8"/>
    <w:rsid w:val="003E0EE7"/>
    <w:rsid w:val="003E2100"/>
    <w:rsid w:val="003F6F5B"/>
    <w:rsid w:val="003F7465"/>
    <w:rsid w:val="0040342D"/>
    <w:rsid w:val="0041192D"/>
    <w:rsid w:val="004120C2"/>
    <w:rsid w:val="00413EE1"/>
    <w:rsid w:val="0042128E"/>
    <w:rsid w:val="00422356"/>
    <w:rsid w:val="00432B60"/>
    <w:rsid w:val="00440698"/>
    <w:rsid w:val="00444C9C"/>
    <w:rsid w:val="004540E2"/>
    <w:rsid w:val="00454454"/>
    <w:rsid w:val="0046027F"/>
    <w:rsid w:val="00467924"/>
    <w:rsid w:val="004712A5"/>
    <w:rsid w:val="00471843"/>
    <w:rsid w:val="0047266F"/>
    <w:rsid w:val="004746C1"/>
    <w:rsid w:val="004761FA"/>
    <w:rsid w:val="00476D6B"/>
    <w:rsid w:val="00480B58"/>
    <w:rsid w:val="00492C16"/>
    <w:rsid w:val="00493400"/>
    <w:rsid w:val="004A0678"/>
    <w:rsid w:val="004A48A3"/>
    <w:rsid w:val="004A4A8C"/>
    <w:rsid w:val="004A587B"/>
    <w:rsid w:val="004B0D92"/>
    <w:rsid w:val="004B0EC0"/>
    <w:rsid w:val="004B66F1"/>
    <w:rsid w:val="004C187E"/>
    <w:rsid w:val="004C3EA0"/>
    <w:rsid w:val="004C7979"/>
    <w:rsid w:val="004D3E14"/>
    <w:rsid w:val="004D401C"/>
    <w:rsid w:val="004E71A1"/>
    <w:rsid w:val="004E7778"/>
    <w:rsid w:val="004F5E64"/>
    <w:rsid w:val="004F7169"/>
    <w:rsid w:val="00500D66"/>
    <w:rsid w:val="00514C8E"/>
    <w:rsid w:val="00522E5D"/>
    <w:rsid w:val="0052362E"/>
    <w:rsid w:val="00531DBF"/>
    <w:rsid w:val="00541098"/>
    <w:rsid w:val="005410AE"/>
    <w:rsid w:val="00543FCA"/>
    <w:rsid w:val="00545759"/>
    <w:rsid w:val="00545BE0"/>
    <w:rsid w:val="00546930"/>
    <w:rsid w:val="00554C6A"/>
    <w:rsid w:val="00562E85"/>
    <w:rsid w:val="0056332F"/>
    <w:rsid w:val="00570959"/>
    <w:rsid w:val="005719B3"/>
    <w:rsid w:val="0057295E"/>
    <w:rsid w:val="00576ADD"/>
    <w:rsid w:val="00577FC6"/>
    <w:rsid w:val="00581C39"/>
    <w:rsid w:val="00584923"/>
    <w:rsid w:val="005903B6"/>
    <w:rsid w:val="00590F6B"/>
    <w:rsid w:val="005A0247"/>
    <w:rsid w:val="005A126E"/>
    <w:rsid w:val="005A2A21"/>
    <w:rsid w:val="005A452F"/>
    <w:rsid w:val="005A6D82"/>
    <w:rsid w:val="005B0B02"/>
    <w:rsid w:val="005B140D"/>
    <w:rsid w:val="005B553E"/>
    <w:rsid w:val="005B6C9D"/>
    <w:rsid w:val="005B7803"/>
    <w:rsid w:val="005C1FEA"/>
    <w:rsid w:val="005C3495"/>
    <w:rsid w:val="005D61F0"/>
    <w:rsid w:val="005E0698"/>
    <w:rsid w:val="005E3DFC"/>
    <w:rsid w:val="005E5942"/>
    <w:rsid w:val="005E60AF"/>
    <w:rsid w:val="005F1DEA"/>
    <w:rsid w:val="00600D77"/>
    <w:rsid w:val="00607FC9"/>
    <w:rsid w:val="00611EA6"/>
    <w:rsid w:val="00615B1F"/>
    <w:rsid w:val="00622FE1"/>
    <w:rsid w:val="0062521C"/>
    <w:rsid w:val="00627296"/>
    <w:rsid w:val="00630A2B"/>
    <w:rsid w:val="00630B8D"/>
    <w:rsid w:val="00632DC7"/>
    <w:rsid w:val="006357FB"/>
    <w:rsid w:val="006403F2"/>
    <w:rsid w:val="006406FC"/>
    <w:rsid w:val="00640E57"/>
    <w:rsid w:val="006443CD"/>
    <w:rsid w:val="00646122"/>
    <w:rsid w:val="00653E16"/>
    <w:rsid w:val="00657220"/>
    <w:rsid w:val="00657327"/>
    <w:rsid w:val="00657362"/>
    <w:rsid w:val="00657541"/>
    <w:rsid w:val="0066104B"/>
    <w:rsid w:val="006655EE"/>
    <w:rsid w:val="00667C10"/>
    <w:rsid w:val="00667EF4"/>
    <w:rsid w:val="0067269E"/>
    <w:rsid w:val="00676FCA"/>
    <w:rsid w:val="00677177"/>
    <w:rsid w:val="00677270"/>
    <w:rsid w:val="0068612E"/>
    <w:rsid w:val="00687C92"/>
    <w:rsid w:val="00690336"/>
    <w:rsid w:val="0069534E"/>
    <w:rsid w:val="0069669C"/>
    <w:rsid w:val="00697D6B"/>
    <w:rsid w:val="006A0613"/>
    <w:rsid w:val="006A1200"/>
    <w:rsid w:val="006A419D"/>
    <w:rsid w:val="006A4F10"/>
    <w:rsid w:val="006A4F4E"/>
    <w:rsid w:val="006A6C23"/>
    <w:rsid w:val="006B14DB"/>
    <w:rsid w:val="006B21C4"/>
    <w:rsid w:val="006C4A1A"/>
    <w:rsid w:val="006D0393"/>
    <w:rsid w:val="006D1A83"/>
    <w:rsid w:val="006E1CFE"/>
    <w:rsid w:val="006F10C4"/>
    <w:rsid w:val="006F40E9"/>
    <w:rsid w:val="006F5603"/>
    <w:rsid w:val="006F736F"/>
    <w:rsid w:val="006F7B87"/>
    <w:rsid w:val="00701400"/>
    <w:rsid w:val="007037CF"/>
    <w:rsid w:val="007167C0"/>
    <w:rsid w:val="00720481"/>
    <w:rsid w:val="00733193"/>
    <w:rsid w:val="00735DCB"/>
    <w:rsid w:val="00736CE3"/>
    <w:rsid w:val="00744DDA"/>
    <w:rsid w:val="00745E03"/>
    <w:rsid w:val="00752CA8"/>
    <w:rsid w:val="0075732A"/>
    <w:rsid w:val="007600F8"/>
    <w:rsid w:val="007600FA"/>
    <w:rsid w:val="00760262"/>
    <w:rsid w:val="0076310C"/>
    <w:rsid w:val="0076744F"/>
    <w:rsid w:val="00767BCE"/>
    <w:rsid w:val="00767EFC"/>
    <w:rsid w:val="007707DE"/>
    <w:rsid w:val="00770B5D"/>
    <w:rsid w:val="007736EE"/>
    <w:rsid w:val="00774170"/>
    <w:rsid w:val="007752F1"/>
    <w:rsid w:val="00776768"/>
    <w:rsid w:val="0078187A"/>
    <w:rsid w:val="0079398F"/>
    <w:rsid w:val="00794ED8"/>
    <w:rsid w:val="007A2573"/>
    <w:rsid w:val="007B106C"/>
    <w:rsid w:val="007B1A4E"/>
    <w:rsid w:val="007B3D05"/>
    <w:rsid w:val="007B5503"/>
    <w:rsid w:val="007B7CAD"/>
    <w:rsid w:val="007B7F2E"/>
    <w:rsid w:val="007C179C"/>
    <w:rsid w:val="007C4B66"/>
    <w:rsid w:val="007C6BB3"/>
    <w:rsid w:val="007D14B4"/>
    <w:rsid w:val="007D27CA"/>
    <w:rsid w:val="007D3AD7"/>
    <w:rsid w:val="007E0919"/>
    <w:rsid w:val="007E24F6"/>
    <w:rsid w:val="00800F64"/>
    <w:rsid w:val="00801050"/>
    <w:rsid w:val="0080220A"/>
    <w:rsid w:val="00802F0B"/>
    <w:rsid w:val="00802FB2"/>
    <w:rsid w:val="00810A67"/>
    <w:rsid w:val="00820687"/>
    <w:rsid w:val="00833CF7"/>
    <w:rsid w:val="00834BBE"/>
    <w:rsid w:val="00834CDE"/>
    <w:rsid w:val="00837157"/>
    <w:rsid w:val="00842464"/>
    <w:rsid w:val="00845601"/>
    <w:rsid w:val="00846484"/>
    <w:rsid w:val="0085042D"/>
    <w:rsid w:val="00850F30"/>
    <w:rsid w:val="00855C5C"/>
    <w:rsid w:val="00864F24"/>
    <w:rsid w:val="00870084"/>
    <w:rsid w:val="00883760"/>
    <w:rsid w:val="00894E88"/>
    <w:rsid w:val="008A3C96"/>
    <w:rsid w:val="008B4019"/>
    <w:rsid w:val="008B65C9"/>
    <w:rsid w:val="008C0BB4"/>
    <w:rsid w:val="008C2D4A"/>
    <w:rsid w:val="008D10EB"/>
    <w:rsid w:val="008D22AA"/>
    <w:rsid w:val="008D3900"/>
    <w:rsid w:val="008D6E1D"/>
    <w:rsid w:val="008D70F6"/>
    <w:rsid w:val="008F29E3"/>
    <w:rsid w:val="008F39B4"/>
    <w:rsid w:val="008F4162"/>
    <w:rsid w:val="00901D02"/>
    <w:rsid w:val="00903E02"/>
    <w:rsid w:val="00912B0D"/>
    <w:rsid w:val="00913175"/>
    <w:rsid w:val="00913E56"/>
    <w:rsid w:val="00916EDB"/>
    <w:rsid w:val="00920089"/>
    <w:rsid w:val="00920861"/>
    <w:rsid w:val="00922B13"/>
    <w:rsid w:val="009242EF"/>
    <w:rsid w:val="00932291"/>
    <w:rsid w:val="00932861"/>
    <w:rsid w:val="0093408E"/>
    <w:rsid w:val="009442BB"/>
    <w:rsid w:val="00952DDF"/>
    <w:rsid w:val="00954503"/>
    <w:rsid w:val="00955E70"/>
    <w:rsid w:val="009610A3"/>
    <w:rsid w:val="00963B6A"/>
    <w:rsid w:val="00967104"/>
    <w:rsid w:val="00970950"/>
    <w:rsid w:val="00973D35"/>
    <w:rsid w:val="009812D4"/>
    <w:rsid w:val="0098270F"/>
    <w:rsid w:val="00990EDC"/>
    <w:rsid w:val="009920D8"/>
    <w:rsid w:val="009952F5"/>
    <w:rsid w:val="00995917"/>
    <w:rsid w:val="0099617C"/>
    <w:rsid w:val="009A60FF"/>
    <w:rsid w:val="009A6A91"/>
    <w:rsid w:val="009A6DB7"/>
    <w:rsid w:val="009B38BE"/>
    <w:rsid w:val="009B573F"/>
    <w:rsid w:val="009C3806"/>
    <w:rsid w:val="009C3D0F"/>
    <w:rsid w:val="009C40CF"/>
    <w:rsid w:val="009D341F"/>
    <w:rsid w:val="009D556B"/>
    <w:rsid w:val="009E1B19"/>
    <w:rsid w:val="009E2BE2"/>
    <w:rsid w:val="009E3616"/>
    <w:rsid w:val="009E36D4"/>
    <w:rsid w:val="009E7843"/>
    <w:rsid w:val="009F35E2"/>
    <w:rsid w:val="009F65F9"/>
    <w:rsid w:val="009F68BA"/>
    <w:rsid w:val="00A00AAB"/>
    <w:rsid w:val="00A02E8E"/>
    <w:rsid w:val="00A06277"/>
    <w:rsid w:val="00A079DC"/>
    <w:rsid w:val="00A10DEB"/>
    <w:rsid w:val="00A111C2"/>
    <w:rsid w:val="00A3180D"/>
    <w:rsid w:val="00A338E7"/>
    <w:rsid w:val="00A353B2"/>
    <w:rsid w:val="00A35CAA"/>
    <w:rsid w:val="00A36E7F"/>
    <w:rsid w:val="00A41B51"/>
    <w:rsid w:val="00A41E65"/>
    <w:rsid w:val="00A43B9B"/>
    <w:rsid w:val="00A43E0A"/>
    <w:rsid w:val="00A530C7"/>
    <w:rsid w:val="00A55F5B"/>
    <w:rsid w:val="00A562E2"/>
    <w:rsid w:val="00A56679"/>
    <w:rsid w:val="00A60154"/>
    <w:rsid w:val="00A60185"/>
    <w:rsid w:val="00A63908"/>
    <w:rsid w:val="00A640C1"/>
    <w:rsid w:val="00A661EA"/>
    <w:rsid w:val="00A668FA"/>
    <w:rsid w:val="00A66D1C"/>
    <w:rsid w:val="00A66FAE"/>
    <w:rsid w:val="00A830E5"/>
    <w:rsid w:val="00A83839"/>
    <w:rsid w:val="00A8418E"/>
    <w:rsid w:val="00A87135"/>
    <w:rsid w:val="00A92ADB"/>
    <w:rsid w:val="00A93280"/>
    <w:rsid w:val="00A951EA"/>
    <w:rsid w:val="00AA2548"/>
    <w:rsid w:val="00AA58C4"/>
    <w:rsid w:val="00AA7003"/>
    <w:rsid w:val="00AB11C8"/>
    <w:rsid w:val="00AC08A8"/>
    <w:rsid w:val="00AD56C8"/>
    <w:rsid w:val="00AD58F2"/>
    <w:rsid w:val="00AE41AB"/>
    <w:rsid w:val="00B0491A"/>
    <w:rsid w:val="00B0512A"/>
    <w:rsid w:val="00B0529F"/>
    <w:rsid w:val="00B07F9B"/>
    <w:rsid w:val="00B12870"/>
    <w:rsid w:val="00B1418B"/>
    <w:rsid w:val="00B21195"/>
    <w:rsid w:val="00B24B22"/>
    <w:rsid w:val="00B25310"/>
    <w:rsid w:val="00B30C6A"/>
    <w:rsid w:val="00B32F8F"/>
    <w:rsid w:val="00B343A9"/>
    <w:rsid w:val="00B3492A"/>
    <w:rsid w:val="00B35CEC"/>
    <w:rsid w:val="00B43532"/>
    <w:rsid w:val="00B439CE"/>
    <w:rsid w:val="00B54BAF"/>
    <w:rsid w:val="00B54DE9"/>
    <w:rsid w:val="00B553EC"/>
    <w:rsid w:val="00B55E3F"/>
    <w:rsid w:val="00B57EA6"/>
    <w:rsid w:val="00B61624"/>
    <w:rsid w:val="00B63C1E"/>
    <w:rsid w:val="00B81B58"/>
    <w:rsid w:val="00B82E37"/>
    <w:rsid w:val="00B84153"/>
    <w:rsid w:val="00B93DD0"/>
    <w:rsid w:val="00B97732"/>
    <w:rsid w:val="00BA63A6"/>
    <w:rsid w:val="00BA65A8"/>
    <w:rsid w:val="00BA6D19"/>
    <w:rsid w:val="00BA7461"/>
    <w:rsid w:val="00BA7DA9"/>
    <w:rsid w:val="00BC4215"/>
    <w:rsid w:val="00BC7212"/>
    <w:rsid w:val="00BC7818"/>
    <w:rsid w:val="00BD0215"/>
    <w:rsid w:val="00BD1A6F"/>
    <w:rsid w:val="00BE3362"/>
    <w:rsid w:val="00BE54EB"/>
    <w:rsid w:val="00BE6D3C"/>
    <w:rsid w:val="00BE7852"/>
    <w:rsid w:val="00BF7CEE"/>
    <w:rsid w:val="00C03880"/>
    <w:rsid w:val="00C06F43"/>
    <w:rsid w:val="00C10EA6"/>
    <w:rsid w:val="00C135CF"/>
    <w:rsid w:val="00C14F51"/>
    <w:rsid w:val="00C21A8E"/>
    <w:rsid w:val="00C23A5B"/>
    <w:rsid w:val="00C2683F"/>
    <w:rsid w:val="00C3184D"/>
    <w:rsid w:val="00C3338B"/>
    <w:rsid w:val="00C41AD7"/>
    <w:rsid w:val="00C4714E"/>
    <w:rsid w:val="00C51CCA"/>
    <w:rsid w:val="00C5504F"/>
    <w:rsid w:val="00C57B55"/>
    <w:rsid w:val="00C63376"/>
    <w:rsid w:val="00C71610"/>
    <w:rsid w:val="00C74F97"/>
    <w:rsid w:val="00C8276E"/>
    <w:rsid w:val="00C842AC"/>
    <w:rsid w:val="00C96688"/>
    <w:rsid w:val="00C973A7"/>
    <w:rsid w:val="00CA0723"/>
    <w:rsid w:val="00CA206C"/>
    <w:rsid w:val="00CA3CC9"/>
    <w:rsid w:val="00CA550D"/>
    <w:rsid w:val="00CA7DC9"/>
    <w:rsid w:val="00CB1690"/>
    <w:rsid w:val="00CB3D12"/>
    <w:rsid w:val="00CC4365"/>
    <w:rsid w:val="00CD11B0"/>
    <w:rsid w:val="00CD1A09"/>
    <w:rsid w:val="00CD25F3"/>
    <w:rsid w:val="00CD2F0D"/>
    <w:rsid w:val="00CD334F"/>
    <w:rsid w:val="00CD35F4"/>
    <w:rsid w:val="00CE4C62"/>
    <w:rsid w:val="00CE4D13"/>
    <w:rsid w:val="00CE71C2"/>
    <w:rsid w:val="00CF34E9"/>
    <w:rsid w:val="00CF42D5"/>
    <w:rsid w:val="00CF4EDA"/>
    <w:rsid w:val="00D021CB"/>
    <w:rsid w:val="00D0266E"/>
    <w:rsid w:val="00D10F1A"/>
    <w:rsid w:val="00D116F8"/>
    <w:rsid w:val="00D17596"/>
    <w:rsid w:val="00D21D54"/>
    <w:rsid w:val="00D22640"/>
    <w:rsid w:val="00D26D3A"/>
    <w:rsid w:val="00D2723B"/>
    <w:rsid w:val="00D30649"/>
    <w:rsid w:val="00D3393F"/>
    <w:rsid w:val="00D3755B"/>
    <w:rsid w:val="00D40272"/>
    <w:rsid w:val="00D45EE3"/>
    <w:rsid w:val="00D50618"/>
    <w:rsid w:val="00D509E9"/>
    <w:rsid w:val="00D53B1C"/>
    <w:rsid w:val="00D563E4"/>
    <w:rsid w:val="00D65067"/>
    <w:rsid w:val="00D700B6"/>
    <w:rsid w:val="00D7168F"/>
    <w:rsid w:val="00D73479"/>
    <w:rsid w:val="00D815C6"/>
    <w:rsid w:val="00D851EF"/>
    <w:rsid w:val="00D85F0E"/>
    <w:rsid w:val="00DA1B12"/>
    <w:rsid w:val="00DA34C4"/>
    <w:rsid w:val="00DA54C9"/>
    <w:rsid w:val="00DA60D2"/>
    <w:rsid w:val="00DA6739"/>
    <w:rsid w:val="00DA6CAE"/>
    <w:rsid w:val="00DB1A9E"/>
    <w:rsid w:val="00DB31D6"/>
    <w:rsid w:val="00DB4005"/>
    <w:rsid w:val="00DB42D1"/>
    <w:rsid w:val="00DB76C4"/>
    <w:rsid w:val="00DC34EB"/>
    <w:rsid w:val="00DD3D86"/>
    <w:rsid w:val="00DE0DCE"/>
    <w:rsid w:val="00DF1E5B"/>
    <w:rsid w:val="00DF2275"/>
    <w:rsid w:val="00DF3F5E"/>
    <w:rsid w:val="00DF5653"/>
    <w:rsid w:val="00E0596E"/>
    <w:rsid w:val="00E06F66"/>
    <w:rsid w:val="00E1664F"/>
    <w:rsid w:val="00E24283"/>
    <w:rsid w:val="00E24590"/>
    <w:rsid w:val="00E356E5"/>
    <w:rsid w:val="00E36F81"/>
    <w:rsid w:val="00E42C99"/>
    <w:rsid w:val="00E42F3B"/>
    <w:rsid w:val="00E45765"/>
    <w:rsid w:val="00E50665"/>
    <w:rsid w:val="00E5098C"/>
    <w:rsid w:val="00E54798"/>
    <w:rsid w:val="00E552CA"/>
    <w:rsid w:val="00E56E2A"/>
    <w:rsid w:val="00E5746B"/>
    <w:rsid w:val="00E60213"/>
    <w:rsid w:val="00E62465"/>
    <w:rsid w:val="00E661B2"/>
    <w:rsid w:val="00E67B7B"/>
    <w:rsid w:val="00E71B97"/>
    <w:rsid w:val="00E74D29"/>
    <w:rsid w:val="00E76868"/>
    <w:rsid w:val="00E817C9"/>
    <w:rsid w:val="00E83C74"/>
    <w:rsid w:val="00E83CEE"/>
    <w:rsid w:val="00E845FC"/>
    <w:rsid w:val="00E86575"/>
    <w:rsid w:val="00E91287"/>
    <w:rsid w:val="00E91F18"/>
    <w:rsid w:val="00E9226D"/>
    <w:rsid w:val="00EA416C"/>
    <w:rsid w:val="00EA5684"/>
    <w:rsid w:val="00EA5941"/>
    <w:rsid w:val="00EB0816"/>
    <w:rsid w:val="00EB273C"/>
    <w:rsid w:val="00EB60CE"/>
    <w:rsid w:val="00EB7D53"/>
    <w:rsid w:val="00EC1D4D"/>
    <w:rsid w:val="00ED4695"/>
    <w:rsid w:val="00EE3146"/>
    <w:rsid w:val="00EE37BA"/>
    <w:rsid w:val="00EF3505"/>
    <w:rsid w:val="00EF50BB"/>
    <w:rsid w:val="00EF53FF"/>
    <w:rsid w:val="00EF650B"/>
    <w:rsid w:val="00F00192"/>
    <w:rsid w:val="00F01DF6"/>
    <w:rsid w:val="00F0340D"/>
    <w:rsid w:val="00F059A6"/>
    <w:rsid w:val="00F05A3A"/>
    <w:rsid w:val="00F10CF6"/>
    <w:rsid w:val="00F12BD3"/>
    <w:rsid w:val="00F23756"/>
    <w:rsid w:val="00F2523A"/>
    <w:rsid w:val="00F25FFA"/>
    <w:rsid w:val="00F310D2"/>
    <w:rsid w:val="00F36F3D"/>
    <w:rsid w:val="00F477BD"/>
    <w:rsid w:val="00F53491"/>
    <w:rsid w:val="00F63546"/>
    <w:rsid w:val="00F65A1C"/>
    <w:rsid w:val="00F66F50"/>
    <w:rsid w:val="00F67D7C"/>
    <w:rsid w:val="00F70BE3"/>
    <w:rsid w:val="00F810ED"/>
    <w:rsid w:val="00F82FF8"/>
    <w:rsid w:val="00F8330D"/>
    <w:rsid w:val="00F83CE1"/>
    <w:rsid w:val="00F842A6"/>
    <w:rsid w:val="00F84305"/>
    <w:rsid w:val="00F8485C"/>
    <w:rsid w:val="00F87149"/>
    <w:rsid w:val="00F87FFE"/>
    <w:rsid w:val="00F932E5"/>
    <w:rsid w:val="00F9527A"/>
    <w:rsid w:val="00F954C9"/>
    <w:rsid w:val="00F95971"/>
    <w:rsid w:val="00FA2F13"/>
    <w:rsid w:val="00FA4CF0"/>
    <w:rsid w:val="00FA61AA"/>
    <w:rsid w:val="00FA69A4"/>
    <w:rsid w:val="00FA6FA2"/>
    <w:rsid w:val="00FB1279"/>
    <w:rsid w:val="00FB1495"/>
    <w:rsid w:val="00FD1694"/>
    <w:rsid w:val="00FD7636"/>
    <w:rsid w:val="00FE02C7"/>
    <w:rsid w:val="00FE3229"/>
    <w:rsid w:val="00FE74C3"/>
    <w:rsid w:val="00FF1FD9"/>
    <w:rsid w:val="00FF215C"/>
    <w:rsid w:val="00FF3557"/>
    <w:rsid w:val="00FF49E8"/>
    <w:rsid w:val="00FF4DC5"/>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F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C3338B"/>
    <w:rPr>
      <w:sz w:val="16"/>
      <w:szCs w:val="16"/>
    </w:rPr>
  </w:style>
  <w:style w:type="paragraph" w:styleId="CommentText">
    <w:name w:val="annotation text"/>
    <w:basedOn w:val="Normal"/>
    <w:link w:val="CommentTextChar"/>
    <w:uiPriority w:val="99"/>
    <w:semiHidden/>
    <w:unhideWhenUsed/>
    <w:rsid w:val="00C3338B"/>
    <w:pPr>
      <w:spacing w:line="240" w:lineRule="auto"/>
    </w:pPr>
    <w:rPr>
      <w:sz w:val="20"/>
      <w:szCs w:val="20"/>
    </w:rPr>
  </w:style>
  <w:style w:type="character" w:customStyle="1" w:styleId="CommentTextChar">
    <w:name w:val="Comment Text Char"/>
    <w:basedOn w:val="DefaultParagraphFont"/>
    <w:link w:val="CommentText"/>
    <w:uiPriority w:val="99"/>
    <w:semiHidden/>
    <w:rsid w:val="00C3338B"/>
    <w:rPr>
      <w:lang w:eastAsia="en-US"/>
    </w:rPr>
  </w:style>
  <w:style w:type="paragraph" w:styleId="CommentSubject">
    <w:name w:val="annotation subject"/>
    <w:basedOn w:val="CommentText"/>
    <w:next w:val="CommentText"/>
    <w:link w:val="CommentSubjectChar"/>
    <w:uiPriority w:val="99"/>
    <w:semiHidden/>
    <w:unhideWhenUsed/>
    <w:rsid w:val="00C3338B"/>
    <w:rPr>
      <w:b/>
      <w:bCs/>
    </w:rPr>
  </w:style>
  <w:style w:type="character" w:customStyle="1" w:styleId="CommentSubjectChar">
    <w:name w:val="Comment Subject Char"/>
    <w:basedOn w:val="CommentTextChar"/>
    <w:link w:val="CommentSubject"/>
    <w:uiPriority w:val="99"/>
    <w:semiHidden/>
    <w:rsid w:val="00C3338B"/>
    <w:rPr>
      <w:b/>
      <w:bCs/>
      <w:lang w:eastAsia="en-US"/>
    </w:rPr>
  </w:style>
  <w:style w:type="paragraph" w:styleId="Revision">
    <w:name w:val="Revision"/>
    <w:hidden/>
    <w:uiPriority w:val="99"/>
    <w:semiHidden/>
    <w:rsid w:val="00C3338B"/>
    <w:rPr>
      <w:sz w:val="22"/>
      <w:szCs w:val="22"/>
      <w:lang w:eastAsia="en-US"/>
    </w:rPr>
  </w:style>
  <w:style w:type="paragraph" w:styleId="FootnoteText">
    <w:name w:val="footnote text"/>
    <w:basedOn w:val="Normal"/>
    <w:link w:val="FootnoteTextChar"/>
    <w:uiPriority w:val="99"/>
    <w:semiHidden/>
    <w:unhideWhenUsed/>
    <w:rsid w:val="00846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484"/>
    <w:rPr>
      <w:lang w:eastAsia="en-US"/>
    </w:rPr>
  </w:style>
  <w:style w:type="character" w:styleId="FootnoteReference">
    <w:name w:val="footnote reference"/>
    <w:basedOn w:val="DefaultParagraphFont"/>
    <w:uiPriority w:val="99"/>
    <w:semiHidden/>
    <w:unhideWhenUsed/>
    <w:rsid w:val="00846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02DE-1314-442D-A1E0-A97D288C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6138E832.dotm</Template>
  <TotalTime>0</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2018-07-20T00:22:00Z</dcterms:created>
  <dcterms:modified xsi:type="dcterms:W3CDTF">2018-07-20T00:22:00Z</dcterms:modified>
</cp:coreProperties>
</file>