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41" w:rsidRDefault="000D2341" w:rsidP="00CF5D1B">
      <w:pPr>
        <w:rPr>
          <w:rFonts w:asciiTheme="majorHAnsi" w:hAnsiTheme="majorHAnsi" w:cs="Arial"/>
          <w:b/>
        </w:rPr>
      </w:pPr>
      <w:r>
        <w:rPr>
          <w:rFonts w:asciiTheme="majorHAnsi" w:hAnsiTheme="majorHAnsi" w:cs="Arial"/>
          <w:b/>
          <w:noProof/>
          <w:lang w:eastAsia="en-AU"/>
        </w:rPr>
        <w:drawing>
          <wp:inline distT="0" distB="0" distL="0" distR="0">
            <wp:extent cx="2524125" cy="1279591"/>
            <wp:effectExtent l="19050" t="0" r="9525" b="0"/>
            <wp:docPr id="1" name="Picture 0" descr="Caring for our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oc-pos-small.gif"/>
                    <pic:cNvPicPr/>
                  </pic:nvPicPr>
                  <pic:blipFill>
                    <a:blip r:embed="rId5" cstate="print"/>
                    <a:stretch>
                      <a:fillRect/>
                    </a:stretch>
                  </pic:blipFill>
                  <pic:spPr>
                    <a:xfrm>
                      <a:off x="0" y="0"/>
                      <a:ext cx="2524125" cy="1279591"/>
                    </a:xfrm>
                    <a:prstGeom prst="rect">
                      <a:avLst/>
                    </a:prstGeom>
                  </pic:spPr>
                </pic:pic>
              </a:graphicData>
            </a:graphic>
          </wp:inline>
        </w:drawing>
      </w:r>
    </w:p>
    <w:p w:rsidR="00CF5D1B" w:rsidRPr="00933161" w:rsidRDefault="00E27931" w:rsidP="00CF5D1B">
      <w:pPr>
        <w:rPr>
          <w:rFonts w:asciiTheme="majorHAnsi" w:hAnsiTheme="majorHAnsi" w:cs="Arial"/>
          <w:b/>
          <w:color w:val="000000" w:themeColor="text1"/>
          <w:sz w:val="36"/>
        </w:rPr>
      </w:pPr>
      <w:bookmarkStart w:id="0" w:name="OLE_LINK1"/>
      <w:bookmarkStart w:id="1" w:name="OLE_LINK2"/>
      <w:bookmarkStart w:id="2" w:name="OLE_LINK3"/>
      <w:r w:rsidRPr="00933161">
        <w:rPr>
          <w:rFonts w:asciiTheme="majorHAnsi" w:hAnsiTheme="majorHAnsi" w:cs="Arial"/>
          <w:b/>
          <w:color w:val="000000" w:themeColor="text1"/>
          <w:sz w:val="36"/>
        </w:rPr>
        <w:t>Regional Delivery</w:t>
      </w:r>
      <w:r w:rsidR="007C30ED">
        <w:rPr>
          <w:rFonts w:asciiTheme="majorHAnsi" w:hAnsiTheme="majorHAnsi" w:cs="Arial"/>
          <w:b/>
          <w:color w:val="000000" w:themeColor="text1"/>
          <w:sz w:val="36"/>
        </w:rPr>
        <w:t xml:space="preserve"> –</w:t>
      </w:r>
      <w:r w:rsidR="004456BD">
        <w:rPr>
          <w:rFonts w:asciiTheme="majorHAnsi" w:hAnsiTheme="majorHAnsi" w:cs="Arial"/>
          <w:b/>
          <w:color w:val="000000" w:themeColor="text1"/>
          <w:sz w:val="36"/>
        </w:rPr>
        <w:t xml:space="preserve"> </w:t>
      </w:r>
      <w:r w:rsidR="007C30ED">
        <w:rPr>
          <w:rFonts w:asciiTheme="majorHAnsi" w:hAnsiTheme="majorHAnsi" w:cs="Arial"/>
          <w:b/>
          <w:color w:val="000000" w:themeColor="text1"/>
          <w:sz w:val="36"/>
        </w:rPr>
        <w:t>successful projects</w:t>
      </w:r>
      <w:r w:rsidRPr="00933161">
        <w:rPr>
          <w:rFonts w:asciiTheme="majorHAnsi" w:hAnsiTheme="majorHAnsi" w:cs="Arial"/>
          <w:b/>
          <w:color w:val="000000" w:themeColor="text1"/>
          <w:sz w:val="36"/>
        </w:rPr>
        <w:t xml:space="preserve"> </w:t>
      </w:r>
    </w:p>
    <w:bookmarkEnd w:id="0"/>
    <w:bookmarkEnd w:id="1"/>
    <w:bookmarkEnd w:id="2"/>
    <w:p w:rsidR="00866E6B" w:rsidRDefault="00866E6B" w:rsidP="00E27931">
      <w:pPr>
        <w:tabs>
          <w:tab w:val="left" w:pos="778"/>
          <w:tab w:val="left" w:pos="3613"/>
          <w:tab w:val="left" w:pos="6448"/>
        </w:tabs>
        <w:rPr>
          <w:rFonts w:asciiTheme="majorHAnsi" w:eastAsia="Times New Roman" w:hAnsiTheme="majorHAnsi" w:cs="Calibri"/>
          <w:color w:val="000000"/>
          <w:lang w:eastAsia="en-AU"/>
        </w:rPr>
      </w:pPr>
    </w:p>
    <w:tbl>
      <w:tblPr>
        <w:tblW w:w="151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4252"/>
        <w:gridCol w:w="5219"/>
        <w:gridCol w:w="1272"/>
        <w:gridCol w:w="1427"/>
        <w:gridCol w:w="1386"/>
      </w:tblGrid>
      <w:tr w:rsidR="00E27931" w:rsidRPr="005B2B40" w:rsidTr="00933161">
        <w:trPr>
          <w:trHeight w:val="290"/>
        </w:trPr>
        <w:tc>
          <w:tcPr>
            <w:tcW w:w="1587" w:type="dxa"/>
            <w:tcBorders>
              <w:top w:val="nil"/>
              <w:left w:val="nil"/>
              <w:bottom w:val="single" w:sz="4" w:space="0" w:color="auto"/>
              <w:right w:val="nil"/>
            </w:tcBorders>
            <w:shd w:val="clear" w:color="auto" w:fill="auto"/>
            <w:noWrap/>
            <w:vAlign w:val="center"/>
            <w:hideMark/>
          </w:tcPr>
          <w:p w:rsidR="00E27931" w:rsidRPr="00AA613C" w:rsidRDefault="00E27931" w:rsidP="00E27931">
            <w:pPr>
              <w:tabs>
                <w:tab w:val="left" w:pos="49"/>
                <w:tab w:val="left" w:pos="3958"/>
                <w:tab w:val="left" w:pos="8614"/>
              </w:tabs>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ACT</w:t>
            </w:r>
          </w:p>
        </w:tc>
        <w:tc>
          <w:tcPr>
            <w:tcW w:w="4252" w:type="dxa"/>
            <w:tcBorders>
              <w:top w:val="nil"/>
              <w:left w:val="nil"/>
              <w:bottom w:val="single" w:sz="4" w:space="0" w:color="auto"/>
              <w:right w:val="nil"/>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5219" w:type="dxa"/>
            <w:tcBorders>
              <w:top w:val="nil"/>
              <w:left w:val="nil"/>
              <w:bottom w:val="single" w:sz="4" w:space="0" w:color="auto"/>
              <w:right w:val="nil"/>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272" w:type="dxa"/>
            <w:tcBorders>
              <w:top w:val="nil"/>
              <w:left w:val="nil"/>
              <w:bottom w:val="single" w:sz="4" w:space="0" w:color="auto"/>
              <w:right w:val="nil"/>
            </w:tcBorders>
            <w:shd w:val="clear" w:color="auto" w:fill="auto"/>
            <w:noWrap/>
            <w:vAlign w:val="bottom"/>
            <w:hideMark/>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27" w:type="dxa"/>
            <w:tcBorders>
              <w:top w:val="nil"/>
              <w:left w:val="nil"/>
              <w:bottom w:val="single" w:sz="4" w:space="0" w:color="auto"/>
              <w:right w:val="nil"/>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386" w:type="dxa"/>
            <w:tcBorders>
              <w:top w:val="nil"/>
              <w:left w:val="nil"/>
              <w:bottom w:val="single" w:sz="4" w:space="0" w:color="auto"/>
              <w:right w:val="nil"/>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r>
      <w:tr w:rsidR="00E27931" w:rsidRPr="005B2B40" w:rsidTr="00933161">
        <w:trPr>
          <w:trHeight w:val="290"/>
        </w:trPr>
        <w:tc>
          <w:tcPr>
            <w:tcW w:w="1587"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NRM Organisation</w:t>
            </w:r>
          </w:p>
        </w:tc>
        <w:tc>
          <w:tcPr>
            <w:tcW w:w="4252"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Agriculture Stream</w:t>
            </w:r>
          </w:p>
        </w:tc>
        <w:tc>
          <w:tcPr>
            <w:tcW w:w="5219"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Environment Stream</w:t>
            </w:r>
          </w:p>
        </w:tc>
        <w:tc>
          <w:tcPr>
            <w:tcW w:w="1272" w:type="dxa"/>
            <w:tcBorders>
              <w:top w:val="single" w:sz="4" w:space="0" w:color="auto"/>
            </w:tcBorders>
            <w:shd w:val="clear" w:color="auto" w:fill="auto"/>
            <w:noWrap/>
            <w:vAlign w:val="bottom"/>
            <w:hideMark/>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 Ag</w:t>
            </w:r>
            <w:r>
              <w:rPr>
                <w:rFonts w:asciiTheme="majorHAnsi" w:eastAsia="Times New Roman" w:hAnsiTheme="majorHAnsi" w:cs="Calibri"/>
                <w:b/>
                <w:color w:val="000000"/>
                <w:sz w:val="20"/>
                <w:szCs w:val="20"/>
                <w:lang w:eastAsia="en-AU"/>
              </w:rPr>
              <w:t>riculture stream</w:t>
            </w:r>
          </w:p>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 xml:space="preserve">(GST </w:t>
            </w:r>
            <w:proofErr w:type="spellStart"/>
            <w:r w:rsidRPr="005B2B40">
              <w:rPr>
                <w:rFonts w:asciiTheme="majorHAnsi" w:eastAsia="Times New Roman" w:hAnsiTheme="majorHAnsi" w:cs="Calibri"/>
                <w:b/>
                <w:color w:val="000000"/>
                <w:sz w:val="20"/>
                <w:szCs w:val="20"/>
                <w:lang w:eastAsia="en-AU"/>
              </w:rPr>
              <w:t>Incl</w:t>
            </w:r>
            <w:proofErr w:type="spellEnd"/>
            <w:r w:rsidRPr="005B2B40">
              <w:rPr>
                <w:rFonts w:asciiTheme="majorHAnsi" w:eastAsia="Times New Roman" w:hAnsiTheme="majorHAnsi" w:cs="Calibri"/>
                <w:b/>
                <w:color w:val="000000"/>
                <w:sz w:val="20"/>
                <w:szCs w:val="20"/>
                <w:lang w:eastAsia="en-AU"/>
              </w:rPr>
              <w:t>)</w:t>
            </w:r>
          </w:p>
        </w:tc>
        <w:tc>
          <w:tcPr>
            <w:tcW w:w="1427"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Pr>
                <w:rFonts w:asciiTheme="majorHAnsi" w:eastAsia="Times New Roman" w:hAnsiTheme="majorHAnsi" w:cs="Calibri"/>
                <w:b/>
                <w:color w:val="000000"/>
                <w:sz w:val="20"/>
                <w:szCs w:val="20"/>
                <w:lang w:eastAsia="en-AU"/>
              </w:rPr>
              <w:t>Total E</w:t>
            </w:r>
            <w:r w:rsidRPr="005B2B40">
              <w:rPr>
                <w:rFonts w:asciiTheme="majorHAnsi" w:eastAsia="Times New Roman" w:hAnsiTheme="majorHAnsi" w:cs="Calibri"/>
                <w:b/>
                <w:color w:val="000000"/>
                <w:sz w:val="20"/>
                <w:szCs w:val="20"/>
                <w:lang w:eastAsia="en-AU"/>
              </w:rPr>
              <w:t>nviro</w:t>
            </w:r>
            <w:r>
              <w:rPr>
                <w:rFonts w:asciiTheme="majorHAnsi" w:eastAsia="Times New Roman" w:hAnsiTheme="majorHAnsi" w:cs="Calibri"/>
                <w:b/>
                <w:color w:val="000000"/>
                <w:sz w:val="20"/>
                <w:szCs w:val="20"/>
                <w:lang w:eastAsia="en-AU"/>
              </w:rPr>
              <w:t>nment stream</w:t>
            </w:r>
          </w:p>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(GST INCL)</w:t>
            </w:r>
          </w:p>
        </w:tc>
        <w:tc>
          <w:tcPr>
            <w:tcW w:w="1386"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ACT NRM Council</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ACT Natural Resource Management Council will take a strategic approach to addressing soil condition and soil erosion / groundcover loss and include planning for climate variability. This will be achieved through on-farm trials and demonstrations, training in farm planning to support practice change and achievement of on-ground outcomes through devolved grants. The project will collaborate with land managers to improve landscape health and ecosystem resilience. The Regional Landcare Facilitator will build stronger relationships with and between ACT rural landholders, ACT Land carers, the ACT Rural Landholders Association and natural resource management organisations and the broader region to achieve sustainable land management outcomes.</w:t>
            </w:r>
          </w:p>
        </w:tc>
        <w:tc>
          <w:tcPr>
            <w:tcW w:w="5219"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Regional delivery investments in the ACT will deliver an integrated multidisciplinary approach in a partnership arrangement between the Australian and ACT Governments, and the ACT community. This proposal includes a total of eight sub-projects – five under the sustainable environment stream and three under the sustainable agriculture stream.</w:t>
            </w:r>
          </w:p>
          <w:p w:rsidR="00E27931" w:rsidRDefault="00E27931">
            <w:pPr>
              <w:rPr>
                <w:rFonts w:ascii="Cambria" w:hAnsi="Cambria" w:cs="Calibri"/>
                <w:sz w:val="18"/>
                <w:szCs w:val="18"/>
              </w:rPr>
            </w:pPr>
            <w:r>
              <w:rPr>
                <w:rFonts w:ascii="Cambria" w:hAnsi="Cambria" w:cs="Calibri"/>
                <w:sz w:val="18"/>
                <w:szCs w:val="18"/>
              </w:rPr>
              <w:t>Sub-projects in the sustainable environment stream will be delivered by the Ginninderra, Molonglo and Southern ACT Catchment Groups to support the community in its efforts to protect and conserve matters of national environmental significance in the ACT. One sub-project in the sustainable environment stream (Aboriginal NRM Facilitator project) and two projects in the sustainable agriculture stream will be directly administered by the ACT Government. These sub-projects will provide direct support to landholders and a point of contact for Indigenous people to engage across all sub-projects. Two sub-projects will be delivered by Greening Australia and have been designed to integrate outcomes across both streams. These projects build on the strong connections that Greening Australia has in the community and will enhance native vegetation management outcomes.</w:t>
            </w:r>
          </w:p>
          <w:p w:rsidR="00E27931" w:rsidRDefault="00E27931">
            <w:pPr>
              <w:rPr>
                <w:rFonts w:ascii="Cambria" w:hAnsi="Cambria" w:cs="Calibri"/>
                <w:sz w:val="18"/>
                <w:szCs w:val="18"/>
              </w:rPr>
            </w:pP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$ 1,793,880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$ 4,184,400 </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$ 5,978,280 </w:t>
            </w:r>
          </w:p>
        </w:tc>
      </w:tr>
      <w:tr w:rsidR="00E27931" w:rsidRPr="00AA613C" w:rsidTr="00933161">
        <w:trPr>
          <w:trHeight w:val="290"/>
        </w:trPr>
        <w:tc>
          <w:tcPr>
            <w:tcW w:w="1587"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252"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5219"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ACT TOTAL</w:t>
            </w:r>
          </w:p>
        </w:tc>
        <w:tc>
          <w:tcPr>
            <w:tcW w:w="1272" w:type="dxa"/>
            <w:tcBorders>
              <w:bottom w:val="single" w:sz="4" w:space="0" w:color="auto"/>
            </w:tcBorders>
            <w:shd w:val="clear" w:color="auto" w:fill="auto"/>
            <w:noWrap/>
            <w:vAlign w:val="bottom"/>
            <w:hideMark/>
          </w:tcPr>
          <w:p w:rsidR="00E27931" w:rsidRPr="00AA613C" w:rsidRDefault="00E27931" w:rsidP="00A41E02">
            <w:pPr>
              <w:jc w:val="right"/>
              <w:rPr>
                <w:rFonts w:asciiTheme="majorHAnsi" w:hAnsiTheme="majorHAnsi" w:cs="Calibri"/>
                <w:sz w:val="20"/>
                <w:szCs w:val="20"/>
              </w:rPr>
            </w:pPr>
          </w:p>
        </w:tc>
        <w:tc>
          <w:tcPr>
            <w:tcW w:w="1427" w:type="dxa"/>
            <w:tcBorders>
              <w:bottom w:val="single" w:sz="4" w:space="0" w:color="auto"/>
            </w:tcBorders>
          </w:tcPr>
          <w:p w:rsidR="00E27931" w:rsidRPr="00AA613C" w:rsidRDefault="00E27931" w:rsidP="00A41E02">
            <w:pPr>
              <w:jc w:val="right"/>
              <w:rPr>
                <w:rFonts w:asciiTheme="majorHAnsi" w:hAnsiTheme="majorHAnsi" w:cs="Calibri"/>
                <w:sz w:val="20"/>
                <w:szCs w:val="20"/>
              </w:rPr>
            </w:pPr>
          </w:p>
        </w:tc>
        <w:tc>
          <w:tcPr>
            <w:tcW w:w="1386" w:type="dxa"/>
            <w:tcBorders>
              <w:bottom w:val="single" w:sz="4" w:space="0" w:color="auto"/>
            </w:tcBorders>
            <w:vAlign w:val="center"/>
          </w:tcPr>
          <w:p w:rsidR="00E27931" w:rsidRPr="005B2B40" w:rsidRDefault="00E27931" w:rsidP="00A41E02">
            <w:pPr>
              <w:jc w:val="right"/>
              <w:rPr>
                <w:rFonts w:asciiTheme="majorHAnsi" w:hAnsiTheme="majorHAnsi" w:cs="Calibri"/>
                <w:b/>
                <w:sz w:val="20"/>
                <w:szCs w:val="20"/>
              </w:rPr>
            </w:pPr>
            <w:r w:rsidRPr="005B2B40">
              <w:rPr>
                <w:rFonts w:asciiTheme="majorHAnsi" w:hAnsiTheme="majorHAnsi" w:cs="Calibri"/>
                <w:b/>
                <w:sz w:val="20"/>
                <w:szCs w:val="20"/>
              </w:rPr>
              <w:t xml:space="preserve">$ 5,978,280 </w:t>
            </w:r>
          </w:p>
        </w:tc>
      </w:tr>
      <w:tr w:rsidR="00E27931" w:rsidRPr="00AA613C" w:rsidTr="00933161">
        <w:trPr>
          <w:trHeight w:val="290"/>
        </w:trPr>
        <w:tc>
          <w:tcPr>
            <w:tcW w:w="1587" w:type="dxa"/>
            <w:tcBorders>
              <w:left w:val="nil"/>
              <w:bottom w:val="nil"/>
              <w:right w:val="nil"/>
            </w:tcBorders>
            <w:shd w:val="clear" w:color="auto" w:fill="auto"/>
            <w:noWrap/>
            <w:vAlign w:val="bottom"/>
          </w:tcPr>
          <w:p w:rsidR="00E27931" w:rsidRDefault="00E27931" w:rsidP="00866E6B">
            <w:pPr>
              <w:rPr>
                <w:rFonts w:asciiTheme="majorHAnsi" w:eastAsia="Times New Roman" w:hAnsiTheme="majorHAnsi" w:cs="Calibri"/>
                <w:color w:val="000000"/>
                <w:sz w:val="20"/>
                <w:szCs w:val="20"/>
                <w:lang w:eastAsia="en-AU"/>
              </w:rPr>
            </w:pPr>
          </w:p>
          <w:p w:rsidR="00E27931" w:rsidRPr="00AA613C" w:rsidRDefault="00E27931" w:rsidP="00866E6B">
            <w:pPr>
              <w:rPr>
                <w:rFonts w:asciiTheme="majorHAnsi" w:eastAsia="Times New Roman" w:hAnsiTheme="majorHAnsi" w:cs="Calibri"/>
                <w:color w:val="000000"/>
                <w:sz w:val="20"/>
                <w:szCs w:val="20"/>
                <w:lang w:eastAsia="en-AU"/>
              </w:rPr>
            </w:pPr>
          </w:p>
        </w:tc>
        <w:tc>
          <w:tcPr>
            <w:tcW w:w="4252" w:type="dxa"/>
            <w:tcBorders>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5219" w:type="dxa"/>
            <w:tcBorders>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b/>
                <w:color w:val="000000"/>
                <w:sz w:val="20"/>
                <w:szCs w:val="20"/>
                <w:lang w:eastAsia="en-AU"/>
              </w:rPr>
            </w:pPr>
          </w:p>
        </w:tc>
        <w:tc>
          <w:tcPr>
            <w:tcW w:w="1272" w:type="dxa"/>
            <w:tcBorders>
              <w:left w:val="nil"/>
              <w:bottom w:val="nil"/>
              <w:right w:val="nil"/>
            </w:tcBorders>
            <w:shd w:val="clear" w:color="auto" w:fill="auto"/>
            <w:noWrap/>
            <w:vAlign w:val="bottom"/>
          </w:tcPr>
          <w:p w:rsidR="00E27931" w:rsidRPr="00AA613C" w:rsidRDefault="00E27931" w:rsidP="00A41E02">
            <w:pPr>
              <w:jc w:val="right"/>
              <w:rPr>
                <w:rFonts w:asciiTheme="majorHAnsi" w:hAnsiTheme="majorHAnsi" w:cs="Calibri"/>
                <w:sz w:val="20"/>
                <w:szCs w:val="20"/>
              </w:rPr>
            </w:pPr>
          </w:p>
        </w:tc>
        <w:tc>
          <w:tcPr>
            <w:tcW w:w="1427" w:type="dxa"/>
            <w:tcBorders>
              <w:left w:val="nil"/>
              <w:bottom w:val="nil"/>
              <w:right w:val="nil"/>
            </w:tcBorders>
          </w:tcPr>
          <w:p w:rsidR="00E27931" w:rsidRPr="00AA613C" w:rsidRDefault="00E27931" w:rsidP="00A41E02">
            <w:pPr>
              <w:jc w:val="right"/>
              <w:rPr>
                <w:rFonts w:asciiTheme="majorHAnsi" w:hAnsiTheme="majorHAnsi" w:cs="Calibri"/>
                <w:sz w:val="20"/>
                <w:szCs w:val="20"/>
              </w:rPr>
            </w:pPr>
          </w:p>
        </w:tc>
        <w:tc>
          <w:tcPr>
            <w:tcW w:w="1386" w:type="dxa"/>
            <w:tcBorders>
              <w:left w:val="nil"/>
              <w:bottom w:val="nil"/>
              <w:right w:val="nil"/>
            </w:tcBorders>
            <w:vAlign w:val="center"/>
          </w:tcPr>
          <w:p w:rsidR="00E27931" w:rsidRPr="00AA613C" w:rsidRDefault="00E27931" w:rsidP="00A41E02">
            <w:pPr>
              <w:jc w:val="right"/>
              <w:rPr>
                <w:rFonts w:asciiTheme="majorHAnsi" w:hAnsiTheme="majorHAnsi" w:cs="Calibri"/>
                <w:sz w:val="20"/>
                <w:szCs w:val="20"/>
              </w:rPr>
            </w:pPr>
          </w:p>
        </w:tc>
      </w:tr>
    </w:tbl>
    <w:p w:rsidR="00E27931" w:rsidRDefault="00E27931">
      <w:r>
        <w:br w:type="page"/>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4677"/>
        <w:gridCol w:w="4916"/>
        <w:gridCol w:w="1408"/>
        <w:gridCol w:w="1427"/>
        <w:gridCol w:w="1418"/>
      </w:tblGrid>
      <w:tr w:rsidR="00E27931" w:rsidRPr="005B2B40" w:rsidTr="00933161">
        <w:trPr>
          <w:trHeight w:val="290"/>
        </w:trPr>
        <w:tc>
          <w:tcPr>
            <w:tcW w:w="1465" w:type="dxa"/>
            <w:tcBorders>
              <w:top w:val="nil"/>
              <w:left w:val="nil"/>
              <w:bottom w:val="single" w:sz="4" w:space="0" w:color="auto"/>
              <w:right w:val="nil"/>
            </w:tcBorders>
            <w:shd w:val="clear" w:color="auto" w:fill="auto"/>
            <w:noWrap/>
            <w:vAlign w:val="bottom"/>
          </w:tcPr>
          <w:p w:rsidR="00E27931" w:rsidRPr="005B2B40" w:rsidRDefault="00E27931" w:rsidP="00E27931">
            <w:pPr>
              <w:tabs>
                <w:tab w:val="left" w:pos="887"/>
                <w:tab w:val="left" w:pos="3958"/>
                <w:tab w:val="left" w:pos="8614"/>
              </w:tabs>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lastRenderedPageBreak/>
              <w:t>NSW</w:t>
            </w:r>
          </w:p>
        </w:tc>
        <w:tc>
          <w:tcPr>
            <w:tcW w:w="4677"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4916"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08"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27" w:type="dxa"/>
            <w:tcBorders>
              <w:top w:val="nil"/>
              <w:left w:val="nil"/>
              <w:bottom w:val="single" w:sz="4" w:space="0" w:color="auto"/>
              <w:right w:val="nil"/>
            </w:tcBorders>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18" w:type="dxa"/>
            <w:tcBorders>
              <w:top w:val="nil"/>
              <w:left w:val="nil"/>
              <w:bottom w:val="single" w:sz="4" w:space="0" w:color="auto"/>
              <w:right w:val="nil"/>
            </w:tcBorders>
            <w:vAlign w:val="center"/>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r>
      <w:tr w:rsidR="00E27931" w:rsidRPr="005B2B40" w:rsidTr="00933161">
        <w:trPr>
          <w:trHeight w:val="290"/>
        </w:trPr>
        <w:tc>
          <w:tcPr>
            <w:tcW w:w="1465"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NRM Organisation</w:t>
            </w:r>
          </w:p>
        </w:tc>
        <w:tc>
          <w:tcPr>
            <w:tcW w:w="4677"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Agriculture Stream</w:t>
            </w:r>
          </w:p>
        </w:tc>
        <w:tc>
          <w:tcPr>
            <w:tcW w:w="4916"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Environment Stream</w:t>
            </w:r>
          </w:p>
        </w:tc>
        <w:tc>
          <w:tcPr>
            <w:tcW w:w="1408" w:type="dxa"/>
            <w:tcBorders>
              <w:top w:val="single" w:sz="4" w:space="0" w:color="auto"/>
            </w:tcBorders>
            <w:shd w:val="clear" w:color="auto" w:fill="auto"/>
            <w:noWrap/>
            <w:vAlign w:val="bottom"/>
            <w:hideMark/>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 Ag</w:t>
            </w:r>
            <w:r>
              <w:rPr>
                <w:rFonts w:asciiTheme="majorHAnsi" w:eastAsia="Times New Roman" w:hAnsiTheme="majorHAnsi" w:cs="Calibri"/>
                <w:b/>
                <w:color w:val="000000"/>
                <w:sz w:val="20"/>
                <w:szCs w:val="20"/>
                <w:lang w:eastAsia="en-AU"/>
              </w:rPr>
              <w:t>riculture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 xml:space="preserve">(GST </w:t>
            </w:r>
            <w:proofErr w:type="spellStart"/>
            <w:r w:rsidRPr="005B2B40">
              <w:rPr>
                <w:rFonts w:asciiTheme="majorHAnsi" w:eastAsia="Times New Roman" w:hAnsiTheme="majorHAnsi" w:cs="Calibri"/>
                <w:b/>
                <w:color w:val="000000"/>
                <w:sz w:val="20"/>
                <w:szCs w:val="20"/>
                <w:lang w:eastAsia="en-AU"/>
              </w:rPr>
              <w:t>Incl</w:t>
            </w:r>
            <w:proofErr w:type="spellEnd"/>
            <w:r w:rsidRPr="005B2B40">
              <w:rPr>
                <w:rFonts w:asciiTheme="majorHAnsi" w:eastAsia="Times New Roman" w:hAnsiTheme="majorHAnsi" w:cs="Calibri"/>
                <w:b/>
                <w:color w:val="000000"/>
                <w:sz w:val="20"/>
                <w:szCs w:val="20"/>
                <w:lang w:eastAsia="en-AU"/>
              </w:rPr>
              <w:t>)</w:t>
            </w:r>
          </w:p>
        </w:tc>
        <w:tc>
          <w:tcPr>
            <w:tcW w:w="1427" w:type="dxa"/>
            <w:tcBorders>
              <w:top w:val="single" w:sz="4" w:space="0" w:color="auto"/>
            </w:tcBorders>
            <w:vAlign w:val="bottom"/>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Pr>
                <w:rFonts w:asciiTheme="majorHAnsi" w:eastAsia="Times New Roman" w:hAnsiTheme="majorHAnsi" w:cs="Calibri"/>
                <w:b/>
                <w:color w:val="000000"/>
                <w:sz w:val="20"/>
                <w:szCs w:val="20"/>
                <w:lang w:eastAsia="en-AU"/>
              </w:rPr>
              <w:t>Total E</w:t>
            </w:r>
            <w:r w:rsidRPr="005B2B40">
              <w:rPr>
                <w:rFonts w:asciiTheme="majorHAnsi" w:eastAsia="Times New Roman" w:hAnsiTheme="majorHAnsi" w:cs="Calibri"/>
                <w:b/>
                <w:color w:val="000000"/>
                <w:sz w:val="20"/>
                <w:szCs w:val="20"/>
                <w:lang w:eastAsia="en-AU"/>
              </w:rPr>
              <w:t>nviro</w:t>
            </w:r>
            <w:r>
              <w:rPr>
                <w:rFonts w:asciiTheme="majorHAnsi" w:eastAsia="Times New Roman" w:hAnsiTheme="majorHAnsi" w:cs="Calibri"/>
                <w:b/>
                <w:color w:val="000000"/>
                <w:sz w:val="20"/>
                <w:szCs w:val="20"/>
                <w:lang w:eastAsia="en-AU"/>
              </w:rPr>
              <w:t>nment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(GST INCL)</w:t>
            </w:r>
          </w:p>
        </w:tc>
        <w:tc>
          <w:tcPr>
            <w:tcW w:w="1418"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Border Rivers-Gwydir Catchment Management Authority</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spacing w:after="240"/>
              <w:rPr>
                <w:rFonts w:ascii="Cambria" w:hAnsi="Cambria" w:cs="Calibri"/>
                <w:sz w:val="18"/>
                <w:szCs w:val="18"/>
              </w:rPr>
            </w:pPr>
            <w:r>
              <w:rPr>
                <w:rFonts w:ascii="Cambria" w:hAnsi="Cambria" w:cs="Calibri"/>
                <w:sz w:val="18"/>
                <w:szCs w:val="18"/>
              </w:rPr>
              <w:t xml:space="preserve">The Border Rivers-Gwydir Catchment Management Authority will work with partners to improve the capacity of local people to deliver agricultural products from a sustainable natural resource base. This will be delivered through a combination of awareness raising, partnerships, extension and incentives for trials and demonstrations delivering both NRM and productivity outcomes. Projects have been designed to accommodate the distinct physical changes that will occur in the transition to Local Land Services bodies. The Regional Landcare Facilitator will contribute to developing a skilled and capable Landcare community through the adoption of management practices that improve agricultural production for public benefits. </w:t>
            </w:r>
          </w:p>
        </w:tc>
        <w:tc>
          <w:tcPr>
            <w:tcW w:w="4916"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Regional delivery investments in Border Rivers-Gwydir will deliver five integrated multidisciplinary sub-projects. Two sub-projects will deliver sustainable environment stream outcomes across two sub-catchment areas: Northern Tablelands and North West. These sub-projects compliment activities being undertaken as part of the sustainable agriculture stream outcomes. All sub-projects will focus on the local socio-ecological systems while building community capacity to enhance and protect the natural environment. Examples of key activities include community workshops, information sharing, and demonstration and incentive schemes and on-ground works. The sub-projects are also aligned with the priorities in the Catchment Action Plan.</w:t>
            </w:r>
          </w:p>
          <w:p w:rsidR="00E27931" w:rsidRDefault="00E27931">
            <w:pPr>
              <w:rPr>
                <w:rFonts w:ascii="Cambria" w:hAnsi="Cambria" w:cs="Calibri"/>
                <w:sz w:val="18"/>
                <w:szCs w:val="18"/>
              </w:rPr>
            </w:pP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$ 609,901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$ 1,449,999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$ 2,059,900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Central West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Central West Catchment Management Authority will engage the community to protect the natural resource base through improved planning and management capacity for resource and environmental management. The program will lead to better understanding of natural resources and NRM challenges through community engagement, a capacity building and practice change program and a farm planning /farming systems program leading to on-ground projects being delivered through devolved grants for community, natural resource management and productivity outcomes. The Regional Landcare Facilitator will deliver information about best practice and new innovations and encourage the sharing of information and experiences across the region.</w:t>
            </w:r>
          </w:p>
          <w:p w:rsidR="00E27931" w:rsidRDefault="00E27931">
            <w:pPr>
              <w:rPr>
                <w:rFonts w:ascii="Cambria" w:hAnsi="Cambria" w:cs="Calibri"/>
                <w:sz w:val="18"/>
                <w:szCs w:val="18"/>
              </w:rPr>
            </w:pP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Regional delivery investments in Central West will deliver six integrated, multidisciplinary sub-projects, including four sustainable environment stream and two sustainable agriculture stream sub-projects. The sub-projects are also aligned with the Catchment Action Plan. Sustainable environment sub-projects focus on enhancement and protection of RAMSAR sites and values, </w:t>
            </w:r>
            <w:proofErr w:type="spellStart"/>
            <w:r>
              <w:rPr>
                <w:rFonts w:ascii="Cambria" w:hAnsi="Cambria" w:cs="Calibri"/>
                <w:sz w:val="18"/>
                <w:szCs w:val="18"/>
              </w:rPr>
              <w:t>riverine</w:t>
            </w:r>
            <w:proofErr w:type="spellEnd"/>
            <w:r>
              <w:rPr>
                <w:rFonts w:ascii="Cambria" w:hAnsi="Cambria" w:cs="Calibri"/>
                <w:sz w:val="18"/>
                <w:szCs w:val="18"/>
              </w:rPr>
              <w:t xml:space="preserve"> restoration and aquatic biodiversity, native vegetation and increased natural resource management knowledge and community capacity building.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$ 820,632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$ 1,951,000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$ 2,771,632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Hawkesbury-Nepean</w:t>
            </w:r>
            <w:r w:rsidR="00933161">
              <w:rPr>
                <w:rFonts w:ascii="Cambria" w:hAnsi="Cambria" w:cs="Calibri"/>
                <w:b/>
                <w:sz w:val="18"/>
                <w:szCs w:val="18"/>
              </w:rPr>
              <w:t xml:space="preserve"> Catchment Management Authority</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Hawkesbury Nepean Catchment Management Authority will deliver an integrated landscape approach to achieve sustainable and resilient agriculture practices which increase productivity, improve land management practices and provide valuable ecosystem services. This will be achieved through capacity building activities such as training, demonstration, extension and the support and promotion of innovation as well as incentives that are consistent with national, state, regional and local priorities for sustainable agriculture in the Hawkesbury Nepean. The Regional Landcare Facilitator will deliver capacity building via workshops and training events; and provide support for groups to access funding and resources.</w:t>
            </w: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Hawkesbury-Nepean CMA will deliver five sub-projects. The three sub-projects for the sustainable environment stream are focussed on the Blue Mountains and Northern Valleys, Cumberland Plain and Estuary, and the Southern Highlands and Tablelands. These sub-projects focus on the protection and enhancement of key biodiversity assets and matters of National Significance with the aim of protecting and enhancing ecosystems services, protecting the conservation estate and enhancing the capacity of Indigenous and non-Indigenous communities to conserve and protect natural resources. The sub-projects are also aligned with the priorities in the Hawkesbury Nepean Catchment Action Plan.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$ 1,001,079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$ 2,379,999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$ 3,381,078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 xml:space="preserve">Hunter-Central Rivers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Hunter -Central Rivers Catchment Management Authority will form partnerships with industry and community groups to </w:t>
            </w:r>
            <w:proofErr w:type="gramStart"/>
            <w:r>
              <w:rPr>
                <w:rFonts w:ascii="Cambria" w:hAnsi="Cambria" w:cs="Calibri"/>
                <w:sz w:val="18"/>
                <w:szCs w:val="18"/>
              </w:rPr>
              <w:t>develop,</w:t>
            </w:r>
            <w:proofErr w:type="gramEnd"/>
            <w:r>
              <w:rPr>
                <w:rFonts w:ascii="Cambria" w:hAnsi="Cambria" w:cs="Calibri"/>
                <w:sz w:val="18"/>
                <w:szCs w:val="18"/>
              </w:rPr>
              <w:t xml:space="preserve"> deliver and share sustainable agriculture initiatives. Knowledge and skills will be improved through courses, field days, workshops and access to devolved funding for group capacity building projects. Extension services and trials will support adoption of sustainable practices, facilitated through devolved grant funding resulting in implementation of sustainable grazing, land management and improved soil health practices. The Regional Landcare Facilitator will engage with rural communities, land managers and farming industry groups to promote adoption of sustainable agricultural practices.</w:t>
            </w:r>
          </w:p>
          <w:p w:rsidR="00E27931" w:rsidRDefault="00E27931">
            <w:pPr>
              <w:rPr>
                <w:rFonts w:ascii="Cambria" w:hAnsi="Cambria" w:cs="Calibri"/>
                <w:sz w:val="18"/>
                <w:szCs w:val="18"/>
              </w:rPr>
            </w:pP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Hunter-Central Rivers regional investment will deliver two sub-projects under the sustainable environment stream. One sub-project will focus on integrated biophysical and practice change outcomes. The other focuses on capacity building and engagement with industry, the Indigenous community and other community stakeholders to engage in sustainable environmental activities. Both sub-projects are aligned with the Hunter-Central Rivers Catchment Action Plan.</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$ 935,883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$ 2,225,000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$ 3,160,883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 Lachlan </w:t>
            </w:r>
            <w:r w:rsidR="00933161">
              <w:rPr>
                <w:rFonts w:ascii="Cambria" w:hAnsi="Cambria" w:cs="Calibri"/>
                <w:b/>
                <w:sz w:val="18"/>
                <w:szCs w:val="18"/>
              </w:rPr>
              <w:t>Catchment Management Authority</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Lachlan Catchment Management Authority will increase the resilience of farms through partnerships promoting, delivering and coordinating extension activities and enable the transfer of knowledge promoting the importance of sustainable land management. Knowledge and capacity building will be delivered through the design of tailored Land Management Plans, extension activities, E-extension tools and services which enable improved soil health and adaptability to climate variability. Implementation of on-ground NRM strategies by landholders to build resilience in production systems will be facilitated through devolved grants. The Regional Landcare Facilitator component will be delivered externally through the regional Landcare network.</w:t>
            </w:r>
          </w:p>
          <w:p w:rsidR="00E27931" w:rsidRDefault="00E27931">
            <w:pPr>
              <w:rPr>
                <w:rFonts w:ascii="Cambria" w:hAnsi="Cambria" w:cs="Calibri"/>
                <w:sz w:val="18"/>
                <w:szCs w:val="18"/>
              </w:rPr>
            </w:pP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Regional investment in the Lachlan CMA will deliver three sub-projects. The sustainable environment stream sub-project aims to ensure resilience against climate change. Existing native vegetation across the landscape will be enhanced through traditional burning, fencing initiatives, removal of invasive species, the abatement of threatening processes of national significance and the building of social skills and resilience in the communities of the Lachlan. The sub-projects are also aligned with the Catchment Action Plan.</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$ 782,356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$ 1,860,000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$ 2,642,356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Murray Catchment Management Authority</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Murray Catchment Management Authority will deliver activities in partnership with landholders, local communities and stakeholders. The project will investigate priority NRM issues, identify barriers to practice change, develop plans for implementation, engage and build capacity with Aboriginal groups. It will investigate, assess and trial adaptive land management practices which build resilience to climate change impacts into farming systems, as well as implement on ground management change to improve the sustainability of farming systems. The Regional Landcare Facilitator component will be delivered through two positions that reflect the changes in regional body responsibilities transitioning into the Local Land Services model. </w:t>
            </w:r>
          </w:p>
          <w:p w:rsidR="00E27931" w:rsidRDefault="00E27931">
            <w:pPr>
              <w:rPr>
                <w:rFonts w:ascii="Cambria" w:hAnsi="Cambria" w:cs="Calibri"/>
                <w:sz w:val="18"/>
                <w:szCs w:val="18"/>
              </w:rPr>
            </w:pPr>
          </w:p>
          <w:p w:rsidR="00E27931" w:rsidRDefault="00E27931">
            <w:pPr>
              <w:rPr>
                <w:rFonts w:ascii="Cambria" w:hAnsi="Cambria" w:cs="Calibri"/>
                <w:sz w:val="18"/>
                <w:szCs w:val="18"/>
              </w:rPr>
            </w:pPr>
          </w:p>
          <w:p w:rsidR="00E27931" w:rsidRDefault="00E27931">
            <w:pPr>
              <w:rPr>
                <w:rFonts w:ascii="Cambria" w:hAnsi="Cambria" w:cs="Calibri"/>
                <w:sz w:val="18"/>
                <w:szCs w:val="18"/>
              </w:rPr>
            </w:pPr>
          </w:p>
          <w:p w:rsidR="00E27931" w:rsidRDefault="00E27931">
            <w:pPr>
              <w:rPr>
                <w:rFonts w:ascii="Cambria" w:hAnsi="Cambria" w:cs="Calibri"/>
                <w:sz w:val="18"/>
                <w:szCs w:val="18"/>
              </w:rPr>
            </w:pPr>
          </w:p>
          <w:p w:rsidR="00E27931" w:rsidRDefault="00E27931">
            <w:pPr>
              <w:rPr>
                <w:rFonts w:ascii="Cambria" w:hAnsi="Cambria" w:cs="Calibri"/>
                <w:sz w:val="18"/>
                <w:szCs w:val="18"/>
              </w:rPr>
            </w:pP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Murray CMA will deliver three sub-projects under the sustainable environment stream. The sub-projects reflect and integrate the Murray Catchment Action Plan priorities and aim to maintain ecosystem services including ecological and cultural values, protect the conservation estate and enhance the capacity of Indigenous communities to conserve and protect natural resources.</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$ 1,591,631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$ 3,757,500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$ 5,349,131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Murrumbidgee Catchment Management Authority</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Murrumbidgee Catchment Management Authority will plan, develop and implement strategies for healthy, productive and resilient agricultural landscapes. This will be carried out through workshops, field days, training, benchmarking farming systems and innovative communication activities. A devolved grants program will support soil acidity evaluation, fencing to land capability, drought lot feeding facilities and revegetation that results in productivity and NRM outcomes. The Regional Landcare Facilitator component will be delivered externally through the regional Landcare network developing resources, opportunities, activities, approaches and strategic alliances to advance Landcare in the Murrumbidgee catchment.</w:t>
            </w:r>
          </w:p>
          <w:p w:rsidR="00E27931" w:rsidRDefault="00E27931">
            <w:pPr>
              <w:rPr>
                <w:rFonts w:ascii="Cambria" w:hAnsi="Cambria" w:cs="Calibri"/>
                <w:sz w:val="18"/>
                <w:szCs w:val="18"/>
              </w:rPr>
            </w:pP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Three sub-projects will be delivered by the Murrumbidgee CMA under the sustainable environment stream. These sub-projects aim to conserve and protect species and ecosystems, build NRM community skills, knowledge and engagement, protect </w:t>
            </w:r>
            <w:proofErr w:type="spellStart"/>
            <w:r>
              <w:rPr>
                <w:rFonts w:ascii="Cambria" w:hAnsi="Cambria" w:cs="Calibri"/>
                <w:sz w:val="18"/>
                <w:szCs w:val="18"/>
              </w:rPr>
              <w:t>Ramsar</w:t>
            </w:r>
            <w:proofErr w:type="spellEnd"/>
            <w:r>
              <w:rPr>
                <w:rFonts w:ascii="Cambria" w:hAnsi="Cambria" w:cs="Calibri"/>
                <w:sz w:val="18"/>
                <w:szCs w:val="18"/>
              </w:rPr>
              <w:t xml:space="preserve"> sites and values and build Indigenous people’s capacity for natural resource management. The sub-projects are aligned with the Catchment Action Plan.</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$ 1,148,296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$ 2,730,000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$ 3,878,296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Namoi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Namoi Catchment Management Authority will use demonstration sites and trials to showcase management strategies to increase groundcover. This will be achieved through landholders’ improved understanding of their farm resource, the variability of their natural farm resources and the appropriate management of this variability to increase groundcover. Demonstration sites followed by education and extension activities have been designed to accommodate the transition to the new Local Land Services body areas. The Regional Landcare Facilitator Project will be delivered through the New England North West Landcare Network, using workshops and local working examples of sustainable production to demonstrate how improved systems can be applied.</w:t>
            </w:r>
          </w:p>
          <w:p w:rsidR="00E27931" w:rsidRDefault="00E27931">
            <w:pPr>
              <w:rPr>
                <w:rFonts w:ascii="Cambria" w:hAnsi="Cambria" w:cs="Calibri"/>
                <w:sz w:val="18"/>
                <w:szCs w:val="18"/>
              </w:rPr>
            </w:pP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Regional investment in the Namoi CMA will deliver two sub-projects under the sustainable environment stream. The sub-projects are aligned with the Catchment Action Plan. Key activities include supporting innovation &amp; flexibility to improve natural resource management, maintenance of ecosystem services and natural assets, achieving landscape scale change and building community capacity &amp; partnerships to leverage greater investment in natural resource management.</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$ 497,700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$ 1,135,000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$ 1,632,700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Northern Rivers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Northern Rivers Catchment Management Authority will improve the management and planning capacities of farmers through the delivery of capacity building, community and indigenous engagement, strategic planning and on-ground works. Activities include devolved small grants to encourage sustainable land management practices; targeted projects for fishing and aquaculture entities to use sustainable management practices; and trials to support innovation. Aboriginal farming entities will be provided with information and advice. The Regional Landcare Facilitator component will be delivered through the North Coast Regional Landcare network delivering community capacity activities such as workshops, training events and communication products.</w:t>
            </w:r>
          </w:p>
          <w:p w:rsidR="00E27931" w:rsidRDefault="00E27931">
            <w:pPr>
              <w:rPr>
                <w:rFonts w:ascii="Cambria" w:hAnsi="Cambria" w:cs="Calibri"/>
                <w:sz w:val="18"/>
                <w:szCs w:val="18"/>
              </w:rPr>
            </w:pPr>
          </w:p>
          <w:p w:rsidR="00E27931" w:rsidRDefault="00E27931">
            <w:pPr>
              <w:rPr>
                <w:rFonts w:ascii="Cambria" w:hAnsi="Cambria" w:cs="Calibri"/>
                <w:sz w:val="18"/>
                <w:szCs w:val="18"/>
              </w:rPr>
            </w:pPr>
          </w:p>
          <w:p w:rsidR="00E27931" w:rsidRDefault="00E27931">
            <w:pPr>
              <w:rPr>
                <w:rFonts w:ascii="Cambria" w:hAnsi="Cambria" w:cs="Calibri"/>
                <w:sz w:val="18"/>
                <w:szCs w:val="18"/>
              </w:rPr>
            </w:pPr>
          </w:p>
          <w:p w:rsidR="00E27931" w:rsidRDefault="00E27931">
            <w:pPr>
              <w:rPr>
                <w:rFonts w:ascii="Cambria" w:hAnsi="Cambria" w:cs="Calibri"/>
                <w:sz w:val="18"/>
                <w:szCs w:val="18"/>
              </w:rPr>
            </w:pPr>
          </w:p>
          <w:p w:rsidR="00E27931" w:rsidRDefault="00E27931">
            <w:pPr>
              <w:rPr>
                <w:rFonts w:ascii="Cambria" w:hAnsi="Cambria" w:cs="Calibri"/>
                <w:sz w:val="18"/>
                <w:szCs w:val="18"/>
              </w:rPr>
            </w:pP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Northern Rivers CMA will deliver one sustainable environment stream sub-project and is aligned with the priorities of the Northern Rivers Catchment Action Plan. The sub-project aims to build resilient socio-ecological landscapes through capacity building, community and Indigenous engagement, strategic planning and on-ground works carried out in conjunction with a large network of partners.</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$ 950,604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$ 2,260,000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$ 3,210,604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Southern Rivers</w:t>
            </w:r>
            <w:r w:rsidR="00933161">
              <w:rPr>
                <w:rFonts w:ascii="Cambria" w:hAnsi="Cambria" w:cs="Calibri"/>
                <w:b/>
                <w:sz w:val="18"/>
                <w:szCs w:val="18"/>
              </w:rPr>
              <w:t xml:space="preserve"> Catchment Management Authority</w:t>
            </w:r>
            <w:r w:rsidRPr="00933161">
              <w:rPr>
                <w:rFonts w:ascii="Cambria" w:hAnsi="Cambria" w:cs="Calibri"/>
                <w:b/>
                <w:sz w:val="18"/>
                <w:szCs w:val="18"/>
              </w:rPr>
              <w:t xml:space="preserve">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Southern Rivers Catchment Management Authority will engage and support networks, deliver information, training services, extension and farm planning services and support the adoption of practices by land managers to achieve protection of the resource base, improved understanding, planning and management capacity for resource and environmental management. The Regional Landcare Facilitator will work with groups and the Southern Rivers Community Support team to identify knowledge and skills development needs and to coordinate capacity building activities including supporting leadership development activities.</w:t>
            </w: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There are two sustainable environment stream sub-projects and two sustainable agriculture stream sub-projects which are aligned with the Southern Rivers Catchment Action Plan. One environment stream sub-project will conserve and protect species &amp; ecosystems of national significance through improved land management practices. It will also improve resilience of urban waterways &amp; coastal environments through enhanced river, estuary and wetland protection. The other sustainable environment sub-project will provide facilitation &amp; support services to landholders, community groups and Aboriginal people to be active stewards of natural resources. It will also foster community and industry networks. </w:t>
            </w:r>
          </w:p>
          <w:p w:rsidR="00E27931" w:rsidRDefault="00E2793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$ 791,609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$ 1,882,000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$ 2,673,609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65"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Western Catchment Management Authority</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Western Catchment Management Authority will use engagement activities to raise awareness and increase capacity of the community to engage and participate in the program, and for developing partnership opportunities. There will be a strategic community education program, support for a Rangeland Innovators Program and support for the Aboriginal Reference Advisory Group. On-ground works will deliver improved groundcover, improved native vegetation, rehabilitation of degraded landscapes and pest management. The Regional Landcare Facilitator will assist with strategic planning, identifying technical input, liaising with local staff and facilitating partnership development and providing technical advice and extension services. </w:t>
            </w:r>
          </w:p>
          <w:p w:rsidR="00E27931" w:rsidRDefault="00E27931">
            <w:pPr>
              <w:rPr>
                <w:rFonts w:ascii="Cambria" w:hAnsi="Cambria" w:cs="Calibri"/>
                <w:sz w:val="18"/>
                <w:szCs w:val="18"/>
              </w:rPr>
            </w:pPr>
          </w:p>
        </w:tc>
        <w:tc>
          <w:tcPr>
            <w:tcW w:w="4916"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Western CMA regional investment will deliver one sub-project under the sustainable environment stream which is also aligned with the strategies of the Western Catchment Action Plan. The project aims to conserve and protect multiple threatened species, </w:t>
            </w:r>
            <w:proofErr w:type="spellStart"/>
            <w:r>
              <w:rPr>
                <w:rFonts w:ascii="Cambria" w:hAnsi="Cambria" w:cs="Calibri"/>
                <w:sz w:val="18"/>
                <w:szCs w:val="18"/>
              </w:rPr>
              <w:t>Ramsar</w:t>
            </w:r>
            <w:proofErr w:type="spellEnd"/>
            <w:r>
              <w:rPr>
                <w:rFonts w:ascii="Cambria" w:hAnsi="Cambria" w:cs="Calibri"/>
                <w:sz w:val="18"/>
                <w:szCs w:val="18"/>
              </w:rPr>
              <w:t xml:space="preserve"> sites and ecosystems of national significance as well as protecting and restoring significant waterway environments. Capacity building and community skills &amp; engagement activities aim to integrate priorities under both streams.</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$ 670,470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$ 1,594,000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$ 2,264,470 </w:t>
            </w:r>
          </w:p>
        </w:tc>
      </w:tr>
      <w:tr w:rsidR="00E27931" w:rsidRPr="00AA613C" w:rsidTr="00933161">
        <w:trPr>
          <w:trHeight w:val="290"/>
        </w:trPr>
        <w:tc>
          <w:tcPr>
            <w:tcW w:w="1465"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916"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NSW TOTAL</w:t>
            </w:r>
          </w:p>
        </w:tc>
        <w:tc>
          <w:tcPr>
            <w:tcW w:w="1408" w:type="dxa"/>
            <w:tcBorders>
              <w:bottom w:val="single" w:sz="4" w:space="0" w:color="auto"/>
            </w:tcBorders>
            <w:shd w:val="clear" w:color="auto" w:fill="auto"/>
            <w:noWrap/>
            <w:vAlign w:val="bottom"/>
            <w:hideMark/>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bottom w:val="single" w:sz="4" w:space="0" w:color="auto"/>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bottom w:val="single" w:sz="4" w:space="0" w:color="auto"/>
            </w:tcBorders>
          </w:tcPr>
          <w:p w:rsidR="00E27931" w:rsidRPr="005B2B40" w:rsidRDefault="00E27931" w:rsidP="005B2B40">
            <w:pPr>
              <w:jc w:val="right"/>
              <w:rPr>
                <w:rFonts w:asciiTheme="majorHAnsi" w:eastAsia="Times New Roman" w:hAnsiTheme="majorHAnsi" w:cs="Calibri"/>
                <w:b/>
                <w:color w:val="000000"/>
                <w:sz w:val="20"/>
                <w:szCs w:val="20"/>
                <w:lang w:eastAsia="en-AU"/>
              </w:rPr>
            </w:pPr>
            <w:r w:rsidRPr="005B2B40">
              <w:rPr>
                <w:rFonts w:asciiTheme="majorHAnsi" w:hAnsiTheme="majorHAnsi" w:cs="Calibri"/>
                <w:b/>
                <w:sz w:val="20"/>
                <w:szCs w:val="20"/>
              </w:rPr>
              <w:t>$ 33,024,659</w:t>
            </w:r>
          </w:p>
        </w:tc>
      </w:tr>
      <w:tr w:rsidR="00E27931" w:rsidRPr="00AA613C" w:rsidTr="00933161">
        <w:trPr>
          <w:trHeight w:val="290"/>
        </w:trPr>
        <w:tc>
          <w:tcPr>
            <w:tcW w:w="1465"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916"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1408" w:type="dxa"/>
            <w:tcBorders>
              <w:top w:val="single" w:sz="4" w:space="0" w:color="auto"/>
              <w:left w:val="nil"/>
              <w:bottom w:val="nil"/>
              <w:right w:val="nil"/>
            </w:tcBorders>
            <w:shd w:val="clear" w:color="auto" w:fill="auto"/>
            <w:noWrap/>
            <w:vAlign w:val="bottom"/>
          </w:tcPr>
          <w:p w:rsidR="00E27931" w:rsidRPr="00AA613C" w:rsidRDefault="00E27931" w:rsidP="00AA613C">
            <w:pPr>
              <w:rPr>
                <w:rFonts w:asciiTheme="majorHAnsi" w:eastAsia="Times New Roman" w:hAnsiTheme="majorHAnsi" w:cs="Calibri"/>
                <w:color w:val="000000"/>
                <w:sz w:val="20"/>
                <w:szCs w:val="20"/>
                <w:lang w:eastAsia="en-AU"/>
              </w:rPr>
            </w:pPr>
          </w:p>
        </w:tc>
        <w:tc>
          <w:tcPr>
            <w:tcW w:w="1427" w:type="dxa"/>
            <w:tcBorders>
              <w:top w:val="single" w:sz="4" w:space="0" w:color="auto"/>
              <w:left w:val="nil"/>
              <w:bottom w:val="nil"/>
              <w:right w:val="nil"/>
            </w:tcBorders>
          </w:tcPr>
          <w:p w:rsidR="00E27931" w:rsidRPr="00AA613C" w:rsidRDefault="00E27931" w:rsidP="00AA613C">
            <w:pPr>
              <w:rPr>
                <w:rFonts w:asciiTheme="majorHAnsi" w:eastAsia="Times New Roman" w:hAnsiTheme="majorHAnsi" w:cs="Calibri"/>
                <w:color w:val="000000"/>
                <w:sz w:val="20"/>
                <w:szCs w:val="20"/>
                <w:lang w:eastAsia="en-AU"/>
              </w:rPr>
            </w:pPr>
          </w:p>
        </w:tc>
        <w:tc>
          <w:tcPr>
            <w:tcW w:w="1418" w:type="dxa"/>
            <w:tcBorders>
              <w:top w:val="single" w:sz="4" w:space="0" w:color="auto"/>
              <w:left w:val="nil"/>
              <w:bottom w:val="nil"/>
              <w:right w:val="nil"/>
            </w:tcBorders>
          </w:tcPr>
          <w:p w:rsidR="00E27931" w:rsidRPr="00AA613C" w:rsidRDefault="00E27931" w:rsidP="00AA613C">
            <w:pPr>
              <w:rPr>
                <w:rFonts w:asciiTheme="majorHAnsi" w:eastAsia="Times New Roman" w:hAnsiTheme="majorHAnsi" w:cs="Calibri"/>
                <w:color w:val="000000"/>
                <w:sz w:val="20"/>
                <w:szCs w:val="20"/>
                <w:lang w:eastAsia="en-AU"/>
              </w:rPr>
            </w:pPr>
          </w:p>
        </w:tc>
      </w:tr>
    </w:tbl>
    <w:p w:rsidR="00E27931" w:rsidRDefault="00E27931">
      <w:r>
        <w:br w:type="page"/>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4677"/>
        <w:gridCol w:w="4962"/>
        <w:gridCol w:w="1408"/>
        <w:gridCol w:w="1427"/>
        <w:gridCol w:w="1418"/>
      </w:tblGrid>
      <w:tr w:rsidR="00E27931" w:rsidRPr="005B2B40" w:rsidTr="00933161">
        <w:trPr>
          <w:trHeight w:val="290"/>
        </w:trPr>
        <w:tc>
          <w:tcPr>
            <w:tcW w:w="1419"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lastRenderedPageBreak/>
              <w:t>NT</w:t>
            </w:r>
          </w:p>
        </w:tc>
        <w:tc>
          <w:tcPr>
            <w:tcW w:w="4677"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4962"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08"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27"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18"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r>
      <w:tr w:rsidR="00E27931" w:rsidRPr="005B2B40" w:rsidTr="00933161">
        <w:trPr>
          <w:trHeight w:val="290"/>
        </w:trPr>
        <w:tc>
          <w:tcPr>
            <w:tcW w:w="1419" w:type="dxa"/>
            <w:tcBorders>
              <w:top w:val="single" w:sz="4" w:space="0" w:color="auto"/>
            </w:tcBorders>
            <w:shd w:val="clear" w:color="auto" w:fill="auto"/>
            <w:noWrap/>
            <w:vAlign w:val="center"/>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NRM Organisation</w:t>
            </w:r>
          </w:p>
        </w:tc>
        <w:tc>
          <w:tcPr>
            <w:tcW w:w="4677" w:type="dxa"/>
            <w:tcBorders>
              <w:top w:val="single" w:sz="4" w:space="0" w:color="auto"/>
            </w:tcBorders>
            <w:shd w:val="clear" w:color="auto" w:fill="auto"/>
            <w:noWrap/>
            <w:vAlign w:val="center"/>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Agriculture Stream</w:t>
            </w:r>
          </w:p>
        </w:tc>
        <w:tc>
          <w:tcPr>
            <w:tcW w:w="4962" w:type="dxa"/>
            <w:tcBorders>
              <w:top w:val="single" w:sz="4" w:space="0" w:color="auto"/>
            </w:tcBorders>
            <w:shd w:val="clear" w:color="auto" w:fill="auto"/>
            <w:noWrap/>
            <w:vAlign w:val="center"/>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Environment Stream</w:t>
            </w:r>
          </w:p>
        </w:tc>
        <w:tc>
          <w:tcPr>
            <w:tcW w:w="1408" w:type="dxa"/>
            <w:tcBorders>
              <w:top w:val="single" w:sz="4" w:space="0" w:color="auto"/>
            </w:tcBorders>
            <w:shd w:val="clear" w:color="auto" w:fill="auto"/>
            <w:noWrap/>
            <w:vAlign w:val="bottom"/>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 Ag</w:t>
            </w:r>
            <w:r>
              <w:rPr>
                <w:rFonts w:asciiTheme="majorHAnsi" w:eastAsia="Times New Roman" w:hAnsiTheme="majorHAnsi" w:cs="Calibri"/>
                <w:b/>
                <w:color w:val="000000"/>
                <w:sz w:val="20"/>
                <w:szCs w:val="20"/>
                <w:lang w:eastAsia="en-AU"/>
              </w:rPr>
              <w:t>riculture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 xml:space="preserve">(GST </w:t>
            </w:r>
            <w:proofErr w:type="spellStart"/>
            <w:r w:rsidRPr="005B2B40">
              <w:rPr>
                <w:rFonts w:asciiTheme="majorHAnsi" w:eastAsia="Times New Roman" w:hAnsiTheme="majorHAnsi" w:cs="Calibri"/>
                <w:b/>
                <w:color w:val="000000"/>
                <w:sz w:val="20"/>
                <w:szCs w:val="20"/>
                <w:lang w:eastAsia="en-AU"/>
              </w:rPr>
              <w:t>Incl</w:t>
            </w:r>
            <w:proofErr w:type="spellEnd"/>
            <w:r w:rsidRPr="005B2B40">
              <w:rPr>
                <w:rFonts w:asciiTheme="majorHAnsi" w:eastAsia="Times New Roman" w:hAnsiTheme="majorHAnsi" w:cs="Calibri"/>
                <w:b/>
                <w:color w:val="000000"/>
                <w:sz w:val="20"/>
                <w:szCs w:val="20"/>
                <w:lang w:eastAsia="en-AU"/>
              </w:rPr>
              <w:t>)</w:t>
            </w:r>
          </w:p>
        </w:tc>
        <w:tc>
          <w:tcPr>
            <w:tcW w:w="1427" w:type="dxa"/>
            <w:tcBorders>
              <w:top w:val="single" w:sz="4" w:space="0" w:color="auto"/>
            </w:tcBorders>
            <w:vAlign w:val="bottom"/>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Pr>
                <w:rFonts w:asciiTheme="majorHAnsi" w:eastAsia="Times New Roman" w:hAnsiTheme="majorHAnsi" w:cs="Calibri"/>
                <w:b/>
                <w:color w:val="000000"/>
                <w:sz w:val="20"/>
                <w:szCs w:val="20"/>
                <w:lang w:eastAsia="en-AU"/>
              </w:rPr>
              <w:t>Total E</w:t>
            </w:r>
            <w:r w:rsidRPr="005B2B40">
              <w:rPr>
                <w:rFonts w:asciiTheme="majorHAnsi" w:eastAsia="Times New Roman" w:hAnsiTheme="majorHAnsi" w:cs="Calibri"/>
                <w:b/>
                <w:color w:val="000000"/>
                <w:sz w:val="20"/>
                <w:szCs w:val="20"/>
                <w:lang w:eastAsia="en-AU"/>
              </w:rPr>
              <w:t>nviro</w:t>
            </w:r>
            <w:r>
              <w:rPr>
                <w:rFonts w:asciiTheme="majorHAnsi" w:eastAsia="Times New Roman" w:hAnsiTheme="majorHAnsi" w:cs="Calibri"/>
                <w:b/>
                <w:color w:val="000000"/>
                <w:sz w:val="20"/>
                <w:szCs w:val="20"/>
                <w:lang w:eastAsia="en-AU"/>
              </w:rPr>
              <w:t>nment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(GST INCL)</w:t>
            </w:r>
          </w:p>
        </w:tc>
        <w:tc>
          <w:tcPr>
            <w:tcW w:w="1418"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Territory NRM</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A pastoral lands project will work with pastoral land managers to increase awareness and adoption of sustainable land management practices through training courses, workshops and forums that expand the skills of land managers. A second project will increase engagement and participation of the pastoral, horticulture, agriculture and fisheries sectors through industry driven-extension programs. This includes development of Indigenous sustainable enterprise through engagement and planning with Traditional Owners and Indigenous land managers. The Regional Landcare Facilitator will work with industry bodies to increase the capacity of farmers, fishers, and land managers to implement sustainable management practices that increase productivity.</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Territory Natural Resource Management’s Sustainable Environment program seeks to protect a range of species, including the </w:t>
            </w:r>
            <w:proofErr w:type="spellStart"/>
            <w:r>
              <w:rPr>
                <w:rFonts w:ascii="Cambria" w:hAnsi="Cambria" w:cs="Calibri"/>
                <w:sz w:val="18"/>
                <w:szCs w:val="18"/>
              </w:rPr>
              <w:t>Arenga</w:t>
            </w:r>
            <w:proofErr w:type="spellEnd"/>
            <w:r>
              <w:rPr>
                <w:rFonts w:ascii="Cambria" w:hAnsi="Cambria" w:cs="Calibri"/>
                <w:sz w:val="18"/>
                <w:szCs w:val="18"/>
              </w:rPr>
              <w:t xml:space="preserve"> palm, mulgara, brush-tailed rabbit rat, purple-crowned fairy-wren and </w:t>
            </w:r>
            <w:proofErr w:type="spellStart"/>
            <w:r>
              <w:rPr>
                <w:rFonts w:ascii="Cambria" w:hAnsi="Cambria" w:cs="Calibri"/>
                <w:sz w:val="18"/>
                <w:szCs w:val="18"/>
              </w:rPr>
              <w:t>flatback</w:t>
            </w:r>
            <w:proofErr w:type="spellEnd"/>
            <w:r>
              <w:rPr>
                <w:rFonts w:ascii="Cambria" w:hAnsi="Cambria" w:cs="Calibri"/>
                <w:sz w:val="18"/>
                <w:szCs w:val="18"/>
              </w:rPr>
              <w:t xml:space="preserve"> and hawksbill turtles. Land managers will be engaged in the ongoing management of fire, weeds and feral animals including cats, foxes, pigs and buffalo, particularly in areas of high conservation value. The program also includes coastal management and preservation activities across the Top End, building on the success of Territory NRM’s Darwin Harbour Clean-up event and indigenous coastal community engagement program. Territory NRM will also continue to build community knowledge and natural resource management capacity activities through web-based tools, workshops and regional facilitation and coordination.</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$ 1,158,097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$ 2,753,300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$ 3,911,397 </w:t>
            </w:r>
          </w:p>
        </w:tc>
      </w:tr>
      <w:tr w:rsidR="00E27931" w:rsidRPr="00AA613C" w:rsidTr="00933161">
        <w:trPr>
          <w:trHeight w:val="290"/>
        </w:trPr>
        <w:tc>
          <w:tcPr>
            <w:tcW w:w="1419" w:type="dxa"/>
            <w:tcBorders>
              <w:bottom w:val="single" w:sz="4" w:space="0" w:color="auto"/>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bottom w:val="single" w:sz="4" w:space="0" w:color="auto"/>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bottom w:val="single" w:sz="4" w:space="0" w:color="auto"/>
            </w:tcBorders>
            <w:shd w:val="clear" w:color="auto" w:fill="auto"/>
            <w:noWrap/>
            <w:vAlign w:val="bottom"/>
          </w:tcPr>
          <w:p w:rsidR="00E27931" w:rsidRPr="00AA613C" w:rsidRDefault="00E27931" w:rsidP="00866E6B">
            <w:pP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NT Total</w:t>
            </w:r>
          </w:p>
        </w:tc>
        <w:tc>
          <w:tcPr>
            <w:tcW w:w="1408" w:type="dxa"/>
            <w:tcBorders>
              <w:bottom w:val="single" w:sz="4" w:space="0" w:color="auto"/>
            </w:tcBorders>
            <w:shd w:val="clear" w:color="auto" w:fill="auto"/>
            <w:noWrap/>
            <w:vAlign w:val="bottom"/>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bottom w:val="single" w:sz="4" w:space="0" w:color="auto"/>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bottom w:val="single" w:sz="4" w:space="0" w:color="auto"/>
            </w:tcBorders>
            <w:vAlign w:val="center"/>
          </w:tcPr>
          <w:p w:rsidR="00E27931" w:rsidRPr="00AA613C" w:rsidRDefault="00E27931" w:rsidP="00A41E02">
            <w:pPr>
              <w:jc w:val="right"/>
              <w:rPr>
                <w:rFonts w:asciiTheme="majorHAnsi" w:hAnsiTheme="majorHAnsi" w:cs="Calibri"/>
                <w:b/>
                <w:sz w:val="20"/>
                <w:szCs w:val="20"/>
              </w:rPr>
            </w:pPr>
            <w:r w:rsidRPr="00AA613C">
              <w:rPr>
                <w:rFonts w:asciiTheme="majorHAnsi" w:hAnsiTheme="majorHAnsi" w:cs="Calibri"/>
                <w:b/>
                <w:sz w:val="20"/>
                <w:szCs w:val="20"/>
              </w:rPr>
              <w:t>$ 3,911,397</w:t>
            </w:r>
          </w:p>
        </w:tc>
      </w:tr>
      <w:tr w:rsidR="00E27931" w:rsidRPr="00AA613C" w:rsidTr="00933161">
        <w:trPr>
          <w:trHeight w:val="290"/>
        </w:trPr>
        <w:tc>
          <w:tcPr>
            <w:tcW w:w="1419"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b/>
                <w:color w:val="000000"/>
                <w:sz w:val="20"/>
                <w:szCs w:val="20"/>
                <w:lang w:eastAsia="en-AU"/>
              </w:rPr>
            </w:pPr>
          </w:p>
        </w:tc>
        <w:tc>
          <w:tcPr>
            <w:tcW w:w="1408" w:type="dxa"/>
            <w:tcBorders>
              <w:top w:val="single" w:sz="4" w:space="0" w:color="auto"/>
              <w:left w:val="nil"/>
              <w:bottom w:val="nil"/>
              <w:right w:val="nil"/>
            </w:tcBorders>
            <w:shd w:val="clear" w:color="auto" w:fill="auto"/>
            <w:noWrap/>
            <w:vAlign w:val="bottom"/>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r>
    </w:tbl>
    <w:p w:rsidR="00933161" w:rsidRDefault="00933161">
      <w:r>
        <w:br w:type="page"/>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4677"/>
        <w:gridCol w:w="4962"/>
        <w:gridCol w:w="1408"/>
        <w:gridCol w:w="1427"/>
        <w:gridCol w:w="1418"/>
      </w:tblGrid>
      <w:tr w:rsidR="00E27931" w:rsidRPr="005B2B40" w:rsidTr="00933161">
        <w:trPr>
          <w:trHeight w:val="290"/>
        </w:trPr>
        <w:tc>
          <w:tcPr>
            <w:tcW w:w="1419"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lastRenderedPageBreak/>
              <w:t>QLD</w:t>
            </w:r>
          </w:p>
        </w:tc>
        <w:tc>
          <w:tcPr>
            <w:tcW w:w="4677"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4962"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08"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27"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18"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r>
      <w:tr w:rsidR="00E27931" w:rsidRPr="005B2B40" w:rsidTr="00933161">
        <w:trPr>
          <w:trHeight w:val="290"/>
        </w:trPr>
        <w:tc>
          <w:tcPr>
            <w:tcW w:w="1419"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NRM Organisation</w:t>
            </w:r>
          </w:p>
        </w:tc>
        <w:tc>
          <w:tcPr>
            <w:tcW w:w="4677"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Agriculture Stream</w:t>
            </w:r>
          </w:p>
        </w:tc>
        <w:tc>
          <w:tcPr>
            <w:tcW w:w="4962"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Environment Stream</w:t>
            </w:r>
          </w:p>
        </w:tc>
        <w:tc>
          <w:tcPr>
            <w:tcW w:w="1408" w:type="dxa"/>
            <w:tcBorders>
              <w:top w:val="single" w:sz="4" w:space="0" w:color="auto"/>
            </w:tcBorders>
            <w:shd w:val="clear" w:color="auto" w:fill="auto"/>
            <w:noWrap/>
            <w:vAlign w:val="bottom"/>
            <w:hideMark/>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 Ag</w:t>
            </w:r>
            <w:r>
              <w:rPr>
                <w:rFonts w:asciiTheme="majorHAnsi" w:eastAsia="Times New Roman" w:hAnsiTheme="majorHAnsi" w:cs="Calibri"/>
                <w:b/>
                <w:color w:val="000000"/>
                <w:sz w:val="20"/>
                <w:szCs w:val="20"/>
                <w:lang w:eastAsia="en-AU"/>
              </w:rPr>
              <w:t>riculture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 xml:space="preserve">(GST </w:t>
            </w:r>
            <w:proofErr w:type="spellStart"/>
            <w:r w:rsidRPr="005B2B40">
              <w:rPr>
                <w:rFonts w:asciiTheme="majorHAnsi" w:eastAsia="Times New Roman" w:hAnsiTheme="majorHAnsi" w:cs="Calibri"/>
                <w:b/>
                <w:color w:val="000000"/>
                <w:sz w:val="20"/>
                <w:szCs w:val="20"/>
                <w:lang w:eastAsia="en-AU"/>
              </w:rPr>
              <w:t>Incl</w:t>
            </w:r>
            <w:proofErr w:type="spellEnd"/>
            <w:r w:rsidRPr="005B2B40">
              <w:rPr>
                <w:rFonts w:asciiTheme="majorHAnsi" w:eastAsia="Times New Roman" w:hAnsiTheme="majorHAnsi" w:cs="Calibri"/>
                <w:b/>
                <w:color w:val="000000"/>
                <w:sz w:val="20"/>
                <w:szCs w:val="20"/>
                <w:lang w:eastAsia="en-AU"/>
              </w:rPr>
              <w:t>)</w:t>
            </w:r>
          </w:p>
        </w:tc>
        <w:tc>
          <w:tcPr>
            <w:tcW w:w="1427" w:type="dxa"/>
            <w:tcBorders>
              <w:top w:val="single" w:sz="4" w:space="0" w:color="auto"/>
            </w:tcBorders>
            <w:vAlign w:val="bottom"/>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Pr>
                <w:rFonts w:asciiTheme="majorHAnsi" w:eastAsia="Times New Roman" w:hAnsiTheme="majorHAnsi" w:cs="Calibri"/>
                <w:b/>
                <w:color w:val="000000"/>
                <w:sz w:val="20"/>
                <w:szCs w:val="20"/>
                <w:lang w:eastAsia="en-AU"/>
              </w:rPr>
              <w:t>Total E</w:t>
            </w:r>
            <w:r w:rsidRPr="005B2B40">
              <w:rPr>
                <w:rFonts w:asciiTheme="majorHAnsi" w:eastAsia="Times New Roman" w:hAnsiTheme="majorHAnsi" w:cs="Calibri"/>
                <w:b/>
                <w:color w:val="000000"/>
                <w:sz w:val="20"/>
                <w:szCs w:val="20"/>
                <w:lang w:eastAsia="en-AU"/>
              </w:rPr>
              <w:t>nviro</w:t>
            </w:r>
            <w:r>
              <w:rPr>
                <w:rFonts w:asciiTheme="majorHAnsi" w:eastAsia="Times New Roman" w:hAnsiTheme="majorHAnsi" w:cs="Calibri"/>
                <w:b/>
                <w:color w:val="000000"/>
                <w:sz w:val="20"/>
                <w:szCs w:val="20"/>
                <w:lang w:eastAsia="en-AU"/>
              </w:rPr>
              <w:t>nment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(GST INCL)</w:t>
            </w:r>
          </w:p>
        </w:tc>
        <w:tc>
          <w:tcPr>
            <w:tcW w:w="1418"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Burnett Mary Regional Group</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Burnett Mary sustainable agriculture project will integrate the role of the Regional Landcare Facilitator project to provide extension in Grains and Grazing Best Management Practices and support delivery on-ground projects in partnership with landholders. It will target the low-uptake sub-catchments most at risk and hold workshops in sustainable management practices and field days. The investment will focus on improving sustainability of farming and grazing practices while improving soil condition and reducing the risks of soil erosion and soil acidification.</w:t>
            </w:r>
          </w:p>
          <w:p w:rsidR="00933161" w:rsidRDefault="00933161">
            <w:pPr>
              <w:rPr>
                <w:rFonts w:ascii="Cambria" w:hAnsi="Cambria" w:cs="Calibri"/>
                <w:sz w:val="18"/>
                <w:szCs w:val="18"/>
              </w:rPr>
            </w:pP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Through a partnerships approach this proposal will provide on-ground management of the protection and conservation of nationally protected Threatened Ecological Communities and Species and address threat abatement actions in the Great Sandy Strait </w:t>
            </w:r>
            <w:proofErr w:type="spellStart"/>
            <w:r>
              <w:rPr>
                <w:rFonts w:ascii="Cambria" w:hAnsi="Cambria" w:cs="Calibri"/>
                <w:sz w:val="18"/>
                <w:szCs w:val="18"/>
              </w:rPr>
              <w:t>Ramsar</w:t>
            </w:r>
            <w:proofErr w:type="spellEnd"/>
            <w:r>
              <w:rPr>
                <w:rFonts w:ascii="Cambria" w:hAnsi="Cambria" w:cs="Calibri"/>
                <w:sz w:val="18"/>
                <w:szCs w:val="18"/>
              </w:rPr>
              <w:t xml:space="preserve"> site and the Fraser Island world Heritage Area. The proposal will also increase community involvement and integrate Indigenous knowledge in NRM activities in the Burnett Mary region.</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$ 2,944,656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$ 6,871,480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$ 9,816,136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933161">
            <w:pPr>
              <w:rPr>
                <w:rFonts w:ascii="Cambria" w:hAnsi="Cambria" w:cs="Calibri"/>
                <w:b/>
                <w:sz w:val="18"/>
                <w:szCs w:val="18"/>
              </w:rPr>
            </w:pPr>
            <w:r>
              <w:rPr>
                <w:rFonts w:ascii="Cambria" w:hAnsi="Cambria" w:cs="Calibri"/>
                <w:b/>
                <w:sz w:val="18"/>
                <w:szCs w:val="18"/>
              </w:rPr>
              <w:t>Cape York NRM</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Cape York sustainable agriculture project will establish demonstration sites that set baselines for benchmarking innovative practices to improve property viability, stock management, soil health, fire and integrated pest management and water management. It will also work with the fishing industry to promote Industry best practice. The Regional Landcare Facilitator will deliver workshops, peer learning and farm-based demonstration activities and provide communication materials to Landcare and grower groups, land managers and regional community leaders involved in agriculture and the protection of natural resources.</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This proposal will deliver integrated management of weeds, pest animals and fire, led by community and Indigenous groups to build NRM skills and knowledge across Cape York. Outcomes will improve collaborations, governance and community capacity for managing natural resources to maintain ecosystem resilience and health</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$ 2,221,560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$ 1,178,100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$ 3,399,660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Condamine Catchment Natural Resource Management Corporation Limited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Condamine sustainable agriculture project will contribute to the sustainability of agricultural landscapes in the Condamine River catchment over the next five years through a range of outcomes. It includes adoption of more sustainable practices; key networks with improved capacity; trialling of innovative practices; improved groundcover and reduced impact of weeds. The Regional Landcare Facilitator will engage key stakeholders including land managers, local and regional Landcare groups, farming systems and grower groups and related community groups to encourage innovation and support the development of a skilled and capable Landcare community. </w:t>
            </w: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This proposal will benefit terrestrial and aquatic endangered ecosystems and species habitat of national significance, establish a buffer area around the </w:t>
            </w:r>
            <w:proofErr w:type="spellStart"/>
            <w:r>
              <w:rPr>
                <w:rFonts w:ascii="Cambria" w:hAnsi="Cambria" w:cs="Calibri"/>
                <w:sz w:val="18"/>
                <w:szCs w:val="18"/>
              </w:rPr>
              <w:t>Gondwana</w:t>
            </w:r>
            <w:proofErr w:type="spellEnd"/>
            <w:r>
              <w:rPr>
                <w:rFonts w:ascii="Cambria" w:hAnsi="Cambria" w:cs="Calibri"/>
                <w:sz w:val="18"/>
                <w:szCs w:val="18"/>
              </w:rPr>
              <w:t xml:space="preserve"> World Heritage Area and support culturally appropriate ways of increasing aboriginal capacity and engagement in NRM in the Condamine catchment.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$ 2,877,864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$ 6,713,080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$ 9,590,944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Desert Channels Queensland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Desert Channels sustainable agriculture project is a community skill, knowledge and engagement project to educate and train landholders in collaborative landscape scale planning and action to equip them to manage natural resources. It will develop and rollout cluster planning and an action model to groups across the region. It will provide peer support and use peer pressure to encourage individual action. The Regional Landcare Facilitator will establish and build on existing networks to develop adaptable, knowledgeable and sustainable groups within the region. It will improve access to funding opportunities, build key partnerships, </w:t>
            </w:r>
            <w:proofErr w:type="gramStart"/>
            <w:r>
              <w:rPr>
                <w:rFonts w:ascii="Cambria" w:hAnsi="Cambria" w:cs="Calibri"/>
                <w:sz w:val="18"/>
                <w:szCs w:val="18"/>
              </w:rPr>
              <w:t>provide</w:t>
            </w:r>
            <w:proofErr w:type="gramEnd"/>
            <w:r>
              <w:rPr>
                <w:rFonts w:ascii="Cambria" w:hAnsi="Cambria" w:cs="Calibri"/>
                <w:sz w:val="18"/>
                <w:szCs w:val="18"/>
              </w:rPr>
              <w:t xml:space="preserve"> training and information to increase the adoption of sustainable land management practices.</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This proposal will primarily deliver weed and pest animal control to protect EPBC listed communities or species and to build landholder continuity in undertaking natural resource management into the longer term.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$ 2,240,436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$ 5,227,200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$ 7,467,636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Fitzroy Basin Association</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spacing w:after="240"/>
              <w:rPr>
                <w:rFonts w:ascii="Cambria" w:hAnsi="Cambria" w:cs="Calibri"/>
                <w:sz w:val="18"/>
                <w:szCs w:val="18"/>
              </w:rPr>
            </w:pPr>
            <w:r>
              <w:rPr>
                <w:rFonts w:ascii="Cambria" w:hAnsi="Cambria" w:cs="Calibri"/>
                <w:sz w:val="18"/>
                <w:szCs w:val="18"/>
              </w:rPr>
              <w:t xml:space="preserve">The Fitzroy Basin sustainable agriculture project is a partnership with </w:t>
            </w:r>
            <w:proofErr w:type="spellStart"/>
            <w:r>
              <w:rPr>
                <w:rFonts w:ascii="Cambria" w:hAnsi="Cambria" w:cs="Calibri"/>
                <w:sz w:val="18"/>
                <w:szCs w:val="18"/>
              </w:rPr>
              <w:t>AgForce</w:t>
            </w:r>
            <w:proofErr w:type="spellEnd"/>
            <w:r>
              <w:rPr>
                <w:rFonts w:ascii="Cambria" w:hAnsi="Cambria" w:cs="Calibri"/>
                <w:sz w:val="18"/>
                <w:szCs w:val="18"/>
              </w:rPr>
              <w:t xml:space="preserve"> Queensland and the Queensland Department of Agriculture and Fisheries to support the delivery and upgrade of the industry Best Management Practice (BMP) programs. It is aimed at increasing the use of sustainable land management practices for increased food and fibre production whilst maintaining or improving ecosystem services. BMP participants will improve their knowledge and skills through training and extension and trials of innovative practices. The Regional Landcare Facilitator will provide coordination, information and support for Landcare and production groups to encourage adoption of sustainable farm and land management practices.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This proposal aims to restore ecosystem values of urban water and coastal environments, preserve the ecological character and cultural heritage of key </w:t>
            </w:r>
            <w:proofErr w:type="spellStart"/>
            <w:r>
              <w:rPr>
                <w:rFonts w:ascii="Cambria" w:hAnsi="Cambria" w:cs="Calibri"/>
                <w:sz w:val="18"/>
                <w:szCs w:val="18"/>
              </w:rPr>
              <w:t>Ramsar</w:t>
            </w:r>
            <w:proofErr w:type="spellEnd"/>
            <w:r>
              <w:rPr>
                <w:rFonts w:ascii="Cambria" w:hAnsi="Cambria" w:cs="Calibri"/>
                <w:sz w:val="18"/>
                <w:szCs w:val="18"/>
              </w:rPr>
              <w:t xml:space="preserve"> sites, improve the conservation outcomes of EPBC-listed threatened species and ecological communities and enhance Indigenous capacity to conserve and protect natural resources. These activities will assist in making the community and ecosystems more resilient and adaptable to climate change.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$ 3,345,408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$ 7,569,760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$ 10,915,168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Reef Catchments</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Mackay Whitsunday sustainable agriculture project will provide technical support to develop, promote and report on the uptake of proven four tiered ABCD management practice frameworks across the sugar cane, grazing, horticulture, fisheries and forestry industries in the region. Industry knowledge from the sugar cane and grazing frameworks will be used to build programs and industry support in horticulture, fisheries and forestry. New industry partnerships will identify and validate new A and B class management practices and monitor their uptake to benchmark adoption. The Regional Landcare Facilitator will support sustainable production within five regional industries and undertake capacity building projects to support innovation within the intensive grazing industry.</w:t>
            </w: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This proposal will help protect the long-term future of over 20 nationally threatened species and 2 endangered ecosystems within the Mackay Whitsunday region by addressing key threats on the region’s biodiversity values as identified by Australia’s Biodiversity Conservation Strategy 2010-2030 and existing recovery plans, conservation advices and threat abatement plans. The project involves on-ground action within priority areas that are known to be vital for the long-term conservation of these key species and ecosystems.</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$ 1,499,916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$ 3,499,320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$ 4,999,236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Northern Gulf Resource Management Group</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Northern Gulf sustainable agriculture project will build the skills, knowledge and capacity of horticulturists in the Mareeba-Dimbulah Water Supply Area to improve and deliver sustainable agriculture outcomes in a changing climate. It will work with a range of partners to deliver healthy, productive and resilient agricultural landscapes. It will facilitate improved natural resource planning, management and coordination to establish baselines, identify best practice benchmarks, coordinate training and engage with farmers. The Regional Landcare Facilitator will contribute to developing a skilled and capable Landcare and farming community. The Regional Landcare Facilitator will promote the Landcare ethic and sustainable agriculture to farmers and land managers. </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This proposal aims to build Indigenous capacity for conserving and protecting natural resources, improve the knowledge of flora and fauna across four bioregions and build regional NRM skills knowledge and capacity.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$ 1,700,292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$ 3,968,800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$ 5,669,092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933161">
            <w:pPr>
              <w:rPr>
                <w:rFonts w:ascii="Cambria" w:hAnsi="Cambria" w:cs="Calibri"/>
                <w:b/>
                <w:sz w:val="18"/>
                <w:szCs w:val="18"/>
              </w:rPr>
            </w:pPr>
            <w:r>
              <w:rPr>
                <w:rFonts w:ascii="Cambria" w:hAnsi="Cambria" w:cs="Calibri"/>
                <w:b/>
                <w:sz w:val="18"/>
                <w:szCs w:val="18"/>
              </w:rPr>
              <w:t>NQ Dry Tropics</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Burdekin sustainable agriculture soils project will engage industry, local government, Traditional Owners and Landcare groups to increase the understanding of soil management within the farming community. It will reduce soil and nutrient losses, improve soil health and adopt sustainable land management practices. It will build partnerships to increase productivity across a range of primary industries. The Regional Landcare Facilitator will develop a skilled Landcare community and will deliver Caring for our Country sustainable agriculture outcomes. Activities include workshops, peer learning activities, demonstration activities, awareness raising events, and providing communications materials.</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This proposal aims to prioritise biodiversity corridors and landscape connectivity for investment in species recovery; engage and strengthen communities by building skills, knowledge and increasing volunteerism to undertake on ground projects and integrate Traditional Owners and Aboriginal knowledge and participation in Natural Resource Management.</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$ 2,676,036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$ 6,243,600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$ 8,919,636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SEQ Catchments</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South East Queensland sustainable agriculture project will deliver property management planning courses focusing on a range of land-uses and identify training opportunities. It will increase awareness and encourage current best management practices in the agricultural sector of South East Queensland. The Regional Landcare Facilitator will engage with land managers, local and regional Landcare groups, farming systems or grower groups and related community groups.</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This proposal will improve the resilience and connectivity of the Great Eastern Ranges and restore and enhance native vegetation; improve wildlife habitats in the critically endangered Lowland Rainforest of Subtropical Australia and facilitate the development of voluntary covenants with the SEQ region.</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$ 3,213,350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$ 7,569,760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$ 10,783,110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South West NRM Ltd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South West sustainable agriculture project is based on community skill, knowledge and engagement. It will issue quarterly newsletter of sustainable agriculture case studies, workshops, seminars, </w:t>
            </w:r>
            <w:proofErr w:type="gramStart"/>
            <w:r>
              <w:rPr>
                <w:rFonts w:ascii="Cambria" w:hAnsi="Cambria" w:cs="Calibri"/>
                <w:sz w:val="18"/>
                <w:szCs w:val="18"/>
              </w:rPr>
              <w:t>property</w:t>
            </w:r>
            <w:proofErr w:type="gramEnd"/>
            <w:r>
              <w:rPr>
                <w:rFonts w:ascii="Cambria" w:hAnsi="Cambria" w:cs="Calibri"/>
                <w:sz w:val="18"/>
                <w:szCs w:val="18"/>
              </w:rPr>
              <w:t xml:space="preserve"> farm resource planning and website information on natural resource management planning. It will establish four trial sites in four different catchments and utilise resource simulation models to demonstrate improvements in managing native perennial plants, soil health improvements and rotational grazing. The trial sites will be utilised in field days, workshops and seminars attended by landholders within </w:t>
            </w:r>
            <w:r>
              <w:rPr>
                <w:rFonts w:ascii="Cambria" w:hAnsi="Cambria" w:cs="Calibri"/>
                <w:sz w:val="18"/>
                <w:szCs w:val="18"/>
              </w:rPr>
              <w:lastRenderedPageBreak/>
              <w:t>each catchment. The Regional Landcare Facilitator will promote a skilled and capable Landcare community by increasing the capacity of regional land managers.</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lastRenderedPageBreak/>
              <w:t xml:space="preserve">This proposal will demonstrate and promote methods for enhancing the condition and resilience of critical drought </w:t>
            </w:r>
            <w:proofErr w:type="spellStart"/>
            <w:r>
              <w:rPr>
                <w:rFonts w:ascii="Cambria" w:hAnsi="Cambria" w:cs="Calibri"/>
                <w:sz w:val="18"/>
                <w:szCs w:val="18"/>
              </w:rPr>
              <w:t>refugia</w:t>
            </w:r>
            <w:proofErr w:type="spellEnd"/>
            <w:r>
              <w:rPr>
                <w:rFonts w:ascii="Cambria" w:hAnsi="Cambria" w:cs="Calibri"/>
                <w:sz w:val="18"/>
                <w:szCs w:val="18"/>
              </w:rPr>
              <w:t xml:space="preserve">, threatened ecological communities, </w:t>
            </w:r>
            <w:proofErr w:type="spellStart"/>
            <w:r>
              <w:rPr>
                <w:rFonts w:ascii="Cambria" w:hAnsi="Cambria" w:cs="Calibri"/>
                <w:sz w:val="18"/>
                <w:szCs w:val="18"/>
              </w:rPr>
              <w:t>Ramsar</w:t>
            </w:r>
            <w:proofErr w:type="spellEnd"/>
            <w:r>
              <w:rPr>
                <w:rFonts w:ascii="Cambria" w:hAnsi="Cambria" w:cs="Calibri"/>
                <w:sz w:val="18"/>
                <w:szCs w:val="18"/>
              </w:rPr>
              <w:t xml:space="preserve"> wetlands and other vulnerable ecosystems within the region’s highly variable climate, through engagement with rural landholders, traditional owners, industry and government. The proposal will also enhance the capacity of the Indigenous communities of south west Queensland, to conserve and protect natural sources.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$ 2,018,280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$ 4,709,320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$ 6,727,600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Southern Gulf Catchments</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Southern Gulf sustainable project will promote the adoption of grazing land best management practices through a variety of extension activities, testing of innovative tools and customisation of available research findings to suit Southern Gulf conditions. There will be a strong focus on regional prioritisation, coordination, surveillance and awareness raising activities through an established landholder network to reduce the impact of weeds on grazing lands. The Regional Landcare Facilitator will have a key role in increasing community capacity and participation in natural resource management and in promoting sustainable, low impact and innovative grazing practices to increase productivity and improve the quality of ecosystem services delivered. </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This proposal aims to improve the resilience of critical habitats across the region through weed management and protecting threatened species, build individuals, groups and organisation’s capacity to participate in NRM and deliver enhanced governance processes which allow more efficient and effective delivery of NRM outcomes.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$ 1,629,144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$ 3,799,400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$ 5,428,544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FNQ NRM LTD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Wet Tropics sustainable agriculture project will promote and support the trialling, promotion and increased adoption of innovative practices for improved natural resource management. Activities include engagement with rural landowners, industry and community groups to increase access to knowledge and skills. The Regional Landcare Facilitator will maintain and strengthen partnerships to develop leadership and improve community skills, knowledge and engagement and uptake of best management practices. Guided by a representative steering committee, the Regional Landcare Facilitator will facilitate workshops, field days and knowledge sharing opportunities for farming, fishing and community natural resource management networks. </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This project will support existing and emerging Wet Tropics community groups, coordinate whole of landscape, region-wide protection and conservation of matters of national environmental significance. It will also strengthen the leadership and capacity of the 20 Traditional Owner groups across the Wet tropics region.</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$ 2,118,468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$ 4,941,640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$ 7,060,108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Queensland Murray Darling Committee</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This project will address declining soil health and land condition, decreasing productivity, soil erosion and down-stream impacts of production by encouraging the adoption of sustainable land management practices by farmers and graziers. The project will focus on practice changes that enhance the soil health of agricultural lands and benefit water quality. The Regional Landcare Facilitator will support the Landcare community through workshop and information products. The Regional Landcare Facilitator will also develop case studies to foster the adoption of more innovative sustainable agriculture practices.</w:t>
            </w: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This proposal aims to conserve and protect nationally significant species and ecological communities in the Border Rivers and Maranoa-Balonne NRM region through on ground activities targeting restoration and protection of matters of National Environment Significance and the control of threats such as pests and weeds. The project will also build NRM community skills, knowledge and engagement and Indigenous people’s capacity for NRM through targeted activities.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$ 781,935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$ 1,859,000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$ 2,640,935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 xml:space="preserve">Torres-Strait Regional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project will focus on the role of the Regional Landcare Facilitator and seeks to expand a sustainable horticulture program across Torres Strait. In recognition of the value of traditional knowledge, skills and practices in relation to contemporary horticultural production, the Regional Landcare Facilitator will assist Indigenous communities to produce a larger quantity and wider range of higher quality fresh fruits, vegetables and herbs. Native nurseries focussed on bush foods will also be developed for revegetation projects. </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This project will provide technical support, scientific guidance and brokering on behalf of Torres Strait Island communities to achieve their aspirations to manage dugongs and margarine turtles through their Traditional owner endorsed community based dugong and turtle management plans. It will also enable TSRA to support Torres Strait communities to record and manage data about the cultural and natural values of Torres Strait through the establishment and maintenance of a regional TEK system.</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$ 1,085,040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$ 2,530,000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$ 3,615,040 </w:t>
            </w:r>
          </w:p>
        </w:tc>
      </w:tr>
      <w:tr w:rsidR="00E27931" w:rsidRPr="00AA613C" w:rsidTr="00933161">
        <w:trPr>
          <w:trHeight w:val="290"/>
        </w:trPr>
        <w:tc>
          <w:tcPr>
            <w:tcW w:w="1419"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QLD TOTAL</w:t>
            </w:r>
          </w:p>
        </w:tc>
        <w:tc>
          <w:tcPr>
            <w:tcW w:w="1408" w:type="dxa"/>
            <w:tcBorders>
              <w:bottom w:val="single" w:sz="4" w:space="0" w:color="auto"/>
            </w:tcBorders>
            <w:shd w:val="clear" w:color="auto" w:fill="auto"/>
            <w:noWrap/>
            <w:vAlign w:val="bottom"/>
            <w:hideMark/>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bottom w:val="single" w:sz="4" w:space="0" w:color="auto"/>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bottom w:val="single" w:sz="4" w:space="0" w:color="auto"/>
            </w:tcBorders>
          </w:tcPr>
          <w:p w:rsidR="00E27931" w:rsidRPr="005B2B40" w:rsidRDefault="00E27931" w:rsidP="00A41E02">
            <w:pPr>
              <w:jc w:val="right"/>
              <w:rPr>
                <w:rFonts w:asciiTheme="majorHAnsi" w:hAnsiTheme="majorHAnsi" w:cs="Calibri"/>
                <w:b/>
                <w:sz w:val="20"/>
                <w:szCs w:val="20"/>
              </w:rPr>
            </w:pPr>
            <w:r w:rsidRPr="005B2B40">
              <w:rPr>
                <w:rFonts w:asciiTheme="majorHAnsi" w:hAnsiTheme="majorHAnsi" w:cs="Calibri"/>
                <w:b/>
                <w:sz w:val="20"/>
                <w:szCs w:val="20"/>
              </w:rPr>
              <w:t>$ 97,032,845</w:t>
            </w:r>
          </w:p>
        </w:tc>
      </w:tr>
      <w:tr w:rsidR="00E27931" w:rsidRPr="00AA613C" w:rsidTr="00933161">
        <w:trPr>
          <w:trHeight w:val="290"/>
        </w:trPr>
        <w:tc>
          <w:tcPr>
            <w:tcW w:w="1419"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b/>
                <w:color w:val="000000"/>
                <w:sz w:val="20"/>
                <w:szCs w:val="20"/>
                <w:lang w:eastAsia="en-AU"/>
              </w:rPr>
            </w:pPr>
          </w:p>
        </w:tc>
        <w:tc>
          <w:tcPr>
            <w:tcW w:w="1408" w:type="dxa"/>
            <w:tcBorders>
              <w:top w:val="single" w:sz="4" w:space="0" w:color="auto"/>
              <w:left w:val="nil"/>
              <w:bottom w:val="nil"/>
              <w:right w:val="nil"/>
            </w:tcBorders>
            <w:shd w:val="clear" w:color="auto" w:fill="auto"/>
            <w:noWrap/>
            <w:vAlign w:val="bottom"/>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r>
    </w:tbl>
    <w:p w:rsidR="00933161" w:rsidRDefault="00933161">
      <w:r>
        <w:br w:type="page"/>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4677"/>
        <w:gridCol w:w="4962"/>
        <w:gridCol w:w="1408"/>
        <w:gridCol w:w="1427"/>
        <w:gridCol w:w="1418"/>
      </w:tblGrid>
      <w:tr w:rsidR="00E27931" w:rsidRPr="005B2B40" w:rsidTr="00933161">
        <w:trPr>
          <w:trHeight w:val="290"/>
        </w:trPr>
        <w:tc>
          <w:tcPr>
            <w:tcW w:w="1419" w:type="dxa"/>
            <w:tcBorders>
              <w:top w:val="nil"/>
              <w:left w:val="nil"/>
              <w:bottom w:val="single" w:sz="4" w:space="0" w:color="auto"/>
              <w:right w:val="nil"/>
            </w:tcBorders>
            <w:shd w:val="clear" w:color="auto" w:fill="auto"/>
            <w:noWrap/>
            <w:vAlign w:val="bottom"/>
          </w:tcPr>
          <w:p w:rsidR="00933161" w:rsidRDefault="0093316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p w:rsidR="00E27931" w:rsidRPr="005B2B40" w:rsidRDefault="00E27931" w:rsidP="00933161">
            <w:pPr>
              <w:tabs>
                <w:tab w:val="left" w:pos="887"/>
                <w:tab w:val="left" w:pos="3958"/>
                <w:tab w:val="left" w:pos="8614"/>
              </w:tabs>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SA</w:t>
            </w:r>
          </w:p>
        </w:tc>
        <w:tc>
          <w:tcPr>
            <w:tcW w:w="4677"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4962"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08"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27"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18"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r>
      <w:tr w:rsidR="00E27931" w:rsidRPr="005B2B40" w:rsidTr="00933161">
        <w:trPr>
          <w:trHeight w:val="290"/>
        </w:trPr>
        <w:tc>
          <w:tcPr>
            <w:tcW w:w="1419"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NRM Organisation</w:t>
            </w:r>
          </w:p>
        </w:tc>
        <w:tc>
          <w:tcPr>
            <w:tcW w:w="4677"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Agriculture Stream</w:t>
            </w:r>
          </w:p>
        </w:tc>
        <w:tc>
          <w:tcPr>
            <w:tcW w:w="4962"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Environment Stream</w:t>
            </w:r>
          </w:p>
        </w:tc>
        <w:tc>
          <w:tcPr>
            <w:tcW w:w="1408" w:type="dxa"/>
            <w:tcBorders>
              <w:top w:val="single" w:sz="4" w:space="0" w:color="auto"/>
            </w:tcBorders>
            <w:shd w:val="clear" w:color="auto" w:fill="auto"/>
            <w:noWrap/>
            <w:vAlign w:val="bottom"/>
            <w:hideMark/>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 Ag</w:t>
            </w:r>
            <w:r>
              <w:rPr>
                <w:rFonts w:asciiTheme="majorHAnsi" w:eastAsia="Times New Roman" w:hAnsiTheme="majorHAnsi" w:cs="Calibri"/>
                <w:b/>
                <w:color w:val="000000"/>
                <w:sz w:val="20"/>
                <w:szCs w:val="20"/>
                <w:lang w:eastAsia="en-AU"/>
              </w:rPr>
              <w:t>riculture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 xml:space="preserve">(GST </w:t>
            </w:r>
            <w:proofErr w:type="spellStart"/>
            <w:r w:rsidRPr="005B2B40">
              <w:rPr>
                <w:rFonts w:asciiTheme="majorHAnsi" w:eastAsia="Times New Roman" w:hAnsiTheme="majorHAnsi" w:cs="Calibri"/>
                <w:b/>
                <w:color w:val="000000"/>
                <w:sz w:val="20"/>
                <w:szCs w:val="20"/>
                <w:lang w:eastAsia="en-AU"/>
              </w:rPr>
              <w:t>Incl</w:t>
            </w:r>
            <w:proofErr w:type="spellEnd"/>
            <w:r w:rsidRPr="005B2B40">
              <w:rPr>
                <w:rFonts w:asciiTheme="majorHAnsi" w:eastAsia="Times New Roman" w:hAnsiTheme="majorHAnsi" w:cs="Calibri"/>
                <w:b/>
                <w:color w:val="000000"/>
                <w:sz w:val="20"/>
                <w:szCs w:val="20"/>
                <w:lang w:eastAsia="en-AU"/>
              </w:rPr>
              <w:t>)</w:t>
            </w:r>
          </w:p>
        </w:tc>
        <w:tc>
          <w:tcPr>
            <w:tcW w:w="1427" w:type="dxa"/>
            <w:tcBorders>
              <w:top w:val="single" w:sz="4" w:space="0" w:color="auto"/>
            </w:tcBorders>
            <w:vAlign w:val="bottom"/>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Pr>
                <w:rFonts w:asciiTheme="majorHAnsi" w:eastAsia="Times New Roman" w:hAnsiTheme="majorHAnsi" w:cs="Calibri"/>
                <w:b/>
                <w:color w:val="000000"/>
                <w:sz w:val="20"/>
                <w:szCs w:val="20"/>
                <w:lang w:eastAsia="en-AU"/>
              </w:rPr>
              <w:t>Total E</w:t>
            </w:r>
            <w:r w:rsidRPr="005B2B40">
              <w:rPr>
                <w:rFonts w:asciiTheme="majorHAnsi" w:eastAsia="Times New Roman" w:hAnsiTheme="majorHAnsi" w:cs="Calibri"/>
                <w:b/>
                <w:color w:val="000000"/>
                <w:sz w:val="20"/>
                <w:szCs w:val="20"/>
                <w:lang w:eastAsia="en-AU"/>
              </w:rPr>
              <w:t>nviro</w:t>
            </w:r>
            <w:r>
              <w:rPr>
                <w:rFonts w:asciiTheme="majorHAnsi" w:eastAsia="Times New Roman" w:hAnsiTheme="majorHAnsi" w:cs="Calibri"/>
                <w:b/>
                <w:color w:val="000000"/>
                <w:sz w:val="20"/>
                <w:szCs w:val="20"/>
                <w:lang w:eastAsia="en-AU"/>
              </w:rPr>
              <w:t>nment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(GST INCL)</w:t>
            </w:r>
          </w:p>
        </w:tc>
        <w:tc>
          <w:tcPr>
            <w:tcW w:w="1418"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Adelaide and Mount Lofty Ranges NRM Board</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Adelaide and Mount Lofty Ranges (AMLR) NRM Board’s sustainable agriculture project will engage farmers and rural land managers to improve their resource planning and management capacity to maintain productivity and their natural resource base. This will be achieved by increasing their awareness, knowledge and skills to sustainably manage natural resources. There will be industry-led innovations, events, promotion and demonstration of sustainable practices; and the adoption of land management practices that maintain productivity and improve ecosystem services. The Regional Landcare Facilitator will support the community and work with land managers, community members and groups to build capacity and encourage participation in NRM activities. </w:t>
            </w:r>
          </w:p>
          <w:p w:rsidR="00933161" w:rsidRDefault="00933161">
            <w:pPr>
              <w:rPr>
                <w:rFonts w:ascii="Cambria" w:hAnsi="Cambria" w:cs="Calibri"/>
                <w:sz w:val="18"/>
                <w:szCs w:val="18"/>
              </w:rPr>
            </w:pP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Adelaide and Mount Lofty Ranges (AMLR) NRM Board’s sustainable environment project will engage and support land managers in the rural parts of the AMLR region to increase ownership of natural resource issues and build capacity and skills in order to maintain landscape health (including within the National Reserve System). The project will do this by addressing key threatening processes to ensure the maintenance of ecosystem services and protect matters of national environmental significance.</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$ 2,801,516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$ 6,600,000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$ 9,401,516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933161">
            <w:pPr>
              <w:rPr>
                <w:rFonts w:ascii="Cambria" w:hAnsi="Cambria" w:cs="Calibri"/>
                <w:b/>
                <w:sz w:val="18"/>
                <w:szCs w:val="18"/>
              </w:rPr>
            </w:pPr>
            <w:proofErr w:type="spellStart"/>
            <w:r>
              <w:rPr>
                <w:rFonts w:ascii="Cambria" w:hAnsi="Cambria" w:cs="Calibri"/>
                <w:b/>
                <w:sz w:val="18"/>
                <w:szCs w:val="18"/>
              </w:rPr>
              <w:t>Alinytjara</w:t>
            </w:r>
            <w:proofErr w:type="spellEnd"/>
            <w:r>
              <w:rPr>
                <w:rFonts w:ascii="Cambria" w:hAnsi="Cambria" w:cs="Calibri"/>
                <w:b/>
                <w:sz w:val="18"/>
                <w:szCs w:val="18"/>
              </w:rPr>
              <w:t xml:space="preserve"> </w:t>
            </w:r>
            <w:proofErr w:type="spellStart"/>
            <w:r>
              <w:rPr>
                <w:rFonts w:ascii="Cambria" w:hAnsi="Cambria" w:cs="Calibri"/>
                <w:b/>
                <w:sz w:val="18"/>
                <w:szCs w:val="18"/>
              </w:rPr>
              <w:t>Wilurara</w:t>
            </w:r>
            <w:proofErr w:type="spellEnd"/>
            <w:r>
              <w:rPr>
                <w:rFonts w:ascii="Cambria" w:hAnsi="Cambria" w:cs="Calibri"/>
                <w:b/>
                <w:sz w:val="18"/>
                <w:szCs w:val="18"/>
              </w:rPr>
              <w:t xml:space="preserve"> NRM Board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w:t>
            </w:r>
            <w:proofErr w:type="spellStart"/>
            <w:r>
              <w:rPr>
                <w:rFonts w:ascii="Cambria" w:hAnsi="Cambria" w:cs="Calibri"/>
                <w:sz w:val="18"/>
                <w:szCs w:val="18"/>
              </w:rPr>
              <w:t>Alinytjara</w:t>
            </w:r>
            <w:proofErr w:type="spellEnd"/>
            <w:r>
              <w:rPr>
                <w:rFonts w:ascii="Cambria" w:hAnsi="Cambria" w:cs="Calibri"/>
                <w:sz w:val="18"/>
                <w:szCs w:val="18"/>
              </w:rPr>
              <w:t xml:space="preserve"> </w:t>
            </w:r>
            <w:proofErr w:type="spellStart"/>
            <w:r>
              <w:rPr>
                <w:rFonts w:ascii="Cambria" w:hAnsi="Cambria" w:cs="Calibri"/>
                <w:sz w:val="18"/>
                <w:szCs w:val="18"/>
              </w:rPr>
              <w:t>Wilurara</w:t>
            </w:r>
            <w:proofErr w:type="spellEnd"/>
            <w:r>
              <w:rPr>
                <w:rFonts w:ascii="Cambria" w:hAnsi="Cambria" w:cs="Calibri"/>
                <w:sz w:val="18"/>
                <w:szCs w:val="18"/>
              </w:rPr>
              <w:t xml:space="preserve"> NRM Board’s sustainable agriculture project will build on previous work with Environmental Management and Understanding methodology and be driven by Traditional Owners in </w:t>
            </w:r>
            <w:proofErr w:type="spellStart"/>
            <w:r>
              <w:rPr>
                <w:rFonts w:ascii="Cambria" w:hAnsi="Cambria" w:cs="Calibri"/>
                <w:sz w:val="18"/>
                <w:szCs w:val="18"/>
              </w:rPr>
              <w:t>Anangu</w:t>
            </w:r>
            <w:proofErr w:type="spellEnd"/>
            <w:r>
              <w:rPr>
                <w:rFonts w:ascii="Cambria" w:hAnsi="Cambria" w:cs="Calibri"/>
                <w:sz w:val="18"/>
                <w:szCs w:val="18"/>
              </w:rPr>
              <w:t xml:space="preserve"> Pitjantjatjara </w:t>
            </w:r>
            <w:proofErr w:type="spellStart"/>
            <w:r>
              <w:rPr>
                <w:rFonts w:ascii="Cambria" w:hAnsi="Cambria" w:cs="Calibri"/>
                <w:sz w:val="18"/>
                <w:szCs w:val="18"/>
              </w:rPr>
              <w:t>Yankunytjatjara</w:t>
            </w:r>
            <w:proofErr w:type="spellEnd"/>
            <w:r>
              <w:rPr>
                <w:rFonts w:ascii="Cambria" w:hAnsi="Cambria" w:cs="Calibri"/>
                <w:sz w:val="18"/>
                <w:szCs w:val="18"/>
              </w:rPr>
              <w:t xml:space="preserve"> and Maralinga Yalata Lands. It will improve the viability of grazing businesses through education, demonstration and trials. Two part-time Regional Landcare Facilitators will expand on community capacity building initiatives already underway, and in collaboration with successful programs in South Australian Arid Land and Northern Territory, it will support the planning and implementation of on-ground actions to achieve objectives.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w:t>
            </w:r>
            <w:proofErr w:type="spellStart"/>
            <w:r>
              <w:rPr>
                <w:rFonts w:ascii="Cambria" w:hAnsi="Cambria" w:cs="Calibri"/>
                <w:sz w:val="18"/>
                <w:szCs w:val="18"/>
              </w:rPr>
              <w:t>Alinytjara</w:t>
            </w:r>
            <w:proofErr w:type="spellEnd"/>
            <w:r>
              <w:rPr>
                <w:rFonts w:ascii="Cambria" w:hAnsi="Cambria" w:cs="Calibri"/>
                <w:sz w:val="18"/>
                <w:szCs w:val="18"/>
              </w:rPr>
              <w:t xml:space="preserve"> </w:t>
            </w:r>
            <w:proofErr w:type="spellStart"/>
            <w:r>
              <w:rPr>
                <w:rFonts w:ascii="Cambria" w:hAnsi="Cambria" w:cs="Calibri"/>
                <w:sz w:val="18"/>
                <w:szCs w:val="18"/>
              </w:rPr>
              <w:t>Wilurara</w:t>
            </w:r>
            <w:proofErr w:type="spellEnd"/>
            <w:r>
              <w:rPr>
                <w:rFonts w:ascii="Cambria" w:hAnsi="Cambria" w:cs="Calibri"/>
                <w:sz w:val="18"/>
                <w:szCs w:val="18"/>
              </w:rPr>
              <w:t xml:space="preserve"> NRM Board’s sustainable environment projects include a mix of on-ground works and capacity building. The projects include: Culture and Conservation: implementing landscape ecosystem management in the </w:t>
            </w:r>
            <w:proofErr w:type="spellStart"/>
            <w:r>
              <w:rPr>
                <w:rFonts w:ascii="Cambria" w:hAnsi="Cambria" w:cs="Calibri"/>
                <w:sz w:val="18"/>
                <w:szCs w:val="18"/>
              </w:rPr>
              <w:t>Alinytjara</w:t>
            </w:r>
            <w:proofErr w:type="spellEnd"/>
            <w:r>
              <w:rPr>
                <w:rFonts w:ascii="Cambria" w:hAnsi="Cambria" w:cs="Calibri"/>
                <w:sz w:val="18"/>
                <w:szCs w:val="18"/>
              </w:rPr>
              <w:t xml:space="preserve"> </w:t>
            </w:r>
            <w:proofErr w:type="spellStart"/>
            <w:r>
              <w:rPr>
                <w:rFonts w:ascii="Cambria" w:hAnsi="Cambria" w:cs="Calibri"/>
                <w:sz w:val="18"/>
                <w:szCs w:val="18"/>
              </w:rPr>
              <w:t>Wilurara</w:t>
            </w:r>
            <w:proofErr w:type="spellEnd"/>
            <w:r>
              <w:rPr>
                <w:rFonts w:ascii="Cambria" w:hAnsi="Cambria" w:cs="Calibri"/>
                <w:sz w:val="18"/>
                <w:szCs w:val="18"/>
              </w:rPr>
              <w:t xml:space="preserve"> NRM region will build on the foundation of the previous Caring for our country investment; and the community, culture and conservation: building indigenous capacity in natural resources management project aims to increase the number of Aboriginal people engaged and employed in the natural resources management by 20% over 5 years. The two projects will deliver key outcomes to better protect and conserve nationally and internationally significant ecosystems, species, ecological communities and landscapes and build the capacity of the community to deliver these outcomes.</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$ 2,311,320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$ 5,393,500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$ 7,704,820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933161">
            <w:pPr>
              <w:rPr>
                <w:rFonts w:ascii="Cambria" w:hAnsi="Cambria" w:cs="Calibri"/>
                <w:b/>
                <w:sz w:val="18"/>
                <w:szCs w:val="18"/>
              </w:rPr>
            </w:pPr>
            <w:r>
              <w:rPr>
                <w:rFonts w:ascii="Cambria" w:hAnsi="Cambria" w:cs="Calibri"/>
                <w:b/>
                <w:sz w:val="18"/>
                <w:szCs w:val="18"/>
              </w:rPr>
              <w:t>Eyre Peninsula NRM Board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Eyre Peninsula NRM Board’s sustainable agriculture project will utilise the network of farmer-based community groups to encourage the adoption of improved land management practices. These new practices will be on demonstration/trial sites showing pastures for low/medium rainfall zones, stock feed utilisation with controlled grazing and temporary fencing; water point relocation; fencing to land class; stubble retention and increased vegetative ground cover for low/medium rainfall zones and soils subject to erosion potential. Other activities will include technical support, </w:t>
            </w:r>
            <w:r>
              <w:rPr>
                <w:rFonts w:ascii="Cambria" w:hAnsi="Cambria" w:cs="Calibri"/>
                <w:sz w:val="18"/>
                <w:szCs w:val="18"/>
              </w:rPr>
              <w:lastRenderedPageBreak/>
              <w:t>field days, spring crop walks and a Communications &amp; Engagement Strategy. The Eyre Peninsula NRM Board will employ three part-time Regional Landcare Facilitators.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lastRenderedPageBreak/>
              <w:t xml:space="preserve">The Eyre Peninsula NRM Board’s sustainable environment project will implement an on-ground works and incentives program targeting priority species/ecosystems with conservation value that lie primarily in the Eyre Hills, </w:t>
            </w:r>
            <w:proofErr w:type="spellStart"/>
            <w:r>
              <w:rPr>
                <w:rFonts w:ascii="Cambria" w:hAnsi="Cambria" w:cs="Calibri"/>
                <w:sz w:val="18"/>
                <w:szCs w:val="18"/>
              </w:rPr>
              <w:t>WildEyre</w:t>
            </w:r>
            <w:proofErr w:type="spellEnd"/>
            <w:r>
              <w:rPr>
                <w:rFonts w:ascii="Cambria" w:hAnsi="Cambria" w:cs="Calibri"/>
                <w:sz w:val="18"/>
                <w:szCs w:val="18"/>
              </w:rPr>
              <w:t xml:space="preserve"> and coastal zone, and on indigenous lands. Works will: reduce the impact and spread of Weeds of National Significance; support regional fox/rabbit control; assist threatened species recovery; enhance the condition and extent of valuable native habitats/corridors; restore coastal environments; and support aboriginal involvement. These will be complemented by activities that build the capacity of </w:t>
            </w:r>
            <w:r>
              <w:rPr>
                <w:rFonts w:ascii="Cambria" w:hAnsi="Cambria" w:cs="Calibri"/>
                <w:sz w:val="18"/>
                <w:szCs w:val="18"/>
              </w:rPr>
              <w:lastRenderedPageBreak/>
              <w:t>the region’s community to participate in the management, conservation and monitoring of the region’s environmental assets.</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lastRenderedPageBreak/>
              <w:t xml:space="preserve">$ 2,432,760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$ 5,675,994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$ 8,108,754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Kangaroo Island NRM Board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Kangaroo Island Natural Resource Management Board will deliver a sustainable agriculture project that will significantly upgrade the island’s </w:t>
            </w:r>
            <w:proofErr w:type="spellStart"/>
            <w:r>
              <w:rPr>
                <w:rFonts w:ascii="Cambria" w:hAnsi="Cambria" w:cs="Calibri"/>
                <w:sz w:val="18"/>
                <w:szCs w:val="18"/>
              </w:rPr>
              <w:t>biosecurity</w:t>
            </w:r>
            <w:proofErr w:type="spellEnd"/>
            <w:r>
              <w:rPr>
                <w:rFonts w:ascii="Cambria" w:hAnsi="Cambria" w:cs="Calibri"/>
                <w:sz w:val="18"/>
                <w:szCs w:val="18"/>
              </w:rPr>
              <w:t xml:space="preserve"> and safeguard primary industries from new incursions of alien species. It will engage the rural community to become the front line defence against new pest invasions by delivering educational programs of community-based surveillance and best practice procedures. The Regional Landcare Facilitator role will include the fishing and aquaculture sectors and expose groups and individuals to new or innovative activities and practices and support their adoption through trial and demonstration sites.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Kangaroo Island (KI) NRM Board’s sustainable environment projects will: 1/ work with land managers to improve riparian, freshwater, estuarine and marine habitats and biodiversity in six major coastal catchments on KI through targeting of nutrient and sediment runoff sources , and seagrass restoration; 2/manage and eradicate current high risk pest plants and animals on KI, including feral deer, pig, cat and peacocks, and Weeds of National Significance; and 3/ implement a capacity building, surveillance and visitor education program to build a frontline defence against new pest invasions and existing infestations carried to KI, adopting an approach of prevention rather than cure. </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$ 1,566,840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$ 3,656,400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$ 5,223,240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933161">
            <w:pPr>
              <w:rPr>
                <w:rFonts w:ascii="Cambria" w:hAnsi="Cambria" w:cs="Calibri"/>
                <w:b/>
                <w:sz w:val="18"/>
                <w:szCs w:val="18"/>
              </w:rPr>
            </w:pPr>
            <w:r>
              <w:rPr>
                <w:rFonts w:ascii="Cambria" w:hAnsi="Cambria" w:cs="Calibri"/>
                <w:b/>
                <w:sz w:val="18"/>
                <w:szCs w:val="18"/>
              </w:rPr>
              <w:t xml:space="preserve">Northern and </w:t>
            </w:r>
            <w:proofErr w:type="spellStart"/>
            <w:r>
              <w:rPr>
                <w:rFonts w:ascii="Cambria" w:hAnsi="Cambria" w:cs="Calibri"/>
                <w:b/>
                <w:sz w:val="18"/>
                <w:szCs w:val="18"/>
              </w:rPr>
              <w:t>Yorke</w:t>
            </w:r>
            <w:proofErr w:type="spellEnd"/>
            <w:r>
              <w:rPr>
                <w:rFonts w:ascii="Cambria" w:hAnsi="Cambria" w:cs="Calibri"/>
                <w:b/>
                <w:sz w:val="18"/>
                <w:szCs w:val="18"/>
              </w:rPr>
              <w:t xml:space="preserve"> NRM Board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Northern &amp; </w:t>
            </w:r>
            <w:proofErr w:type="spellStart"/>
            <w:r>
              <w:rPr>
                <w:rFonts w:ascii="Cambria" w:hAnsi="Cambria" w:cs="Calibri"/>
                <w:sz w:val="18"/>
                <w:szCs w:val="18"/>
              </w:rPr>
              <w:t>Yorke</w:t>
            </w:r>
            <w:proofErr w:type="spellEnd"/>
            <w:r>
              <w:rPr>
                <w:rFonts w:ascii="Cambria" w:hAnsi="Cambria" w:cs="Calibri"/>
                <w:sz w:val="18"/>
                <w:szCs w:val="18"/>
              </w:rPr>
              <w:t xml:space="preserve"> NRM Board’s sustainable agriculture project will provide land managers with innovative and best-practice knowledge and skills to reduce the effects of water and wind erosion, improve soil condition, increase biological activity, reduce risks from pest plants and animals and counter soil acidity. Many of the region’s key grower and landholder groups will be directly involved as delivery agents. The Regional Landcare Facilitator will support the outcomes for soil cover and soil condition by building the production and resource management skills and knowledge of farmers and advisors and improving farm and resource management practices and sustainability.</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Northern &amp; </w:t>
            </w:r>
            <w:proofErr w:type="spellStart"/>
            <w:r>
              <w:rPr>
                <w:rFonts w:ascii="Cambria" w:hAnsi="Cambria" w:cs="Calibri"/>
                <w:sz w:val="18"/>
                <w:szCs w:val="18"/>
              </w:rPr>
              <w:t>Yorke</w:t>
            </w:r>
            <w:proofErr w:type="spellEnd"/>
            <w:r>
              <w:rPr>
                <w:rFonts w:ascii="Cambria" w:hAnsi="Cambria" w:cs="Calibri"/>
                <w:sz w:val="18"/>
                <w:szCs w:val="18"/>
              </w:rPr>
              <w:t xml:space="preserve"> NRM Board’s sustainable environment project will improve the management and state of environmental assets across the region by: improving the condition and connectivity of remnant vegetation and management of native grasslands; improving the status of at least 10 EPBC-listed flora species as well as other significant species/communities; controlling feral animals and reducing the impact/spread of Weeds of National Significance (including collaborative delivery on Aboriginal lands); delivering a community engagement program (that includes schools), to increase participation rates; undertaking biodiversity Conservation Action Planning, and producing an annual regional publication to promote biodiversity conservation.</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$ 2,068,440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$ 4,826,800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$ 6,895,240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South </w:t>
            </w:r>
            <w:r w:rsidR="00933161">
              <w:rPr>
                <w:rFonts w:ascii="Cambria" w:hAnsi="Cambria" w:cs="Calibri"/>
                <w:b/>
                <w:sz w:val="18"/>
                <w:szCs w:val="18"/>
              </w:rPr>
              <w:t>Australian Arid Lands NRM Board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South Australian Arid Lands NRM Board’s sustainable agriculture project will assist land managers to make informed and timely decisions to manage the nutritional value and extent of native pastures. It will also assist land managers to improve management of soil structure and stability and its nutrient and water availability. Through extension and demonstrations, landholders will learn how to manage the productive capacity of their natural pastures more sustainably. The project also incorporates funding for the Regional Landcare Facilitator position who will engage with land managers, farming groups and Landcare groups to support the achievement of Sustainable Agriculture outcomes. </w:t>
            </w: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South Australian Arid Lands NRM Board’s sustainable environment projects are divided into two parts of on-ground works and capacity building. The projects include: building community capacity to be involved in NRM planning and to undertake NRM activities, including land managers, town communities and Indigenous communities; and implementing on-ground action to maintain and improve habitat for ecosystem services and conservation of species of national significance. Both projects are closely linked and contribute to the overarching Caring for our Country investment themes.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$ 2,189,880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$ 5,108,400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$ 7,298,280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 xml:space="preserve">South Australian Murray-Darling Basin </w:t>
            </w:r>
            <w:r w:rsidR="00933161" w:rsidRPr="00933161">
              <w:rPr>
                <w:rFonts w:ascii="Cambria" w:hAnsi="Cambria" w:cs="Calibri"/>
                <w:b/>
                <w:sz w:val="18"/>
                <w:szCs w:val="18"/>
              </w:rPr>
              <w:t>NRM Board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South Australian Murray-Darling Basin NRM Board’s sustainable agriculture project will work closely with agricultural communities and utilise community/primary producer networks in the focus areas of Murray-</w:t>
            </w:r>
            <w:proofErr w:type="spellStart"/>
            <w:r>
              <w:rPr>
                <w:rFonts w:ascii="Cambria" w:hAnsi="Cambria" w:cs="Calibri"/>
                <w:sz w:val="18"/>
                <w:szCs w:val="18"/>
              </w:rPr>
              <w:t>Mallee</w:t>
            </w:r>
            <w:proofErr w:type="spellEnd"/>
            <w:r>
              <w:rPr>
                <w:rFonts w:ascii="Cambria" w:hAnsi="Cambria" w:cs="Calibri"/>
                <w:sz w:val="18"/>
                <w:szCs w:val="18"/>
              </w:rPr>
              <w:t xml:space="preserve">, Eastern Mount Lofty Ranges, South Australian Murray Darling Board Rangelands and the River Corridor. It will improve agricultural landscapes and further build the knowledge and practical ability of farmers in both </w:t>
            </w:r>
            <w:proofErr w:type="spellStart"/>
            <w:r>
              <w:rPr>
                <w:rFonts w:ascii="Cambria" w:hAnsi="Cambria" w:cs="Calibri"/>
                <w:sz w:val="18"/>
                <w:szCs w:val="18"/>
              </w:rPr>
              <w:t>dryland</w:t>
            </w:r>
            <w:proofErr w:type="spellEnd"/>
            <w:r>
              <w:rPr>
                <w:rFonts w:ascii="Cambria" w:hAnsi="Cambria" w:cs="Calibri"/>
                <w:sz w:val="18"/>
                <w:szCs w:val="18"/>
              </w:rPr>
              <w:t xml:space="preserve"> and irrigated agricultural industries. It will identify where and how to modify agricultural practices and achieve soil conservation outcomes. The Regional Landcare Facilitator will facilitate relationships between the regional organisation and communities and development of a skilled and capable Landcare community. </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South Australian Murray-Darling Basin NRM Board’s sustainable environment projects include a mix of on-ground works and community engagement activities to deliver the Caring for our Country outcomes in the SAMDB region. Projects include: protecting and restoring the diverse values and ecological character of the Riverland </w:t>
            </w:r>
            <w:proofErr w:type="spellStart"/>
            <w:r>
              <w:rPr>
                <w:rFonts w:ascii="Cambria" w:hAnsi="Cambria" w:cs="Calibri"/>
                <w:sz w:val="18"/>
                <w:szCs w:val="18"/>
              </w:rPr>
              <w:t>Ramsar</w:t>
            </w:r>
            <w:proofErr w:type="spellEnd"/>
            <w:r>
              <w:rPr>
                <w:rFonts w:ascii="Cambria" w:hAnsi="Cambria" w:cs="Calibri"/>
                <w:sz w:val="18"/>
                <w:szCs w:val="18"/>
              </w:rPr>
              <w:t xml:space="preserve"> Site; projecting and conserving nationally significant species and ecosystems of the South Australian Murray-Darling; and building NRM community skills, knowledge and engagement in the South Australian Murray-Darling Basin.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$ 6,012,168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$ 14,163,599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$ 20,175,767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South East NRM Board</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South East NRM Board’s sustainable agriculture project will increase the knowledge and skills of land managers and the broader community in managing soil erosion, soil acidification, soil fertility and the protection of its water resources. It will improve productivity and provide farm resilience. Technical advice will be provided on demonstration farms where field days, farm walks and innovative trials will be conducted. Extension material will also be provided through workshops and a range of communications. The Regional Landcare Facilitator will provide up-to-date information and encourage collaboration among agricultural industries. This will build the capacity of the community to move towards a more sustainable and prosperous future. </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South East NRM Board’s sustainable environment projects will deliver outcomes to better protect and conserve nationally significant ecosystems, species and ecological communities. The projects will focus on: restoration of Seasonal Herbaceous Wetlands of the Temperate Lowland Plains that are important habitat for EPBC listed species; threat abatement from deer, goats, pigs and rabbits; and improvement and restoration of habitats for EPBC listed species and threatened ecological communities through various management actions (fencing, buffering, linking, invasive weed control, regeneration burn trials and revegetation). A widespread extension program will improve the skills and knowledge of the community to manage these habitats.</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$ 3,029,453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$ 7,136,800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$ 10,166,253 </w:t>
            </w:r>
          </w:p>
        </w:tc>
      </w:tr>
      <w:tr w:rsidR="00E27931" w:rsidRPr="00AA613C" w:rsidTr="00933161">
        <w:trPr>
          <w:trHeight w:val="290"/>
        </w:trPr>
        <w:tc>
          <w:tcPr>
            <w:tcW w:w="1419"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SA TOTAL</w:t>
            </w:r>
          </w:p>
        </w:tc>
        <w:tc>
          <w:tcPr>
            <w:tcW w:w="1408" w:type="dxa"/>
            <w:tcBorders>
              <w:bottom w:val="single" w:sz="4" w:space="0" w:color="auto"/>
            </w:tcBorders>
            <w:shd w:val="clear" w:color="auto" w:fill="auto"/>
            <w:noWrap/>
            <w:vAlign w:val="bottom"/>
            <w:hideMark/>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bottom w:val="single" w:sz="4" w:space="0" w:color="auto"/>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bottom w:val="single" w:sz="4" w:space="0" w:color="auto"/>
            </w:tcBorders>
          </w:tcPr>
          <w:p w:rsidR="00E27931" w:rsidRPr="005B2B40" w:rsidRDefault="00E27931" w:rsidP="00A41E02">
            <w:pPr>
              <w:jc w:val="right"/>
              <w:rPr>
                <w:rFonts w:asciiTheme="majorHAnsi" w:hAnsiTheme="majorHAnsi" w:cs="Calibri"/>
                <w:b/>
                <w:sz w:val="20"/>
                <w:szCs w:val="20"/>
              </w:rPr>
            </w:pPr>
            <w:r w:rsidRPr="005B2B40">
              <w:rPr>
                <w:rFonts w:asciiTheme="majorHAnsi" w:hAnsiTheme="majorHAnsi" w:cs="Calibri"/>
                <w:b/>
                <w:sz w:val="20"/>
                <w:szCs w:val="20"/>
              </w:rPr>
              <w:t>$ 74,973,870</w:t>
            </w:r>
          </w:p>
        </w:tc>
      </w:tr>
      <w:tr w:rsidR="00E27931" w:rsidRPr="00AA613C" w:rsidTr="00933161">
        <w:trPr>
          <w:trHeight w:val="290"/>
        </w:trPr>
        <w:tc>
          <w:tcPr>
            <w:tcW w:w="1419" w:type="dxa"/>
            <w:tcBorders>
              <w:top w:val="single" w:sz="4" w:space="0" w:color="auto"/>
              <w:left w:val="nil"/>
              <w:bottom w:val="nil"/>
              <w:right w:val="nil"/>
            </w:tcBorders>
            <w:shd w:val="clear" w:color="auto" w:fill="auto"/>
            <w:noWrap/>
            <w:vAlign w:val="bottom"/>
          </w:tcPr>
          <w:p w:rsidR="00E27931" w:rsidRDefault="00E27931" w:rsidP="00866E6B">
            <w:pPr>
              <w:rPr>
                <w:rFonts w:asciiTheme="majorHAnsi" w:eastAsia="Times New Roman" w:hAnsiTheme="majorHAnsi" w:cs="Calibri"/>
                <w:color w:val="000000"/>
                <w:sz w:val="20"/>
                <w:szCs w:val="20"/>
                <w:lang w:eastAsia="en-AU"/>
              </w:rPr>
            </w:pPr>
          </w:p>
          <w:p w:rsidR="00933161" w:rsidRPr="00AA613C" w:rsidRDefault="00933161" w:rsidP="00866E6B">
            <w:pPr>
              <w:rPr>
                <w:rFonts w:asciiTheme="majorHAnsi" w:eastAsia="Times New Roman" w:hAnsiTheme="majorHAnsi" w:cs="Calibri"/>
                <w:color w:val="000000"/>
                <w:sz w:val="20"/>
                <w:szCs w:val="20"/>
                <w:lang w:eastAsia="en-AU"/>
              </w:rPr>
            </w:pPr>
          </w:p>
        </w:tc>
        <w:tc>
          <w:tcPr>
            <w:tcW w:w="4677"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b/>
                <w:color w:val="000000"/>
                <w:sz w:val="20"/>
                <w:szCs w:val="20"/>
                <w:lang w:eastAsia="en-AU"/>
              </w:rPr>
            </w:pPr>
          </w:p>
        </w:tc>
        <w:tc>
          <w:tcPr>
            <w:tcW w:w="1408" w:type="dxa"/>
            <w:tcBorders>
              <w:top w:val="single" w:sz="4" w:space="0" w:color="auto"/>
              <w:left w:val="nil"/>
              <w:bottom w:val="nil"/>
              <w:right w:val="nil"/>
            </w:tcBorders>
            <w:shd w:val="clear" w:color="auto" w:fill="auto"/>
            <w:noWrap/>
            <w:vAlign w:val="bottom"/>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r>
    </w:tbl>
    <w:p w:rsidR="00933161" w:rsidRDefault="00933161">
      <w:r>
        <w:br w:type="page"/>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4677"/>
        <w:gridCol w:w="4962"/>
        <w:gridCol w:w="1408"/>
        <w:gridCol w:w="1427"/>
        <w:gridCol w:w="1418"/>
      </w:tblGrid>
      <w:tr w:rsidR="00E27931" w:rsidRPr="005B2B40" w:rsidTr="00933161">
        <w:trPr>
          <w:trHeight w:val="290"/>
        </w:trPr>
        <w:tc>
          <w:tcPr>
            <w:tcW w:w="1419"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lastRenderedPageBreak/>
              <w:t>TAS</w:t>
            </w:r>
          </w:p>
        </w:tc>
        <w:tc>
          <w:tcPr>
            <w:tcW w:w="4677"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4962"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08"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27"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18"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r>
      <w:tr w:rsidR="00E27931" w:rsidRPr="005B2B40" w:rsidTr="00933161">
        <w:trPr>
          <w:trHeight w:val="290"/>
        </w:trPr>
        <w:tc>
          <w:tcPr>
            <w:tcW w:w="1419"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NRM Organisation</w:t>
            </w:r>
          </w:p>
        </w:tc>
        <w:tc>
          <w:tcPr>
            <w:tcW w:w="4677"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Agriculture Stream</w:t>
            </w:r>
          </w:p>
        </w:tc>
        <w:tc>
          <w:tcPr>
            <w:tcW w:w="4962"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Environment Stream</w:t>
            </w:r>
          </w:p>
        </w:tc>
        <w:tc>
          <w:tcPr>
            <w:tcW w:w="1408" w:type="dxa"/>
            <w:tcBorders>
              <w:top w:val="single" w:sz="4" w:space="0" w:color="auto"/>
            </w:tcBorders>
            <w:shd w:val="clear" w:color="auto" w:fill="auto"/>
            <w:noWrap/>
            <w:vAlign w:val="bottom"/>
            <w:hideMark/>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 Ag</w:t>
            </w:r>
            <w:r>
              <w:rPr>
                <w:rFonts w:asciiTheme="majorHAnsi" w:eastAsia="Times New Roman" w:hAnsiTheme="majorHAnsi" w:cs="Calibri"/>
                <w:b/>
                <w:color w:val="000000"/>
                <w:sz w:val="20"/>
                <w:szCs w:val="20"/>
                <w:lang w:eastAsia="en-AU"/>
              </w:rPr>
              <w:t>riculture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 xml:space="preserve">(GST </w:t>
            </w:r>
            <w:proofErr w:type="spellStart"/>
            <w:r w:rsidRPr="005B2B40">
              <w:rPr>
                <w:rFonts w:asciiTheme="majorHAnsi" w:eastAsia="Times New Roman" w:hAnsiTheme="majorHAnsi" w:cs="Calibri"/>
                <w:b/>
                <w:color w:val="000000"/>
                <w:sz w:val="20"/>
                <w:szCs w:val="20"/>
                <w:lang w:eastAsia="en-AU"/>
              </w:rPr>
              <w:t>Incl</w:t>
            </w:r>
            <w:proofErr w:type="spellEnd"/>
            <w:r w:rsidRPr="005B2B40">
              <w:rPr>
                <w:rFonts w:asciiTheme="majorHAnsi" w:eastAsia="Times New Roman" w:hAnsiTheme="majorHAnsi" w:cs="Calibri"/>
                <w:b/>
                <w:color w:val="000000"/>
                <w:sz w:val="20"/>
                <w:szCs w:val="20"/>
                <w:lang w:eastAsia="en-AU"/>
              </w:rPr>
              <w:t>)</w:t>
            </w:r>
          </w:p>
        </w:tc>
        <w:tc>
          <w:tcPr>
            <w:tcW w:w="1427" w:type="dxa"/>
            <w:tcBorders>
              <w:top w:val="single" w:sz="4" w:space="0" w:color="auto"/>
            </w:tcBorders>
            <w:vAlign w:val="bottom"/>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Pr>
                <w:rFonts w:asciiTheme="majorHAnsi" w:eastAsia="Times New Roman" w:hAnsiTheme="majorHAnsi" w:cs="Calibri"/>
                <w:b/>
                <w:color w:val="000000"/>
                <w:sz w:val="20"/>
                <w:szCs w:val="20"/>
                <w:lang w:eastAsia="en-AU"/>
              </w:rPr>
              <w:t>Total E</w:t>
            </w:r>
            <w:r w:rsidRPr="005B2B40">
              <w:rPr>
                <w:rFonts w:asciiTheme="majorHAnsi" w:eastAsia="Times New Roman" w:hAnsiTheme="majorHAnsi" w:cs="Calibri"/>
                <w:b/>
                <w:color w:val="000000"/>
                <w:sz w:val="20"/>
                <w:szCs w:val="20"/>
                <w:lang w:eastAsia="en-AU"/>
              </w:rPr>
              <w:t>nviro</w:t>
            </w:r>
            <w:r>
              <w:rPr>
                <w:rFonts w:asciiTheme="majorHAnsi" w:eastAsia="Times New Roman" w:hAnsiTheme="majorHAnsi" w:cs="Calibri"/>
                <w:b/>
                <w:color w:val="000000"/>
                <w:sz w:val="20"/>
                <w:szCs w:val="20"/>
                <w:lang w:eastAsia="en-AU"/>
              </w:rPr>
              <w:t>nment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(GST INCL)</w:t>
            </w:r>
          </w:p>
        </w:tc>
        <w:tc>
          <w:tcPr>
            <w:tcW w:w="1418"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Cradle Coast NRM</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Cradle Coast NRM will incorporate a range of extension, communication and capacity building activities focused on key assets and issues that are at significant risk from the rapid expansion of the horticulture and dairy sectors. Sustainability and innovation trials with industry participants will be built on by facilitating and supporting further trials and sharing relevant information and results to the broader community. It will collaborate and support extension activities of regional stakeholders and partners. The Regional Landcare Facilitator position will be split into two part time positions, with one based on King Island. The Facilitators will offer support services including advice, communications, events and workshops. </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Cradle Coast NRM has based this project on a holistic approach that reflects the Australian Government’s Regional Delivery 2013-18 Applicant guidelines and the Cradle Coast Regional NRM Strategy. This document has been developed to reflect the priorities identified at local and region level, but also incorporates State and National priorities. In addition the strategy was developed with significant community and stakeholder consultation, and reviewed with additional consultation in 2010. This process has engaged the regional community and stakeholders in shaping NRM planning and priorities and used a rationale and structure that outlined and documented in the strategy. This provides a level of familiarity that will be important in the communication, support and engagement in proposed programs and activities in the regional community.</w:t>
            </w:r>
          </w:p>
          <w:p w:rsidR="00933161" w:rsidRDefault="00933161">
            <w:pPr>
              <w:rPr>
                <w:rFonts w:ascii="Cambria" w:hAnsi="Cambria" w:cs="Calibri"/>
                <w:sz w:val="18"/>
                <w:szCs w:val="18"/>
              </w:rPr>
            </w:pP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$ 2,432,760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$ 5,676,000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$ 8,108,760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NRM North</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NRM North uses multiple delivery mechanisms such as action orientated learning, on-ground activities and property management planning to deliver the program. Property Management Planning will give landholders the required tools and information to make informed decisions to ensure a productive landscape whilst maintaining ecosystem services. Industry-funded incentives program will enhance Management planning by providing landholders with a framework to identify on-ground activities to undertake. The Regional Landcare Facilitator will be split between 2 part time positions – one involved with action orientated learning and productivity and with industry and research group liaison; and the other supporting community group facilitation.</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proposal has been engineered to actively engage a broad stakeholder base with tailored activities to target and actively engage key sectors (i.e. agriculture, grazing, rural lifestyle, industry and government and research institutions). Project activities are designed to provide a progression of activities ranging from resource assessment and prioritisation, awareness, skills development and increasing capacity to implement on-ground activities and affect management change. The range of activities will enable multiple entry points to enable project activity participants to join the project at levels that suits their personal needs (i.e. from building understanding and skills to implementation of new management practices).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$ 2,676,960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$ 6,248,000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$ 8,924,960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NRM South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NRM South will support fishing and aquaculture industries to identify and adopt sustainable practices at sea, through their terrestrial operations and on coastal land adjoining operations. Priorities will be developed in partnership with the industry level of action. Landcare capacity building activities such as workshops; farm and site-based trials and demonstrations; awareness-raising events, such as field days and industry tours; extension activities; and web-based capacity building will be achieved. The Regional Landcare Facilitator will provide information on NRM issues and appropriate management actions, inform relevant groups of funding opportunities, </w:t>
            </w:r>
            <w:r>
              <w:rPr>
                <w:rFonts w:ascii="Cambria" w:hAnsi="Cambria" w:cs="Calibri"/>
                <w:sz w:val="18"/>
                <w:szCs w:val="18"/>
              </w:rPr>
              <w:lastRenderedPageBreak/>
              <w:t>support the development of applications and liaise with relevant groups.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lastRenderedPageBreak/>
              <w:t>This structure includes projects and programs to deliver Natural Resource Management, evaluate activities and outputs, produce information and data as well as engage and partner with community, government, NGOs, researchers and industry. Much experience and knowledge has been gained during the last 5 years of delivery, in addition to learning from previous NHT projects, all of which have are built into the approach NRM South is taking forward. The approach also incorporates feedback from stakeholder consultation on regional activity, processes, needs and program direction, particularly over the last 5 years.</w:t>
            </w:r>
          </w:p>
          <w:p w:rsidR="00E27931" w:rsidRDefault="00E27931">
            <w:pPr>
              <w:rPr>
                <w:rFonts w:ascii="Cambria" w:hAnsi="Cambria" w:cs="Calibri"/>
                <w:sz w:val="18"/>
                <w:szCs w:val="18"/>
              </w:rPr>
            </w:pPr>
          </w:p>
          <w:p w:rsidR="00E27931" w:rsidRDefault="00E27931">
            <w:pPr>
              <w:rPr>
                <w:rFonts w:ascii="Cambria" w:hAnsi="Cambria" w:cs="Calibri"/>
                <w:sz w:val="18"/>
                <w:szCs w:val="18"/>
              </w:rPr>
            </w:pPr>
            <w:r>
              <w:rPr>
                <w:rFonts w:ascii="Cambria" w:hAnsi="Cambria" w:cs="Calibri"/>
                <w:sz w:val="18"/>
                <w:szCs w:val="18"/>
              </w:rPr>
              <w:lastRenderedPageBreak/>
              <w:t xml:space="preserve">The sub-projects and their programs will utilise a range of tried and tested delivery mechanisms that build on successful regional delivery of on-ground environmental and agricultural outcomes since 2005. Some examples of primary mechanisms are outlined below.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lastRenderedPageBreak/>
              <w:t xml:space="preserve">$ 2,432,760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$ 5,676,000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$ 8,108,760 </w:t>
            </w:r>
          </w:p>
        </w:tc>
      </w:tr>
      <w:tr w:rsidR="00E27931" w:rsidRPr="00AA613C" w:rsidTr="00933161">
        <w:trPr>
          <w:trHeight w:val="290"/>
        </w:trPr>
        <w:tc>
          <w:tcPr>
            <w:tcW w:w="1419"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TAS TOTAL</w:t>
            </w:r>
          </w:p>
        </w:tc>
        <w:tc>
          <w:tcPr>
            <w:tcW w:w="1408" w:type="dxa"/>
            <w:tcBorders>
              <w:bottom w:val="single" w:sz="4" w:space="0" w:color="auto"/>
            </w:tcBorders>
            <w:shd w:val="clear" w:color="auto" w:fill="auto"/>
            <w:noWrap/>
            <w:vAlign w:val="bottom"/>
            <w:hideMark/>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bottom w:val="single" w:sz="4" w:space="0" w:color="auto"/>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bottom w:val="single" w:sz="4" w:space="0" w:color="auto"/>
            </w:tcBorders>
          </w:tcPr>
          <w:p w:rsidR="00E27931" w:rsidRPr="005B2B40" w:rsidRDefault="00E27931" w:rsidP="00A41E02">
            <w:pPr>
              <w:jc w:val="right"/>
              <w:rPr>
                <w:rFonts w:asciiTheme="majorHAnsi" w:hAnsiTheme="majorHAnsi" w:cs="Calibri"/>
                <w:b/>
                <w:sz w:val="20"/>
                <w:szCs w:val="20"/>
              </w:rPr>
            </w:pPr>
            <w:r w:rsidRPr="005B2B40">
              <w:rPr>
                <w:rFonts w:asciiTheme="majorHAnsi" w:hAnsiTheme="majorHAnsi" w:cs="Calibri"/>
                <w:b/>
                <w:sz w:val="20"/>
                <w:szCs w:val="20"/>
              </w:rPr>
              <w:t>$ 25,142,480</w:t>
            </w:r>
          </w:p>
        </w:tc>
      </w:tr>
      <w:tr w:rsidR="00E27931" w:rsidRPr="00AA613C" w:rsidTr="00933161">
        <w:trPr>
          <w:trHeight w:val="290"/>
        </w:trPr>
        <w:tc>
          <w:tcPr>
            <w:tcW w:w="1419"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b/>
                <w:color w:val="000000"/>
                <w:sz w:val="20"/>
                <w:szCs w:val="20"/>
                <w:lang w:eastAsia="en-AU"/>
              </w:rPr>
            </w:pPr>
          </w:p>
        </w:tc>
        <w:tc>
          <w:tcPr>
            <w:tcW w:w="1408" w:type="dxa"/>
            <w:tcBorders>
              <w:top w:val="single" w:sz="4" w:space="0" w:color="auto"/>
              <w:left w:val="nil"/>
              <w:bottom w:val="nil"/>
              <w:right w:val="nil"/>
            </w:tcBorders>
            <w:shd w:val="clear" w:color="auto" w:fill="auto"/>
            <w:noWrap/>
            <w:vAlign w:val="bottom"/>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r>
    </w:tbl>
    <w:p w:rsidR="00933161" w:rsidRDefault="00933161">
      <w:r>
        <w:br w:type="page"/>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4677"/>
        <w:gridCol w:w="4962"/>
        <w:gridCol w:w="1408"/>
        <w:gridCol w:w="1427"/>
        <w:gridCol w:w="1418"/>
      </w:tblGrid>
      <w:tr w:rsidR="00E27931" w:rsidRPr="005B2B40" w:rsidTr="00933161">
        <w:trPr>
          <w:trHeight w:val="290"/>
        </w:trPr>
        <w:tc>
          <w:tcPr>
            <w:tcW w:w="1419" w:type="dxa"/>
            <w:tcBorders>
              <w:top w:val="nil"/>
              <w:left w:val="nil"/>
              <w:bottom w:val="single" w:sz="4" w:space="0" w:color="auto"/>
              <w:right w:val="nil"/>
            </w:tcBorders>
            <w:shd w:val="clear" w:color="auto" w:fill="auto"/>
            <w:noWrap/>
            <w:vAlign w:val="bottom"/>
          </w:tcPr>
          <w:p w:rsidR="00E27931" w:rsidRPr="005B2B40" w:rsidRDefault="00E27931" w:rsidP="00933161">
            <w:pPr>
              <w:tabs>
                <w:tab w:val="left" w:pos="887"/>
                <w:tab w:val="left" w:pos="3958"/>
                <w:tab w:val="left" w:pos="8614"/>
              </w:tabs>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lastRenderedPageBreak/>
              <w:t>VIC</w:t>
            </w:r>
          </w:p>
        </w:tc>
        <w:tc>
          <w:tcPr>
            <w:tcW w:w="4677"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4962"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08"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27"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18"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r>
      <w:tr w:rsidR="00E27931" w:rsidRPr="005B2B40" w:rsidTr="00933161">
        <w:trPr>
          <w:trHeight w:val="290"/>
        </w:trPr>
        <w:tc>
          <w:tcPr>
            <w:tcW w:w="1419"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NRM Organisation</w:t>
            </w:r>
          </w:p>
        </w:tc>
        <w:tc>
          <w:tcPr>
            <w:tcW w:w="4677"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Agriculture Stream</w:t>
            </w:r>
          </w:p>
        </w:tc>
        <w:tc>
          <w:tcPr>
            <w:tcW w:w="4962"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Environment Stream</w:t>
            </w:r>
          </w:p>
        </w:tc>
        <w:tc>
          <w:tcPr>
            <w:tcW w:w="1408" w:type="dxa"/>
            <w:tcBorders>
              <w:top w:val="single" w:sz="4" w:space="0" w:color="auto"/>
            </w:tcBorders>
            <w:shd w:val="clear" w:color="auto" w:fill="auto"/>
            <w:noWrap/>
            <w:vAlign w:val="bottom"/>
            <w:hideMark/>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 Ag</w:t>
            </w:r>
            <w:r>
              <w:rPr>
                <w:rFonts w:asciiTheme="majorHAnsi" w:eastAsia="Times New Roman" w:hAnsiTheme="majorHAnsi" w:cs="Calibri"/>
                <w:b/>
                <w:color w:val="000000"/>
                <w:sz w:val="20"/>
                <w:szCs w:val="20"/>
                <w:lang w:eastAsia="en-AU"/>
              </w:rPr>
              <w:t>riculture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 xml:space="preserve">(GST </w:t>
            </w:r>
            <w:proofErr w:type="spellStart"/>
            <w:r w:rsidRPr="005B2B40">
              <w:rPr>
                <w:rFonts w:asciiTheme="majorHAnsi" w:eastAsia="Times New Roman" w:hAnsiTheme="majorHAnsi" w:cs="Calibri"/>
                <w:b/>
                <w:color w:val="000000"/>
                <w:sz w:val="20"/>
                <w:szCs w:val="20"/>
                <w:lang w:eastAsia="en-AU"/>
              </w:rPr>
              <w:t>Incl</w:t>
            </w:r>
            <w:proofErr w:type="spellEnd"/>
            <w:r w:rsidRPr="005B2B40">
              <w:rPr>
                <w:rFonts w:asciiTheme="majorHAnsi" w:eastAsia="Times New Roman" w:hAnsiTheme="majorHAnsi" w:cs="Calibri"/>
                <w:b/>
                <w:color w:val="000000"/>
                <w:sz w:val="20"/>
                <w:szCs w:val="20"/>
                <w:lang w:eastAsia="en-AU"/>
              </w:rPr>
              <w:t>)</w:t>
            </w:r>
          </w:p>
        </w:tc>
        <w:tc>
          <w:tcPr>
            <w:tcW w:w="1427" w:type="dxa"/>
            <w:tcBorders>
              <w:top w:val="single" w:sz="4" w:space="0" w:color="auto"/>
            </w:tcBorders>
            <w:vAlign w:val="bottom"/>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Pr>
                <w:rFonts w:asciiTheme="majorHAnsi" w:eastAsia="Times New Roman" w:hAnsiTheme="majorHAnsi" w:cs="Calibri"/>
                <w:b/>
                <w:color w:val="000000"/>
                <w:sz w:val="20"/>
                <w:szCs w:val="20"/>
                <w:lang w:eastAsia="en-AU"/>
              </w:rPr>
              <w:t>Total E</w:t>
            </w:r>
            <w:r w:rsidRPr="005B2B40">
              <w:rPr>
                <w:rFonts w:asciiTheme="majorHAnsi" w:eastAsia="Times New Roman" w:hAnsiTheme="majorHAnsi" w:cs="Calibri"/>
                <w:b/>
                <w:color w:val="000000"/>
                <w:sz w:val="20"/>
                <w:szCs w:val="20"/>
                <w:lang w:eastAsia="en-AU"/>
              </w:rPr>
              <w:t>nviro</w:t>
            </w:r>
            <w:r>
              <w:rPr>
                <w:rFonts w:asciiTheme="majorHAnsi" w:eastAsia="Times New Roman" w:hAnsiTheme="majorHAnsi" w:cs="Calibri"/>
                <w:b/>
                <w:color w:val="000000"/>
                <w:sz w:val="20"/>
                <w:szCs w:val="20"/>
                <w:lang w:eastAsia="en-AU"/>
              </w:rPr>
              <w:t>nment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(GST INCL)</w:t>
            </w:r>
          </w:p>
        </w:tc>
        <w:tc>
          <w:tcPr>
            <w:tcW w:w="1418"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Corangamite Catchment Management Authority</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Corangamite Catchment Management Authority will address soil health (groundcover, soil erosion and nutrient management for pH benefits) and increase emphasis on partnering with industry to increase farmer engagement. The program has a strong focus on achieving adoption by farmers and recognises the strength of existing networks by supporting Landcare as a delivery partner. The Regional Landcare Facilitator will focus predominantly on working with community members and groups, assisting groups to seek funding, membership and resources for NRM activities and to build their capacity and skills. </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Corangamite Catchment Management Authority will assist in the protection and management of nationally significant flora and fauna, ecological communities, ecosystems, land and seascapes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Corangamite Coastal Country Program</w:t>
            </w:r>
          </w:p>
          <w:p w:rsidR="00E27931" w:rsidRDefault="00E27931">
            <w:pPr>
              <w:rPr>
                <w:rFonts w:ascii="Cambria" w:hAnsi="Cambria" w:cs="Calibri"/>
                <w:sz w:val="18"/>
                <w:szCs w:val="18"/>
              </w:rPr>
            </w:pPr>
            <w:r>
              <w:rPr>
                <w:rFonts w:ascii="Cambria" w:hAnsi="Cambria" w:cs="Calibri"/>
                <w:sz w:val="18"/>
                <w:szCs w:val="18"/>
              </w:rPr>
              <w:t>• Victorian Volcanic Plains and Western District Lakes Recovery Program</w:t>
            </w:r>
          </w:p>
          <w:p w:rsidR="00E27931" w:rsidRDefault="00E27931">
            <w:pPr>
              <w:rPr>
                <w:rFonts w:ascii="Cambria" w:hAnsi="Cambria" w:cs="Calibri"/>
                <w:sz w:val="18"/>
                <w:szCs w:val="18"/>
              </w:rPr>
            </w:pPr>
            <w:r>
              <w:rPr>
                <w:rFonts w:ascii="Cambria" w:hAnsi="Cambria" w:cs="Calibri"/>
                <w:sz w:val="18"/>
                <w:szCs w:val="18"/>
              </w:rPr>
              <w:t>• Indigenous Participation in Natural Resource Management.</w:t>
            </w:r>
          </w:p>
          <w:p w:rsidR="00933161" w:rsidRDefault="00933161">
            <w:pPr>
              <w:rPr>
                <w:rFonts w:ascii="Cambria" w:hAnsi="Cambria" w:cs="Calibri"/>
                <w:sz w:val="18"/>
                <w:szCs w:val="18"/>
              </w:rPr>
            </w:pP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$ 3,505,822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$ 8,258,800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$ 11,764,622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Glenelg Hopkins Catchment Management Authority</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Glenelg Hopkins Catchment Management Authority will build the farmers’ capacity to make and implement land management decisions to improve soil condition, increase or maintain production and protect the natural resource base, delivered through partnerships with industry, government agencies and community-based organisations and designed to meet the needs of key agricultural enterprises. The program will work with Traditional Owners to build capacity, delivered as a partnership, providing opportunity for two-way exchange of knowledge and experience. The Regional Landcare Facilitator will foster connections within the Landcare community to create opportunities for information sharing, collaborative partnerships and innovation. </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Glenelg Hopkins Catchment Management Authority will assist in the protection and management of nationally significant flora and fauna, ecological communities, ecosystems, land and seascapes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Indigenous Partnerships for Improved Natural Resource Management</w:t>
            </w:r>
          </w:p>
          <w:p w:rsidR="00E27931" w:rsidRDefault="00E27931">
            <w:pPr>
              <w:rPr>
                <w:rFonts w:ascii="Cambria" w:hAnsi="Cambria" w:cs="Calibri"/>
                <w:sz w:val="18"/>
                <w:szCs w:val="18"/>
              </w:rPr>
            </w:pPr>
            <w:r>
              <w:rPr>
                <w:rFonts w:ascii="Cambria" w:hAnsi="Cambria" w:cs="Calibri"/>
                <w:sz w:val="18"/>
                <w:szCs w:val="18"/>
              </w:rPr>
              <w:t>• Threatened Species and Communities</w:t>
            </w:r>
          </w:p>
          <w:p w:rsidR="00E27931" w:rsidRDefault="00E27931">
            <w:pPr>
              <w:rPr>
                <w:rFonts w:ascii="Cambria" w:hAnsi="Cambria" w:cs="Calibri"/>
                <w:sz w:val="18"/>
                <w:szCs w:val="18"/>
              </w:rPr>
            </w:pPr>
            <w:r>
              <w:rPr>
                <w:rFonts w:ascii="Cambria" w:hAnsi="Cambria" w:cs="Calibri"/>
                <w:sz w:val="18"/>
                <w:szCs w:val="18"/>
              </w:rPr>
              <w:t>• Coastal Connections.</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$ 3,221,900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$ 7,590,000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$ 10,811,900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Goulburn Broken Catchment Management Authority</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Goulburn Broken Catchment Management Authority will build on previous Caring for our Country investment to enable land managers to improve their resource and environmental management capacity to manage soils to deliver ecosystem services, including soil water, carbon and nutrient cycling within their productive enterprises. The project addresses broad soil health and soil structure issues supported by social research around community engagement and practice change. The Regional Landcare Facilitator will deliver activities including workshops targeted at filling gaps identified by community groups and support for the development of peer learning activities through targeted community capacity building activities.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Goulburn Broken Catchment Management Authority will assist in the protection and management of nationally significant flora and fauna, ecological communities, ecosystems, landscapes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Building Traditional Owners' capacity and participation</w:t>
            </w:r>
          </w:p>
          <w:p w:rsidR="00E27931" w:rsidRDefault="00E27931">
            <w:pPr>
              <w:rPr>
                <w:rFonts w:ascii="Cambria" w:hAnsi="Cambria" w:cs="Calibri"/>
                <w:sz w:val="18"/>
                <w:szCs w:val="18"/>
              </w:rPr>
            </w:pPr>
            <w:r>
              <w:rPr>
                <w:rFonts w:ascii="Cambria" w:hAnsi="Cambria" w:cs="Calibri"/>
                <w:sz w:val="18"/>
                <w:szCs w:val="18"/>
              </w:rPr>
              <w:t>• Building community skills, knowledge and engagement in natural resource management</w:t>
            </w:r>
          </w:p>
          <w:p w:rsidR="00E27931" w:rsidRDefault="00E27931">
            <w:pPr>
              <w:rPr>
                <w:rFonts w:ascii="Cambria" w:hAnsi="Cambria" w:cs="Calibri"/>
                <w:sz w:val="18"/>
                <w:szCs w:val="18"/>
              </w:rPr>
            </w:pPr>
            <w:r>
              <w:rPr>
                <w:rFonts w:ascii="Cambria" w:hAnsi="Cambria" w:cs="Calibri"/>
                <w:sz w:val="18"/>
                <w:szCs w:val="18"/>
              </w:rPr>
              <w:t xml:space="preserve">• Building the resilience of the Barmah Forest </w:t>
            </w:r>
            <w:proofErr w:type="spellStart"/>
            <w:r>
              <w:rPr>
                <w:rFonts w:ascii="Cambria" w:hAnsi="Cambria" w:cs="Calibri"/>
                <w:sz w:val="18"/>
                <w:szCs w:val="18"/>
              </w:rPr>
              <w:t>Ramsar</w:t>
            </w:r>
            <w:proofErr w:type="spellEnd"/>
            <w:r>
              <w:rPr>
                <w:rFonts w:ascii="Cambria" w:hAnsi="Cambria" w:cs="Calibri"/>
                <w:sz w:val="18"/>
                <w:szCs w:val="18"/>
              </w:rPr>
              <w:t xml:space="preserve"> site to protect its ecological character</w:t>
            </w:r>
          </w:p>
          <w:p w:rsidR="00E27931" w:rsidRDefault="00E27931">
            <w:pPr>
              <w:rPr>
                <w:rFonts w:ascii="Cambria" w:hAnsi="Cambria" w:cs="Calibri"/>
                <w:sz w:val="18"/>
                <w:szCs w:val="18"/>
              </w:rPr>
            </w:pPr>
            <w:r>
              <w:rPr>
                <w:rFonts w:ascii="Cambria" w:hAnsi="Cambria" w:cs="Calibri"/>
                <w:sz w:val="18"/>
                <w:szCs w:val="18"/>
              </w:rPr>
              <w:t xml:space="preserve">• Improving the resilience of nationally significant woodland </w:t>
            </w:r>
            <w:r>
              <w:rPr>
                <w:rFonts w:ascii="Cambria" w:hAnsi="Cambria" w:cs="Calibri"/>
                <w:sz w:val="18"/>
                <w:szCs w:val="18"/>
              </w:rPr>
              <w:lastRenderedPageBreak/>
              <w:t>and wetland ecosystems</w:t>
            </w:r>
          </w:p>
          <w:p w:rsidR="00E27931" w:rsidRDefault="00E27931">
            <w:pPr>
              <w:rPr>
                <w:rFonts w:ascii="Cambria" w:hAnsi="Cambria" w:cs="Calibri"/>
                <w:sz w:val="18"/>
                <w:szCs w:val="18"/>
              </w:rPr>
            </w:pPr>
            <w:r>
              <w:rPr>
                <w:rFonts w:ascii="Cambria" w:hAnsi="Cambria" w:cs="Calibri"/>
                <w:sz w:val="18"/>
                <w:szCs w:val="18"/>
              </w:rPr>
              <w:t>• Building resilience of EPBC Threatened Species.</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lastRenderedPageBreak/>
              <w:t xml:space="preserve">$ 5,063,418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$ 11,928,399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$ 16,991,817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proofErr w:type="spellStart"/>
            <w:r w:rsidRPr="00933161">
              <w:rPr>
                <w:rFonts w:ascii="Cambria" w:hAnsi="Cambria" w:cs="Calibri"/>
                <w:b/>
                <w:sz w:val="18"/>
                <w:szCs w:val="18"/>
              </w:rPr>
              <w:lastRenderedPageBreak/>
              <w:t>Mallee</w:t>
            </w:r>
            <w:proofErr w:type="spellEnd"/>
            <w:r w:rsidRPr="00933161">
              <w:rPr>
                <w:rFonts w:ascii="Cambria" w:hAnsi="Cambria" w:cs="Calibri"/>
                <w:b/>
                <w:sz w:val="18"/>
                <w:szCs w:val="18"/>
              </w:rPr>
              <w:t xml:space="preserve">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w:t>
            </w:r>
            <w:proofErr w:type="spellStart"/>
            <w:r>
              <w:rPr>
                <w:rFonts w:ascii="Cambria" w:hAnsi="Cambria" w:cs="Calibri"/>
                <w:sz w:val="18"/>
                <w:szCs w:val="18"/>
              </w:rPr>
              <w:t>Mallee</w:t>
            </w:r>
            <w:proofErr w:type="spellEnd"/>
            <w:r>
              <w:rPr>
                <w:rFonts w:ascii="Cambria" w:hAnsi="Cambria" w:cs="Calibri"/>
                <w:sz w:val="18"/>
                <w:szCs w:val="18"/>
              </w:rPr>
              <w:t xml:space="preserve"> Catchment Management Authority will trial practices to improve the natural resource base in areas with high erosion risk or where salinity is limiting groundcover. The sites will be spread across the </w:t>
            </w:r>
            <w:proofErr w:type="spellStart"/>
            <w:r>
              <w:rPr>
                <w:rFonts w:ascii="Cambria" w:hAnsi="Cambria" w:cs="Calibri"/>
                <w:sz w:val="18"/>
                <w:szCs w:val="18"/>
              </w:rPr>
              <w:t>Mallee</w:t>
            </w:r>
            <w:proofErr w:type="spellEnd"/>
            <w:r>
              <w:rPr>
                <w:rFonts w:ascii="Cambria" w:hAnsi="Cambria" w:cs="Calibri"/>
                <w:sz w:val="18"/>
                <w:szCs w:val="18"/>
              </w:rPr>
              <w:t xml:space="preserve"> for different environmental conditions and wider landholder engagement. </w:t>
            </w:r>
            <w:proofErr w:type="spellStart"/>
            <w:r>
              <w:rPr>
                <w:rFonts w:ascii="Cambria" w:hAnsi="Cambria" w:cs="Calibri"/>
                <w:sz w:val="18"/>
                <w:szCs w:val="18"/>
              </w:rPr>
              <w:t>Learnings</w:t>
            </w:r>
            <w:proofErr w:type="spellEnd"/>
            <w:r>
              <w:rPr>
                <w:rFonts w:ascii="Cambria" w:hAnsi="Cambria" w:cs="Calibri"/>
                <w:sz w:val="18"/>
                <w:szCs w:val="18"/>
              </w:rPr>
              <w:t xml:space="preserve"> extended through workshops, field demonstrations, regional events and industry group forums, will increase the capacity of landholders. This will also support Landcare groups’ engagement and participation. An Indigenous Landcare group will be established and supported to become self-sustaining and autonomous. The Regional Landcare Facilitator will engage with land managers, regional Landcare groups, farming bodies and industry groups. </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w:t>
            </w:r>
            <w:proofErr w:type="spellStart"/>
            <w:r>
              <w:rPr>
                <w:rFonts w:ascii="Cambria" w:hAnsi="Cambria" w:cs="Calibri"/>
                <w:sz w:val="18"/>
                <w:szCs w:val="18"/>
              </w:rPr>
              <w:t>Mallee</w:t>
            </w:r>
            <w:proofErr w:type="spellEnd"/>
            <w:r>
              <w:rPr>
                <w:rFonts w:ascii="Cambria" w:hAnsi="Cambria" w:cs="Calibri"/>
                <w:sz w:val="18"/>
                <w:szCs w:val="18"/>
              </w:rPr>
              <w:t xml:space="preserve"> Catchment Management Authority will assist in the protection and management of nationally significant flora and fauna, ecological communities, ecosystems, landscapes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Land managers and informed communities working in partnership to secure nationally significant ecosystems and species</w:t>
            </w:r>
          </w:p>
          <w:p w:rsidR="00E27931" w:rsidRDefault="00E27931">
            <w:pPr>
              <w:rPr>
                <w:rFonts w:ascii="Cambria" w:hAnsi="Cambria" w:cs="Calibri"/>
                <w:sz w:val="18"/>
                <w:szCs w:val="18"/>
              </w:rPr>
            </w:pPr>
            <w:r>
              <w:rPr>
                <w:rFonts w:ascii="Cambria" w:hAnsi="Cambria" w:cs="Calibri"/>
                <w:sz w:val="18"/>
                <w:szCs w:val="18"/>
              </w:rPr>
              <w:t xml:space="preserve">• Supporting and protection of values for the Hattah Lakes </w:t>
            </w:r>
            <w:proofErr w:type="spellStart"/>
            <w:r>
              <w:rPr>
                <w:rFonts w:ascii="Cambria" w:hAnsi="Cambria" w:cs="Calibri"/>
                <w:sz w:val="18"/>
                <w:szCs w:val="18"/>
              </w:rPr>
              <w:t>Ramsar</w:t>
            </w:r>
            <w:proofErr w:type="spellEnd"/>
            <w:r>
              <w:rPr>
                <w:rFonts w:ascii="Cambria" w:hAnsi="Cambria" w:cs="Calibri"/>
                <w:sz w:val="18"/>
                <w:szCs w:val="18"/>
              </w:rPr>
              <w:t xml:space="preserve"> site during the restoration of an appropriate water regime</w:t>
            </w:r>
          </w:p>
          <w:p w:rsidR="00E27931" w:rsidRDefault="00E27931">
            <w:pPr>
              <w:rPr>
                <w:rFonts w:ascii="Cambria" w:hAnsi="Cambria" w:cs="Calibri"/>
                <w:sz w:val="18"/>
                <w:szCs w:val="18"/>
              </w:rPr>
            </w:pPr>
            <w:r>
              <w:rPr>
                <w:rFonts w:ascii="Cambria" w:hAnsi="Cambria" w:cs="Calibri"/>
                <w:sz w:val="18"/>
                <w:szCs w:val="18"/>
              </w:rPr>
              <w:t>• Building capacity to close the gap – increasing Indigenous participation in natural resource management.</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$ 3,455,100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$ 8,140,000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$ 11,595,100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North Central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North Central Catchment Management Authority will work with farming communities to assess the health of their soils, identify alternative management practices and farming systems and to establish local farm-scale trials and demonstrations of sustainable practices. The program will address the primary change drivers and threatening processes influencing land and water resource management, including wind/water erosion. Fit-for-purpose tools will enable landholders to achieve tangible practice change towards sustainable and productive agriculture. Traditional Owner groups will be supported in Sustainable Agriculture opportunities. The Regional Landcare Facilitator will continue to work to develop a skilled and capable Landcare community.</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North Central Catchment Management Authority will assist in the protection and management of nationally significant flora and fauna, ecological communities, ecosystems, landscapes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Gunbower Forest key asset protection project</w:t>
            </w:r>
          </w:p>
          <w:p w:rsidR="00E27931" w:rsidRDefault="00E27931">
            <w:pPr>
              <w:rPr>
                <w:rFonts w:ascii="Cambria" w:hAnsi="Cambria" w:cs="Calibri"/>
                <w:sz w:val="18"/>
                <w:szCs w:val="18"/>
              </w:rPr>
            </w:pPr>
            <w:r>
              <w:rPr>
                <w:rFonts w:ascii="Cambria" w:hAnsi="Cambria" w:cs="Calibri"/>
                <w:sz w:val="18"/>
                <w:szCs w:val="18"/>
              </w:rPr>
              <w:t>• Kerang priority wetlands protection project</w:t>
            </w:r>
          </w:p>
          <w:p w:rsidR="00E27931" w:rsidRDefault="00E27931">
            <w:pPr>
              <w:rPr>
                <w:rFonts w:ascii="Cambria" w:hAnsi="Cambria" w:cs="Calibri"/>
                <w:sz w:val="18"/>
                <w:szCs w:val="18"/>
              </w:rPr>
            </w:pPr>
            <w:r>
              <w:rPr>
                <w:rFonts w:ascii="Cambria" w:hAnsi="Cambria" w:cs="Calibri"/>
                <w:sz w:val="18"/>
                <w:szCs w:val="18"/>
              </w:rPr>
              <w:t xml:space="preserve">• Empowering and increasing the capacity of Traditional Owner groups to protect and enhance the natural environment and culturally significant areas. </w:t>
            </w:r>
          </w:p>
          <w:p w:rsidR="00E27931" w:rsidRDefault="00E27931">
            <w:pPr>
              <w:rPr>
                <w:rFonts w:ascii="Cambria" w:hAnsi="Cambria" w:cs="Calibri"/>
                <w:sz w:val="18"/>
                <w:szCs w:val="18"/>
              </w:rPr>
            </w:pPr>
            <w:r>
              <w:rPr>
                <w:rFonts w:ascii="Cambria" w:hAnsi="Cambria" w:cs="Calibri"/>
                <w:sz w:val="18"/>
                <w:szCs w:val="18"/>
              </w:rPr>
              <w:t>• Protecting remnant grassy ecosystems</w:t>
            </w:r>
          </w:p>
          <w:p w:rsidR="00E27931" w:rsidRDefault="00E27931">
            <w:pPr>
              <w:rPr>
                <w:rFonts w:ascii="Cambria" w:hAnsi="Cambria" w:cs="Calibri"/>
                <w:sz w:val="18"/>
                <w:szCs w:val="18"/>
              </w:rPr>
            </w:pPr>
            <w:r>
              <w:rPr>
                <w:rFonts w:ascii="Cambria" w:hAnsi="Cambria" w:cs="Calibri"/>
                <w:sz w:val="18"/>
                <w:szCs w:val="18"/>
              </w:rPr>
              <w:t xml:space="preserve">• </w:t>
            </w:r>
            <w:proofErr w:type="spellStart"/>
            <w:r>
              <w:rPr>
                <w:rFonts w:ascii="Cambria" w:hAnsi="Cambria" w:cs="Calibri"/>
                <w:sz w:val="18"/>
                <w:szCs w:val="18"/>
              </w:rPr>
              <w:t>Kooyoora</w:t>
            </w:r>
            <w:proofErr w:type="spellEnd"/>
            <w:r>
              <w:rPr>
                <w:rFonts w:ascii="Cambria" w:hAnsi="Cambria" w:cs="Calibri"/>
                <w:sz w:val="18"/>
                <w:szCs w:val="18"/>
              </w:rPr>
              <w:t xml:space="preserve"> connections.</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$ 4,418,844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$ 10,410,400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$ 14,829,244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North East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North East Catchment Management Authority will improve management of soils and groundcover through demonstration sites, forums, field days and extension to achieve increased ground cover and improved ecosystem services. The project will contribute to community resilience, leadership, Indigenous partnerships and providing skills to sections of the community that have traditionally found it difficult to access. The Regional Landcare Facilitator role will continue to be devolved to the Ovens Landcare Network and supported by a multi network steering committee. The Regional Landcare Facilitator will deliver a range of capacity building </w:t>
            </w:r>
            <w:r>
              <w:rPr>
                <w:rFonts w:ascii="Cambria" w:hAnsi="Cambria" w:cs="Calibri"/>
                <w:sz w:val="18"/>
                <w:szCs w:val="18"/>
              </w:rPr>
              <w:lastRenderedPageBreak/>
              <w:t>activities and events, including regional forum, training workshops, field days and information sessions.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lastRenderedPageBreak/>
              <w:t>The North East Catchment Management Authority will assist in the protection and management of nationally significant flora and fauna, ecological communities, ecosystems, landscapes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Building Indigenous community capacity for involvement in natural resource management</w:t>
            </w:r>
          </w:p>
          <w:p w:rsidR="00E27931" w:rsidRDefault="00E27931">
            <w:pPr>
              <w:rPr>
                <w:rFonts w:ascii="Cambria" w:hAnsi="Cambria" w:cs="Calibri"/>
                <w:sz w:val="18"/>
                <w:szCs w:val="18"/>
              </w:rPr>
            </w:pPr>
            <w:r>
              <w:rPr>
                <w:rFonts w:ascii="Cambria" w:hAnsi="Cambria" w:cs="Calibri"/>
                <w:sz w:val="18"/>
                <w:szCs w:val="18"/>
              </w:rPr>
              <w:t xml:space="preserve">• Protecting nationally significant threatened species, </w:t>
            </w:r>
            <w:r>
              <w:rPr>
                <w:rFonts w:ascii="Cambria" w:hAnsi="Cambria" w:cs="Calibri"/>
                <w:sz w:val="18"/>
                <w:szCs w:val="18"/>
              </w:rPr>
              <w:lastRenderedPageBreak/>
              <w:t>woodlands and wetlands</w:t>
            </w:r>
          </w:p>
          <w:p w:rsidR="00E27931" w:rsidRDefault="00E27931">
            <w:pPr>
              <w:rPr>
                <w:rFonts w:ascii="Cambria" w:hAnsi="Cambria" w:cs="Calibri"/>
                <w:sz w:val="18"/>
                <w:szCs w:val="18"/>
              </w:rPr>
            </w:pPr>
            <w:r>
              <w:rPr>
                <w:rFonts w:ascii="Cambria" w:hAnsi="Cambria" w:cs="Calibri"/>
                <w:sz w:val="18"/>
                <w:szCs w:val="18"/>
              </w:rPr>
              <w:t>• Conserving and protecting the nationally endangered ecological community, Alpine Sphagnum Bogs and associated fens.</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lastRenderedPageBreak/>
              <w:t xml:space="preserve">$ 2,432,760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$ 5,676,000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$ 8,108,760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 xml:space="preserve">Port Phillip and Westernport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Port Phillip and Westernport Catchment Management Authority project builds on previous Caring for our Country investment and includes trials, demonstrations and extension activities, focusing initially on understanding barriers to adoption. Farmers will be engaged in the refinement, trialling and demonstration of sustainable agricultural practices that offer the greatest potential for ecosystem service benefits in the region. It will also identify opportunities for involvement in agriculture of the region’s traditional owner groups. The Regional Landcare Facilitator will work with agricultural industry groups to engage and support farmers to learn more about indigenous values and options for adoption of sustainable practices.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Port Phillip and Westernport Catchment Management Authority will assist in the protection and management of nationally significant flora and fauna, ecological communities, ecosystems, land and seascapes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Building relationships and capacity for Indigenous participation in natural resource management</w:t>
            </w:r>
          </w:p>
          <w:p w:rsidR="00E27931" w:rsidRDefault="00E27931">
            <w:pPr>
              <w:rPr>
                <w:rFonts w:ascii="Cambria" w:hAnsi="Cambria" w:cs="Calibri"/>
                <w:sz w:val="18"/>
                <w:szCs w:val="18"/>
              </w:rPr>
            </w:pPr>
            <w:r>
              <w:rPr>
                <w:rFonts w:ascii="Cambria" w:hAnsi="Cambria" w:cs="Calibri"/>
                <w:sz w:val="18"/>
                <w:szCs w:val="18"/>
              </w:rPr>
              <w:t xml:space="preserve">• Building the capacity of Landcare groups and networks to facilitate the adoption of sustainable practices </w:t>
            </w:r>
          </w:p>
          <w:p w:rsidR="00E27931" w:rsidRDefault="00E27931">
            <w:pPr>
              <w:rPr>
                <w:rFonts w:ascii="Cambria" w:hAnsi="Cambria" w:cs="Calibri"/>
                <w:sz w:val="18"/>
                <w:szCs w:val="18"/>
              </w:rPr>
            </w:pPr>
            <w:r>
              <w:rPr>
                <w:rFonts w:ascii="Cambria" w:hAnsi="Cambria" w:cs="Calibri"/>
                <w:sz w:val="18"/>
                <w:szCs w:val="18"/>
              </w:rPr>
              <w:t xml:space="preserve">• Protecting the ecological values of the Western Port </w:t>
            </w:r>
            <w:proofErr w:type="spellStart"/>
            <w:r>
              <w:rPr>
                <w:rFonts w:ascii="Cambria" w:hAnsi="Cambria" w:cs="Calibri"/>
                <w:sz w:val="18"/>
                <w:szCs w:val="18"/>
              </w:rPr>
              <w:t>Ramsar</w:t>
            </w:r>
            <w:proofErr w:type="spellEnd"/>
            <w:r>
              <w:rPr>
                <w:rFonts w:ascii="Cambria" w:hAnsi="Cambria" w:cs="Calibri"/>
                <w:sz w:val="18"/>
                <w:szCs w:val="18"/>
              </w:rPr>
              <w:t xml:space="preserve"> site</w:t>
            </w:r>
          </w:p>
          <w:p w:rsidR="00E27931" w:rsidRDefault="00E27931">
            <w:pPr>
              <w:rPr>
                <w:rFonts w:ascii="Cambria" w:hAnsi="Cambria" w:cs="Calibri"/>
                <w:sz w:val="18"/>
                <w:szCs w:val="18"/>
              </w:rPr>
            </w:pPr>
            <w:r>
              <w:rPr>
                <w:rFonts w:ascii="Cambria" w:hAnsi="Cambria" w:cs="Calibri"/>
                <w:sz w:val="18"/>
                <w:szCs w:val="18"/>
              </w:rPr>
              <w:t xml:space="preserve">• Protecting the ecological values of the Port Phillip Bay – Western Shoreline </w:t>
            </w:r>
            <w:proofErr w:type="spellStart"/>
            <w:r>
              <w:rPr>
                <w:rFonts w:ascii="Cambria" w:hAnsi="Cambria" w:cs="Calibri"/>
                <w:sz w:val="18"/>
                <w:szCs w:val="18"/>
              </w:rPr>
              <w:t>Ramsar</w:t>
            </w:r>
            <w:proofErr w:type="spellEnd"/>
            <w:r>
              <w:rPr>
                <w:rFonts w:ascii="Cambria" w:hAnsi="Cambria" w:cs="Calibri"/>
                <w:sz w:val="18"/>
                <w:szCs w:val="18"/>
              </w:rPr>
              <w:t xml:space="preserve"> site</w:t>
            </w:r>
          </w:p>
          <w:p w:rsidR="00E27931" w:rsidRDefault="00E27931">
            <w:pPr>
              <w:rPr>
                <w:rFonts w:ascii="Cambria" w:hAnsi="Cambria" w:cs="Calibri"/>
                <w:sz w:val="18"/>
                <w:szCs w:val="18"/>
              </w:rPr>
            </w:pPr>
            <w:r>
              <w:rPr>
                <w:rFonts w:ascii="Cambria" w:hAnsi="Cambria" w:cs="Calibri"/>
                <w:sz w:val="18"/>
                <w:szCs w:val="18"/>
              </w:rPr>
              <w:t>• Permanent protection of habitat to support EPBC species and communities</w:t>
            </w:r>
          </w:p>
          <w:p w:rsidR="00E27931" w:rsidRDefault="00E27931">
            <w:pPr>
              <w:rPr>
                <w:rFonts w:ascii="Cambria" w:hAnsi="Cambria" w:cs="Calibri"/>
                <w:sz w:val="18"/>
                <w:szCs w:val="18"/>
              </w:rPr>
            </w:pPr>
            <w:r>
              <w:rPr>
                <w:rFonts w:ascii="Cambria" w:hAnsi="Cambria" w:cs="Calibri"/>
                <w:sz w:val="18"/>
                <w:szCs w:val="18"/>
              </w:rPr>
              <w:t>• Protecting and connecting EPBC communities and species on the Victorian Volcanic Plains</w:t>
            </w:r>
          </w:p>
          <w:p w:rsidR="00E27931" w:rsidRDefault="00E27931">
            <w:pPr>
              <w:rPr>
                <w:rFonts w:ascii="Cambria" w:hAnsi="Cambria" w:cs="Calibri"/>
                <w:sz w:val="18"/>
                <w:szCs w:val="18"/>
              </w:rPr>
            </w:pPr>
            <w:r>
              <w:rPr>
                <w:rFonts w:ascii="Cambria" w:hAnsi="Cambria" w:cs="Calibri"/>
                <w:sz w:val="18"/>
                <w:szCs w:val="18"/>
              </w:rPr>
              <w:t>• Protecting and connecting EPBC species in the Yarra Ranges.</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$ 3,798,999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$ 8,949,600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$ 12,748,599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West Gippsland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West Gippsland Catchment Management Authority will assist farmers to access and understand the latest science, identify soil constraints within their production system and to trial known and innovative approaches to manage these constraints. Discussion groups, field days, web based communication, regional forums and the Gippsland Sustainable Agriculture Network will disseminate </w:t>
            </w:r>
            <w:proofErr w:type="spellStart"/>
            <w:r>
              <w:rPr>
                <w:rFonts w:ascii="Cambria" w:hAnsi="Cambria" w:cs="Calibri"/>
                <w:sz w:val="18"/>
                <w:szCs w:val="18"/>
              </w:rPr>
              <w:t>learnings</w:t>
            </w:r>
            <w:proofErr w:type="spellEnd"/>
            <w:r>
              <w:rPr>
                <w:rFonts w:ascii="Cambria" w:hAnsi="Cambria" w:cs="Calibri"/>
                <w:sz w:val="18"/>
                <w:szCs w:val="18"/>
              </w:rPr>
              <w:t>. The CMA will build landholders' understanding of nutrient management to reduce fertiliser inputs, manage soil pH and reduce water quality impacts to the Gippsland Lakes. The Regional Landcare Facilitator will support community Landcare and production groups to adopt sustainable farm and land management practices and to protect Australia’s landscape.</w:t>
            </w: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West Gippsland Catchment Management Authority will assist in the protection and management of nationally significant flora and fauna, ecological communities, ecosystems, land and seascapes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xml:space="preserve">• Corner Inlet Connections - addressing critical threats to the Corner Inlet </w:t>
            </w:r>
            <w:proofErr w:type="spellStart"/>
            <w:r>
              <w:rPr>
                <w:rFonts w:ascii="Cambria" w:hAnsi="Cambria" w:cs="Calibri"/>
                <w:sz w:val="18"/>
                <w:szCs w:val="18"/>
              </w:rPr>
              <w:t>Ramsar</w:t>
            </w:r>
            <w:proofErr w:type="spellEnd"/>
            <w:r>
              <w:rPr>
                <w:rFonts w:ascii="Cambria" w:hAnsi="Cambria" w:cs="Calibri"/>
                <w:sz w:val="18"/>
                <w:szCs w:val="18"/>
              </w:rPr>
              <w:t xml:space="preserve"> Site</w:t>
            </w:r>
          </w:p>
          <w:p w:rsidR="00E27931" w:rsidRDefault="00E27931">
            <w:pPr>
              <w:rPr>
                <w:rFonts w:ascii="Cambria" w:hAnsi="Cambria" w:cs="Calibri"/>
                <w:sz w:val="18"/>
                <w:szCs w:val="18"/>
              </w:rPr>
            </w:pPr>
            <w:r>
              <w:rPr>
                <w:rFonts w:ascii="Cambria" w:hAnsi="Cambria" w:cs="Calibri"/>
                <w:sz w:val="18"/>
                <w:szCs w:val="18"/>
              </w:rPr>
              <w:t>• Indigenous Partnerships and Participation in natural resource management</w:t>
            </w:r>
          </w:p>
          <w:p w:rsidR="00E27931" w:rsidRDefault="00E27931">
            <w:pPr>
              <w:rPr>
                <w:rFonts w:ascii="Cambria" w:hAnsi="Cambria" w:cs="Calibri"/>
                <w:sz w:val="18"/>
                <w:szCs w:val="18"/>
              </w:rPr>
            </w:pPr>
            <w:r>
              <w:rPr>
                <w:rFonts w:ascii="Cambria" w:hAnsi="Cambria" w:cs="Calibri"/>
                <w:sz w:val="18"/>
                <w:szCs w:val="18"/>
              </w:rPr>
              <w:t>• Improving the condition of Alpine Sphagnum Bogs and Associated Fens</w:t>
            </w:r>
          </w:p>
          <w:p w:rsidR="00E27931" w:rsidRDefault="00E27931">
            <w:pPr>
              <w:rPr>
                <w:rFonts w:ascii="Cambria" w:hAnsi="Cambria" w:cs="Calibri"/>
                <w:sz w:val="18"/>
                <w:szCs w:val="18"/>
              </w:rPr>
            </w:pPr>
            <w:r>
              <w:rPr>
                <w:rFonts w:ascii="Cambria" w:hAnsi="Cambria" w:cs="Calibri"/>
                <w:sz w:val="18"/>
                <w:szCs w:val="18"/>
              </w:rPr>
              <w:t>• Conserving and protecting of Red Gum Grassy Plains.</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$ 3,214,401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$ 7,573,000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$ 10,787,401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East Gippsland</w:t>
            </w:r>
            <w:r w:rsidR="00933161">
              <w:rPr>
                <w:rFonts w:ascii="Cambria" w:hAnsi="Cambria" w:cs="Calibri"/>
                <w:b/>
                <w:sz w:val="18"/>
                <w:szCs w:val="18"/>
              </w:rPr>
              <w:t xml:space="preserve"> </w:t>
            </w:r>
            <w:r w:rsidR="00933161" w:rsidRPr="00933161">
              <w:rPr>
                <w:rFonts w:ascii="Cambria" w:hAnsi="Cambria" w:cs="Calibri"/>
                <w:b/>
                <w:sz w:val="18"/>
                <w:szCs w:val="18"/>
              </w:rPr>
              <w:t>Catchment Management Authority</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This project will address soil health issues including erosion, groundcover, soil pH and nutrient management. A range of delivery mechanisms will be utilised including demonstration, engagement, planning, and use of farmer champions. Partnerships have been developed with the state Department of Environment and Primary Industries, farming system groups, Greening Australia and Landcare to implement operational activities. The Regional Landcare Facilitator will engage with land managers, local and regional Landcare groups, industry groups and related community organisations to support achievement of Sustainable Agriculture outcomes. The Regional Landcare Facilitator will continue to be hosted by the Far East Victoria Landcare Network.</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East Gippsland Catchment Management Authority will assist in the protection and management of nationally significant flora and fauna, ecological communities, ecosystems, land and seascapes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Recovery of nationally threatened communities and species of the East Gippsland plains, forests and alps</w:t>
            </w:r>
          </w:p>
          <w:p w:rsidR="00E27931" w:rsidRDefault="00E27931">
            <w:pPr>
              <w:rPr>
                <w:rFonts w:ascii="Cambria" w:hAnsi="Cambria" w:cs="Calibri"/>
                <w:sz w:val="18"/>
                <w:szCs w:val="18"/>
              </w:rPr>
            </w:pPr>
            <w:r>
              <w:rPr>
                <w:rFonts w:ascii="Cambria" w:hAnsi="Cambria" w:cs="Calibri"/>
                <w:sz w:val="18"/>
                <w:szCs w:val="18"/>
              </w:rPr>
              <w:t>• Protecting East Gippsland’s high value coastal environments.</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$ 666,685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$ 1,585,000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$ 2,251,685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 xml:space="preserve">Wimmera Catchment Management Authority </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Wimmera Catchment Management Authority will promote sustainability and innovation in local agricultural practices, strategically reduce pest and weed impacts on farming communities, improve management of our natural resource base, and strengthen Indigenous participation and community capacity in sustainable agriculture. There is a focus on soil health, with a small investment into strategic planning to facilitate management of weeds. The project includes trials and demonstrations, grants to establish salt bush on land prone to wind erosion, planning and extension. There will be three part-time Regional Landcare Facilitator positions based in local communities to align with ecological and land use features of the Wimmera region.</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Wimmera Catchment Management Authority will assist in the protection and management of nationally significant flora and fauna, ecological communities, ecosystems, landscapes through maintenance of ecosystem services, including ecological and cultural values, protection of our conservation estate and enhanced capacity of Indigenous and the broader community to conserve, manage and protect natural resources. The following sub-projects will be delivered in the region:</w:t>
            </w:r>
          </w:p>
          <w:p w:rsidR="00E27931" w:rsidRDefault="00E27931">
            <w:pPr>
              <w:rPr>
                <w:rFonts w:ascii="Cambria" w:hAnsi="Cambria" w:cs="Calibri"/>
                <w:sz w:val="18"/>
                <w:szCs w:val="18"/>
              </w:rPr>
            </w:pPr>
            <w:r>
              <w:rPr>
                <w:rFonts w:ascii="Cambria" w:hAnsi="Cambria" w:cs="Calibri"/>
                <w:sz w:val="18"/>
                <w:szCs w:val="18"/>
              </w:rPr>
              <w:t>• Protection of threatened species through recovery actions on public and private land</w:t>
            </w:r>
          </w:p>
          <w:p w:rsidR="00E27931" w:rsidRDefault="00E27931">
            <w:pPr>
              <w:rPr>
                <w:rFonts w:ascii="Cambria" w:hAnsi="Cambria" w:cs="Calibri"/>
                <w:sz w:val="18"/>
                <w:szCs w:val="18"/>
              </w:rPr>
            </w:pPr>
            <w:r>
              <w:rPr>
                <w:rFonts w:ascii="Cambria" w:hAnsi="Cambria" w:cs="Calibri"/>
                <w:sz w:val="18"/>
                <w:szCs w:val="18"/>
              </w:rPr>
              <w:t>• Protection of threatened species and ecosystems on private land through tender mechanisms and incentives</w:t>
            </w:r>
          </w:p>
          <w:p w:rsidR="00E27931" w:rsidRDefault="00E27931">
            <w:pPr>
              <w:rPr>
                <w:rFonts w:ascii="Cambria" w:hAnsi="Cambria" w:cs="Calibri"/>
                <w:sz w:val="18"/>
                <w:szCs w:val="18"/>
              </w:rPr>
            </w:pPr>
            <w:r>
              <w:rPr>
                <w:rFonts w:ascii="Cambria" w:hAnsi="Cambria" w:cs="Calibri"/>
                <w:sz w:val="18"/>
                <w:szCs w:val="18"/>
              </w:rPr>
              <w:t xml:space="preserve">• Addressing threats to the </w:t>
            </w:r>
            <w:proofErr w:type="spellStart"/>
            <w:r>
              <w:rPr>
                <w:rFonts w:ascii="Cambria" w:hAnsi="Cambria" w:cs="Calibri"/>
                <w:sz w:val="18"/>
                <w:szCs w:val="18"/>
              </w:rPr>
              <w:t>Ramsar</w:t>
            </w:r>
            <w:proofErr w:type="spellEnd"/>
            <w:r>
              <w:rPr>
                <w:rFonts w:ascii="Cambria" w:hAnsi="Cambria" w:cs="Calibri"/>
                <w:sz w:val="18"/>
                <w:szCs w:val="18"/>
              </w:rPr>
              <w:t xml:space="preserve"> listed Lake </w:t>
            </w:r>
            <w:proofErr w:type="spellStart"/>
            <w:r>
              <w:rPr>
                <w:rFonts w:ascii="Cambria" w:hAnsi="Cambria" w:cs="Calibri"/>
                <w:sz w:val="18"/>
                <w:szCs w:val="18"/>
              </w:rPr>
              <w:t>Albacutya</w:t>
            </w:r>
            <w:proofErr w:type="spellEnd"/>
            <w:r>
              <w:rPr>
                <w:rFonts w:ascii="Cambria" w:hAnsi="Cambria" w:cs="Calibri"/>
                <w:sz w:val="18"/>
                <w:szCs w:val="18"/>
              </w:rPr>
              <w:t>.</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$ 2,921,228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$ 6,881,522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$ 9,802,750 </w:t>
            </w:r>
          </w:p>
        </w:tc>
      </w:tr>
      <w:tr w:rsidR="00E27931" w:rsidRPr="00AA613C" w:rsidTr="00933161">
        <w:trPr>
          <w:trHeight w:val="290"/>
        </w:trPr>
        <w:tc>
          <w:tcPr>
            <w:tcW w:w="1419"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VIC TOTAL</w:t>
            </w:r>
          </w:p>
        </w:tc>
        <w:tc>
          <w:tcPr>
            <w:tcW w:w="1408" w:type="dxa"/>
            <w:tcBorders>
              <w:bottom w:val="single" w:sz="4" w:space="0" w:color="auto"/>
            </w:tcBorders>
            <w:shd w:val="clear" w:color="auto" w:fill="auto"/>
            <w:noWrap/>
            <w:vAlign w:val="bottom"/>
            <w:hideMark/>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bottom w:val="single" w:sz="4" w:space="0" w:color="auto"/>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bottom w:val="single" w:sz="4" w:space="0" w:color="auto"/>
            </w:tcBorders>
          </w:tcPr>
          <w:p w:rsidR="00E27931" w:rsidRPr="005B2B40" w:rsidRDefault="00E27931" w:rsidP="00A41E02">
            <w:pPr>
              <w:jc w:val="right"/>
              <w:rPr>
                <w:rFonts w:asciiTheme="majorHAnsi" w:hAnsiTheme="majorHAnsi" w:cs="Calibri"/>
                <w:b/>
                <w:sz w:val="20"/>
                <w:szCs w:val="20"/>
              </w:rPr>
            </w:pPr>
            <w:r w:rsidRPr="005B2B40">
              <w:rPr>
                <w:rFonts w:asciiTheme="majorHAnsi" w:hAnsiTheme="majorHAnsi" w:cs="Calibri"/>
                <w:b/>
                <w:sz w:val="20"/>
                <w:szCs w:val="20"/>
              </w:rPr>
              <w:t>$ 109,691,878</w:t>
            </w:r>
          </w:p>
        </w:tc>
      </w:tr>
      <w:tr w:rsidR="00E27931" w:rsidRPr="00AA613C" w:rsidTr="00933161">
        <w:trPr>
          <w:trHeight w:val="290"/>
        </w:trPr>
        <w:tc>
          <w:tcPr>
            <w:tcW w:w="1419"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top w:val="single" w:sz="4" w:space="0" w:color="auto"/>
              <w:left w:val="nil"/>
              <w:bottom w:val="nil"/>
              <w:right w:val="nil"/>
            </w:tcBorders>
            <w:shd w:val="clear" w:color="auto" w:fill="auto"/>
            <w:noWrap/>
            <w:vAlign w:val="bottom"/>
          </w:tcPr>
          <w:p w:rsidR="00E27931" w:rsidRPr="00AA613C" w:rsidRDefault="00E27931" w:rsidP="00866E6B">
            <w:pPr>
              <w:rPr>
                <w:rFonts w:asciiTheme="majorHAnsi" w:eastAsia="Times New Roman" w:hAnsiTheme="majorHAnsi" w:cs="Calibri"/>
                <w:b/>
                <w:color w:val="000000"/>
                <w:sz w:val="20"/>
                <w:szCs w:val="20"/>
                <w:lang w:eastAsia="en-AU"/>
              </w:rPr>
            </w:pPr>
          </w:p>
        </w:tc>
        <w:tc>
          <w:tcPr>
            <w:tcW w:w="1408" w:type="dxa"/>
            <w:tcBorders>
              <w:top w:val="single" w:sz="4" w:space="0" w:color="auto"/>
              <w:left w:val="nil"/>
              <w:bottom w:val="nil"/>
              <w:right w:val="nil"/>
            </w:tcBorders>
            <w:shd w:val="clear" w:color="auto" w:fill="auto"/>
            <w:noWrap/>
            <w:vAlign w:val="bottom"/>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27"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c>
          <w:tcPr>
            <w:tcW w:w="1418" w:type="dxa"/>
            <w:tcBorders>
              <w:top w:val="single" w:sz="4" w:space="0" w:color="auto"/>
              <w:left w:val="nil"/>
              <w:bottom w:val="nil"/>
              <w:right w:val="nil"/>
            </w:tcBorders>
          </w:tcPr>
          <w:p w:rsidR="00E27931" w:rsidRPr="00AA613C" w:rsidRDefault="00E27931" w:rsidP="00A41E02">
            <w:pPr>
              <w:jc w:val="right"/>
              <w:rPr>
                <w:rFonts w:asciiTheme="majorHAnsi" w:eastAsia="Times New Roman" w:hAnsiTheme="majorHAnsi" w:cs="Calibri"/>
                <w:b/>
                <w:color w:val="000000"/>
                <w:sz w:val="20"/>
                <w:szCs w:val="20"/>
                <w:lang w:eastAsia="en-AU"/>
              </w:rPr>
            </w:pPr>
          </w:p>
        </w:tc>
      </w:tr>
    </w:tbl>
    <w:p w:rsidR="00933161" w:rsidRDefault="00933161">
      <w:r>
        <w:br w:type="page"/>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4677"/>
        <w:gridCol w:w="4962"/>
        <w:gridCol w:w="1408"/>
        <w:gridCol w:w="1427"/>
        <w:gridCol w:w="1418"/>
      </w:tblGrid>
      <w:tr w:rsidR="00E27931" w:rsidRPr="005B2B40" w:rsidTr="00933161">
        <w:trPr>
          <w:trHeight w:val="290"/>
        </w:trPr>
        <w:tc>
          <w:tcPr>
            <w:tcW w:w="1419" w:type="dxa"/>
            <w:tcBorders>
              <w:top w:val="nil"/>
              <w:left w:val="nil"/>
              <w:bottom w:val="single" w:sz="4" w:space="0" w:color="auto"/>
              <w:right w:val="nil"/>
            </w:tcBorders>
            <w:shd w:val="clear" w:color="auto" w:fill="auto"/>
            <w:noWrap/>
            <w:vAlign w:val="bottom"/>
          </w:tcPr>
          <w:p w:rsidR="00E27931" w:rsidRPr="005B2B40" w:rsidRDefault="00E27931" w:rsidP="00933161">
            <w:pPr>
              <w:tabs>
                <w:tab w:val="left" w:pos="887"/>
                <w:tab w:val="left" w:pos="3958"/>
                <w:tab w:val="left" w:pos="8614"/>
              </w:tabs>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lastRenderedPageBreak/>
              <w:t>WA</w:t>
            </w:r>
          </w:p>
        </w:tc>
        <w:tc>
          <w:tcPr>
            <w:tcW w:w="4677" w:type="dxa"/>
            <w:tcBorders>
              <w:top w:val="nil"/>
              <w:left w:val="nil"/>
              <w:bottom w:val="single" w:sz="4" w:space="0" w:color="auto"/>
              <w:right w:val="nil"/>
            </w:tcBorders>
            <w:shd w:val="clear" w:color="auto" w:fill="auto"/>
            <w:noWrap/>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4962"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08" w:type="dxa"/>
            <w:tcBorders>
              <w:top w:val="nil"/>
              <w:left w:val="nil"/>
              <w:bottom w:val="single" w:sz="4" w:space="0" w:color="auto"/>
              <w:right w:val="nil"/>
            </w:tcBorders>
            <w:shd w:val="clear" w:color="auto" w:fill="auto"/>
            <w:noWrap/>
            <w:vAlign w:val="bottom"/>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27"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c>
          <w:tcPr>
            <w:tcW w:w="1418" w:type="dxa"/>
            <w:tcBorders>
              <w:top w:val="nil"/>
              <w:left w:val="nil"/>
              <w:bottom w:val="single" w:sz="4" w:space="0" w:color="auto"/>
              <w:right w:val="nil"/>
            </w:tcBorders>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p>
        </w:tc>
      </w:tr>
      <w:tr w:rsidR="00E27931" w:rsidRPr="005B2B40" w:rsidTr="00933161">
        <w:trPr>
          <w:trHeight w:val="290"/>
        </w:trPr>
        <w:tc>
          <w:tcPr>
            <w:tcW w:w="1419"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NRM Organisation</w:t>
            </w:r>
          </w:p>
        </w:tc>
        <w:tc>
          <w:tcPr>
            <w:tcW w:w="4677"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Agriculture Stream</w:t>
            </w:r>
          </w:p>
        </w:tc>
        <w:tc>
          <w:tcPr>
            <w:tcW w:w="4962" w:type="dxa"/>
            <w:tcBorders>
              <w:top w:val="single" w:sz="4" w:space="0" w:color="auto"/>
            </w:tcBorders>
            <w:shd w:val="clear" w:color="auto" w:fill="auto"/>
            <w:noWrap/>
            <w:vAlign w:val="center"/>
            <w:hideMark/>
          </w:tcPr>
          <w:p w:rsidR="00E27931" w:rsidRPr="00AA613C"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Sustainable Environment Stream</w:t>
            </w:r>
          </w:p>
        </w:tc>
        <w:tc>
          <w:tcPr>
            <w:tcW w:w="1408" w:type="dxa"/>
            <w:tcBorders>
              <w:top w:val="single" w:sz="4" w:space="0" w:color="auto"/>
            </w:tcBorders>
            <w:shd w:val="clear" w:color="auto" w:fill="auto"/>
            <w:noWrap/>
            <w:vAlign w:val="bottom"/>
            <w:hideMark/>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 Ag</w:t>
            </w:r>
            <w:r>
              <w:rPr>
                <w:rFonts w:asciiTheme="majorHAnsi" w:eastAsia="Times New Roman" w:hAnsiTheme="majorHAnsi" w:cs="Calibri"/>
                <w:b/>
                <w:color w:val="000000"/>
                <w:sz w:val="20"/>
                <w:szCs w:val="20"/>
                <w:lang w:eastAsia="en-AU"/>
              </w:rPr>
              <w:t>riculture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 xml:space="preserve">(GST </w:t>
            </w:r>
            <w:proofErr w:type="spellStart"/>
            <w:r w:rsidRPr="005B2B40">
              <w:rPr>
                <w:rFonts w:asciiTheme="majorHAnsi" w:eastAsia="Times New Roman" w:hAnsiTheme="majorHAnsi" w:cs="Calibri"/>
                <w:b/>
                <w:color w:val="000000"/>
                <w:sz w:val="20"/>
                <w:szCs w:val="20"/>
                <w:lang w:eastAsia="en-AU"/>
              </w:rPr>
              <w:t>Incl</w:t>
            </w:r>
            <w:proofErr w:type="spellEnd"/>
            <w:r w:rsidRPr="005B2B40">
              <w:rPr>
                <w:rFonts w:asciiTheme="majorHAnsi" w:eastAsia="Times New Roman" w:hAnsiTheme="majorHAnsi" w:cs="Calibri"/>
                <w:b/>
                <w:color w:val="000000"/>
                <w:sz w:val="20"/>
                <w:szCs w:val="20"/>
                <w:lang w:eastAsia="en-AU"/>
              </w:rPr>
              <w:t>)</w:t>
            </w:r>
          </w:p>
        </w:tc>
        <w:tc>
          <w:tcPr>
            <w:tcW w:w="1427" w:type="dxa"/>
            <w:tcBorders>
              <w:top w:val="single" w:sz="4" w:space="0" w:color="auto"/>
            </w:tcBorders>
            <w:vAlign w:val="bottom"/>
          </w:tcPr>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Pr>
                <w:rFonts w:asciiTheme="majorHAnsi" w:eastAsia="Times New Roman" w:hAnsiTheme="majorHAnsi" w:cs="Calibri"/>
                <w:b/>
                <w:color w:val="000000"/>
                <w:sz w:val="20"/>
                <w:szCs w:val="20"/>
                <w:lang w:eastAsia="en-AU"/>
              </w:rPr>
              <w:t>Total E</w:t>
            </w:r>
            <w:r w:rsidRPr="005B2B40">
              <w:rPr>
                <w:rFonts w:asciiTheme="majorHAnsi" w:eastAsia="Times New Roman" w:hAnsiTheme="majorHAnsi" w:cs="Calibri"/>
                <w:b/>
                <w:color w:val="000000"/>
                <w:sz w:val="20"/>
                <w:szCs w:val="20"/>
                <w:lang w:eastAsia="en-AU"/>
              </w:rPr>
              <w:t>nviro</w:t>
            </w:r>
            <w:r>
              <w:rPr>
                <w:rFonts w:asciiTheme="majorHAnsi" w:eastAsia="Times New Roman" w:hAnsiTheme="majorHAnsi" w:cs="Calibri"/>
                <w:b/>
                <w:color w:val="000000"/>
                <w:sz w:val="20"/>
                <w:szCs w:val="20"/>
                <w:lang w:eastAsia="en-AU"/>
              </w:rPr>
              <w:t>nment stream</w:t>
            </w:r>
          </w:p>
          <w:p w:rsidR="00E27931" w:rsidRPr="005B2B40" w:rsidRDefault="00E27931" w:rsidP="00E27931">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(GST INCL)</w:t>
            </w:r>
          </w:p>
        </w:tc>
        <w:tc>
          <w:tcPr>
            <w:tcW w:w="1418" w:type="dxa"/>
            <w:tcBorders>
              <w:top w:val="single" w:sz="4" w:space="0" w:color="auto"/>
            </w:tcBorders>
            <w:vAlign w:val="bottom"/>
          </w:tcPr>
          <w:p w:rsidR="00E27931" w:rsidRPr="005B2B40" w:rsidRDefault="00E27931" w:rsidP="005B2B40">
            <w:pPr>
              <w:tabs>
                <w:tab w:val="left" w:pos="887"/>
                <w:tab w:val="left" w:pos="3958"/>
                <w:tab w:val="left" w:pos="8614"/>
              </w:tabs>
              <w:jc w:val="center"/>
              <w:rPr>
                <w:rFonts w:asciiTheme="majorHAnsi" w:eastAsia="Times New Roman" w:hAnsiTheme="majorHAnsi" w:cs="Calibri"/>
                <w:b/>
                <w:color w:val="000000"/>
                <w:sz w:val="20"/>
                <w:szCs w:val="20"/>
                <w:lang w:eastAsia="en-AU"/>
              </w:rPr>
            </w:pPr>
            <w:r w:rsidRPr="005B2B40">
              <w:rPr>
                <w:rFonts w:asciiTheme="majorHAnsi" w:eastAsia="Times New Roman" w:hAnsiTheme="majorHAnsi" w:cs="Calibri"/>
                <w:b/>
                <w:color w:val="000000"/>
                <w:sz w:val="20"/>
                <w:szCs w:val="20"/>
                <w:lang w:eastAsia="en-AU"/>
              </w:rPr>
              <w:t>TOTAL</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Northern Agricultural Catchment Council</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Northern Agricultural sustainable agriculture project will use information, field demonstrations and peer skill transfer that improves land use and practice change to match land capability. Using local in-paddock examples, Northern Agricultural staff will recommend innovative practices at meetings that will be backed up by peer interaction. These activities will build landholder confidence and increase adoption levels. Another project of community monitoring of seabirds foraging along Western Australia’s west coast will inform fishery and marine reserve management. Project funds will be used for the employment and hosting of the Regional Landcare Facilitator.</w:t>
            </w:r>
          </w:p>
          <w:p w:rsidR="00933161" w:rsidRDefault="00933161">
            <w:pPr>
              <w:rPr>
                <w:rFonts w:ascii="Cambria" w:hAnsi="Cambria" w:cs="Calibri"/>
                <w:sz w:val="18"/>
                <w:szCs w:val="18"/>
              </w:rPr>
            </w:pP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Northern Agriculture Catchments Council’s Sustainable Environment program will seek to protect important remnant vegetation and habitat for threatened and endemic flora and fauna, with a focus on encouraging land managers and community groups to protect public assets on a variety of land tenures. The program will also support community in the restoration of priority coastal sites and essential ecosystem services, while building capacity within the community to adapt to the local impacts of climate change.</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$ 5,460,888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$ 8,294,307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$ 13,755,195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Rangelands NRM</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Rangelands sustainable agriculture project will use group process to work with pastoral land managers across the rangelands of Western Australia to lead practice change for improved livestock productivity. The project will ensure good engagement with land managers, whole property planning with local producer groups and community capacity building. The methods are based on previous experience of introducing change through the </w:t>
            </w:r>
            <w:proofErr w:type="spellStart"/>
            <w:r>
              <w:rPr>
                <w:rFonts w:ascii="Cambria" w:hAnsi="Cambria" w:cs="Calibri"/>
                <w:sz w:val="18"/>
                <w:szCs w:val="18"/>
              </w:rPr>
              <w:t>Bestprac</w:t>
            </w:r>
            <w:proofErr w:type="spellEnd"/>
            <w:r>
              <w:rPr>
                <w:rFonts w:ascii="Cambria" w:hAnsi="Cambria" w:cs="Calibri"/>
                <w:sz w:val="18"/>
                <w:szCs w:val="18"/>
              </w:rPr>
              <w:t xml:space="preserve"> process. The Regional Landcare Facilitator will engage with and provide advice to land managers, local and regional Landcare groups, rangelands producer groups and community organisations on sustainable agriculture practices and programs.</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Rangeland’s Sustainable Environment program has a strategic but targeted approach in the West Kimberley, Pilbara, </w:t>
            </w:r>
            <w:proofErr w:type="gramStart"/>
            <w:r>
              <w:rPr>
                <w:rFonts w:ascii="Cambria" w:hAnsi="Cambria" w:cs="Calibri"/>
                <w:sz w:val="18"/>
                <w:szCs w:val="18"/>
              </w:rPr>
              <w:t>Western</w:t>
            </w:r>
            <w:proofErr w:type="gramEnd"/>
            <w:r>
              <w:rPr>
                <w:rFonts w:ascii="Cambria" w:hAnsi="Cambria" w:cs="Calibri"/>
                <w:sz w:val="18"/>
                <w:szCs w:val="18"/>
              </w:rPr>
              <w:t xml:space="preserve"> Desert, Gascoyne, Murchison and Goldfields regions. Actions such as fire management, weed and pest control are proposed to ensure conservation outcomes for the Gouldian finch, </w:t>
            </w:r>
            <w:proofErr w:type="spellStart"/>
            <w:r>
              <w:rPr>
                <w:rFonts w:ascii="Cambria" w:hAnsi="Cambria" w:cs="Calibri"/>
                <w:sz w:val="18"/>
                <w:szCs w:val="18"/>
              </w:rPr>
              <w:t>malleefowl</w:t>
            </w:r>
            <w:proofErr w:type="spellEnd"/>
            <w:r>
              <w:rPr>
                <w:rFonts w:ascii="Cambria" w:hAnsi="Cambria" w:cs="Calibri"/>
                <w:sz w:val="18"/>
                <w:szCs w:val="18"/>
              </w:rPr>
              <w:t xml:space="preserve">, Northern Quoll, Greater Bilby, black-flanked wallaby and southern marsupial mole plus other bird and reptile species. The program will also focus on enhancement of </w:t>
            </w:r>
            <w:proofErr w:type="spellStart"/>
            <w:r>
              <w:rPr>
                <w:rFonts w:ascii="Cambria" w:hAnsi="Cambria" w:cs="Calibri"/>
                <w:sz w:val="18"/>
                <w:szCs w:val="18"/>
              </w:rPr>
              <w:t>Ramsar</w:t>
            </w:r>
            <w:proofErr w:type="spellEnd"/>
            <w:r>
              <w:rPr>
                <w:rFonts w:ascii="Cambria" w:hAnsi="Cambria" w:cs="Calibri"/>
                <w:sz w:val="18"/>
                <w:szCs w:val="18"/>
              </w:rPr>
              <w:t xml:space="preserve"> values of Roebuck Bay within the Kimberley and the integrity of Ningaloo Coast/Shark Bay World Heritage Areas. Each area of investment will build on existing and forge new cultural connections between Aboriginal people and their country.</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$ 5,528,525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$ 13,024,462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$ 18,552,987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South Coast NRM Inc</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The South Coast soils project will develop sustainable land practices through priority setting and benchmarking of soil quality and land condition. It includes trials and events to engage farming communities to adopt new behaviours. A separate project supports Aboriginal land managers to build capacity and adopt sustainable land management practices. It will support the development of enterprises based on bush foods and products through research and development, studies, pilots and extension. The Regional Landcare Facilitator will develop a skilled </w:t>
            </w:r>
            <w:proofErr w:type="spellStart"/>
            <w:r>
              <w:rPr>
                <w:rFonts w:ascii="Cambria" w:hAnsi="Cambria" w:cs="Calibri"/>
                <w:sz w:val="18"/>
                <w:szCs w:val="18"/>
              </w:rPr>
              <w:t>landcare</w:t>
            </w:r>
            <w:proofErr w:type="spellEnd"/>
            <w:r>
              <w:rPr>
                <w:rFonts w:ascii="Cambria" w:hAnsi="Cambria" w:cs="Calibri"/>
                <w:sz w:val="18"/>
                <w:szCs w:val="18"/>
              </w:rPr>
              <w:t xml:space="preserve"> community in the region. A fishing sustainability project will work with commercial fisheries and three industry organisations to implement environment management systems to increase productivity.</w:t>
            </w:r>
          </w:p>
          <w:p w:rsidR="00933161" w:rsidRDefault="00933161">
            <w:pPr>
              <w:rPr>
                <w:rFonts w:ascii="Cambria" w:hAnsi="Cambria" w:cs="Calibri"/>
                <w:sz w:val="18"/>
                <w:szCs w:val="18"/>
              </w:rPr>
            </w:pP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South Coast’s Sustainable Environment program will focus on activities to support connectivity for the recovery of EPBC listed species, with specific focus on protecting </w:t>
            </w:r>
            <w:proofErr w:type="spellStart"/>
            <w:r>
              <w:rPr>
                <w:rFonts w:ascii="Cambria" w:hAnsi="Cambria" w:cs="Calibri"/>
                <w:sz w:val="18"/>
                <w:szCs w:val="18"/>
              </w:rPr>
              <w:t>Ramsar</w:t>
            </w:r>
            <w:proofErr w:type="spellEnd"/>
            <w:r>
              <w:rPr>
                <w:rFonts w:ascii="Cambria" w:hAnsi="Cambria" w:cs="Calibri"/>
                <w:sz w:val="18"/>
                <w:szCs w:val="18"/>
              </w:rPr>
              <w:t xml:space="preserve"> values through rehabilitation works for Lake Warden and Lake Gore. The program will also progress activities supporting the protection of coastal environments and urban waterways. EPBC Threat Abatement Plans will guide activities to manage threats to listed species and communities from invasive species and Phytophthora dieback.</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$ 6,574,345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$ 15,488,000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$ 22,062,345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lastRenderedPageBreak/>
              <w:t>South West Catchments Council</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The South West sustainable agriculture project will support farms across a range of agricultural industries - horticulture, viticulture, vegetable, dairy, sheep, beef and grains. The farms will be supported to adopt sustainable land management practices and improve productivity and environmental outcomes. On-farm technical advice and farmer-to-farmer mentoring of soil health, nutrient and best management practice and a small number of farmer-driven trials aimed at innovative solutions to complex problems will be undertaken. The Regional Landcare Facilitator will raise awareness, promote sustainable farming practices and facilitate activities that build the capacity and confidence of the farming community and regional community leaders.</w:t>
            </w:r>
          </w:p>
          <w:p w:rsidR="00933161" w:rsidRDefault="00933161">
            <w:pPr>
              <w:rPr>
                <w:rFonts w:ascii="Cambria" w:hAnsi="Cambria" w:cs="Calibri"/>
                <w:sz w:val="18"/>
                <w:szCs w:val="18"/>
              </w:rPr>
            </w:pP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 xml:space="preserve">South West Catchment’s Sustainable Environment program will invest in activities to protect and restore species of national environmental significance, Threatened Ecological Communities and ecosystems recognised under the EPBC Act. Partnerships between agencies, landholders, farmers, Traditional Owners and the community will support delivery of priority actions on both public and private land. Engagement with the wider community, including the Indigenous community, will build on capacity building outcomes and core competencies developed over past and current investment, with a focus on activities to protect </w:t>
            </w:r>
            <w:proofErr w:type="spellStart"/>
            <w:r>
              <w:rPr>
                <w:rFonts w:ascii="Cambria" w:hAnsi="Cambria" w:cs="Calibri"/>
                <w:sz w:val="18"/>
                <w:szCs w:val="18"/>
              </w:rPr>
              <w:t>Ramsar</w:t>
            </w:r>
            <w:proofErr w:type="spellEnd"/>
            <w:r>
              <w:rPr>
                <w:rFonts w:ascii="Cambria" w:hAnsi="Cambria" w:cs="Calibri"/>
                <w:sz w:val="18"/>
                <w:szCs w:val="18"/>
              </w:rPr>
              <w:t xml:space="preserve"> wetlands, coastal environments and urban waterways.</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$ 7,367,507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$ 17,355,470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$ 24,722,977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r w:rsidRPr="00933161">
              <w:rPr>
                <w:rFonts w:ascii="Cambria" w:hAnsi="Cambria" w:cs="Calibri"/>
                <w:b/>
                <w:sz w:val="18"/>
                <w:szCs w:val="18"/>
              </w:rPr>
              <w:t>Perth Region NRM</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Perth Region NRM will engage with peak industry associations to provide extension services that drive adoption of sustainable practices, particularly in soil health and waste management. There will be demonstration of innovative practices, partnerships developed with key agricultural agencies and industry groups, and dissemination of data on best management practices. The Regional Landcare Facilitator will work with Landcare groups, community and industry groups, to conduct field days, workshops and demonstration sites. The Regional Landcare Facilitator will also increase community awareness and participation in Landcare through information sessions at sites with specific environmental issues and by organising volunteer days.</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Perth Region Natural Resource Management’s Sustainable Environment program targets engagement with community groups in the Perth NRM region and surrounding areas. Working with the local Indigenous community through information exchange on threatened ecological communities and species, and the sharing of traditional ecological knowledge is a particular focus to produce on-ground actions. These actions complement the biodiversity activities targeting community facilitation and threat management for EPBC-listed species and communities in the Perth region. The program also looks at developing strategic partnerships with government and non-government agencies and community groups to better coordinate urban waterway investment, including capacity building and implementation of best practice management. Strong partnerships with local governments and coastal community groups will be continued to support Perth’s coastal environment.</w:t>
            </w:r>
          </w:p>
          <w:p w:rsidR="00933161" w:rsidRDefault="00933161">
            <w:pPr>
              <w:rPr>
                <w:rFonts w:ascii="Cambria" w:hAnsi="Cambria" w:cs="Calibri"/>
                <w:sz w:val="18"/>
                <w:szCs w:val="18"/>
              </w:rPr>
            </w:pP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$ 723,637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$ 1,720,400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$ 2,444,037 </w:t>
            </w:r>
          </w:p>
        </w:tc>
      </w:tr>
      <w:tr w:rsidR="00E27931" w:rsidTr="00933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27931" w:rsidRPr="00933161" w:rsidRDefault="00E27931">
            <w:pPr>
              <w:rPr>
                <w:rFonts w:ascii="Cambria" w:hAnsi="Cambria" w:cs="Calibri"/>
                <w:b/>
                <w:sz w:val="18"/>
                <w:szCs w:val="18"/>
              </w:rPr>
            </w:pPr>
            <w:proofErr w:type="spellStart"/>
            <w:r w:rsidRPr="00933161">
              <w:rPr>
                <w:rFonts w:ascii="Cambria" w:hAnsi="Cambria" w:cs="Calibri"/>
                <w:b/>
                <w:sz w:val="18"/>
                <w:szCs w:val="18"/>
              </w:rPr>
              <w:t>Wheatbelt</w:t>
            </w:r>
            <w:proofErr w:type="spellEnd"/>
            <w:r w:rsidRPr="00933161">
              <w:rPr>
                <w:rFonts w:ascii="Cambria" w:hAnsi="Cambria" w:cs="Calibri"/>
                <w:b/>
                <w:sz w:val="18"/>
                <w:szCs w:val="18"/>
              </w:rPr>
              <w:t xml:space="preserve"> NRM Inc</w:t>
            </w:r>
          </w:p>
        </w:tc>
        <w:tc>
          <w:tcPr>
            <w:tcW w:w="4677"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r>
              <w:rPr>
                <w:rFonts w:ascii="Cambria" w:hAnsi="Cambria" w:cs="Calibri"/>
                <w:sz w:val="18"/>
                <w:szCs w:val="18"/>
              </w:rPr>
              <w:t>Agriculture outcomes will be delivered through the integration of four projects. These projects will build on the successful farm practice change model to expand the use and trial of innovative solutions to the impacts of cropping and grazing systems on soil health, erosion and acidity. Farmers will be assisted to build their understanding of the soil health factors limiting production and better interpret soil testing results to guide soil management. Traditional Ecological Knowledge with be collated with modern horticultural practices in trialling bush tucker food species on Aboriginal land. The Regional Landcare Facilitator will contribute to the development of a skilled and capable community who participate in NRM across the region.</w:t>
            </w:r>
          </w:p>
        </w:tc>
        <w:tc>
          <w:tcPr>
            <w:tcW w:w="4962" w:type="dxa"/>
            <w:tcBorders>
              <w:top w:val="nil"/>
              <w:left w:val="nil"/>
              <w:bottom w:val="single" w:sz="4" w:space="0" w:color="auto"/>
              <w:right w:val="single" w:sz="4" w:space="0" w:color="auto"/>
            </w:tcBorders>
            <w:shd w:val="clear" w:color="auto" w:fill="auto"/>
            <w:noWrap/>
            <w:vAlign w:val="center"/>
            <w:hideMark/>
          </w:tcPr>
          <w:p w:rsidR="00E27931" w:rsidRDefault="00E27931">
            <w:pPr>
              <w:rPr>
                <w:rFonts w:ascii="Cambria" w:hAnsi="Cambria" w:cs="Calibri"/>
                <w:sz w:val="18"/>
                <w:szCs w:val="18"/>
              </w:rPr>
            </w:pPr>
            <w:proofErr w:type="spellStart"/>
            <w:r>
              <w:rPr>
                <w:rFonts w:ascii="Cambria" w:hAnsi="Cambria" w:cs="Calibri"/>
                <w:sz w:val="18"/>
                <w:szCs w:val="18"/>
              </w:rPr>
              <w:t>Wheatbelt’s</w:t>
            </w:r>
            <w:proofErr w:type="spellEnd"/>
            <w:r>
              <w:rPr>
                <w:rFonts w:ascii="Cambria" w:hAnsi="Cambria" w:cs="Calibri"/>
                <w:sz w:val="18"/>
                <w:szCs w:val="18"/>
              </w:rPr>
              <w:t xml:space="preserve"> Sustainable Environment program will invest in conserving and enhancing Eucalypt woodlands, priority assets and matters of national significance under threat. Through securing existing remnant vegetation and conducting coordinated plantings, key remnants will be consolidated into tracts of sufficient size to improve ecological linkages, provide </w:t>
            </w:r>
            <w:proofErr w:type="spellStart"/>
            <w:r>
              <w:rPr>
                <w:rFonts w:ascii="Cambria" w:hAnsi="Cambria" w:cs="Calibri"/>
                <w:sz w:val="18"/>
                <w:szCs w:val="18"/>
              </w:rPr>
              <w:t>refugia</w:t>
            </w:r>
            <w:proofErr w:type="spellEnd"/>
            <w:r>
              <w:rPr>
                <w:rFonts w:ascii="Cambria" w:hAnsi="Cambria" w:cs="Calibri"/>
                <w:sz w:val="18"/>
                <w:szCs w:val="18"/>
              </w:rPr>
              <w:t xml:space="preserve"> and promote improved resilience in our semi-arid climate. Indigenous engagement will occur through support for management of significant sites for cultural and biodiversity outcomes, with training opportunities for delivery of on-ground works. </w:t>
            </w:r>
          </w:p>
        </w:tc>
        <w:tc>
          <w:tcPr>
            <w:tcW w:w="140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$ 5,477,117 </w:t>
            </w:r>
          </w:p>
        </w:tc>
        <w:tc>
          <w:tcPr>
            <w:tcW w:w="1427"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$ 12,903,440 </w:t>
            </w:r>
          </w:p>
        </w:tc>
        <w:tc>
          <w:tcPr>
            <w:tcW w:w="1418" w:type="dxa"/>
            <w:tcBorders>
              <w:top w:val="nil"/>
              <w:left w:val="nil"/>
              <w:bottom w:val="single" w:sz="4" w:space="0" w:color="auto"/>
              <w:right w:val="single" w:sz="4" w:space="0" w:color="auto"/>
            </w:tcBorders>
            <w:shd w:val="clear" w:color="auto" w:fill="auto"/>
            <w:noWrap/>
            <w:vAlign w:val="center"/>
            <w:hideMark/>
          </w:tcPr>
          <w:p w:rsidR="00E27931" w:rsidRDefault="00E27931" w:rsidP="00533739">
            <w:pPr>
              <w:jc w:val="right"/>
              <w:rPr>
                <w:rFonts w:ascii="Cambria" w:hAnsi="Cambria" w:cs="Calibri"/>
                <w:sz w:val="18"/>
                <w:szCs w:val="18"/>
              </w:rPr>
            </w:pPr>
            <w:r>
              <w:rPr>
                <w:rFonts w:ascii="Cambria" w:hAnsi="Cambria" w:cs="Calibri"/>
                <w:sz w:val="18"/>
                <w:szCs w:val="18"/>
              </w:rPr>
              <w:t xml:space="preserve">$ 18,380,557 </w:t>
            </w:r>
          </w:p>
        </w:tc>
      </w:tr>
      <w:tr w:rsidR="00E27931" w:rsidRPr="00AA613C" w:rsidTr="00933161">
        <w:trPr>
          <w:trHeight w:val="290"/>
        </w:trPr>
        <w:tc>
          <w:tcPr>
            <w:tcW w:w="1419"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677"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color w:val="000000"/>
                <w:sz w:val="20"/>
                <w:szCs w:val="20"/>
                <w:lang w:eastAsia="en-AU"/>
              </w:rPr>
            </w:pPr>
          </w:p>
        </w:tc>
        <w:tc>
          <w:tcPr>
            <w:tcW w:w="4962" w:type="dxa"/>
            <w:tcBorders>
              <w:bottom w:val="single" w:sz="4" w:space="0" w:color="auto"/>
            </w:tcBorders>
            <w:shd w:val="clear" w:color="auto" w:fill="auto"/>
            <w:noWrap/>
            <w:vAlign w:val="bottom"/>
            <w:hideMark/>
          </w:tcPr>
          <w:p w:rsidR="00E27931" w:rsidRPr="00AA613C" w:rsidRDefault="00E27931" w:rsidP="00866E6B">
            <w:pPr>
              <w:rPr>
                <w:rFonts w:asciiTheme="majorHAnsi" w:eastAsia="Times New Roman" w:hAnsiTheme="majorHAnsi" w:cs="Calibri"/>
                <w:b/>
                <w:color w:val="000000"/>
                <w:sz w:val="20"/>
                <w:szCs w:val="20"/>
                <w:lang w:eastAsia="en-AU"/>
              </w:rPr>
            </w:pPr>
            <w:r w:rsidRPr="00AA613C">
              <w:rPr>
                <w:rFonts w:asciiTheme="majorHAnsi" w:eastAsia="Times New Roman" w:hAnsiTheme="majorHAnsi" w:cs="Calibri"/>
                <w:b/>
                <w:color w:val="000000"/>
                <w:sz w:val="20"/>
                <w:szCs w:val="20"/>
                <w:lang w:eastAsia="en-AU"/>
              </w:rPr>
              <w:t>WA TOTAL</w:t>
            </w:r>
          </w:p>
        </w:tc>
        <w:tc>
          <w:tcPr>
            <w:tcW w:w="1408" w:type="dxa"/>
            <w:tcBorders>
              <w:bottom w:val="single" w:sz="4" w:space="0" w:color="auto"/>
            </w:tcBorders>
            <w:shd w:val="clear" w:color="auto" w:fill="auto"/>
            <w:noWrap/>
            <w:vAlign w:val="bottom"/>
            <w:hideMark/>
          </w:tcPr>
          <w:p w:rsidR="00E27931" w:rsidRPr="00AA613C" w:rsidRDefault="00E27931" w:rsidP="00A41E02">
            <w:pPr>
              <w:jc w:val="center"/>
              <w:rPr>
                <w:rFonts w:asciiTheme="majorHAnsi" w:eastAsia="Times New Roman" w:hAnsiTheme="majorHAnsi" w:cs="Calibri"/>
                <w:b/>
                <w:color w:val="000000"/>
                <w:sz w:val="20"/>
                <w:szCs w:val="20"/>
                <w:lang w:eastAsia="en-AU"/>
              </w:rPr>
            </w:pPr>
          </w:p>
        </w:tc>
        <w:tc>
          <w:tcPr>
            <w:tcW w:w="1427" w:type="dxa"/>
            <w:tcBorders>
              <w:bottom w:val="single" w:sz="4" w:space="0" w:color="auto"/>
            </w:tcBorders>
          </w:tcPr>
          <w:p w:rsidR="00E27931" w:rsidRPr="00AA613C" w:rsidRDefault="00E27931" w:rsidP="00A41E02">
            <w:pPr>
              <w:jc w:val="center"/>
              <w:rPr>
                <w:rFonts w:asciiTheme="majorHAnsi" w:eastAsia="Times New Roman" w:hAnsiTheme="majorHAnsi" w:cs="Calibri"/>
                <w:b/>
                <w:color w:val="000000"/>
                <w:sz w:val="20"/>
                <w:szCs w:val="20"/>
                <w:lang w:eastAsia="en-AU"/>
              </w:rPr>
            </w:pPr>
          </w:p>
        </w:tc>
        <w:tc>
          <w:tcPr>
            <w:tcW w:w="1418" w:type="dxa"/>
            <w:tcBorders>
              <w:bottom w:val="single" w:sz="4" w:space="0" w:color="auto"/>
            </w:tcBorders>
          </w:tcPr>
          <w:p w:rsidR="00E27931" w:rsidRPr="005B2B40" w:rsidRDefault="00E27931" w:rsidP="005B2B40">
            <w:pPr>
              <w:jc w:val="right"/>
              <w:rPr>
                <w:rFonts w:asciiTheme="majorHAnsi" w:hAnsiTheme="majorHAnsi" w:cs="Calibri"/>
                <w:b/>
                <w:sz w:val="20"/>
                <w:szCs w:val="20"/>
              </w:rPr>
            </w:pPr>
            <w:r w:rsidRPr="005B2B40">
              <w:rPr>
                <w:rFonts w:asciiTheme="majorHAnsi" w:hAnsiTheme="majorHAnsi" w:cs="Calibri"/>
                <w:b/>
                <w:sz w:val="20"/>
                <w:szCs w:val="20"/>
              </w:rPr>
              <w:t>$ 99,918,098</w:t>
            </w:r>
          </w:p>
        </w:tc>
      </w:tr>
    </w:tbl>
    <w:p w:rsidR="00866E6B" w:rsidRDefault="00866E6B">
      <w:pPr>
        <w:rPr>
          <w:rFonts w:asciiTheme="majorHAnsi" w:hAnsiTheme="majorHAnsi"/>
        </w:rPr>
      </w:pPr>
    </w:p>
    <w:sectPr w:rsidR="00866E6B" w:rsidSect="00ED7F95">
      <w:pgSz w:w="16840" w:h="11907" w:orient="landscape" w:code="9"/>
      <w:pgMar w:top="567" w:right="822" w:bottom="709" w:left="993"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163"/>
  <w:displayHorizontalDrawingGridEvery w:val="2"/>
  <w:displayVerticalDrawingGridEvery w:val="2"/>
  <w:characterSpacingControl w:val="doNotCompress"/>
  <w:compat/>
  <w:rsids>
    <w:rsidRoot w:val="00866E6B"/>
    <w:rsid w:val="000015CA"/>
    <w:rsid w:val="00003943"/>
    <w:rsid w:val="00003AC5"/>
    <w:rsid w:val="000055E7"/>
    <w:rsid w:val="00036660"/>
    <w:rsid w:val="000541DD"/>
    <w:rsid w:val="0006214E"/>
    <w:rsid w:val="000731DB"/>
    <w:rsid w:val="00074A2F"/>
    <w:rsid w:val="000804D0"/>
    <w:rsid w:val="00081F56"/>
    <w:rsid w:val="00084048"/>
    <w:rsid w:val="000A0DD8"/>
    <w:rsid w:val="000C0BE7"/>
    <w:rsid w:val="000C0E2A"/>
    <w:rsid w:val="000C7B37"/>
    <w:rsid w:val="000D2341"/>
    <w:rsid w:val="000D475C"/>
    <w:rsid w:val="000E1CB7"/>
    <w:rsid w:val="000E262D"/>
    <w:rsid w:val="000E5ABE"/>
    <w:rsid w:val="000F4E66"/>
    <w:rsid w:val="000F7D4E"/>
    <w:rsid w:val="00105C40"/>
    <w:rsid w:val="00106AB2"/>
    <w:rsid w:val="00107A63"/>
    <w:rsid w:val="001121BA"/>
    <w:rsid w:val="0012226A"/>
    <w:rsid w:val="00122963"/>
    <w:rsid w:val="00124C89"/>
    <w:rsid w:val="00126F76"/>
    <w:rsid w:val="00143FB3"/>
    <w:rsid w:val="00147E8C"/>
    <w:rsid w:val="00155249"/>
    <w:rsid w:val="00160C5A"/>
    <w:rsid w:val="00164474"/>
    <w:rsid w:val="00164AC3"/>
    <w:rsid w:val="00176F94"/>
    <w:rsid w:val="00181191"/>
    <w:rsid w:val="0019316C"/>
    <w:rsid w:val="00196C42"/>
    <w:rsid w:val="001A06EA"/>
    <w:rsid w:val="001A64FC"/>
    <w:rsid w:val="001B50D8"/>
    <w:rsid w:val="001B66C7"/>
    <w:rsid w:val="001C39DF"/>
    <w:rsid w:val="001C4A5E"/>
    <w:rsid w:val="001D48DB"/>
    <w:rsid w:val="001D5B90"/>
    <w:rsid w:val="00205210"/>
    <w:rsid w:val="00216524"/>
    <w:rsid w:val="002228C2"/>
    <w:rsid w:val="002337CE"/>
    <w:rsid w:val="0023716C"/>
    <w:rsid w:val="00243597"/>
    <w:rsid w:val="0024722D"/>
    <w:rsid w:val="00256D40"/>
    <w:rsid w:val="00267BFF"/>
    <w:rsid w:val="00273D96"/>
    <w:rsid w:val="002826A7"/>
    <w:rsid w:val="00285B0E"/>
    <w:rsid w:val="00296006"/>
    <w:rsid w:val="00296AC1"/>
    <w:rsid w:val="002A223C"/>
    <w:rsid w:val="002B3C7D"/>
    <w:rsid w:val="002B4907"/>
    <w:rsid w:val="002E360F"/>
    <w:rsid w:val="002E4005"/>
    <w:rsid w:val="002F0579"/>
    <w:rsid w:val="002F1121"/>
    <w:rsid w:val="002F6EBD"/>
    <w:rsid w:val="003043BD"/>
    <w:rsid w:val="003117E7"/>
    <w:rsid w:val="003415EB"/>
    <w:rsid w:val="003425C7"/>
    <w:rsid w:val="00353E2E"/>
    <w:rsid w:val="00361BF6"/>
    <w:rsid w:val="003716FC"/>
    <w:rsid w:val="00374756"/>
    <w:rsid w:val="003815A4"/>
    <w:rsid w:val="0038222C"/>
    <w:rsid w:val="00384D7F"/>
    <w:rsid w:val="00384E5D"/>
    <w:rsid w:val="003864E6"/>
    <w:rsid w:val="00387406"/>
    <w:rsid w:val="003968A7"/>
    <w:rsid w:val="003970DC"/>
    <w:rsid w:val="00397CF2"/>
    <w:rsid w:val="003A2C7D"/>
    <w:rsid w:val="003C3573"/>
    <w:rsid w:val="003D71E5"/>
    <w:rsid w:val="003E045E"/>
    <w:rsid w:val="003E1260"/>
    <w:rsid w:val="003F1750"/>
    <w:rsid w:val="0040189C"/>
    <w:rsid w:val="0041144E"/>
    <w:rsid w:val="0041153C"/>
    <w:rsid w:val="00415D20"/>
    <w:rsid w:val="00416D48"/>
    <w:rsid w:val="00421AAF"/>
    <w:rsid w:val="00423DF7"/>
    <w:rsid w:val="00432168"/>
    <w:rsid w:val="004456BD"/>
    <w:rsid w:val="00455C82"/>
    <w:rsid w:val="00460695"/>
    <w:rsid w:val="004639FA"/>
    <w:rsid w:val="0046417A"/>
    <w:rsid w:val="00475AB8"/>
    <w:rsid w:val="0049140A"/>
    <w:rsid w:val="004A41F2"/>
    <w:rsid w:val="004A535D"/>
    <w:rsid w:val="004A56AA"/>
    <w:rsid w:val="004B0918"/>
    <w:rsid w:val="004B5672"/>
    <w:rsid w:val="004B69B0"/>
    <w:rsid w:val="004C5B44"/>
    <w:rsid w:val="004D45BA"/>
    <w:rsid w:val="004E10B8"/>
    <w:rsid w:val="004E1567"/>
    <w:rsid w:val="004E1CBA"/>
    <w:rsid w:val="004E4B78"/>
    <w:rsid w:val="00502752"/>
    <w:rsid w:val="005075D1"/>
    <w:rsid w:val="00516CE9"/>
    <w:rsid w:val="0052635C"/>
    <w:rsid w:val="00526F90"/>
    <w:rsid w:val="00527CD4"/>
    <w:rsid w:val="00533739"/>
    <w:rsid w:val="00544B12"/>
    <w:rsid w:val="0054532C"/>
    <w:rsid w:val="00547BCC"/>
    <w:rsid w:val="0055312B"/>
    <w:rsid w:val="00553A6A"/>
    <w:rsid w:val="00555CB6"/>
    <w:rsid w:val="0055645F"/>
    <w:rsid w:val="00557958"/>
    <w:rsid w:val="00561E4A"/>
    <w:rsid w:val="00577AE0"/>
    <w:rsid w:val="005A3205"/>
    <w:rsid w:val="005B02A2"/>
    <w:rsid w:val="005B1B7A"/>
    <w:rsid w:val="005B293C"/>
    <w:rsid w:val="005B2B40"/>
    <w:rsid w:val="005C05DE"/>
    <w:rsid w:val="005C084D"/>
    <w:rsid w:val="005D70D8"/>
    <w:rsid w:val="005E15AB"/>
    <w:rsid w:val="005F7C58"/>
    <w:rsid w:val="006116A8"/>
    <w:rsid w:val="00613BDE"/>
    <w:rsid w:val="00623787"/>
    <w:rsid w:val="00625471"/>
    <w:rsid w:val="00634E99"/>
    <w:rsid w:val="00646FDD"/>
    <w:rsid w:val="006628D2"/>
    <w:rsid w:val="00676383"/>
    <w:rsid w:val="0068557F"/>
    <w:rsid w:val="00686224"/>
    <w:rsid w:val="00694482"/>
    <w:rsid w:val="00696F58"/>
    <w:rsid w:val="00697143"/>
    <w:rsid w:val="006A12D4"/>
    <w:rsid w:val="006C1EA6"/>
    <w:rsid w:val="006C4498"/>
    <w:rsid w:val="006E1204"/>
    <w:rsid w:val="006F511E"/>
    <w:rsid w:val="00713185"/>
    <w:rsid w:val="0071617B"/>
    <w:rsid w:val="00720A9C"/>
    <w:rsid w:val="0072340A"/>
    <w:rsid w:val="007258FA"/>
    <w:rsid w:val="00740D2F"/>
    <w:rsid w:val="007733EC"/>
    <w:rsid w:val="00780C51"/>
    <w:rsid w:val="00781742"/>
    <w:rsid w:val="00781941"/>
    <w:rsid w:val="00786D35"/>
    <w:rsid w:val="007952F1"/>
    <w:rsid w:val="007A537F"/>
    <w:rsid w:val="007C0BDB"/>
    <w:rsid w:val="007C12E7"/>
    <w:rsid w:val="007C30ED"/>
    <w:rsid w:val="007C41A4"/>
    <w:rsid w:val="007C4DA9"/>
    <w:rsid w:val="007D19FD"/>
    <w:rsid w:val="00804947"/>
    <w:rsid w:val="00804E41"/>
    <w:rsid w:val="0081091F"/>
    <w:rsid w:val="0081109B"/>
    <w:rsid w:val="00813377"/>
    <w:rsid w:val="00813B1F"/>
    <w:rsid w:val="00815CBC"/>
    <w:rsid w:val="0082334E"/>
    <w:rsid w:val="00835296"/>
    <w:rsid w:val="0084418D"/>
    <w:rsid w:val="00862446"/>
    <w:rsid w:val="00864D4F"/>
    <w:rsid w:val="00866E6B"/>
    <w:rsid w:val="00870C2A"/>
    <w:rsid w:val="00871CF4"/>
    <w:rsid w:val="00873C26"/>
    <w:rsid w:val="00880784"/>
    <w:rsid w:val="008A23B6"/>
    <w:rsid w:val="008A3325"/>
    <w:rsid w:val="008A3A61"/>
    <w:rsid w:val="008A67BC"/>
    <w:rsid w:val="008B1194"/>
    <w:rsid w:val="008C4030"/>
    <w:rsid w:val="008D079C"/>
    <w:rsid w:val="008D1430"/>
    <w:rsid w:val="008D65FE"/>
    <w:rsid w:val="008D6EF1"/>
    <w:rsid w:val="008E1B09"/>
    <w:rsid w:val="008E7039"/>
    <w:rsid w:val="008F17A1"/>
    <w:rsid w:val="009053F8"/>
    <w:rsid w:val="00906562"/>
    <w:rsid w:val="00913DEE"/>
    <w:rsid w:val="00916F84"/>
    <w:rsid w:val="009240BF"/>
    <w:rsid w:val="00926C5C"/>
    <w:rsid w:val="00931DD2"/>
    <w:rsid w:val="00933161"/>
    <w:rsid w:val="009414A5"/>
    <w:rsid w:val="00944373"/>
    <w:rsid w:val="0095134B"/>
    <w:rsid w:val="0095572F"/>
    <w:rsid w:val="00960B5A"/>
    <w:rsid w:val="009611DA"/>
    <w:rsid w:val="009A67E6"/>
    <w:rsid w:val="009B087E"/>
    <w:rsid w:val="009B1044"/>
    <w:rsid w:val="009B277F"/>
    <w:rsid w:val="009C12FE"/>
    <w:rsid w:val="009D20FB"/>
    <w:rsid w:val="009E64B4"/>
    <w:rsid w:val="009F15D6"/>
    <w:rsid w:val="009F1674"/>
    <w:rsid w:val="009F4B1C"/>
    <w:rsid w:val="009F7778"/>
    <w:rsid w:val="00A00700"/>
    <w:rsid w:val="00A104A6"/>
    <w:rsid w:val="00A22410"/>
    <w:rsid w:val="00A37B1E"/>
    <w:rsid w:val="00A41766"/>
    <w:rsid w:val="00A41E02"/>
    <w:rsid w:val="00A507C8"/>
    <w:rsid w:val="00A57F02"/>
    <w:rsid w:val="00A613C6"/>
    <w:rsid w:val="00A66756"/>
    <w:rsid w:val="00A745B8"/>
    <w:rsid w:val="00A97928"/>
    <w:rsid w:val="00AA1B17"/>
    <w:rsid w:val="00AA5EE1"/>
    <w:rsid w:val="00AA613C"/>
    <w:rsid w:val="00AB0ED5"/>
    <w:rsid w:val="00AC2C7F"/>
    <w:rsid w:val="00AD35B4"/>
    <w:rsid w:val="00AD4D42"/>
    <w:rsid w:val="00AD65C2"/>
    <w:rsid w:val="00AE609C"/>
    <w:rsid w:val="00B0542A"/>
    <w:rsid w:val="00B12594"/>
    <w:rsid w:val="00B13738"/>
    <w:rsid w:val="00B24105"/>
    <w:rsid w:val="00B439D6"/>
    <w:rsid w:val="00B46D7A"/>
    <w:rsid w:val="00B731D0"/>
    <w:rsid w:val="00B856D6"/>
    <w:rsid w:val="00B93C81"/>
    <w:rsid w:val="00B953F6"/>
    <w:rsid w:val="00BA5BF4"/>
    <w:rsid w:val="00BB4DB3"/>
    <w:rsid w:val="00BB5633"/>
    <w:rsid w:val="00BC2FB0"/>
    <w:rsid w:val="00BC6C71"/>
    <w:rsid w:val="00BD0A1B"/>
    <w:rsid w:val="00BD4F31"/>
    <w:rsid w:val="00BE4158"/>
    <w:rsid w:val="00BF48D7"/>
    <w:rsid w:val="00C053A0"/>
    <w:rsid w:val="00C11EF2"/>
    <w:rsid w:val="00C15CDC"/>
    <w:rsid w:val="00C20A3C"/>
    <w:rsid w:val="00C423E1"/>
    <w:rsid w:val="00C454EE"/>
    <w:rsid w:val="00C651EC"/>
    <w:rsid w:val="00C6557C"/>
    <w:rsid w:val="00C6692F"/>
    <w:rsid w:val="00C842E3"/>
    <w:rsid w:val="00C845BF"/>
    <w:rsid w:val="00C90870"/>
    <w:rsid w:val="00C979C5"/>
    <w:rsid w:val="00CA0A3F"/>
    <w:rsid w:val="00CB3735"/>
    <w:rsid w:val="00CC2E33"/>
    <w:rsid w:val="00CC3E3D"/>
    <w:rsid w:val="00CC6025"/>
    <w:rsid w:val="00CC6A30"/>
    <w:rsid w:val="00CD16FB"/>
    <w:rsid w:val="00CD3FD7"/>
    <w:rsid w:val="00CE4954"/>
    <w:rsid w:val="00CF5D1B"/>
    <w:rsid w:val="00D03C22"/>
    <w:rsid w:val="00D10DAF"/>
    <w:rsid w:val="00D22F6A"/>
    <w:rsid w:val="00D33680"/>
    <w:rsid w:val="00D359C2"/>
    <w:rsid w:val="00D53B73"/>
    <w:rsid w:val="00D568A2"/>
    <w:rsid w:val="00D63997"/>
    <w:rsid w:val="00D65FCC"/>
    <w:rsid w:val="00D70E40"/>
    <w:rsid w:val="00D73FBB"/>
    <w:rsid w:val="00D82D5D"/>
    <w:rsid w:val="00D832DD"/>
    <w:rsid w:val="00D857FE"/>
    <w:rsid w:val="00DA63A0"/>
    <w:rsid w:val="00DA7A09"/>
    <w:rsid w:val="00DB7BCD"/>
    <w:rsid w:val="00DC28D4"/>
    <w:rsid w:val="00DD010F"/>
    <w:rsid w:val="00DE085B"/>
    <w:rsid w:val="00DF19AB"/>
    <w:rsid w:val="00E14973"/>
    <w:rsid w:val="00E2099A"/>
    <w:rsid w:val="00E20D40"/>
    <w:rsid w:val="00E2198C"/>
    <w:rsid w:val="00E27931"/>
    <w:rsid w:val="00E30439"/>
    <w:rsid w:val="00E33DE4"/>
    <w:rsid w:val="00E372EA"/>
    <w:rsid w:val="00E40D29"/>
    <w:rsid w:val="00E42E53"/>
    <w:rsid w:val="00E52121"/>
    <w:rsid w:val="00E54378"/>
    <w:rsid w:val="00E600E9"/>
    <w:rsid w:val="00E60462"/>
    <w:rsid w:val="00E66DA8"/>
    <w:rsid w:val="00E70778"/>
    <w:rsid w:val="00E8102D"/>
    <w:rsid w:val="00E861B0"/>
    <w:rsid w:val="00E92411"/>
    <w:rsid w:val="00E9401F"/>
    <w:rsid w:val="00E97FBA"/>
    <w:rsid w:val="00EC2B84"/>
    <w:rsid w:val="00ED1F5E"/>
    <w:rsid w:val="00ED7F95"/>
    <w:rsid w:val="00EE01C8"/>
    <w:rsid w:val="00EE586A"/>
    <w:rsid w:val="00EF33FD"/>
    <w:rsid w:val="00EF5469"/>
    <w:rsid w:val="00F04981"/>
    <w:rsid w:val="00F13988"/>
    <w:rsid w:val="00F15453"/>
    <w:rsid w:val="00F20450"/>
    <w:rsid w:val="00F2079A"/>
    <w:rsid w:val="00F30B6B"/>
    <w:rsid w:val="00F30DF4"/>
    <w:rsid w:val="00F42CF8"/>
    <w:rsid w:val="00F61E8C"/>
    <w:rsid w:val="00F66329"/>
    <w:rsid w:val="00F66A08"/>
    <w:rsid w:val="00F67E41"/>
    <w:rsid w:val="00F71CDD"/>
    <w:rsid w:val="00F75DA0"/>
    <w:rsid w:val="00F96DD9"/>
    <w:rsid w:val="00FA6755"/>
    <w:rsid w:val="00FC08FE"/>
    <w:rsid w:val="00FD164B"/>
    <w:rsid w:val="00FD1B40"/>
    <w:rsid w:val="00FE09FF"/>
    <w:rsid w:val="00FE248D"/>
    <w:rsid w:val="00FE5257"/>
    <w:rsid w:val="00FE66FA"/>
    <w:rsid w:val="00FF2A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2A2"/>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E6B"/>
    <w:rPr>
      <w:color w:val="0000FF"/>
      <w:u w:val="single"/>
    </w:rPr>
  </w:style>
  <w:style w:type="character" w:styleId="FollowedHyperlink">
    <w:name w:val="FollowedHyperlink"/>
    <w:basedOn w:val="DefaultParagraphFont"/>
    <w:uiPriority w:val="99"/>
    <w:unhideWhenUsed/>
    <w:rsid w:val="00866E6B"/>
    <w:rPr>
      <w:color w:val="800080"/>
      <w:u w:val="single"/>
    </w:rPr>
  </w:style>
  <w:style w:type="paragraph" w:styleId="BalloonText">
    <w:name w:val="Balloon Text"/>
    <w:basedOn w:val="Normal"/>
    <w:link w:val="BalloonTextChar"/>
    <w:rsid w:val="000D2341"/>
    <w:rPr>
      <w:rFonts w:ascii="Tahoma" w:hAnsi="Tahoma" w:cs="Tahoma"/>
      <w:sz w:val="16"/>
      <w:szCs w:val="16"/>
    </w:rPr>
  </w:style>
  <w:style w:type="character" w:customStyle="1" w:styleId="BalloonTextChar">
    <w:name w:val="Balloon Text Char"/>
    <w:basedOn w:val="DefaultParagraphFont"/>
    <w:link w:val="BalloonText"/>
    <w:rsid w:val="000D234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0437300">
      <w:bodyDiv w:val="1"/>
      <w:marLeft w:val="0"/>
      <w:marRight w:val="0"/>
      <w:marTop w:val="0"/>
      <w:marBottom w:val="0"/>
      <w:divBdr>
        <w:top w:val="none" w:sz="0" w:space="0" w:color="auto"/>
        <w:left w:val="none" w:sz="0" w:space="0" w:color="auto"/>
        <w:bottom w:val="none" w:sz="0" w:space="0" w:color="auto"/>
        <w:right w:val="none" w:sz="0" w:space="0" w:color="auto"/>
      </w:divBdr>
    </w:div>
    <w:div w:id="213154841">
      <w:bodyDiv w:val="1"/>
      <w:marLeft w:val="0"/>
      <w:marRight w:val="0"/>
      <w:marTop w:val="0"/>
      <w:marBottom w:val="0"/>
      <w:divBdr>
        <w:top w:val="none" w:sz="0" w:space="0" w:color="auto"/>
        <w:left w:val="none" w:sz="0" w:space="0" w:color="auto"/>
        <w:bottom w:val="none" w:sz="0" w:space="0" w:color="auto"/>
        <w:right w:val="none" w:sz="0" w:space="0" w:color="auto"/>
      </w:divBdr>
    </w:div>
    <w:div w:id="234826149">
      <w:bodyDiv w:val="1"/>
      <w:marLeft w:val="0"/>
      <w:marRight w:val="0"/>
      <w:marTop w:val="0"/>
      <w:marBottom w:val="0"/>
      <w:divBdr>
        <w:top w:val="none" w:sz="0" w:space="0" w:color="auto"/>
        <w:left w:val="none" w:sz="0" w:space="0" w:color="auto"/>
        <w:bottom w:val="none" w:sz="0" w:space="0" w:color="auto"/>
        <w:right w:val="none" w:sz="0" w:space="0" w:color="auto"/>
      </w:divBdr>
    </w:div>
    <w:div w:id="315039428">
      <w:bodyDiv w:val="1"/>
      <w:marLeft w:val="0"/>
      <w:marRight w:val="0"/>
      <w:marTop w:val="0"/>
      <w:marBottom w:val="0"/>
      <w:divBdr>
        <w:top w:val="none" w:sz="0" w:space="0" w:color="auto"/>
        <w:left w:val="none" w:sz="0" w:space="0" w:color="auto"/>
        <w:bottom w:val="none" w:sz="0" w:space="0" w:color="auto"/>
        <w:right w:val="none" w:sz="0" w:space="0" w:color="auto"/>
      </w:divBdr>
    </w:div>
    <w:div w:id="342513257">
      <w:bodyDiv w:val="1"/>
      <w:marLeft w:val="0"/>
      <w:marRight w:val="0"/>
      <w:marTop w:val="0"/>
      <w:marBottom w:val="0"/>
      <w:divBdr>
        <w:top w:val="none" w:sz="0" w:space="0" w:color="auto"/>
        <w:left w:val="none" w:sz="0" w:space="0" w:color="auto"/>
        <w:bottom w:val="none" w:sz="0" w:space="0" w:color="auto"/>
        <w:right w:val="none" w:sz="0" w:space="0" w:color="auto"/>
      </w:divBdr>
    </w:div>
    <w:div w:id="344288873">
      <w:bodyDiv w:val="1"/>
      <w:marLeft w:val="0"/>
      <w:marRight w:val="0"/>
      <w:marTop w:val="0"/>
      <w:marBottom w:val="0"/>
      <w:divBdr>
        <w:top w:val="none" w:sz="0" w:space="0" w:color="auto"/>
        <w:left w:val="none" w:sz="0" w:space="0" w:color="auto"/>
        <w:bottom w:val="none" w:sz="0" w:space="0" w:color="auto"/>
        <w:right w:val="none" w:sz="0" w:space="0" w:color="auto"/>
      </w:divBdr>
    </w:div>
    <w:div w:id="395666948">
      <w:bodyDiv w:val="1"/>
      <w:marLeft w:val="0"/>
      <w:marRight w:val="0"/>
      <w:marTop w:val="0"/>
      <w:marBottom w:val="0"/>
      <w:divBdr>
        <w:top w:val="none" w:sz="0" w:space="0" w:color="auto"/>
        <w:left w:val="none" w:sz="0" w:space="0" w:color="auto"/>
        <w:bottom w:val="none" w:sz="0" w:space="0" w:color="auto"/>
        <w:right w:val="none" w:sz="0" w:space="0" w:color="auto"/>
      </w:divBdr>
    </w:div>
    <w:div w:id="593826139">
      <w:bodyDiv w:val="1"/>
      <w:marLeft w:val="0"/>
      <w:marRight w:val="0"/>
      <w:marTop w:val="0"/>
      <w:marBottom w:val="0"/>
      <w:divBdr>
        <w:top w:val="none" w:sz="0" w:space="0" w:color="auto"/>
        <w:left w:val="none" w:sz="0" w:space="0" w:color="auto"/>
        <w:bottom w:val="none" w:sz="0" w:space="0" w:color="auto"/>
        <w:right w:val="none" w:sz="0" w:space="0" w:color="auto"/>
      </w:divBdr>
    </w:div>
    <w:div w:id="704521821">
      <w:bodyDiv w:val="1"/>
      <w:marLeft w:val="0"/>
      <w:marRight w:val="0"/>
      <w:marTop w:val="0"/>
      <w:marBottom w:val="0"/>
      <w:divBdr>
        <w:top w:val="none" w:sz="0" w:space="0" w:color="auto"/>
        <w:left w:val="none" w:sz="0" w:space="0" w:color="auto"/>
        <w:bottom w:val="none" w:sz="0" w:space="0" w:color="auto"/>
        <w:right w:val="none" w:sz="0" w:space="0" w:color="auto"/>
      </w:divBdr>
    </w:div>
    <w:div w:id="765804923">
      <w:bodyDiv w:val="1"/>
      <w:marLeft w:val="0"/>
      <w:marRight w:val="0"/>
      <w:marTop w:val="0"/>
      <w:marBottom w:val="0"/>
      <w:divBdr>
        <w:top w:val="none" w:sz="0" w:space="0" w:color="auto"/>
        <w:left w:val="none" w:sz="0" w:space="0" w:color="auto"/>
        <w:bottom w:val="none" w:sz="0" w:space="0" w:color="auto"/>
        <w:right w:val="none" w:sz="0" w:space="0" w:color="auto"/>
      </w:divBdr>
    </w:div>
    <w:div w:id="783227816">
      <w:bodyDiv w:val="1"/>
      <w:marLeft w:val="0"/>
      <w:marRight w:val="0"/>
      <w:marTop w:val="0"/>
      <w:marBottom w:val="0"/>
      <w:divBdr>
        <w:top w:val="none" w:sz="0" w:space="0" w:color="auto"/>
        <w:left w:val="none" w:sz="0" w:space="0" w:color="auto"/>
        <w:bottom w:val="none" w:sz="0" w:space="0" w:color="auto"/>
        <w:right w:val="none" w:sz="0" w:space="0" w:color="auto"/>
      </w:divBdr>
    </w:div>
    <w:div w:id="966356663">
      <w:bodyDiv w:val="1"/>
      <w:marLeft w:val="0"/>
      <w:marRight w:val="0"/>
      <w:marTop w:val="0"/>
      <w:marBottom w:val="0"/>
      <w:divBdr>
        <w:top w:val="none" w:sz="0" w:space="0" w:color="auto"/>
        <w:left w:val="none" w:sz="0" w:space="0" w:color="auto"/>
        <w:bottom w:val="none" w:sz="0" w:space="0" w:color="auto"/>
        <w:right w:val="none" w:sz="0" w:space="0" w:color="auto"/>
      </w:divBdr>
    </w:div>
    <w:div w:id="1028020382">
      <w:bodyDiv w:val="1"/>
      <w:marLeft w:val="0"/>
      <w:marRight w:val="0"/>
      <w:marTop w:val="0"/>
      <w:marBottom w:val="0"/>
      <w:divBdr>
        <w:top w:val="none" w:sz="0" w:space="0" w:color="auto"/>
        <w:left w:val="none" w:sz="0" w:space="0" w:color="auto"/>
        <w:bottom w:val="none" w:sz="0" w:space="0" w:color="auto"/>
        <w:right w:val="none" w:sz="0" w:space="0" w:color="auto"/>
      </w:divBdr>
    </w:div>
    <w:div w:id="1077440114">
      <w:bodyDiv w:val="1"/>
      <w:marLeft w:val="0"/>
      <w:marRight w:val="0"/>
      <w:marTop w:val="0"/>
      <w:marBottom w:val="0"/>
      <w:divBdr>
        <w:top w:val="none" w:sz="0" w:space="0" w:color="auto"/>
        <w:left w:val="none" w:sz="0" w:space="0" w:color="auto"/>
        <w:bottom w:val="none" w:sz="0" w:space="0" w:color="auto"/>
        <w:right w:val="none" w:sz="0" w:space="0" w:color="auto"/>
      </w:divBdr>
    </w:div>
    <w:div w:id="1089350529">
      <w:bodyDiv w:val="1"/>
      <w:marLeft w:val="0"/>
      <w:marRight w:val="0"/>
      <w:marTop w:val="0"/>
      <w:marBottom w:val="0"/>
      <w:divBdr>
        <w:top w:val="none" w:sz="0" w:space="0" w:color="auto"/>
        <w:left w:val="none" w:sz="0" w:space="0" w:color="auto"/>
        <w:bottom w:val="none" w:sz="0" w:space="0" w:color="auto"/>
        <w:right w:val="none" w:sz="0" w:space="0" w:color="auto"/>
      </w:divBdr>
    </w:div>
    <w:div w:id="1272323914">
      <w:bodyDiv w:val="1"/>
      <w:marLeft w:val="0"/>
      <w:marRight w:val="0"/>
      <w:marTop w:val="0"/>
      <w:marBottom w:val="0"/>
      <w:divBdr>
        <w:top w:val="none" w:sz="0" w:space="0" w:color="auto"/>
        <w:left w:val="none" w:sz="0" w:space="0" w:color="auto"/>
        <w:bottom w:val="none" w:sz="0" w:space="0" w:color="auto"/>
        <w:right w:val="none" w:sz="0" w:space="0" w:color="auto"/>
      </w:divBdr>
    </w:div>
    <w:div w:id="1541893116">
      <w:bodyDiv w:val="1"/>
      <w:marLeft w:val="0"/>
      <w:marRight w:val="0"/>
      <w:marTop w:val="0"/>
      <w:marBottom w:val="0"/>
      <w:divBdr>
        <w:top w:val="none" w:sz="0" w:space="0" w:color="auto"/>
        <w:left w:val="none" w:sz="0" w:space="0" w:color="auto"/>
        <w:bottom w:val="none" w:sz="0" w:space="0" w:color="auto"/>
        <w:right w:val="none" w:sz="0" w:space="0" w:color="auto"/>
      </w:divBdr>
    </w:div>
    <w:div w:id="20382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2F54D4A0-65D7-4060-ADF6-9A884EA8FA4A}">
  <ds:schemaRefs>
    <ds:schemaRef ds:uri="http://schemas.openxmlformats.org/officeDocument/2006/bibliography"/>
  </ds:schemaRefs>
</ds:datastoreItem>
</file>

<file path=customXml/itemProps2.xml><?xml version="1.0" encoding="utf-8"?>
<ds:datastoreItem xmlns:ds="http://schemas.openxmlformats.org/officeDocument/2006/customXml" ds:itemID="{6B9BFA2F-5488-4BFE-867B-B2AF7D796B33}"/>
</file>

<file path=customXml/itemProps3.xml><?xml version="1.0" encoding="utf-8"?>
<ds:datastoreItem xmlns:ds="http://schemas.openxmlformats.org/officeDocument/2006/customXml" ds:itemID="{2889A75B-B61E-403D-A72A-31E01931EA3D}"/>
</file>

<file path=customXml/itemProps4.xml><?xml version="1.0" encoding="utf-8"?>
<ds:datastoreItem xmlns:ds="http://schemas.openxmlformats.org/officeDocument/2006/customXml" ds:itemID="{0DE13AE3-B41B-4951-B661-B929CB048938}"/>
</file>

<file path=docProps/app.xml><?xml version="1.0" encoding="utf-8"?>
<Properties xmlns="http://schemas.openxmlformats.org/officeDocument/2006/extended-properties" xmlns:vt="http://schemas.openxmlformats.org/officeDocument/2006/docPropsVTypes">
  <Template>Normal</Template>
  <TotalTime>2</TotalTime>
  <Pages>22</Pages>
  <Words>10391</Words>
  <Characters>66404</Characters>
  <Application>Microsoft Office Word</Application>
  <DocSecurity>0</DocSecurity>
  <Lines>2075</Lines>
  <Paragraphs>533</Paragraphs>
  <ScaleCrop>false</ScaleCrop>
  <HeadingPairs>
    <vt:vector size="2" baseType="variant">
      <vt:variant>
        <vt:lpstr>Title</vt:lpstr>
      </vt:variant>
      <vt:variant>
        <vt:i4>1</vt:i4>
      </vt:variant>
    </vt:vector>
  </HeadingPairs>
  <TitlesOfParts>
    <vt:vector size="1" baseType="lpstr">
      <vt:lpstr>Community Landcare Grants - 2013-2014 Successful projects</vt:lpstr>
    </vt:vector>
  </TitlesOfParts>
  <Company>Department of Agriculture Fisheries &amp; Forestry</Company>
  <LinksUpToDate>false</LinksUpToDate>
  <CharactersWithSpaces>76262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Delivery - 2013-2014 Successful projects</dc:title>
  <dc:creator>Caring for our Country</dc:creator>
  <cp:lastModifiedBy>SEWPAC</cp:lastModifiedBy>
  <cp:revision>4</cp:revision>
  <dcterms:created xsi:type="dcterms:W3CDTF">2013-07-31T05:22:00Z</dcterms:created>
  <dcterms:modified xsi:type="dcterms:W3CDTF">2013-07-31T05:26:00Z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