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D0A" w:rsidRPr="00D957AC" w:rsidRDefault="00D45D0A" w:rsidP="00D45D0A">
      <w:pPr>
        <w:pStyle w:val="ReportTitle"/>
        <w:ind w:left="1361"/>
      </w:pPr>
      <w:r w:rsidRPr="00D957AC">
        <w:t xml:space="preserve">REGULATORY COST SAVINGS UNDER THE ONE-STOP SHOP FOR ENVIRONMENTAL APPROVALS </w:t>
      </w:r>
    </w:p>
    <w:p w:rsidR="00D45D0A" w:rsidRPr="00D957AC" w:rsidRDefault="00D45D0A" w:rsidP="00D45D0A">
      <w:pPr>
        <w:pStyle w:val="ReportTitle"/>
        <w:ind w:left="1361"/>
      </w:pPr>
    </w:p>
    <w:p w:rsidR="00D45D0A" w:rsidRPr="00D957AC" w:rsidRDefault="00133EEA" w:rsidP="00D45D0A">
      <w:pPr>
        <w:pStyle w:val="Reportsubtitle"/>
        <w:ind w:left="1361"/>
      </w:pPr>
      <w:r w:rsidRPr="00D957AC">
        <w:t>September</w:t>
      </w:r>
      <w:r w:rsidR="00D45D0A" w:rsidRPr="00D957AC">
        <w:t xml:space="preserve"> 2014</w:t>
      </w:r>
    </w:p>
    <w:p w:rsidR="00D45D0A" w:rsidRPr="00D957AC" w:rsidRDefault="00D45D0A" w:rsidP="00D45D0A">
      <w:pPr>
        <w:pStyle w:val="Heading1"/>
      </w:pPr>
    </w:p>
    <w:p w:rsidR="00D45D0A" w:rsidRPr="00D957AC" w:rsidRDefault="00D45D0A" w:rsidP="00D45D0A"/>
    <w:p w:rsidR="00D45D0A" w:rsidRPr="00D957AC" w:rsidRDefault="00D45D0A" w:rsidP="00D45D0A"/>
    <w:p w:rsidR="00D45D0A" w:rsidRPr="00D957AC" w:rsidRDefault="00D45D0A" w:rsidP="00D45D0A">
      <w:pPr>
        <w:sectPr w:rsidR="00D45D0A" w:rsidRPr="00D957AC" w:rsidSect="00390F85">
          <w:headerReference w:type="even" r:id="rId8"/>
          <w:footerReference w:type="default" r:id="rId9"/>
          <w:headerReference w:type="first" r:id="rId10"/>
          <w:footerReference w:type="first" r:id="rId11"/>
          <w:pgSz w:w="11906" w:h="16838" w:code="9"/>
          <w:pgMar w:top="3969" w:right="1276" w:bottom="567" w:left="1418" w:header="425" w:footer="425" w:gutter="0"/>
          <w:pgNumType w:start="1"/>
          <w:cols w:space="708"/>
          <w:titlePg/>
          <w:docGrid w:linePitch="360"/>
        </w:sectPr>
      </w:pPr>
    </w:p>
    <w:sdt>
      <w:sdtPr>
        <w:rPr>
          <w:rFonts w:ascii="Arial" w:eastAsia="Calibri" w:hAnsi="Arial" w:cs="Times New Roman"/>
          <w:b w:val="0"/>
          <w:bCs w:val="0"/>
          <w:caps/>
          <w:color w:val="auto"/>
          <w:sz w:val="22"/>
          <w:szCs w:val="22"/>
          <w:lang w:val="en-AU"/>
        </w:rPr>
        <w:id w:val="9750151"/>
        <w:docPartObj>
          <w:docPartGallery w:val="Table of Contents"/>
          <w:docPartUnique/>
        </w:docPartObj>
      </w:sdtPr>
      <w:sdtEndPr>
        <w:rPr>
          <w:caps w:val="0"/>
        </w:rPr>
      </w:sdtEndPr>
      <w:sdtContent>
        <w:p w:rsidR="00D45D0A" w:rsidRPr="00D957AC" w:rsidRDefault="00D45D0A" w:rsidP="00D45D0A">
          <w:pPr>
            <w:pStyle w:val="TOCHeading"/>
          </w:pPr>
          <w:r w:rsidRPr="00D957AC">
            <w:t>Contents</w:t>
          </w:r>
        </w:p>
        <w:p w:rsidR="008F69C0" w:rsidRPr="00D957AC" w:rsidRDefault="008F69C0" w:rsidP="008F69C0">
          <w:pPr>
            <w:rPr>
              <w:lang w:val="en-US"/>
            </w:rPr>
          </w:pPr>
        </w:p>
        <w:p w:rsidR="00796D9F" w:rsidRDefault="00664C08">
          <w:pPr>
            <w:pStyle w:val="TOC1"/>
            <w:tabs>
              <w:tab w:val="right" w:leader="dot" w:pos="9202"/>
            </w:tabs>
            <w:rPr>
              <w:rFonts w:asciiTheme="minorHAnsi" w:eastAsiaTheme="minorEastAsia" w:hAnsiTheme="minorHAnsi" w:cstheme="minorBidi"/>
              <w:noProof/>
              <w:lang w:eastAsia="en-AU"/>
            </w:rPr>
          </w:pPr>
          <w:r w:rsidRPr="00664C08">
            <w:rPr>
              <w:b/>
            </w:rPr>
            <w:fldChar w:fldCharType="begin"/>
          </w:r>
          <w:r w:rsidR="00D45D0A" w:rsidRPr="00D957AC">
            <w:instrText xml:space="preserve"> TOC \o "1-3" \h \z \u </w:instrText>
          </w:r>
          <w:r w:rsidRPr="00664C08">
            <w:rPr>
              <w:b/>
            </w:rPr>
            <w:fldChar w:fldCharType="separate"/>
          </w:r>
          <w:hyperlink w:anchor="_Toc398800519" w:history="1">
            <w:r w:rsidR="00796D9F" w:rsidRPr="00D05AD9">
              <w:rPr>
                <w:rStyle w:val="Hyperlink"/>
                <w:noProof/>
              </w:rPr>
              <w:t>Overview</w:t>
            </w:r>
            <w:r w:rsidR="00796D9F">
              <w:rPr>
                <w:noProof/>
                <w:webHidden/>
              </w:rPr>
              <w:tab/>
            </w:r>
            <w:r>
              <w:rPr>
                <w:noProof/>
                <w:webHidden/>
              </w:rPr>
              <w:fldChar w:fldCharType="begin"/>
            </w:r>
            <w:r w:rsidR="00796D9F">
              <w:rPr>
                <w:noProof/>
                <w:webHidden/>
              </w:rPr>
              <w:instrText xml:space="preserve"> PAGEREF _Toc398800519 \h </w:instrText>
            </w:r>
            <w:r>
              <w:rPr>
                <w:noProof/>
                <w:webHidden/>
              </w:rPr>
            </w:r>
            <w:r>
              <w:rPr>
                <w:noProof/>
                <w:webHidden/>
              </w:rPr>
              <w:fldChar w:fldCharType="separate"/>
            </w:r>
            <w:r w:rsidR="00796D9F">
              <w:rPr>
                <w:noProof/>
                <w:webHidden/>
              </w:rPr>
              <w:t>1</w:t>
            </w:r>
            <w:r>
              <w:rPr>
                <w:noProof/>
                <w:webHidden/>
              </w:rPr>
              <w:fldChar w:fldCharType="end"/>
            </w:r>
          </w:hyperlink>
        </w:p>
        <w:p w:rsidR="00796D9F" w:rsidRDefault="00664C08">
          <w:pPr>
            <w:pStyle w:val="TOC1"/>
            <w:tabs>
              <w:tab w:val="right" w:leader="dot" w:pos="9202"/>
            </w:tabs>
            <w:rPr>
              <w:rFonts w:asciiTheme="minorHAnsi" w:eastAsiaTheme="minorEastAsia" w:hAnsiTheme="minorHAnsi" w:cstheme="minorBidi"/>
              <w:noProof/>
              <w:lang w:eastAsia="en-AU"/>
            </w:rPr>
          </w:pPr>
          <w:hyperlink w:anchor="_Toc398800520" w:history="1">
            <w:r w:rsidR="00796D9F" w:rsidRPr="00D05AD9">
              <w:rPr>
                <w:rStyle w:val="Hyperlink"/>
                <w:noProof/>
              </w:rPr>
              <w:t>Introduction</w:t>
            </w:r>
            <w:r w:rsidR="00796D9F">
              <w:rPr>
                <w:noProof/>
                <w:webHidden/>
              </w:rPr>
              <w:tab/>
            </w:r>
            <w:r>
              <w:rPr>
                <w:noProof/>
                <w:webHidden/>
              </w:rPr>
              <w:fldChar w:fldCharType="begin"/>
            </w:r>
            <w:r w:rsidR="00796D9F">
              <w:rPr>
                <w:noProof/>
                <w:webHidden/>
              </w:rPr>
              <w:instrText xml:space="preserve"> PAGEREF _Toc398800520 \h </w:instrText>
            </w:r>
            <w:r>
              <w:rPr>
                <w:noProof/>
                <w:webHidden/>
              </w:rPr>
            </w:r>
            <w:r>
              <w:rPr>
                <w:noProof/>
                <w:webHidden/>
              </w:rPr>
              <w:fldChar w:fldCharType="separate"/>
            </w:r>
            <w:r w:rsidR="00796D9F">
              <w:rPr>
                <w:noProof/>
                <w:webHidden/>
              </w:rPr>
              <w:t>1</w:t>
            </w:r>
            <w:r>
              <w:rPr>
                <w:noProof/>
                <w:webHidden/>
              </w:rPr>
              <w:fldChar w:fldCharType="end"/>
            </w:r>
          </w:hyperlink>
        </w:p>
        <w:p w:rsidR="00796D9F" w:rsidRDefault="00664C08">
          <w:pPr>
            <w:pStyle w:val="TOC1"/>
            <w:tabs>
              <w:tab w:val="right" w:leader="dot" w:pos="9202"/>
            </w:tabs>
            <w:rPr>
              <w:rFonts w:asciiTheme="minorHAnsi" w:eastAsiaTheme="minorEastAsia" w:hAnsiTheme="minorHAnsi" w:cstheme="minorBidi"/>
              <w:noProof/>
              <w:lang w:eastAsia="en-AU"/>
            </w:rPr>
          </w:pPr>
          <w:hyperlink w:anchor="_Toc398800521" w:history="1">
            <w:r w:rsidR="00796D9F" w:rsidRPr="00D05AD9">
              <w:rPr>
                <w:rStyle w:val="Hyperlink"/>
                <w:noProof/>
              </w:rPr>
              <w:t>Background</w:t>
            </w:r>
            <w:r w:rsidR="00796D9F">
              <w:rPr>
                <w:noProof/>
                <w:webHidden/>
              </w:rPr>
              <w:tab/>
            </w:r>
            <w:r>
              <w:rPr>
                <w:noProof/>
                <w:webHidden/>
              </w:rPr>
              <w:fldChar w:fldCharType="begin"/>
            </w:r>
            <w:r w:rsidR="00796D9F">
              <w:rPr>
                <w:noProof/>
                <w:webHidden/>
              </w:rPr>
              <w:instrText xml:space="preserve"> PAGEREF _Toc398800521 \h </w:instrText>
            </w:r>
            <w:r>
              <w:rPr>
                <w:noProof/>
                <w:webHidden/>
              </w:rPr>
            </w:r>
            <w:r>
              <w:rPr>
                <w:noProof/>
                <w:webHidden/>
              </w:rPr>
              <w:fldChar w:fldCharType="separate"/>
            </w:r>
            <w:r w:rsidR="00796D9F">
              <w:rPr>
                <w:noProof/>
                <w:webHidden/>
              </w:rPr>
              <w:t>2</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22" w:history="1">
            <w:r w:rsidR="00796D9F" w:rsidRPr="00D05AD9">
              <w:rPr>
                <w:rStyle w:val="Hyperlink"/>
                <w:noProof/>
              </w:rPr>
              <w:t>Overview of the current regulatory environment</w:t>
            </w:r>
            <w:r w:rsidR="00796D9F">
              <w:rPr>
                <w:noProof/>
                <w:webHidden/>
              </w:rPr>
              <w:tab/>
            </w:r>
            <w:r>
              <w:rPr>
                <w:noProof/>
                <w:webHidden/>
              </w:rPr>
              <w:fldChar w:fldCharType="begin"/>
            </w:r>
            <w:r w:rsidR="00796D9F">
              <w:rPr>
                <w:noProof/>
                <w:webHidden/>
              </w:rPr>
              <w:instrText xml:space="preserve"> PAGEREF _Toc398800522 \h </w:instrText>
            </w:r>
            <w:r>
              <w:rPr>
                <w:noProof/>
                <w:webHidden/>
              </w:rPr>
            </w:r>
            <w:r>
              <w:rPr>
                <w:noProof/>
                <w:webHidden/>
              </w:rPr>
              <w:fldChar w:fldCharType="separate"/>
            </w:r>
            <w:r w:rsidR="00796D9F">
              <w:rPr>
                <w:noProof/>
                <w:webHidden/>
              </w:rPr>
              <w:t>2</w:t>
            </w:r>
            <w:r>
              <w:rPr>
                <w:noProof/>
                <w:webHidden/>
              </w:rPr>
              <w:fldChar w:fldCharType="end"/>
            </w:r>
          </w:hyperlink>
        </w:p>
        <w:p w:rsidR="00796D9F" w:rsidRDefault="00664C08">
          <w:pPr>
            <w:pStyle w:val="TOC1"/>
            <w:tabs>
              <w:tab w:val="right" w:leader="dot" w:pos="9202"/>
            </w:tabs>
            <w:rPr>
              <w:rFonts w:asciiTheme="minorHAnsi" w:eastAsiaTheme="minorEastAsia" w:hAnsiTheme="minorHAnsi" w:cstheme="minorBidi"/>
              <w:noProof/>
              <w:lang w:eastAsia="en-AU"/>
            </w:rPr>
          </w:pPr>
          <w:hyperlink w:anchor="_Toc398800523" w:history="1">
            <w:r w:rsidR="00796D9F" w:rsidRPr="00D05AD9">
              <w:rPr>
                <w:rStyle w:val="Hyperlink"/>
                <w:noProof/>
              </w:rPr>
              <w:t>Objectives of the One-Stop Shop</w:t>
            </w:r>
            <w:r w:rsidR="00796D9F">
              <w:rPr>
                <w:noProof/>
                <w:webHidden/>
              </w:rPr>
              <w:tab/>
            </w:r>
            <w:r>
              <w:rPr>
                <w:noProof/>
                <w:webHidden/>
              </w:rPr>
              <w:fldChar w:fldCharType="begin"/>
            </w:r>
            <w:r w:rsidR="00796D9F">
              <w:rPr>
                <w:noProof/>
                <w:webHidden/>
              </w:rPr>
              <w:instrText xml:space="preserve"> PAGEREF _Toc398800523 \h </w:instrText>
            </w:r>
            <w:r>
              <w:rPr>
                <w:noProof/>
                <w:webHidden/>
              </w:rPr>
            </w:r>
            <w:r>
              <w:rPr>
                <w:noProof/>
                <w:webHidden/>
              </w:rPr>
              <w:fldChar w:fldCharType="separate"/>
            </w:r>
            <w:r w:rsidR="00796D9F">
              <w:rPr>
                <w:noProof/>
                <w:webHidden/>
              </w:rPr>
              <w:t>4</w:t>
            </w:r>
            <w:r>
              <w:rPr>
                <w:noProof/>
                <w:webHidden/>
              </w:rPr>
              <w:fldChar w:fldCharType="end"/>
            </w:r>
          </w:hyperlink>
        </w:p>
        <w:p w:rsidR="00796D9F" w:rsidRDefault="00664C08">
          <w:pPr>
            <w:pStyle w:val="TOC1"/>
            <w:tabs>
              <w:tab w:val="right" w:leader="dot" w:pos="9202"/>
            </w:tabs>
            <w:rPr>
              <w:rFonts w:asciiTheme="minorHAnsi" w:eastAsiaTheme="minorEastAsia" w:hAnsiTheme="minorHAnsi" w:cstheme="minorBidi"/>
              <w:noProof/>
              <w:lang w:eastAsia="en-AU"/>
            </w:rPr>
          </w:pPr>
          <w:hyperlink w:anchor="_Toc398800524" w:history="1">
            <w:r w:rsidR="00796D9F" w:rsidRPr="00D05AD9">
              <w:rPr>
                <w:rStyle w:val="Hyperlink"/>
                <w:noProof/>
              </w:rPr>
              <w:t>Operation of the One-Stop Shop</w:t>
            </w:r>
            <w:r w:rsidR="00796D9F">
              <w:rPr>
                <w:noProof/>
                <w:webHidden/>
              </w:rPr>
              <w:tab/>
            </w:r>
            <w:r>
              <w:rPr>
                <w:noProof/>
                <w:webHidden/>
              </w:rPr>
              <w:fldChar w:fldCharType="begin"/>
            </w:r>
            <w:r w:rsidR="00796D9F">
              <w:rPr>
                <w:noProof/>
                <w:webHidden/>
              </w:rPr>
              <w:instrText xml:space="preserve"> PAGEREF _Toc398800524 \h </w:instrText>
            </w:r>
            <w:r>
              <w:rPr>
                <w:noProof/>
                <w:webHidden/>
              </w:rPr>
            </w:r>
            <w:r>
              <w:rPr>
                <w:noProof/>
                <w:webHidden/>
              </w:rPr>
              <w:fldChar w:fldCharType="separate"/>
            </w:r>
            <w:r w:rsidR="00796D9F">
              <w:rPr>
                <w:noProof/>
                <w:webHidden/>
              </w:rPr>
              <w:t>5</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25" w:history="1">
            <w:r w:rsidR="00796D9F" w:rsidRPr="00D05AD9">
              <w:rPr>
                <w:rStyle w:val="Hyperlink"/>
                <w:noProof/>
              </w:rPr>
              <w:t>Assurance framework</w:t>
            </w:r>
            <w:r w:rsidR="00796D9F">
              <w:rPr>
                <w:noProof/>
                <w:webHidden/>
              </w:rPr>
              <w:tab/>
            </w:r>
            <w:r>
              <w:rPr>
                <w:noProof/>
                <w:webHidden/>
              </w:rPr>
              <w:fldChar w:fldCharType="begin"/>
            </w:r>
            <w:r w:rsidR="00796D9F">
              <w:rPr>
                <w:noProof/>
                <w:webHidden/>
              </w:rPr>
              <w:instrText xml:space="preserve"> PAGEREF _Toc398800525 \h </w:instrText>
            </w:r>
            <w:r>
              <w:rPr>
                <w:noProof/>
                <w:webHidden/>
              </w:rPr>
            </w:r>
            <w:r>
              <w:rPr>
                <w:noProof/>
                <w:webHidden/>
              </w:rPr>
              <w:fldChar w:fldCharType="separate"/>
            </w:r>
            <w:r w:rsidR="00796D9F">
              <w:rPr>
                <w:noProof/>
                <w:webHidden/>
              </w:rPr>
              <w:t>6</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26" w:history="1">
            <w:r w:rsidR="00796D9F" w:rsidRPr="00D05AD9">
              <w:rPr>
                <w:rStyle w:val="Hyperlink"/>
                <w:noProof/>
              </w:rPr>
              <w:t>Performance assurance</w:t>
            </w:r>
            <w:r w:rsidR="00796D9F">
              <w:rPr>
                <w:noProof/>
                <w:webHidden/>
              </w:rPr>
              <w:tab/>
            </w:r>
            <w:r>
              <w:rPr>
                <w:noProof/>
                <w:webHidden/>
              </w:rPr>
              <w:fldChar w:fldCharType="begin"/>
            </w:r>
            <w:r w:rsidR="00796D9F">
              <w:rPr>
                <w:noProof/>
                <w:webHidden/>
              </w:rPr>
              <w:instrText xml:space="preserve"> PAGEREF _Toc398800526 \h </w:instrText>
            </w:r>
            <w:r>
              <w:rPr>
                <w:noProof/>
                <w:webHidden/>
              </w:rPr>
            </w:r>
            <w:r>
              <w:rPr>
                <w:noProof/>
                <w:webHidden/>
              </w:rPr>
              <w:fldChar w:fldCharType="separate"/>
            </w:r>
            <w:r w:rsidR="00796D9F">
              <w:rPr>
                <w:noProof/>
                <w:webHidden/>
              </w:rPr>
              <w:t>6</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27" w:history="1">
            <w:r w:rsidR="00796D9F" w:rsidRPr="00D05AD9">
              <w:rPr>
                <w:rStyle w:val="Hyperlink"/>
                <w:noProof/>
              </w:rPr>
              <w:t>Outcomes assurance</w:t>
            </w:r>
            <w:r w:rsidR="00796D9F">
              <w:rPr>
                <w:noProof/>
                <w:webHidden/>
              </w:rPr>
              <w:tab/>
            </w:r>
            <w:r>
              <w:rPr>
                <w:noProof/>
                <w:webHidden/>
              </w:rPr>
              <w:fldChar w:fldCharType="begin"/>
            </w:r>
            <w:r w:rsidR="00796D9F">
              <w:rPr>
                <w:noProof/>
                <w:webHidden/>
              </w:rPr>
              <w:instrText xml:space="preserve"> PAGEREF _Toc398800527 \h </w:instrText>
            </w:r>
            <w:r>
              <w:rPr>
                <w:noProof/>
                <w:webHidden/>
              </w:rPr>
            </w:r>
            <w:r>
              <w:rPr>
                <w:noProof/>
                <w:webHidden/>
              </w:rPr>
              <w:fldChar w:fldCharType="separate"/>
            </w:r>
            <w:r w:rsidR="00796D9F">
              <w:rPr>
                <w:noProof/>
                <w:webHidden/>
              </w:rPr>
              <w:t>7</w:t>
            </w:r>
            <w:r>
              <w:rPr>
                <w:noProof/>
                <w:webHidden/>
              </w:rPr>
              <w:fldChar w:fldCharType="end"/>
            </w:r>
          </w:hyperlink>
        </w:p>
        <w:p w:rsidR="00796D9F" w:rsidRDefault="00664C08">
          <w:pPr>
            <w:pStyle w:val="TOC1"/>
            <w:tabs>
              <w:tab w:val="right" w:leader="dot" w:pos="9202"/>
            </w:tabs>
            <w:rPr>
              <w:rFonts w:asciiTheme="minorHAnsi" w:eastAsiaTheme="minorEastAsia" w:hAnsiTheme="minorHAnsi" w:cstheme="minorBidi"/>
              <w:noProof/>
              <w:lang w:eastAsia="en-AU"/>
            </w:rPr>
          </w:pPr>
          <w:hyperlink w:anchor="_Toc398800528" w:history="1">
            <w:r w:rsidR="00796D9F" w:rsidRPr="00D05AD9">
              <w:rPr>
                <w:rStyle w:val="Hyperlink"/>
                <w:noProof/>
              </w:rPr>
              <w:t>Savings for business from the One-Stop Shop</w:t>
            </w:r>
            <w:r w:rsidR="00796D9F">
              <w:rPr>
                <w:noProof/>
                <w:webHidden/>
              </w:rPr>
              <w:tab/>
            </w:r>
            <w:r>
              <w:rPr>
                <w:noProof/>
                <w:webHidden/>
              </w:rPr>
              <w:fldChar w:fldCharType="begin"/>
            </w:r>
            <w:r w:rsidR="00796D9F">
              <w:rPr>
                <w:noProof/>
                <w:webHidden/>
              </w:rPr>
              <w:instrText xml:space="preserve"> PAGEREF _Toc398800528 \h </w:instrText>
            </w:r>
            <w:r>
              <w:rPr>
                <w:noProof/>
                <w:webHidden/>
              </w:rPr>
            </w:r>
            <w:r>
              <w:rPr>
                <w:noProof/>
                <w:webHidden/>
              </w:rPr>
              <w:fldChar w:fldCharType="separate"/>
            </w:r>
            <w:r w:rsidR="00796D9F">
              <w:rPr>
                <w:noProof/>
                <w:webHidden/>
              </w:rPr>
              <w:t>7</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29" w:history="1">
            <w:r w:rsidR="00796D9F" w:rsidRPr="00D05AD9">
              <w:rPr>
                <w:rStyle w:val="Hyperlink"/>
                <w:noProof/>
              </w:rPr>
              <w:t>Method for calculating savings under the One-Stop Shop</w:t>
            </w:r>
            <w:r w:rsidR="00796D9F">
              <w:rPr>
                <w:noProof/>
                <w:webHidden/>
              </w:rPr>
              <w:tab/>
            </w:r>
            <w:r>
              <w:rPr>
                <w:noProof/>
                <w:webHidden/>
              </w:rPr>
              <w:fldChar w:fldCharType="begin"/>
            </w:r>
            <w:r w:rsidR="00796D9F">
              <w:rPr>
                <w:noProof/>
                <w:webHidden/>
              </w:rPr>
              <w:instrText xml:space="preserve"> PAGEREF _Toc398800529 \h </w:instrText>
            </w:r>
            <w:r>
              <w:rPr>
                <w:noProof/>
                <w:webHidden/>
              </w:rPr>
            </w:r>
            <w:r>
              <w:rPr>
                <w:noProof/>
                <w:webHidden/>
              </w:rPr>
              <w:fldChar w:fldCharType="separate"/>
            </w:r>
            <w:r w:rsidR="00796D9F">
              <w:rPr>
                <w:noProof/>
                <w:webHidden/>
              </w:rPr>
              <w:t>8</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30" w:history="1">
            <w:r w:rsidR="00796D9F" w:rsidRPr="00D05AD9">
              <w:rPr>
                <w:rStyle w:val="Hyperlink"/>
                <w:noProof/>
              </w:rPr>
              <w:t>Administrative savings</w:t>
            </w:r>
            <w:r w:rsidR="00796D9F">
              <w:rPr>
                <w:noProof/>
                <w:webHidden/>
              </w:rPr>
              <w:tab/>
            </w:r>
            <w:r>
              <w:rPr>
                <w:noProof/>
                <w:webHidden/>
              </w:rPr>
              <w:fldChar w:fldCharType="begin"/>
            </w:r>
            <w:r w:rsidR="00796D9F">
              <w:rPr>
                <w:noProof/>
                <w:webHidden/>
              </w:rPr>
              <w:instrText xml:space="preserve"> PAGEREF _Toc398800530 \h </w:instrText>
            </w:r>
            <w:r>
              <w:rPr>
                <w:noProof/>
                <w:webHidden/>
              </w:rPr>
            </w:r>
            <w:r>
              <w:rPr>
                <w:noProof/>
                <w:webHidden/>
              </w:rPr>
              <w:fldChar w:fldCharType="separate"/>
            </w:r>
            <w:r w:rsidR="00796D9F">
              <w:rPr>
                <w:noProof/>
                <w:webHidden/>
              </w:rPr>
              <w:t>9</w:t>
            </w:r>
            <w:r>
              <w:rPr>
                <w:noProof/>
                <w:webHidden/>
              </w:rPr>
              <w:fldChar w:fldCharType="end"/>
            </w:r>
          </w:hyperlink>
        </w:p>
        <w:p w:rsidR="00796D9F" w:rsidRDefault="00664C08">
          <w:pPr>
            <w:pStyle w:val="TOC3"/>
            <w:tabs>
              <w:tab w:val="right" w:leader="dot" w:pos="9202"/>
            </w:tabs>
            <w:rPr>
              <w:rFonts w:asciiTheme="minorHAnsi" w:eastAsiaTheme="minorEastAsia" w:hAnsiTheme="minorHAnsi" w:cstheme="minorBidi"/>
              <w:noProof/>
              <w:lang w:eastAsia="en-AU"/>
            </w:rPr>
          </w:pPr>
          <w:hyperlink w:anchor="_Toc398800531" w:history="1">
            <w:r w:rsidR="00796D9F" w:rsidRPr="00D05AD9">
              <w:rPr>
                <w:rStyle w:val="Hyperlink"/>
                <w:noProof/>
              </w:rPr>
              <w:t>Pre-referral stage</w:t>
            </w:r>
            <w:r w:rsidR="00796D9F">
              <w:rPr>
                <w:noProof/>
                <w:webHidden/>
              </w:rPr>
              <w:tab/>
            </w:r>
            <w:r>
              <w:rPr>
                <w:noProof/>
                <w:webHidden/>
              </w:rPr>
              <w:fldChar w:fldCharType="begin"/>
            </w:r>
            <w:r w:rsidR="00796D9F">
              <w:rPr>
                <w:noProof/>
                <w:webHidden/>
              </w:rPr>
              <w:instrText xml:space="preserve"> PAGEREF _Toc398800531 \h </w:instrText>
            </w:r>
            <w:r>
              <w:rPr>
                <w:noProof/>
                <w:webHidden/>
              </w:rPr>
            </w:r>
            <w:r>
              <w:rPr>
                <w:noProof/>
                <w:webHidden/>
              </w:rPr>
              <w:fldChar w:fldCharType="separate"/>
            </w:r>
            <w:r w:rsidR="00796D9F">
              <w:rPr>
                <w:noProof/>
                <w:webHidden/>
              </w:rPr>
              <w:t>10</w:t>
            </w:r>
            <w:r>
              <w:rPr>
                <w:noProof/>
                <w:webHidden/>
              </w:rPr>
              <w:fldChar w:fldCharType="end"/>
            </w:r>
          </w:hyperlink>
        </w:p>
        <w:p w:rsidR="00796D9F" w:rsidRDefault="00664C08">
          <w:pPr>
            <w:pStyle w:val="TOC3"/>
            <w:tabs>
              <w:tab w:val="right" w:leader="dot" w:pos="9202"/>
            </w:tabs>
            <w:rPr>
              <w:rFonts w:asciiTheme="minorHAnsi" w:eastAsiaTheme="minorEastAsia" w:hAnsiTheme="minorHAnsi" w:cstheme="minorBidi"/>
              <w:noProof/>
              <w:lang w:eastAsia="en-AU"/>
            </w:rPr>
          </w:pPr>
          <w:hyperlink w:anchor="_Toc398800532" w:history="1">
            <w:r w:rsidR="00796D9F" w:rsidRPr="00D05AD9">
              <w:rPr>
                <w:rStyle w:val="Hyperlink"/>
                <w:noProof/>
              </w:rPr>
              <w:t>Referral stage</w:t>
            </w:r>
            <w:r w:rsidR="00796D9F">
              <w:rPr>
                <w:noProof/>
                <w:webHidden/>
              </w:rPr>
              <w:tab/>
            </w:r>
            <w:r>
              <w:rPr>
                <w:noProof/>
                <w:webHidden/>
              </w:rPr>
              <w:fldChar w:fldCharType="begin"/>
            </w:r>
            <w:r w:rsidR="00796D9F">
              <w:rPr>
                <w:noProof/>
                <w:webHidden/>
              </w:rPr>
              <w:instrText xml:space="preserve"> PAGEREF _Toc398800532 \h </w:instrText>
            </w:r>
            <w:r>
              <w:rPr>
                <w:noProof/>
                <w:webHidden/>
              </w:rPr>
            </w:r>
            <w:r>
              <w:rPr>
                <w:noProof/>
                <w:webHidden/>
              </w:rPr>
              <w:fldChar w:fldCharType="separate"/>
            </w:r>
            <w:r w:rsidR="00796D9F">
              <w:rPr>
                <w:noProof/>
                <w:webHidden/>
              </w:rPr>
              <w:t>10</w:t>
            </w:r>
            <w:r>
              <w:rPr>
                <w:noProof/>
                <w:webHidden/>
              </w:rPr>
              <w:fldChar w:fldCharType="end"/>
            </w:r>
          </w:hyperlink>
        </w:p>
        <w:p w:rsidR="00796D9F" w:rsidRDefault="00664C08">
          <w:pPr>
            <w:pStyle w:val="TOC3"/>
            <w:tabs>
              <w:tab w:val="right" w:leader="dot" w:pos="9202"/>
            </w:tabs>
            <w:rPr>
              <w:rFonts w:asciiTheme="minorHAnsi" w:eastAsiaTheme="minorEastAsia" w:hAnsiTheme="minorHAnsi" w:cstheme="minorBidi"/>
              <w:noProof/>
              <w:lang w:eastAsia="en-AU"/>
            </w:rPr>
          </w:pPr>
          <w:hyperlink w:anchor="_Toc398800533" w:history="1">
            <w:r w:rsidR="00796D9F" w:rsidRPr="00D05AD9">
              <w:rPr>
                <w:rStyle w:val="Hyperlink"/>
                <w:noProof/>
              </w:rPr>
              <w:t>Assessment processes</w:t>
            </w:r>
            <w:r w:rsidR="00796D9F">
              <w:rPr>
                <w:noProof/>
                <w:webHidden/>
              </w:rPr>
              <w:tab/>
            </w:r>
            <w:r>
              <w:rPr>
                <w:noProof/>
                <w:webHidden/>
              </w:rPr>
              <w:fldChar w:fldCharType="begin"/>
            </w:r>
            <w:r w:rsidR="00796D9F">
              <w:rPr>
                <w:noProof/>
                <w:webHidden/>
              </w:rPr>
              <w:instrText xml:space="preserve"> PAGEREF _Toc398800533 \h </w:instrText>
            </w:r>
            <w:r>
              <w:rPr>
                <w:noProof/>
                <w:webHidden/>
              </w:rPr>
            </w:r>
            <w:r>
              <w:rPr>
                <w:noProof/>
                <w:webHidden/>
              </w:rPr>
              <w:fldChar w:fldCharType="separate"/>
            </w:r>
            <w:r w:rsidR="00796D9F">
              <w:rPr>
                <w:noProof/>
                <w:webHidden/>
              </w:rPr>
              <w:t>10</w:t>
            </w:r>
            <w:r>
              <w:rPr>
                <w:noProof/>
                <w:webHidden/>
              </w:rPr>
              <w:fldChar w:fldCharType="end"/>
            </w:r>
          </w:hyperlink>
        </w:p>
        <w:p w:rsidR="00796D9F" w:rsidRDefault="00664C08">
          <w:pPr>
            <w:pStyle w:val="TOC3"/>
            <w:tabs>
              <w:tab w:val="right" w:leader="dot" w:pos="9202"/>
            </w:tabs>
            <w:rPr>
              <w:rFonts w:asciiTheme="minorHAnsi" w:eastAsiaTheme="minorEastAsia" w:hAnsiTheme="minorHAnsi" w:cstheme="minorBidi"/>
              <w:noProof/>
              <w:lang w:eastAsia="en-AU"/>
            </w:rPr>
          </w:pPr>
          <w:hyperlink w:anchor="_Toc398800534" w:history="1">
            <w:r w:rsidR="00796D9F" w:rsidRPr="00D05AD9">
              <w:rPr>
                <w:rStyle w:val="Hyperlink"/>
                <w:noProof/>
              </w:rPr>
              <w:t>Approvals processes</w:t>
            </w:r>
            <w:r w:rsidR="00796D9F">
              <w:rPr>
                <w:noProof/>
                <w:webHidden/>
              </w:rPr>
              <w:tab/>
            </w:r>
            <w:r>
              <w:rPr>
                <w:noProof/>
                <w:webHidden/>
              </w:rPr>
              <w:fldChar w:fldCharType="begin"/>
            </w:r>
            <w:r w:rsidR="00796D9F">
              <w:rPr>
                <w:noProof/>
                <w:webHidden/>
              </w:rPr>
              <w:instrText xml:space="preserve"> PAGEREF _Toc398800534 \h </w:instrText>
            </w:r>
            <w:r>
              <w:rPr>
                <w:noProof/>
                <w:webHidden/>
              </w:rPr>
            </w:r>
            <w:r>
              <w:rPr>
                <w:noProof/>
                <w:webHidden/>
              </w:rPr>
              <w:fldChar w:fldCharType="separate"/>
            </w:r>
            <w:r w:rsidR="00796D9F">
              <w:rPr>
                <w:noProof/>
                <w:webHidden/>
              </w:rPr>
              <w:t>10</w:t>
            </w:r>
            <w:r>
              <w:rPr>
                <w:noProof/>
                <w:webHidden/>
              </w:rPr>
              <w:fldChar w:fldCharType="end"/>
            </w:r>
          </w:hyperlink>
        </w:p>
        <w:p w:rsidR="00796D9F" w:rsidRDefault="00664C08">
          <w:pPr>
            <w:pStyle w:val="TOC3"/>
            <w:tabs>
              <w:tab w:val="right" w:leader="dot" w:pos="9202"/>
            </w:tabs>
            <w:rPr>
              <w:rFonts w:asciiTheme="minorHAnsi" w:eastAsiaTheme="minorEastAsia" w:hAnsiTheme="minorHAnsi" w:cstheme="minorBidi"/>
              <w:noProof/>
              <w:lang w:eastAsia="en-AU"/>
            </w:rPr>
          </w:pPr>
          <w:hyperlink w:anchor="_Toc398800535" w:history="1">
            <w:r w:rsidR="00796D9F" w:rsidRPr="00D05AD9">
              <w:rPr>
                <w:rStyle w:val="Hyperlink"/>
                <w:noProof/>
              </w:rPr>
              <w:t>Post approval stage</w:t>
            </w:r>
            <w:r w:rsidR="00796D9F">
              <w:rPr>
                <w:noProof/>
                <w:webHidden/>
              </w:rPr>
              <w:tab/>
            </w:r>
            <w:r>
              <w:rPr>
                <w:noProof/>
                <w:webHidden/>
              </w:rPr>
              <w:fldChar w:fldCharType="begin"/>
            </w:r>
            <w:r w:rsidR="00796D9F">
              <w:rPr>
                <w:noProof/>
                <w:webHidden/>
              </w:rPr>
              <w:instrText xml:space="preserve"> PAGEREF _Toc398800535 \h </w:instrText>
            </w:r>
            <w:r>
              <w:rPr>
                <w:noProof/>
                <w:webHidden/>
              </w:rPr>
            </w:r>
            <w:r>
              <w:rPr>
                <w:noProof/>
                <w:webHidden/>
              </w:rPr>
              <w:fldChar w:fldCharType="separate"/>
            </w:r>
            <w:r w:rsidR="00796D9F">
              <w:rPr>
                <w:noProof/>
                <w:webHidden/>
              </w:rPr>
              <w:t>10</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36" w:history="1">
            <w:r w:rsidR="00796D9F" w:rsidRPr="00D05AD9">
              <w:rPr>
                <w:rStyle w:val="Hyperlink"/>
                <w:noProof/>
              </w:rPr>
              <w:t>Delay savings</w:t>
            </w:r>
            <w:r w:rsidR="00796D9F">
              <w:rPr>
                <w:noProof/>
                <w:webHidden/>
              </w:rPr>
              <w:tab/>
            </w:r>
            <w:r>
              <w:rPr>
                <w:noProof/>
                <w:webHidden/>
              </w:rPr>
              <w:fldChar w:fldCharType="begin"/>
            </w:r>
            <w:r w:rsidR="00796D9F">
              <w:rPr>
                <w:noProof/>
                <w:webHidden/>
              </w:rPr>
              <w:instrText xml:space="preserve"> PAGEREF _Toc398800536 \h </w:instrText>
            </w:r>
            <w:r>
              <w:rPr>
                <w:noProof/>
                <w:webHidden/>
              </w:rPr>
            </w:r>
            <w:r>
              <w:rPr>
                <w:noProof/>
                <w:webHidden/>
              </w:rPr>
              <w:fldChar w:fldCharType="separate"/>
            </w:r>
            <w:r w:rsidR="00796D9F">
              <w:rPr>
                <w:noProof/>
                <w:webHidden/>
              </w:rPr>
              <w:t>11</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37" w:history="1">
            <w:r w:rsidR="00796D9F" w:rsidRPr="00D05AD9">
              <w:rPr>
                <w:rStyle w:val="Hyperlink"/>
                <w:noProof/>
              </w:rPr>
              <w:t>Total savings for business</w:t>
            </w:r>
            <w:r w:rsidR="00796D9F">
              <w:rPr>
                <w:noProof/>
                <w:webHidden/>
              </w:rPr>
              <w:tab/>
            </w:r>
            <w:r>
              <w:rPr>
                <w:noProof/>
                <w:webHidden/>
              </w:rPr>
              <w:fldChar w:fldCharType="begin"/>
            </w:r>
            <w:r w:rsidR="00796D9F">
              <w:rPr>
                <w:noProof/>
                <w:webHidden/>
              </w:rPr>
              <w:instrText xml:space="preserve"> PAGEREF _Toc398800537 \h </w:instrText>
            </w:r>
            <w:r>
              <w:rPr>
                <w:noProof/>
                <w:webHidden/>
              </w:rPr>
            </w:r>
            <w:r>
              <w:rPr>
                <w:noProof/>
                <w:webHidden/>
              </w:rPr>
              <w:fldChar w:fldCharType="separate"/>
            </w:r>
            <w:r w:rsidR="00796D9F">
              <w:rPr>
                <w:noProof/>
                <w:webHidden/>
              </w:rPr>
              <w:t>12</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38" w:history="1">
            <w:r w:rsidR="00796D9F" w:rsidRPr="00D05AD9">
              <w:rPr>
                <w:rStyle w:val="Hyperlink"/>
                <w:noProof/>
              </w:rPr>
              <w:t>Limitations</w:t>
            </w:r>
            <w:r w:rsidR="00796D9F">
              <w:rPr>
                <w:noProof/>
                <w:webHidden/>
              </w:rPr>
              <w:tab/>
            </w:r>
            <w:r>
              <w:rPr>
                <w:noProof/>
                <w:webHidden/>
              </w:rPr>
              <w:fldChar w:fldCharType="begin"/>
            </w:r>
            <w:r w:rsidR="00796D9F">
              <w:rPr>
                <w:noProof/>
                <w:webHidden/>
              </w:rPr>
              <w:instrText xml:space="preserve"> PAGEREF _Toc398800538 \h </w:instrText>
            </w:r>
            <w:r>
              <w:rPr>
                <w:noProof/>
                <w:webHidden/>
              </w:rPr>
            </w:r>
            <w:r>
              <w:rPr>
                <w:noProof/>
                <w:webHidden/>
              </w:rPr>
              <w:fldChar w:fldCharType="separate"/>
            </w:r>
            <w:r w:rsidR="00796D9F">
              <w:rPr>
                <w:noProof/>
                <w:webHidden/>
              </w:rPr>
              <w:t>12</w:t>
            </w:r>
            <w:r>
              <w:rPr>
                <w:noProof/>
                <w:webHidden/>
              </w:rPr>
              <w:fldChar w:fldCharType="end"/>
            </w:r>
          </w:hyperlink>
        </w:p>
        <w:p w:rsidR="00796D9F" w:rsidRDefault="00664C08">
          <w:pPr>
            <w:pStyle w:val="TOC2"/>
            <w:tabs>
              <w:tab w:val="right" w:leader="dot" w:pos="9202"/>
            </w:tabs>
            <w:rPr>
              <w:rFonts w:asciiTheme="minorHAnsi" w:eastAsiaTheme="minorEastAsia" w:hAnsiTheme="minorHAnsi" w:cstheme="minorBidi"/>
              <w:noProof/>
              <w:lang w:eastAsia="en-AU"/>
            </w:rPr>
          </w:pPr>
          <w:hyperlink w:anchor="_Toc398800539" w:history="1">
            <w:r w:rsidR="00796D9F" w:rsidRPr="00D05AD9">
              <w:rPr>
                <w:rStyle w:val="Hyperlink"/>
                <w:noProof/>
              </w:rPr>
              <w:t>Conclusion</w:t>
            </w:r>
            <w:r w:rsidR="00796D9F">
              <w:rPr>
                <w:noProof/>
                <w:webHidden/>
              </w:rPr>
              <w:tab/>
            </w:r>
            <w:r>
              <w:rPr>
                <w:noProof/>
                <w:webHidden/>
              </w:rPr>
              <w:fldChar w:fldCharType="begin"/>
            </w:r>
            <w:r w:rsidR="00796D9F">
              <w:rPr>
                <w:noProof/>
                <w:webHidden/>
              </w:rPr>
              <w:instrText xml:space="preserve"> PAGEREF _Toc398800539 \h </w:instrText>
            </w:r>
            <w:r>
              <w:rPr>
                <w:noProof/>
                <w:webHidden/>
              </w:rPr>
            </w:r>
            <w:r>
              <w:rPr>
                <w:noProof/>
                <w:webHidden/>
              </w:rPr>
              <w:fldChar w:fldCharType="separate"/>
            </w:r>
            <w:r w:rsidR="00796D9F">
              <w:rPr>
                <w:noProof/>
                <w:webHidden/>
              </w:rPr>
              <w:t>13</w:t>
            </w:r>
            <w:r>
              <w:rPr>
                <w:noProof/>
                <w:webHidden/>
              </w:rPr>
              <w:fldChar w:fldCharType="end"/>
            </w:r>
          </w:hyperlink>
        </w:p>
        <w:p w:rsidR="00796D9F" w:rsidRDefault="00664C08">
          <w:pPr>
            <w:pStyle w:val="TOC1"/>
            <w:tabs>
              <w:tab w:val="right" w:leader="dot" w:pos="9202"/>
            </w:tabs>
            <w:rPr>
              <w:rFonts w:asciiTheme="minorHAnsi" w:eastAsiaTheme="minorEastAsia" w:hAnsiTheme="minorHAnsi" w:cstheme="minorBidi"/>
              <w:noProof/>
              <w:lang w:eastAsia="en-AU"/>
            </w:rPr>
          </w:pPr>
          <w:hyperlink w:anchor="_Toc398800540" w:history="1">
            <w:r w:rsidR="00796D9F" w:rsidRPr="00D05AD9">
              <w:rPr>
                <w:rStyle w:val="Hyperlink"/>
                <w:noProof/>
              </w:rPr>
              <w:t>Attachments:</w:t>
            </w:r>
            <w:r w:rsidR="00796D9F">
              <w:rPr>
                <w:noProof/>
                <w:webHidden/>
              </w:rPr>
              <w:tab/>
            </w:r>
            <w:r>
              <w:rPr>
                <w:noProof/>
                <w:webHidden/>
              </w:rPr>
              <w:fldChar w:fldCharType="begin"/>
            </w:r>
            <w:r w:rsidR="00796D9F">
              <w:rPr>
                <w:noProof/>
                <w:webHidden/>
              </w:rPr>
              <w:instrText xml:space="preserve"> PAGEREF _Toc398800540 \h </w:instrText>
            </w:r>
            <w:r>
              <w:rPr>
                <w:noProof/>
                <w:webHidden/>
              </w:rPr>
            </w:r>
            <w:r>
              <w:rPr>
                <w:noProof/>
                <w:webHidden/>
              </w:rPr>
              <w:fldChar w:fldCharType="separate"/>
            </w:r>
            <w:r w:rsidR="00796D9F">
              <w:rPr>
                <w:noProof/>
                <w:webHidden/>
              </w:rPr>
              <w:t>13</w:t>
            </w:r>
            <w:r>
              <w:rPr>
                <w:noProof/>
                <w:webHidden/>
              </w:rPr>
              <w:fldChar w:fldCharType="end"/>
            </w:r>
          </w:hyperlink>
        </w:p>
        <w:p w:rsidR="00D45D0A" w:rsidRPr="00D957AC" w:rsidRDefault="00664C08" w:rsidP="00D45D0A">
          <w:r w:rsidRPr="00D957AC">
            <w:fldChar w:fldCharType="end"/>
          </w:r>
        </w:p>
      </w:sdtContent>
    </w:sdt>
    <w:p w:rsidR="00D45D0A" w:rsidRPr="00D957AC" w:rsidRDefault="00D45D0A" w:rsidP="00D45D0A"/>
    <w:p w:rsidR="00D45D0A" w:rsidRPr="00D957AC" w:rsidRDefault="00D45D0A" w:rsidP="00D45D0A"/>
    <w:p w:rsidR="00D45D0A" w:rsidRPr="00D957AC" w:rsidRDefault="00D45D0A" w:rsidP="00D45D0A">
      <w:pPr>
        <w:sectPr w:rsidR="00D45D0A" w:rsidRPr="00D957AC" w:rsidSect="00390F85">
          <w:headerReference w:type="first" r:id="rId12"/>
          <w:footerReference w:type="first" r:id="rId13"/>
          <w:pgSz w:w="11906" w:h="16838" w:code="9"/>
          <w:pgMar w:top="1418" w:right="1276" w:bottom="567" w:left="1418" w:header="425" w:footer="425" w:gutter="0"/>
          <w:cols w:space="708"/>
          <w:titlePg/>
          <w:docGrid w:linePitch="360"/>
        </w:sectPr>
      </w:pPr>
    </w:p>
    <w:p w:rsidR="0067056C" w:rsidRPr="00D957AC" w:rsidRDefault="002035A4" w:rsidP="0067056C">
      <w:pPr>
        <w:spacing w:after="0" w:line="240" w:lineRule="auto"/>
        <w:jc w:val="center"/>
        <w:rPr>
          <w:b/>
        </w:rPr>
      </w:pPr>
      <w:bookmarkStart w:id="0" w:name="_Toc390345330"/>
      <w:bookmarkStart w:id="1" w:name="_Toc390862967"/>
      <w:bookmarkStart w:id="2" w:name="_Toc395087292"/>
      <w:bookmarkStart w:id="3" w:name="_Toc395088610"/>
      <w:bookmarkStart w:id="4" w:name="_Toc395088684"/>
      <w:bookmarkStart w:id="5" w:name="_Toc396997123"/>
      <w:r w:rsidRPr="00D957AC">
        <w:rPr>
          <w:b/>
        </w:rPr>
        <w:lastRenderedPageBreak/>
        <w:t xml:space="preserve">REGULATORY </w:t>
      </w:r>
      <w:r w:rsidR="00E12ABD" w:rsidRPr="00D957AC">
        <w:rPr>
          <w:b/>
        </w:rPr>
        <w:t>COST SAVINGS UNDER THE</w:t>
      </w:r>
      <w:r w:rsidR="0067056C" w:rsidRPr="00D957AC">
        <w:rPr>
          <w:b/>
        </w:rPr>
        <w:t xml:space="preserve"> </w:t>
      </w:r>
    </w:p>
    <w:p w:rsidR="002035A4" w:rsidRPr="00D957AC" w:rsidRDefault="00284CF5" w:rsidP="0067056C">
      <w:pPr>
        <w:spacing w:after="0" w:line="240" w:lineRule="auto"/>
        <w:jc w:val="center"/>
        <w:rPr>
          <w:b/>
        </w:rPr>
      </w:pPr>
      <w:r w:rsidRPr="00D957AC">
        <w:rPr>
          <w:b/>
        </w:rPr>
        <w:t>ONE-</w:t>
      </w:r>
      <w:r w:rsidR="002035A4" w:rsidRPr="00D957AC">
        <w:rPr>
          <w:b/>
        </w:rPr>
        <w:t xml:space="preserve">STOP SHOP FOR </w:t>
      </w:r>
      <w:r w:rsidR="0062092B" w:rsidRPr="00D957AC">
        <w:rPr>
          <w:b/>
        </w:rPr>
        <w:t>ENVIRONMENTAL</w:t>
      </w:r>
      <w:r w:rsidR="002035A4" w:rsidRPr="00D957AC">
        <w:rPr>
          <w:b/>
        </w:rPr>
        <w:t xml:space="preserve"> APPROVALS</w:t>
      </w:r>
      <w:bookmarkEnd w:id="0"/>
      <w:bookmarkEnd w:id="1"/>
      <w:bookmarkEnd w:id="2"/>
      <w:bookmarkEnd w:id="3"/>
      <w:bookmarkEnd w:id="4"/>
      <w:bookmarkEnd w:id="5"/>
    </w:p>
    <w:p w:rsidR="0067056C" w:rsidRPr="00D957AC" w:rsidRDefault="0067056C" w:rsidP="0067056C">
      <w:pPr>
        <w:spacing w:after="0" w:line="240" w:lineRule="auto"/>
        <w:jc w:val="center"/>
        <w:rPr>
          <w:b/>
        </w:rPr>
      </w:pPr>
    </w:p>
    <w:p w:rsidR="000F3937" w:rsidRPr="00D957AC" w:rsidRDefault="00417804" w:rsidP="00D45D0A">
      <w:pPr>
        <w:pStyle w:val="Heading1"/>
      </w:pPr>
      <w:bookmarkStart w:id="6" w:name="_Toc396997124"/>
      <w:bookmarkStart w:id="7" w:name="_Toc398800519"/>
      <w:r w:rsidRPr="00D957AC">
        <w:t>Overview</w:t>
      </w:r>
      <w:bookmarkEnd w:id="6"/>
      <w:bookmarkEnd w:id="7"/>
    </w:p>
    <w:p w:rsidR="00284CF5" w:rsidRPr="00D957AC" w:rsidRDefault="00BD4AD9" w:rsidP="00BD4AD9">
      <w:r w:rsidRPr="00D957AC">
        <w:t>The Australia</w:t>
      </w:r>
      <w:r w:rsidR="00004F37" w:rsidRPr="00D957AC">
        <w:t>n</w:t>
      </w:r>
      <w:r w:rsidR="0030020C" w:rsidRPr="00D957AC">
        <w:t xml:space="preserve"> Government is committed</w:t>
      </w:r>
      <w:r w:rsidRPr="00D957AC">
        <w:t xml:space="preserve"> to reduc</w:t>
      </w:r>
      <w:r w:rsidR="0030020C" w:rsidRPr="00D957AC">
        <w:t>ing</w:t>
      </w:r>
      <w:r w:rsidRPr="00D957AC">
        <w:t xml:space="preserve"> </w:t>
      </w:r>
      <w:r w:rsidR="009A112B" w:rsidRPr="00D957AC">
        <w:t xml:space="preserve">regulatory </w:t>
      </w:r>
      <w:r w:rsidRPr="00D957AC">
        <w:t>costs</w:t>
      </w:r>
      <w:r w:rsidRPr="00D957AC">
        <w:rPr>
          <w:color w:val="FF0000"/>
        </w:rPr>
        <w:t xml:space="preserve"> </w:t>
      </w:r>
      <w:r w:rsidRPr="00D957AC">
        <w:t xml:space="preserve">for business, individuals and community organisations. </w:t>
      </w:r>
      <w:r w:rsidR="00284CF5" w:rsidRPr="00D957AC">
        <w:t xml:space="preserve">The One-Stop Shop </w:t>
      </w:r>
      <w:r w:rsidR="005130BB" w:rsidRPr="00D957AC">
        <w:t xml:space="preserve">for environmental approvals </w:t>
      </w:r>
      <w:r w:rsidR="00284CF5" w:rsidRPr="00D957AC">
        <w:t xml:space="preserve">is </w:t>
      </w:r>
      <w:r w:rsidR="001B527A" w:rsidRPr="00D957AC">
        <w:t>expected</w:t>
      </w:r>
      <w:r w:rsidR="00284CF5" w:rsidRPr="00D957AC">
        <w:t xml:space="preserve"> to </w:t>
      </w:r>
      <w:r w:rsidR="006E7C2A" w:rsidRPr="00D957AC">
        <w:t>result in regulatory savings to business of</w:t>
      </w:r>
      <w:r w:rsidR="00284CF5" w:rsidRPr="00D957AC">
        <w:t xml:space="preserve"> over $</w:t>
      </w:r>
      <w:r w:rsidR="00B37AAC" w:rsidRPr="00D957AC">
        <w:t>426</w:t>
      </w:r>
      <w:r w:rsidR="00284CF5" w:rsidRPr="00D957AC">
        <w:t xml:space="preserve"> million a year. </w:t>
      </w:r>
    </w:p>
    <w:p w:rsidR="00CE1ED2" w:rsidRPr="00D957AC" w:rsidRDefault="00CE1ED2" w:rsidP="00CE1ED2">
      <w:pPr>
        <w:pStyle w:val="ListBullet"/>
        <w:numPr>
          <w:ilvl w:val="0"/>
          <w:numId w:val="0"/>
        </w:numPr>
      </w:pPr>
      <w:r w:rsidRPr="00D957AC">
        <w:t xml:space="preserve">This document is intended to explain regulatory cost savings under the One-Stop Shop and: </w:t>
      </w:r>
    </w:p>
    <w:p w:rsidR="00CE1ED2" w:rsidRPr="00D957AC" w:rsidRDefault="00CE1ED2" w:rsidP="00CE1ED2">
      <w:pPr>
        <w:pStyle w:val="ListBullet"/>
      </w:pPr>
      <w:r w:rsidRPr="00D957AC">
        <w:t>Provide a summary of the One-Stop Shop for environmental approvals in Australia and changes to the current regulatory environment.</w:t>
      </w:r>
    </w:p>
    <w:p w:rsidR="00CE1ED2" w:rsidRPr="00D957AC" w:rsidRDefault="00CE1ED2" w:rsidP="00CE1ED2">
      <w:pPr>
        <w:pStyle w:val="ListBullet"/>
      </w:pPr>
      <w:r w:rsidRPr="00D957AC">
        <w:t xml:space="preserve">Explain the </w:t>
      </w:r>
      <w:r w:rsidR="00E54248" w:rsidRPr="00D957AC">
        <w:t>method</w:t>
      </w:r>
      <w:r w:rsidRPr="00D957AC">
        <w:t xml:space="preserve"> for calculating savings to business from the One-Stop Shop. Broader benefits to the Australian economy have not been assessed and are beyond the scope of this document</w:t>
      </w:r>
      <w:r w:rsidR="00DC1710" w:rsidRPr="00D957AC">
        <w:t>.</w:t>
      </w:r>
    </w:p>
    <w:p w:rsidR="00A45749" w:rsidRPr="00D957AC" w:rsidRDefault="00A26900" w:rsidP="00D45D0A">
      <w:pPr>
        <w:pStyle w:val="Heading1"/>
      </w:pPr>
      <w:bookmarkStart w:id="8" w:name="_Toc396997125"/>
      <w:bookmarkStart w:id="9" w:name="_Toc398800520"/>
      <w:r w:rsidRPr="00D957AC">
        <w:t>Introduction</w:t>
      </w:r>
      <w:bookmarkEnd w:id="8"/>
      <w:bookmarkEnd w:id="9"/>
      <w:r w:rsidRPr="00D957AC">
        <w:t xml:space="preserve"> </w:t>
      </w:r>
    </w:p>
    <w:p w:rsidR="00004F37" w:rsidRPr="00D957AC" w:rsidRDefault="00004F37" w:rsidP="00BD4AD9">
      <w:r w:rsidRPr="00D957AC">
        <w:t>Duplication between state and territory environmental assessment and approval processes and the Australian Government</w:t>
      </w:r>
      <w:r w:rsidR="00CF43FD" w:rsidRPr="00D957AC">
        <w:t>’s</w:t>
      </w:r>
      <w:r w:rsidRPr="00D957AC">
        <w:t xml:space="preserve"> </w:t>
      </w:r>
      <w:r w:rsidR="00CF43FD" w:rsidRPr="00D957AC">
        <w:rPr>
          <w:i/>
        </w:rPr>
        <w:t xml:space="preserve">Environment Protection and Biodiversity Conservation Act 1999 </w:t>
      </w:r>
      <w:r w:rsidR="00CF43FD" w:rsidRPr="00D957AC">
        <w:t>(</w:t>
      </w:r>
      <w:proofErr w:type="spellStart"/>
      <w:r w:rsidR="00CF43FD" w:rsidRPr="00D957AC">
        <w:t>Cth</w:t>
      </w:r>
      <w:proofErr w:type="spellEnd"/>
      <w:r w:rsidR="00CF43FD" w:rsidRPr="00D957AC">
        <w:t>) (EPBC Act)</w:t>
      </w:r>
      <w:r w:rsidR="00CF43FD" w:rsidRPr="00D957AC">
        <w:rPr>
          <w:i/>
        </w:rPr>
        <w:t xml:space="preserve"> </w:t>
      </w:r>
      <w:r w:rsidR="00FE3C6B" w:rsidRPr="00D957AC">
        <w:t xml:space="preserve">has been recognised </w:t>
      </w:r>
      <w:r w:rsidR="0030020C" w:rsidRPr="00D957AC">
        <w:t xml:space="preserve">as costly </w:t>
      </w:r>
      <w:r w:rsidR="00FE3C6B" w:rsidRPr="00D957AC">
        <w:t>by the Productivity Commission</w:t>
      </w:r>
      <w:r w:rsidR="00FE3C6B" w:rsidRPr="00D957AC">
        <w:rPr>
          <w:rStyle w:val="FootnoteReference"/>
        </w:rPr>
        <w:footnoteReference w:id="1"/>
      </w:r>
      <w:r w:rsidR="00FE3C6B" w:rsidRPr="00D957AC">
        <w:t xml:space="preserve"> and</w:t>
      </w:r>
      <w:r w:rsidR="00CF43FD" w:rsidRPr="00D957AC">
        <w:t xml:space="preserve"> t</w:t>
      </w:r>
      <w:r w:rsidRPr="00D957AC">
        <w:t>he Council of Australian Governments</w:t>
      </w:r>
      <w:r w:rsidR="00FD0F2B" w:rsidRPr="00D957AC">
        <w:t>.</w:t>
      </w:r>
      <w:r w:rsidR="00FD1639" w:rsidRPr="00D957AC">
        <w:rPr>
          <w:rStyle w:val="FootnoteReference"/>
        </w:rPr>
        <w:footnoteReference w:id="2"/>
      </w:r>
    </w:p>
    <w:p w:rsidR="006E7C2A" w:rsidRPr="00D957AC" w:rsidRDefault="006E7C2A" w:rsidP="006E7C2A">
      <w:r w:rsidRPr="00D957AC">
        <w:t>The current regulatory process has resulted in unnecessary duplication and delays for business, resulting in:</w:t>
      </w:r>
    </w:p>
    <w:p w:rsidR="006E7C2A" w:rsidRPr="00D957AC" w:rsidRDefault="0030020C" w:rsidP="006E7C2A">
      <w:pPr>
        <w:pStyle w:val="ListBullet"/>
      </w:pPr>
      <w:r w:rsidRPr="00D957AC">
        <w:t xml:space="preserve">Administrative costs </w:t>
      </w:r>
      <w:r w:rsidR="006E7C2A" w:rsidRPr="00D957AC">
        <w:t>for example completing two separate application forms. Administrative cost savings for business under the One-Stop Shop are estimated at $</w:t>
      </w:r>
      <w:r w:rsidR="00B37AAC" w:rsidRPr="00D957AC">
        <w:t>9</w:t>
      </w:r>
      <w:r w:rsidR="006E7C2A" w:rsidRPr="00D957AC">
        <w:t> million.</w:t>
      </w:r>
    </w:p>
    <w:p w:rsidR="006E7C2A" w:rsidRPr="00D957AC" w:rsidRDefault="0030020C" w:rsidP="006E7C2A">
      <w:pPr>
        <w:pStyle w:val="ListBullet"/>
      </w:pPr>
      <w:r w:rsidRPr="00D957AC">
        <w:t xml:space="preserve">Delay costs </w:t>
      </w:r>
      <w:r w:rsidR="006E7C2A" w:rsidRPr="00D957AC">
        <w:t>for example waiting for an Australian Government project approval after a state or territory project approval. Delay cost savings for business under the One-Stop Shop are estimated at $</w:t>
      </w:r>
      <w:r w:rsidR="00133EEA" w:rsidRPr="00D957AC">
        <w:t>417</w:t>
      </w:r>
      <w:r w:rsidR="006E7C2A" w:rsidRPr="00D957AC">
        <w:t xml:space="preserve"> million.</w:t>
      </w:r>
    </w:p>
    <w:p w:rsidR="00BD4AD9" w:rsidRPr="00D957AC" w:rsidRDefault="00BD4AD9" w:rsidP="00BD4AD9">
      <w:pPr>
        <w:rPr>
          <w:rFonts w:eastAsia="Times New Roman"/>
        </w:rPr>
      </w:pPr>
      <w:r w:rsidRPr="00D957AC">
        <w:rPr>
          <w:rFonts w:eastAsia="Times New Roman"/>
        </w:rPr>
        <w:t xml:space="preserve">The </w:t>
      </w:r>
      <w:r w:rsidR="00284CF5" w:rsidRPr="00D957AC">
        <w:rPr>
          <w:rFonts w:eastAsia="Times New Roman"/>
        </w:rPr>
        <w:t>One-Stop Shop</w:t>
      </w:r>
      <w:r w:rsidRPr="00D957AC">
        <w:rPr>
          <w:rFonts w:eastAsia="Times New Roman"/>
        </w:rPr>
        <w:t xml:space="preserve"> will </w:t>
      </w:r>
      <w:r w:rsidR="00524E6F" w:rsidRPr="00D957AC">
        <w:rPr>
          <w:rFonts w:eastAsia="Times New Roman"/>
        </w:rPr>
        <w:t>result in</w:t>
      </w:r>
      <w:r w:rsidRPr="00D957AC">
        <w:rPr>
          <w:rFonts w:eastAsia="Times New Roman"/>
        </w:rPr>
        <w:t xml:space="preserve"> </w:t>
      </w:r>
      <w:r w:rsidR="00FD1639" w:rsidRPr="00D957AC">
        <w:rPr>
          <w:rFonts w:eastAsia="Times New Roman"/>
        </w:rPr>
        <w:t>streamlined</w:t>
      </w:r>
      <w:r w:rsidRPr="00D957AC">
        <w:rPr>
          <w:rFonts w:eastAsia="Times New Roman"/>
        </w:rPr>
        <w:t xml:space="preserve"> decisions on projects</w:t>
      </w:r>
      <w:r w:rsidR="00524E6F" w:rsidRPr="00D957AC">
        <w:rPr>
          <w:rFonts w:eastAsia="Times New Roman"/>
        </w:rPr>
        <w:t>,</w:t>
      </w:r>
      <w:r w:rsidRPr="00D957AC">
        <w:rPr>
          <w:rFonts w:eastAsia="Times New Roman"/>
        </w:rPr>
        <w:t xml:space="preserve"> </w:t>
      </w:r>
      <w:r w:rsidR="00542CBE" w:rsidRPr="00D957AC">
        <w:rPr>
          <w:rFonts w:eastAsia="Times New Roman"/>
        </w:rPr>
        <w:t xml:space="preserve">lower </w:t>
      </w:r>
      <w:r w:rsidRPr="00D957AC">
        <w:rPr>
          <w:rFonts w:eastAsia="Times New Roman"/>
        </w:rPr>
        <w:t xml:space="preserve">costs for business </w:t>
      </w:r>
      <w:r w:rsidR="00524E6F" w:rsidRPr="00D957AC">
        <w:rPr>
          <w:rFonts w:eastAsia="Times New Roman"/>
        </w:rPr>
        <w:t xml:space="preserve">and </w:t>
      </w:r>
      <w:r w:rsidRPr="00D957AC">
        <w:rPr>
          <w:rFonts w:eastAsia="Times New Roman"/>
        </w:rPr>
        <w:t>high environmental standards</w:t>
      </w:r>
      <w:r w:rsidR="00004F37" w:rsidRPr="00D957AC">
        <w:rPr>
          <w:rFonts w:eastAsia="Times New Roman"/>
        </w:rPr>
        <w:t xml:space="preserve"> being maintained</w:t>
      </w:r>
      <w:r w:rsidRPr="00D957AC">
        <w:rPr>
          <w:rFonts w:eastAsia="Times New Roman"/>
        </w:rPr>
        <w:t xml:space="preserve">.  </w:t>
      </w:r>
    </w:p>
    <w:p w:rsidR="00004F37" w:rsidRPr="00D957AC" w:rsidRDefault="001E3D7F" w:rsidP="00BD4AD9">
      <w:pPr>
        <w:rPr>
          <w:rFonts w:eastAsia="Times New Roman"/>
        </w:rPr>
      </w:pPr>
      <w:r w:rsidRPr="00D957AC">
        <w:rPr>
          <w:rFonts w:eastAsia="Times New Roman"/>
        </w:rPr>
        <w:t xml:space="preserve">A three-stage approach was taken to implementing the </w:t>
      </w:r>
      <w:r w:rsidR="00284CF5" w:rsidRPr="00D957AC">
        <w:rPr>
          <w:rFonts w:eastAsia="Times New Roman"/>
        </w:rPr>
        <w:t>One-Stop Shop</w:t>
      </w:r>
      <w:r w:rsidRPr="00D957AC">
        <w:rPr>
          <w:rFonts w:eastAsia="Times New Roman"/>
        </w:rPr>
        <w:t>:</w:t>
      </w:r>
    </w:p>
    <w:p w:rsidR="00312B97" w:rsidRPr="00D957AC" w:rsidRDefault="00312B97" w:rsidP="00312B97">
      <w:pPr>
        <w:pStyle w:val="ListNumber"/>
        <w:ind w:left="360" w:hanging="360"/>
      </w:pPr>
      <w:r w:rsidRPr="00D957AC">
        <w:t>Memoranda of Understanding with each state and territory, agreed in 2013.</w:t>
      </w:r>
    </w:p>
    <w:p w:rsidR="00312B97" w:rsidRPr="00D957AC" w:rsidRDefault="00312B97" w:rsidP="00312B97">
      <w:pPr>
        <w:pStyle w:val="ListNumber"/>
        <w:ind w:left="360" w:hanging="360"/>
      </w:pPr>
      <w:r w:rsidRPr="00D957AC">
        <w:t>Assessment Bilateral Agreements with each state and territory, which are in the process of being agreed with all states and territories.</w:t>
      </w:r>
    </w:p>
    <w:p w:rsidR="00312B97" w:rsidRPr="00F7456B" w:rsidRDefault="00312B97" w:rsidP="00312B97">
      <w:pPr>
        <w:pStyle w:val="ListNumber"/>
        <w:ind w:left="360" w:hanging="360"/>
      </w:pPr>
      <w:r w:rsidRPr="00D957AC">
        <w:t>Approval bilateral agreements and accreditation of relevant state and territory environmental assessment and approval processes.</w:t>
      </w:r>
      <w:r w:rsidRPr="00D957AC">
        <w:rPr>
          <w:rFonts w:cs="Arial"/>
        </w:rPr>
        <w:t xml:space="preserve"> </w:t>
      </w:r>
    </w:p>
    <w:p w:rsidR="00F7456B" w:rsidRPr="00D957AC" w:rsidRDefault="00F7456B" w:rsidP="00F7456B">
      <w:pPr>
        <w:pStyle w:val="ListNumber"/>
        <w:numPr>
          <w:ilvl w:val="0"/>
          <w:numId w:val="0"/>
        </w:numPr>
      </w:pPr>
    </w:p>
    <w:p w:rsidR="00BD4AD9" w:rsidRPr="00D957AC" w:rsidRDefault="00085904" w:rsidP="00BD4AD9">
      <w:pPr>
        <w:rPr>
          <w:rFonts w:cs="Arial"/>
        </w:rPr>
      </w:pPr>
      <w:r w:rsidRPr="00D957AC">
        <w:rPr>
          <w:rFonts w:eastAsia="Times New Roman"/>
        </w:rPr>
        <w:t>Where a state or territory process is accredited and an approval bilateral agreement is in place, b</w:t>
      </w:r>
      <w:r w:rsidR="00BD4AD9" w:rsidRPr="00D957AC">
        <w:rPr>
          <w:rFonts w:eastAsia="Times New Roman"/>
        </w:rPr>
        <w:t xml:space="preserve">usiness will deal with the state or territory </w:t>
      </w:r>
      <w:r w:rsidR="00004F37" w:rsidRPr="00D957AC">
        <w:rPr>
          <w:rFonts w:eastAsia="Times New Roman"/>
        </w:rPr>
        <w:t xml:space="preserve">government </w:t>
      </w:r>
      <w:r w:rsidR="00BD4AD9" w:rsidRPr="00D957AC">
        <w:rPr>
          <w:rFonts w:eastAsia="Times New Roman"/>
        </w:rPr>
        <w:t>as the primary regulator</w:t>
      </w:r>
      <w:r w:rsidRPr="00D957AC">
        <w:rPr>
          <w:rFonts w:eastAsia="Times New Roman"/>
        </w:rPr>
        <w:t xml:space="preserve"> for environmental</w:t>
      </w:r>
      <w:r w:rsidR="00BD4AD9" w:rsidRPr="00D957AC">
        <w:rPr>
          <w:rFonts w:eastAsia="Times New Roman"/>
        </w:rPr>
        <w:t xml:space="preserve"> approvals </w:t>
      </w:r>
      <w:r w:rsidR="00004F37" w:rsidRPr="00D957AC">
        <w:rPr>
          <w:rFonts w:eastAsia="Times New Roman"/>
        </w:rPr>
        <w:t>in Australia.</w:t>
      </w:r>
      <w:r w:rsidR="00BD4AD9" w:rsidRPr="00D957AC">
        <w:rPr>
          <w:rFonts w:eastAsia="Times New Roman"/>
        </w:rPr>
        <w:t xml:space="preserve"> </w:t>
      </w:r>
      <w:r w:rsidR="00004F37" w:rsidRPr="00D957AC">
        <w:rPr>
          <w:rFonts w:eastAsia="Times New Roman"/>
        </w:rPr>
        <w:t>S</w:t>
      </w:r>
      <w:r w:rsidRPr="00D957AC">
        <w:rPr>
          <w:rFonts w:cs="Arial"/>
        </w:rPr>
        <w:t xml:space="preserve">tates and territories </w:t>
      </w:r>
      <w:r w:rsidR="00BD4AD9" w:rsidRPr="00D957AC">
        <w:rPr>
          <w:rFonts w:cs="Arial"/>
        </w:rPr>
        <w:t xml:space="preserve">will need to meet </w:t>
      </w:r>
      <w:r w:rsidRPr="00D957AC">
        <w:rPr>
          <w:rFonts w:cs="Arial"/>
        </w:rPr>
        <w:t xml:space="preserve">national </w:t>
      </w:r>
      <w:r w:rsidR="002011A4" w:rsidRPr="00D957AC">
        <w:rPr>
          <w:rFonts w:cs="Arial"/>
        </w:rPr>
        <w:t>standards for Matters of N</w:t>
      </w:r>
      <w:r w:rsidR="00BD4AD9" w:rsidRPr="00D957AC">
        <w:rPr>
          <w:rFonts w:cs="Arial"/>
        </w:rPr>
        <w:t>ati</w:t>
      </w:r>
      <w:r w:rsidR="002011A4" w:rsidRPr="00D957AC">
        <w:rPr>
          <w:rFonts w:cs="Arial"/>
        </w:rPr>
        <w:t>onal Environmental Significance</w:t>
      </w:r>
      <w:r w:rsidR="00FD1639" w:rsidRPr="00D957AC">
        <w:rPr>
          <w:rFonts w:cs="Arial"/>
        </w:rPr>
        <w:t>.</w:t>
      </w:r>
    </w:p>
    <w:p w:rsidR="00BD4AD9" w:rsidRPr="00D957AC" w:rsidRDefault="00BD4AD9" w:rsidP="00BD4AD9">
      <w:pPr>
        <w:rPr>
          <w:rFonts w:cs="Arial"/>
        </w:rPr>
      </w:pPr>
      <w:r w:rsidRPr="00D957AC">
        <w:rPr>
          <w:rFonts w:cs="Arial"/>
        </w:rPr>
        <w:t xml:space="preserve">The </w:t>
      </w:r>
      <w:r w:rsidR="00284CF5" w:rsidRPr="00D957AC">
        <w:rPr>
          <w:rFonts w:cs="Arial"/>
        </w:rPr>
        <w:t>One-Stop Shop</w:t>
      </w:r>
      <w:r w:rsidRPr="00D957AC">
        <w:rPr>
          <w:rFonts w:cs="Arial"/>
        </w:rPr>
        <w:t xml:space="preserve"> will result in two ke</w:t>
      </w:r>
      <w:r w:rsidR="00744C1C" w:rsidRPr="00D957AC">
        <w:rPr>
          <w:rFonts w:cs="Arial"/>
        </w:rPr>
        <w:t>y areas of savings for business:</w:t>
      </w:r>
      <w:r w:rsidRPr="00D957AC">
        <w:rPr>
          <w:rFonts w:cs="Arial"/>
        </w:rPr>
        <w:t xml:space="preserve"> reduced administrative costs and reduced delay costs.</w:t>
      </w:r>
      <w:r w:rsidR="00085904" w:rsidRPr="00D957AC">
        <w:rPr>
          <w:rFonts w:cs="Arial"/>
        </w:rPr>
        <w:t xml:space="preserve"> The </w:t>
      </w:r>
      <w:r w:rsidR="00284CF5" w:rsidRPr="00D957AC">
        <w:rPr>
          <w:rFonts w:cs="Arial"/>
        </w:rPr>
        <w:t>One-Stop Shop</w:t>
      </w:r>
      <w:r w:rsidR="00085904" w:rsidRPr="00D957AC">
        <w:rPr>
          <w:rFonts w:cs="Arial"/>
        </w:rPr>
        <w:t xml:space="preserve"> is also expected to strengthen environmental outcomes for </w:t>
      </w:r>
      <w:r w:rsidR="002011A4" w:rsidRPr="00D957AC">
        <w:rPr>
          <w:rFonts w:cs="Arial"/>
        </w:rPr>
        <w:t>Matters of National Environmental Significance</w:t>
      </w:r>
      <w:r w:rsidR="00085904" w:rsidRPr="00D957AC">
        <w:rPr>
          <w:rFonts w:cs="Arial"/>
        </w:rPr>
        <w:t>, and allow the Australian Government to take a</w:t>
      </w:r>
      <w:r w:rsidR="00FD1639" w:rsidRPr="00D957AC">
        <w:rPr>
          <w:rFonts w:cs="Arial"/>
        </w:rPr>
        <w:t xml:space="preserve"> more</w:t>
      </w:r>
      <w:r w:rsidR="00085904" w:rsidRPr="00D957AC">
        <w:rPr>
          <w:rFonts w:cs="Arial"/>
        </w:rPr>
        <w:t xml:space="preserve"> strategic role in environmental protection.  </w:t>
      </w:r>
    </w:p>
    <w:p w:rsidR="00B43EE4" w:rsidRPr="00D957AC" w:rsidRDefault="00A26900" w:rsidP="00D45D0A">
      <w:pPr>
        <w:pStyle w:val="Heading1"/>
      </w:pPr>
      <w:bookmarkStart w:id="10" w:name="_Toc396997126"/>
      <w:bookmarkStart w:id="11" w:name="_Toc398800521"/>
      <w:r w:rsidRPr="00D957AC">
        <w:t>Background</w:t>
      </w:r>
      <w:bookmarkEnd w:id="10"/>
      <w:bookmarkEnd w:id="11"/>
    </w:p>
    <w:p w:rsidR="00FD0F2B" w:rsidRPr="00D957AC" w:rsidRDefault="00542CBE" w:rsidP="00F804B2">
      <w:r w:rsidRPr="00D957AC">
        <w:t>The EPBC Act has provided for approval bilateral agreements since it commenced on 16 July 2000.</w:t>
      </w:r>
      <w:r w:rsidRPr="00D957AC">
        <w:rPr>
          <w:rStyle w:val="FootnoteReference"/>
          <w:rFonts w:cs="Arial"/>
          <w:lang w:eastAsia="en-AU"/>
        </w:rPr>
        <w:footnoteReference w:id="3"/>
      </w:r>
      <w:r w:rsidRPr="00D957AC">
        <w:t xml:space="preserve"> </w:t>
      </w:r>
      <w:r w:rsidR="00FD0F2B" w:rsidRPr="00D957AC">
        <w:t>In November 1997 the Council of Australian Governments agreed in princip</w:t>
      </w:r>
      <w:r w:rsidR="0024103C" w:rsidRPr="00D957AC">
        <w:t>le to the Heads of Agreement on</w:t>
      </w:r>
      <w:r w:rsidR="00FD0F2B" w:rsidRPr="00D957AC">
        <w:t xml:space="preserve"> Roles and Responsibilities for the Environment which was subsequently signed by the heads of all governments and the Australian Local Government Association. As part of the agreement, the states and territories and the Australian Government agreed to more effective environmental assessment and approval processes, including a national partnership based on minimising unnecessary duplication and overlap between governments. The parties agreed to provide for bilateral agreements which would enable accreditation of </w:t>
      </w:r>
      <w:r w:rsidR="00106BA8" w:rsidRPr="00D957AC">
        <w:t>s</w:t>
      </w:r>
      <w:r w:rsidR="00FD0F2B" w:rsidRPr="00D957AC">
        <w:t>tate</w:t>
      </w:r>
      <w:r w:rsidR="00106BA8" w:rsidRPr="00D957AC">
        <w:t xml:space="preserve"> and territory</w:t>
      </w:r>
      <w:r w:rsidR="00FD0F2B" w:rsidRPr="00D957AC">
        <w:t xml:space="preserve"> processes and, in appropriate cases, state and territory decisions under </w:t>
      </w:r>
      <w:r w:rsidR="0024103C" w:rsidRPr="00D957AC">
        <w:t>Australian Government</w:t>
      </w:r>
      <w:r w:rsidR="00FD0F2B" w:rsidRPr="00D957AC">
        <w:t xml:space="preserve"> legislation.  </w:t>
      </w:r>
    </w:p>
    <w:p w:rsidR="00F804B2" w:rsidRPr="00D957AC" w:rsidRDefault="000849B0" w:rsidP="00F804B2">
      <w:r w:rsidRPr="00D957AC">
        <w:t>The EPBC Act is the Australian Government's primary piece of</w:t>
      </w:r>
      <w:r w:rsidR="00F804B2" w:rsidRPr="00D957AC">
        <w:t xml:space="preserve"> environmental legislation administered by the Australian Government Department of the Environment.  The Act</w:t>
      </w:r>
      <w:r w:rsidRPr="00D957AC">
        <w:t xml:space="preserve"> </w:t>
      </w:r>
      <w:r w:rsidR="00D75F7C" w:rsidRPr="00D957AC">
        <w:t>provide</w:t>
      </w:r>
      <w:r w:rsidR="00F804B2" w:rsidRPr="00D957AC">
        <w:t>s</w:t>
      </w:r>
      <w:r w:rsidRPr="00D957AC">
        <w:t xml:space="preserve"> a national scheme of environment and heritage protection and biodiversity conservation</w:t>
      </w:r>
      <w:r w:rsidR="00F804B2" w:rsidRPr="00D957AC">
        <w:t>, and enables the Australian Government to regulate</w:t>
      </w:r>
      <w:r w:rsidR="00FD0F2B" w:rsidRPr="00D957AC">
        <w:t xml:space="preserve"> development proposals</w:t>
      </w:r>
      <w:r w:rsidR="00F804B2" w:rsidRPr="00D957AC">
        <w:t xml:space="preserve"> in relation to </w:t>
      </w:r>
      <w:r w:rsidR="002011A4" w:rsidRPr="00D957AC">
        <w:rPr>
          <w:rFonts w:cs="Arial"/>
        </w:rPr>
        <w:t>Matters of National Environmental Significance</w:t>
      </w:r>
      <w:r w:rsidR="00F804B2" w:rsidRPr="00D957AC">
        <w:t xml:space="preserve">. </w:t>
      </w:r>
      <w:r w:rsidR="002011A4" w:rsidRPr="00D957AC">
        <w:rPr>
          <w:rFonts w:cs="Arial"/>
        </w:rPr>
        <w:t>Matters of National Environmental Significance</w:t>
      </w:r>
      <w:r w:rsidR="002011A4" w:rsidRPr="00D957AC">
        <w:t xml:space="preserve"> </w:t>
      </w:r>
      <w:r w:rsidR="00F804B2" w:rsidRPr="00D957AC">
        <w:t>include threatened species, national heritage places, world heritage properties and nuclear actions.</w:t>
      </w:r>
    </w:p>
    <w:p w:rsidR="001058A5" w:rsidRPr="00D957AC" w:rsidRDefault="003A387A" w:rsidP="001058A5">
      <w:r w:rsidRPr="00D957AC">
        <w:t>S</w:t>
      </w:r>
      <w:r w:rsidR="000849B0" w:rsidRPr="00D957AC">
        <w:t xml:space="preserve">tates and territories </w:t>
      </w:r>
      <w:r w:rsidR="002B6EEB" w:rsidRPr="00D957AC">
        <w:t xml:space="preserve">have </w:t>
      </w:r>
      <w:r w:rsidR="000849B0" w:rsidRPr="00D957AC">
        <w:t>responsibility for matters of state and local significance</w:t>
      </w:r>
      <w:r w:rsidR="00F804B2" w:rsidRPr="00D957AC">
        <w:t xml:space="preserve">, although many state and territory matters are also listed under the EPBC Act.  This has resulted in significant overlap in </w:t>
      </w:r>
      <w:r w:rsidR="00FD0F2B" w:rsidRPr="00D957AC">
        <w:t>environmental regulation in Australia</w:t>
      </w:r>
      <w:r w:rsidR="000849B0" w:rsidRPr="00D957AC">
        <w:t xml:space="preserve">. </w:t>
      </w:r>
      <w:r w:rsidR="00FD0F2B" w:rsidRPr="00D957AC">
        <w:t xml:space="preserve"> </w:t>
      </w:r>
      <w:r w:rsidR="0006423F" w:rsidRPr="00D957AC">
        <w:t xml:space="preserve">The Government is now implementing the efficiencies envisaged when the EPBC Act was introduced. </w:t>
      </w:r>
    </w:p>
    <w:p w:rsidR="00B91828" w:rsidRPr="00D957AC" w:rsidRDefault="00F92890" w:rsidP="00D45D0A">
      <w:pPr>
        <w:pStyle w:val="Heading2"/>
        <w:rPr>
          <w:caps/>
        </w:rPr>
      </w:pPr>
      <w:bookmarkStart w:id="12" w:name="_Toc396997127"/>
      <w:bookmarkStart w:id="13" w:name="_Toc398800522"/>
      <w:r w:rsidRPr="00D957AC">
        <w:t>Overview of the current regulatory environment</w:t>
      </w:r>
      <w:bookmarkEnd w:id="12"/>
      <w:bookmarkEnd w:id="13"/>
    </w:p>
    <w:p w:rsidR="00C25755" w:rsidRPr="00D957AC" w:rsidRDefault="00DA4D14" w:rsidP="00B91828">
      <w:r w:rsidRPr="00D957AC">
        <w:t>Currently</w:t>
      </w:r>
      <w:r w:rsidR="00B43EE4" w:rsidRPr="00D957AC">
        <w:t xml:space="preserve">, </w:t>
      </w:r>
      <w:r w:rsidR="00EB5EE9" w:rsidRPr="00D957AC">
        <w:t>p</w:t>
      </w:r>
      <w:r w:rsidR="007B6FA4" w:rsidRPr="00D957AC">
        <w:t xml:space="preserve">roponents </w:t>
      </w:r>
      <w:r w:rsidR="00EB5EE9" w:rsidRPr="00D957AC">
        <w:t>submit</w:t>
      </w:r>
      <w:r w:rsidR="007B6FA4" w:rsidRPr="00D957AC">
        <w:t xml:space="preserve"> </w:t>
      </w:r>
      <w:r w:rsidR="00C25755" w:rsidRPr="00D957AC">
        <w:t xml:space="preserve">an </w:t>
      </w:r>
      <w:r w:rsidR="007B6FA4" w:rsidRPr="00D957AC">
        <w:t xml:space="preserve">application </w:t>
      </w:r>
      <w:r w:rsidR="00C25755" w:rsidRPr="00D957AC">
        <w:t xml:space="preserve">to a state or territory government </w:t>
      </w:r>
      <w:r w:rsidR="007B6FA4" w:rsidRPr="00D957AC">
        <w:t xml:space="preserve">for </w:t>
      </w:r>
      <w:r w:rsidR="00C25755" w:rsidRPr="00D957AC">
        <w:t>an environmental approval</w:t>
      </w:r>
      <w:r w:rsidR="007B6FA4" w:rsidRPr="00D957AC">
        <w:t xml:space="preserve"> for </w:t>
      </w:r>
      <w:r w:rsidR="00C25755" w:rsidRPr="00D957AC">
        <w:t>their project</w:t>
      </w:r>
      <w:r w:rsidR="007B6FA4" w:rsidRPr="00D957AC">
        <w:t xml:space="preserve">. </w:t>
      </w:r>
      <w:r w:rsidR="00C25755" w:rsidRPr="00D957AC">
        <w:t>I</w:t>
      </w:r>
      <w:r w:rsidR="007B6FA4" w:rsidRPr="00D957AC">
        <w:t xml:space="preserve">f the project is likely to </w:t>
      </w:r>
      <w:r w:rsidR="00C25755" w:rsidRPr="00D957AC">
        <w:t>have a significant impact on a</w:t>
      </w:r>
      <w:r w:rsidR="007B6FA4" w:rsidRPr="00D957AC">
        <w:t xml:space="preserve"> </w:t>
      </w:r>
      <w:r w:rsidR="002011A4" w:rsidRPr="00D957AC">
        <w:rPr>
          <w:rFonts w:cs="Arial"/>
        </w:rPr>
        <w:t>Matters of National Environmental Significance</w:t>
      </w:r>
      <w:r w:rsidR="007B6FA4" w:rsidRPr="00D957AC">
        <w:t xml:space="preserve">, a separate application (referral) to the Australian Government </w:t>
      </w:r>
      <w:r w:rsidR="00C25755" w:rsidRPr="00D957AC">
        <w:t>is required</w:t>
      </w:r>
      <w:r w:rsidR="00CA1484" w:rsidRPr="00D957AC">
        <w:t xml:space="preserve"> under the EPBC Act</w:t>
      </w:r>
      <w:r w:rsidR="007B6FA4" w:rsidRPr="00D957AC">
        <w:t xml:space="preserve">. </w:t>
      </w:r>
      <w:r w:rsidR="00C25755" w:rsidRPr="00D957AC">
        <w:t>This means a proponent is required to complete two separate application forms.</w:t>
      </w:r>
    </w:p>
    <w:p w:rsidR="00DA4D14" w:rsidRPr="00D957AC" w:rsidRDefault="00DA4D14" w:rsidP="00DA4D14">
      <w:r w:rsidRPr="00D957AC">
        <w:t xml:space="preserve">Under the EPBC Act, the </w:t>
      </w:r>
      <w:r w:rsidR="00D91953" w:rsidRPr="00D957AC">
        <w:t xml:space="preserve">Australian Government </w:t>
      </w:r>
      <w:r w:rsidRPr="00D957AC">
        <w:t>Department of the Environment currently receives approximately 420</w:t>
      </w:r>
      <w:r w:rsidR="002B6EEB" w:rsidRPr="00D957AC">
        <w:t> </w:t>
      </w:r>
      <w:r w:rsidRPr="00D957AC">
        <w:t>referrals each year</w:t>
      </w:r>
      <w:r w:rsidR="00AB6DA3" w:rsidRPr="00D957AC">
        <w:t xml:space="preserve">, of which approximately 134 require further assessment and approval. </w:t>
      </w:r>
      <w:r w:rsidRPr="00D957AC">
        <w:t>A range of proponents refer their activities (e.g. governments, companies and individuals) from a range of different industries (e.g. mining, infrastructure, commercial and residential) (</w:t>
      </w:r>
      <w:r w:rsidR="0035776A" w:rsidRPr="00D957AC">
        <w:t>see</w:t>
      </w:r>
      <w:r w:rsidR="003E1139" w:rsidRPr="00D957AC">
        <w:t> </w:t>
      </w:r>
      <w:r w:rsidR="0035776A" w:rsidRPr="00D957AC">
        <w:rPr>
          <w:b/>
        </w:rPr>
        <w:t>Figure 1</w:t>
      </w:r>
      <w:r w:rsidR="0035776A" w:rsidRPr="00D957AC">
        <w:t>).</w:t>
      </w:r>
      <w:r w:rsidR="000423B6" w:rsidRPr="00D957AC">
        <w:t xml:space="preserve"> </w:t>
      </w:r>
    </w:p>
    <w:p w:rsidR="00F804B2" w:rsidRPr="00D957AC" w:rsidRDefault="00DA4D14" w:rsidP="009C3B2F">
      <w:pPr>
        <w:jc w:val="center"/>
      </w:pPr>
      <w:r w:rsidRPr="00D957AC">
        <w:rPr>
          <w:b/>
          <w:sz w:val="20"/>
          <w:szCs w:val="20"/>
        </w:rPr>
        <w:t>Figure 1: Types of projects referred under the EPBC Act between</w:t>
      </w:r>
      <w:r w:rsidR="00B13F94" w:rsidRPr="00D957AC">
        <w:rPr>
          <w:b/>
          <w:sz w:val="20"/>
          <w:szCs w:val="20"/>
        </w:rPr>
        <w:t xml:space="preserve"> 1 July</w:t>
      </w:r>
      <w:r w:rsidRPr="00D957AC">
        <w:rPr>
          <w:b/>
          <w:sz w:val="20"/>
          <w:szCs w:val="20"/>
        </w:rPr>
        <w:t xml:space="preserve"> 2007 and </w:t>
      </w:r>
      <w:r w:rsidR="00B13F94" w:rsidRPr="00D957AC">
        <w:rPr>
          <w:b/>
          <w:sz w:val="20"/>
          <w:szCs w:val="20"/>
        </w:rPr>
        <w:t xml:space="preserve">30 June </w:t>
      </w:r>
      <w:r w:rsidRPr="00D957AC">
        <w:rPr>
          <w:b/>
          <w:sz w:val="20"/>
          <w:szCs w:val="20"/>
        </w:rPr>
        <w:t>2013</w:t>
      </w:r>
      <w:r w:rsidRPr="00D957AC">
        <w:rPr>
          <w:noProof/>
          <w:lang w:eastAsia="en-AU"/>
        </w:rPr>
        <w:drawing>
          <wp:inline distT="0" distB="0" distL="0" distR="0">
            <wp:extent cx="3438525" cy="3733800"/>
            <wp:effectExtent l="19050" t="19050" r="2857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337" t="5542" r="2139"/>
                    <a:stretch>
                      <a:fillRect/>
                    </a:stretch>
                  </pic:blipFill>
                  <pic:spPr bwMode="auto">
                    <a:xfrm>
                      <a:off x="0" y="0"/>
                      <a:ext cx="3438525" cy="3733800"/>
                    </a:xfrm>
                    <a:prstGeom prst="rect">
                      <a:avLst/>
                    </a:prstGeom>
                    <a:noFill/>
                    <a:ln w="9525">
                      <a:solidFill>
                        <a:schemeClr val="accent1"/>
                      </a:solidFill>
                      <a:miter lim="800000"/>
                      <a:headEnd/>
                      <a:tailEnd/>
                    </a:ln>
                  </pic:spPr>
                </pic:pic>
              </a:graphicData>
            </a:graphic>
          </wp:inline>
        </w:drawing>
      </w:r>
    </w:p>
    <w:p w:rsidR="00C25755" w:rsidRPr="00D957AC" w:rsidRDefault="007B6FA4" w:rsidP="00B91828">
      <w:r w:rsidRPr="00D957AC">
        <w:t>Based on the</w:t>
      </w:r>
      <w:r w:rsidR="002B6EEB" w:rsidRPr="00D957AC">
        <w:t xml:space="preserve"> information</w:t>
      </w:r>
      <w:r w:rsidRPr="00D957AC">
        <w:t xml:space="preserve"> </w:t>
      </w:r>
      <w:r w:rsidR="002B6EEB" w:rsidRPr="00D957AC">
        <w:t xml:space="preserve">provided in the EPBC Act </w:t>
      </w:r>
      <w:r w:rsidR="00CA1484" w:rsidRPr="00D957AC">
        <w:t>referral</w:t>
      </w:r>
      <w:r w:rsidR="002B6EEB" w:rsidRPr="00D957AC">
        <w:t xml:space="preserve">, </w:t>
      </w:r>
      <w:r w:rsidRPr="00D957AC">
        <w:t>the Australian Government</w:t>
      </w:r>
      <w:r w:rsidR="00F804B2" w:rsidRPr="00D957AC">
        <w:t xml:space="preserve"> Environment Minister</w:t>
      </w:r>
      <w:r w:rsidRPr="00D957AC">
        <w:t xml:space="preserve"> may determine </w:t>
      </w:r>
      <w:r w:rsidR="00C25755" w:rsidRPr="00D957AC">
        <w:t xml:space="preserve">that </w:t>
      </w:r>
      <w:r w:rsidRPr="00D957AC">
        <w:t xml:space="preserve">the project </w:t>
      </w:r>
      <w:r w:rsidR="002B6EEB" w:rsidRPr="00D957AC">
        <w:t xml:space="preserve">will have </w:t>
      </w:r>
      <w:r w:rsidR="00FD0F2B" w:rsidRPr="00D957AC">
        <w:t>a significant impact</w:t>
      </w:r>
      <w:r w:rsidR="00BF04A2" w:rsidRPr="00D957AC">
        <w:t xml:space="preserve"> on</w:t>
      </w:r>
      <w:r w:rsidR="002B6EEB" w:rsidRPr="00D957AC">
        <w:t xml:space="preserve"> </w:t>
      </w:r>
      <w:r w:rsidR="00FD0F2B" w:rsidRPr="00D957AC">
        <w:t xml:space="preserve">a </w:t>
      </w:r>
      <w:r w:rsidR="002011A4" w:rsidRPr="00D957AC">
        <w:rPr>
          <w:rFonts w:cs="Arial"/>
        </w:rPr>
        <w:t>Matters of National Environmental Significance</w:t>
      </w:r>
      <w:r w:rsidR="002B6EEB" w:rsidRPr="00D957AC">
        <w:t xml:space="preserve"> (i.e. that it is </w:t>
      </w:r>
      <w:r w:rsidRPr="00D957AC">
        <w:t xml:space="preserve">a </w:t>
      </w:r>
      <w:r w:rsidR="00C25755" w:rsidRPr="00D957AC">
        <w:t>c</w:t>
      </w:r>
      <w:r w:rsidRPr="00D957AC">
        <w:t xml:space="preserve">ontrolled </w:t>
      </w:r>
      <w:r w:rsidR="00C25755" w:rsidRPr="00D957AC">
        <w:t>a</w:t>
      </w:r>
      <w:r w:rsidRPr="00D957AC">
        <w:t>ction</w:t>
      </w:r>
      <w:r w:rsidR="002B6EEB" w:rsidRPr="00D957AC">
        <w:t>)</w:t>
      </w:r>
      <w:r w:rsidRPr="00D957AC">
        <w:t xml:space="preserve"> and </w:t>
      </w:r>
      <w:r w:rsidR="002E75A5" w:rsidRPr="00D957AC">
        <w:t xml:space="preserve">require </w:t>
      </w:r>
      <w:r w:rsidR="00C25755" w:rsidRPr="00D957AC">
        <w:t xml:space="preserve">further assessment </w:t>
      </w:r>
      <w:r w:rsidR="002B6EEB" w:rsidRPr="00D957AC">
        <w:t xml:space="preserve">under the EPBC Act. If this occurs, the Government may require </w:t>
      </w:r>
      <w:r w:rsidR="001F0BDC" w:rsidRPr="00D957AC">
        <w:t>further assessment</w:t>
      </w:r>
      <w:r w:rsidR="002B6EEB" w:rsidRPr="00D957AC">
        <w:t xml:space="preserve"> </w:t>
      </w:r>
      <w:r w:rsidR="00C25755" w:rsidRPr="00D957AC">
        <w:t>documentation to</w:t>
      </w:r>
      <w:r w:rsidR="002E75A5" w:rsidRPr="00D957AC">
        <w:t xml:space="preserve"> be prepared</w:t>
      </w:r>
      <w:r w:rsidR="00C25755" w:rsidRPr="00D957AC">
        <w:t>. This can be in addition and separate to assessment documentation required by the state or territory government.</w:t>
      </w:r>
      <w:r w:rsidR="000423B6" w:rsidRPr="00D957AC">
        <w:t xml:space="preserve"> </w:t>
      </w:r>
    </w:p>
    <w:p w:rsidR="00D75F7C" w:rsidRPr="00D957AC" w:rsidRDefault="00D75F7C" w:rsidP="00D75F7C">
      <w:r w:rsidRPr="00D957AC">
        <w:t>When the assessment is complete, the Australian Government Environment Minister considers the assessment documentation and makes a decision on whether to approve the project. This may be in addition to project approvals which are already granted by the state or territory government</w:t>
      </w:r>
      <w:r w:rsidR="001F0BDC" w:rsidRPr="00D957AC">
        <w:t xml:space="preserve"> and can include additional conditions of approval</w:t>
      </w:r>
      <w:r w:rsidRPr="00D957AC">
        <w:t xml:space="preserve">. In the past </w:t>
      </w:r>
      <w:r w:rsidR="00B361E0" w:rsidRPr="00D957AC">
        <w:t>five</w:t>
      </w:r>
      <w:r w:rsidR="00312B97" w:rsidRPr="00D957AC">
        <w:t xml:space="preserve"> years, 384</w:t>
      </w:r>
      <w:r w:rsidR="00106BA8" w:rsidRPr="00D957AC">
        <w:t> </w:t>
      </w:r>
      <w:r w:rsidRPr="00D957AC">
        <w:t xml:space="preserve">projects have </w:t>
      </w:r>
      <w:r w:rsidR="001F0BDC" w:rsidRPr="00D957AC">
        <w:t xml:space="preserve">been approved by </w:t>
      </w:r>
      <w:r w:rsidRPr="00D957AC">
        <w:t>the Australian Government</w:t>
      </w:r>
      <w:r w:rsidR="001F0BDC" w:rsidRPr="00D957AC">
        <w:t xml:space="preserve"> under the EPBC Act</w:t>
      </w:r>
      <w:r w:rsidRPr="00D957AC">
        <w:t>.</w:t>
      </w:r>
    </w:p>
    <w:p w:rsidR="00D75F7C" w:rsidRPr="00D957AC" w:rsidRDefault="00D75F7C" w:rsidP="00D75F7C">
      <w:r w:rsidRPr="00D957AC">
        <w:t xml:space="preserve">Australian Government project approval is typically granted after a state or territory government approval.  In some cases, Australian Government approval </w:t>
      </w:r>
      <w:r w:rsidR="00010401" w:rsidRPr="00D957AC">
        <w:t>has</w:t>
      </w:r>
      <w:r w:rsidRPr="00D957AC">
        <w:t xml:space="preserve"> be</w:t>
      </w:r>
      <w:r w:rsidR="00010401" w:rsidRPr="00D957AC">
        <w:t>en</w:t>
      </w:r>
      <w:r w:rsidRPr="00D957AC">
        <w:t xml:space="preserve"> granted years after state or territory government approval.</w:t>
      </w:r>
      <w:r w:rsidR="001F0BDC" w:rsidRPr="00D957AC">
        <w:t xml:space="preserve"> There are a number of reasons why this can happen.</w:t>
      </w:r>
      <w:r w:rsidR="00F804B2" w:rsidRPr="00D957AC">
        <w:t xml:space="preserve">  For example, the Australian Government may have required additional information or time to consider impacts to </w:t>
      </w:r>
      <w:r w:rsidR="002011A4" w:rsidRPr="00D957AC">
        <w:rPr>
          <w:rFonts w:cs="Arial"/>
        </w:rPr>
        <w:t>Matters of National Environmental Significance</w:t>
      </w:r>
      <w:r w:rsidR="00F804B2" w:rsidRPr="00D957AC">
        <w:t xml:space="preserve"> or the proponent may have submitted a request to vary </w:t>
      </w:r>
      <w:r w:rsidR="00B361E0" w:rsidRPr="00D957AC">
        <w:t>its</w:t>
      </w:r>
      <w:r w:rsidR="00F804B2" w:rsidRPr="00D957AC">
        <w:t xml:space="preserve"> project.</w:t>
      </w:r>
      <w:r w:rsidR="00010401" w:rsidRPr="00D957AC">
        <w:t xml:space="preserve"> </w:t>
      </w:r>
      <w:r w:rsidR="00010401" w:rsidRPr="00D957AC">
        <w:rPr>
          <w:b/>
        </w:rPr>
        <w:t xml:space="preserve">Figure </w:t>
      </w:r>
      <w:r w:rsidR="003E1139" w:rsidRPr="00D957AC">
        <w:rPr>
          <w:b/>
        </w:rPr>
        <w:t>2</w:t>
      </w:r>
      <w:r w:rsidR="00010401" w:rsidRPr="00D957AC">
        <w:t xml:space="preserve"> </w:t>
      </w:r>
      <w:r w:rsidR="00AB6DA3" w:rsidRPr="00D957AC">
        <w:t>is an example of the duplicative processes</w:t>
      </w:r>
      <w:r w:rsidR="00010401" w:rsidRPr="00D957AC">
        <w:t xml:space="preserve"> proponents have to go thro</w:t>
      </w:r>
      <w:r w:rsidR="00AB6DA3" w:rsidRPr="00D957AC">
        <w:t>ugh under current regulatory arrangements</w:t>
      </w:r>
      <w:r w:rsidR="00010401" w:rsidRPr="00D957AC">
        <w:t xml:space="preserve">. </w:t>
      </w:r>
    </w:p>
    <w:p w:rsidR="006D52FD" w:rsidRPr="00D957AC" w:rsidRDefault="006D52FD" w:rsidP="005130BB">
      <w:pPr>
        <w:spacing w:after="0"/>
        <w:rPr>
          <w:b/>
          <w:sz w:val="20"/>
          <w:szCs w:val="20"/>
        </w:rPr>
      </w:pPr>
    </w:p>
    <w:p w:rsidR="00CE1ED2" w:rsidRPr="00D957AC" w:rsidRDefault="00CE1ED2" w:rsidP="005130BB">
      <w:pPr>
        <w:spacing w:after="0"/>
        <w:rPr>
          <w:b/>
          <w:sz w:val="20"/>
          <w:szCs w:val="20"/>
        </w:rPr>
      </w:pPr>
    </w:p>
    <w:p w:rsidR="00CE1ED2" w:rsidRPr="00D957AC" w:rsidRDefault="00CE1ED2" w:rsidP="005130BB">
      <w:pPr>
        <w:spacing w:after="0"/>
        <w:rPr>
          <w:b/>
          <w:sz w:val="20"/>
          <w:szCs w:val="20"/>
        </w:rPr>
      </w:pPr>
    </w:p>
    <w:p w:rsidR="00CE1ED2" w:rsidRPr="00D957AC" w:rsidRDefault="00CE1ED2" w:rsidP="005130BB">
      <w:pPr>
        <w:spacing w:after="0"/>
        <w:rPr>
          <w:b/>
          <w:sz w:val="20"/>
          <w:szCs w:val="20"/>
        </w:rPr>
      </w:pPr>
    </w:p>
    <w:p w:rsidR="006D52FD" w:rsidRPr="00D957AC" w:rsidRDefault="006D52FD" w:rsidP="005130BB">
      <w:pPr>
        <w:spacing w:after="0"/>
        <w:rPr>
          <w:b/>
          <w:sz w:val="20"/>
          <w:szCs w:val="20"/>
        </w:rPr>
      </w:pPr>
    </w:p>
    <w:p w:rsidR="006D52FD" w:rsidRPr="00D957AC" w:rsidRDefault="006D52FD" w:rsidP="005130BB">
      <w:pPr>
        <w:spacing w:after="0"/>
        <w:rPr>
          <w:b/>
          <w:sz w:val="20"/>
          <w:szCs w:val="20"/>
        </w:rPr>
      </w:pPr>
    </w:p>
    <w:p w:rsidR="006D52FD" w:rsidRPr="00D957AC" w:rsidRDefault="006D52FD" w:rsidP="005130BB">
      <w:pPr>
        <w:spacing w:after="0"/>
        <w:rPr>
          <w:b/>
          <w:sz w:val="20"/>
          <w:szCs w:val="20"/>
        </w:rPr>
      </w:pPr>
    </w:p>
    <w:p w:rsidR="006D52FD" w:rsidRPr="00D957AC" w:rsidRDefault="006D52FD" w:rsidP="005130BB">
      <w:pPr>
        <w:spacing w:after="0"/>
        <w:rPr>
          <w:b/>
          <w:sz w:val="20"/>
          <w:szCs w:val="20"/>
        </w:rPr>
      </w:pPr>
    </w:p>
    <w:p w:rsidR="006D52FD" w:rsidRPr="00D957AC" w:rsidRDefault="006D52FD" w:rsidP="005130BB">
      <w:pPr>
        <w:spacing w:after="0"/>
        <w:rPr>
          <w:b/>
          <w:sz w:val="20"/>
          <w:szCs w:val="20"/>
        </w:rPr>
      </w:pPr>
    </w:p>
    <w:p w:rsidR="00D75F7C" w:rsidRPr="00D957AC" w:rsidRDefault="00FD0F2B" w:rsidP="005130BB">
      <w:pPr>
        <w:spacing w:after="0"/>
        <w:rPr>
          <w:b/>
          <w:sz w:val="20"/>
          <w:szCs w:val="20"/>
        </w:rPr>
      </w:pPr>
      <w:r w:rsidRPr="00D957AC">
        <w:rPr>
          <w:b/>
          <w:sz w:val="20"/>
          <w:szCs w:val="20"/>
        </w:rPr>
        <w:t>F</w:t>
      </w:r>
      <w:r w:rsidR="00010401" w:rsidRPr="00D957AC">
        <w:rPr>
          <w:b/>
          <w:sz w:val="20"/>
          <w:szCs w:val="20"/>
        </w:rPr>
        <w:t xml:space="preserve">igure </w:t>
      </w:r>
      <w:r w:rsidR="003E1139" w:rsidRPr="00D957AC">
        <w:rPr>
          <w:b/>
          <w:sz w:val="20"/>
          <w:szCs w:val="20"/>
        </w:rPr>
        <w:t>2</w:t>
      </w:r>
      <w:r w:rsidR="00D75F7C" w:rsidRPr="00D957AC">
        <w:rPr>
          <w:b/>
          <w:sz w:val="20"/>
          <w:szCs w:val="20"/>
        </w:rPr>
        <w:t xml:space="preserve">: </w:t>
      </w:r>
      <w:r w:rsidR="00AE46A1" w:rsidRPr="00D957AC">
        <w:rPr>
          <w:b/>
          <w:sz w:val="20"/>
          <w:szCs w:val="20"/>
        </w:rPr>
        <w:t>E</w:t>
      </w:r>
      <w:r w:rsidR="00953CE4" w:rsidRPr="00D957AC">
        <w:rPr>
          <w:b/>
          <w:sz w:val="20"/>
          <w:szCs w:val="20"/>
        </w:rPr>
        <w:t>xample of</w:t>
      </w:r>
      <w:r w:rsidR="00D75F7C" w:rsidRPr="00D957AC">
        <w:rPr>
          <w:b/>
          <w:sz w:val="20"/>
          <w:szCs w:val="20"/>
        </w:rPr>
        <w:t xml:space="preserve"> current regulatory arrangements </w:t>
      </w:r>
    </w:p>
    <w:p w:rsidR="00D75F7C" w:rsidRPr="00D957AC" w:rsidRDefault="0051287D" w:rsidP="00B91828">
      <w:r w:rsidRPr="00D957AC">
        <w:rPr>
          <w:noProof/>
          <w:lang w:eastAsia="en-AU"/>
        </w:rPr>
        <w:drawing>
          <wp:inline distT="0" distB="0" distL="0" distR="0">
            <wp:extent cx="5543550" cy="4883403"/>
            <wp:effectExtent l="19050" t="19050" r="19050" b="12447"/>
            <wp:docPr id="3" name="Picture 2" descr="C:\Users\A18413\AppData\Local\Microsoft\Windows\Temporary Internet Files\Content.Outlook\HCVH9J8Q\Example-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8413\AppData\Local\Microsoft\Windows\Temporary Internet Files\Content.Outlook\HCVH9J8Q\Example-current.jpg"/>
                    <pic:cNvPicPr>
                      <a:picLocks noChangeAspect="1" noChangeArrowheads="1"/>
                    </pic:cNvPicPr>
                  </pic:nvPicPr>
                  <pic:blipFill>
                    <a:blip r:embed="rId15" cstate="print"/>
                    <a:srcRect t="5692" b="1000"/>
                    <a:stretch>
                      <a:fillRect/>
                    </a:stretch>
                  </pic:blipFill>
                  <pic:spPr bwMode="auto">
                    <a:xfrm>
                      <a:off x="0" y="0"/>
                      <a:ext cx="5543550" cy="4883403"/>
                    </a:xfrm>
                    <a:prstGeom prst="rect">
                      <a:avLst/>
                    </a:prstGeom>
                    <a:noFill/>
                    <a:ln w="9525">
                      <a:solidFill>
                        <a:schemeClr val="accent1"/>
                      </a:solidFill>
                      <a:miter lim="800000"/>
                      <a:headEnd/>
                      <a:tailEnd/>
                    </a:ln>
                  </pic:spPr>
                </pic:pic>
              </a:graphicData>
            </a:graphic>
          </wp:inline>
        </w:drawing>
      </w:r>
    </w:p>
    <w:p w:rsidR="00623C57" w:rsidRPr="00D957AC" w:rsidRDefault="00470FDE" w:rsidP="00B91828">
      <w:r w:rsidRPr="00D957AC">
        <w:t>In recent years the Australian Government has been working with states and territories to streamline the environmental assessment and a</w:t>
      </w:r>
      <w:r w:rsidR="00FD0F2B" w:rsidRPr="00D957AC">
        <w:t>pproval process.  For example, t</w:t>
      </w:r>
      <w:r w:rsidRPr="00D957AC">
        <w:t>he Australian Government has been working toward consistent and complementary approval conditions with state and territory governments that are not unnecessarily duplicative</w:t>
      </w:r>
      <w:r w:rsidR="00623C57" w:rsidRPr="00D957AC">
        <w:t xml:space="preserve">. In addition, </w:t>
      </w:r>
      <w:r w:rsidRPr="00D957AC">
        <w:t xml:space="preserve">there have been </w:t>
      </w:r>
      <w:r w:rsidR="00623C57" w:rsidRPr="00D957AC">
        <w:t xml:space="preserve">assessment bilateral agreements and/or one-off </w:t>
      </w:r>
      <w:r w:rsidR="00D75F7C" w:rsidRPr="00D957AC">
        <w:t xml:space="preserve">accreditations under the EPBC Act </w:t>
      </w:r>
      <w:r w:rsidRPr="00D957AC">
        <w:t xml:space="preserve">in </w:t>
      </w:r>
      <w:r w:rsidR="00623C57" w:rsidRPr="00D957AC">
        <w:t xml:space="preserve">place </w:t>
      </w:r>
      <w:r w:rsidRPr="00D957AC">
        <w:t>with all states and territories</w:t>
      </w:r>
      <w:r w:rsidR="00623C57" w:rsidRPr="00D957AC">
        <w:t xml:space="preserve">. </w:t>
      </w:r>
      <w:r w:rsidRPr="00D957AC">
        <w:t xml:space="preserve">Assessment bilateral agreements and one-off accreditations only require </w:t>
      </w:r>
      <w:r w:rsidR="00623C57" w:rsidRPr="00D957AC">
        <w:t xml:space="preserve">one assessment </w:t>
      </w:r>
      <w:r w:rsidRPr="00D957AC">
        <w:t xml:space="preserve">process to be undertaken by the state or territory government, but a separate approval is still </w:t>
      </w:r>
      <w:r w:rsidR="00AA5F5B" w:rsidRPr="00D957AC">
        <w:t>require</w:t>
      </w:r>
      <w:r w:rsidR="00D75F7C" w:rsidRPr="00D957AC">
        <w:t>d</w:t>
      </w:r>
      <w:r w:rsidR="00AA5F5B" w:rsidRPr="00D957AC">
        <w:t xml:space="preserve"> </w:t>
      </w:r>
      <w:r w:rsidRPr="00D957AC">
        <w:t xml:space="preserve">by the </w:t>
      </w:r>
      <w:r w:rsidR="00AA5F5B" w:rsidRPr="00D957AC">
        <w:t>Australian Government</w:t>
      </w:r>
      <w:r w:rsidR="00D75F7C" w:rsidRPr="00D957AC">
        <w:t>.</w:t>
      </w:r>
      <w:r w:rsidR="00AA5F5B" w:rsidRPr="00D957AC">
        <w:t xml:space="preserve"> </w:t>
      </w:r>
      <w:r w:rsidRPr="00D957AC">
        <w:t xml:space="preserve"> Approval bilateral agreements are the next step in further streamlining environmental regulation in Australia.</w:t>
      </w:r>
    </w:p>
    <w:p w:rsidR="00A71AB8" w:rsidRPr="00D957AC" w:rsidRDefault="00F92890" w:rsidP="00D45D0A">
      <w:pPr>
        <w:pStyle w:val="Heading1"/>
      </w:pPr>
      <w:bookmarkStart w:id="14" w:name="_Toc396997128"/>
      <w:bookmarkStart w:id="15" w:name="_Toc398800523"/>
      <w:r w:rsidRPr="00D957AC">
        <w:t xml:space="preserve">Objectives of the </w:t>
      </w:r>
      <w:r w:rsidR="00284CF5" w:rsidRPr="00D957AC">
        <w:t>One-Stop Shop</w:t>
      </w:r>
      <w:bookmarkEnd w:id="14"/>
      <w:bookmarkEnd w:id="15"/>
      <w:r w:rsidRPr="00D957AC">
        <w:t xml:space="preserve"> </w:t>
      </w:r>
    </w:p>
    <w:p w:rsidR="0035776A" w:rsidRPr="00D957AC" w:rsidRDefault="002E75A5" w:rsidP="002E75A5">
      <w:r w:rsidRPr="00D957AC">
        <w:t xml:space="preserve">The </w:t>
      </w:r>
      <w:r w:rsidR="0035776A" w:rsidRPr="00D957AC">
        <w:t xml:space="preserve">objectives of the </w:t>
      </w:r>
      <w:r w:rsidR="00284CF5" w:rsidRPr="00D957AC">
        <w:t>One-Stop Shop</w:t>
      </w:r>
      <w:r w:rsidR="0035776A" w:rsidRPr="00D957AC">
        <w:t xml:space="preserve"> are:</w:t>
      </w:r>
    </w:p>
    <w:p w:rsidR="005F7146" w:rsidRPr="00D957AC" w:rsidRDefault="005F7146" w:rsidP="005F7146">
      <w:pPr>
        <w:pStyle w:val="ListBullet"/>
        <w:spacing w:after="0" w:line="240" w:lineRule="auto"/>
        <w:rPr>
          <w:rFonts w:cs="Arial"/>
          <w:b/>
        </w:rPr>
      </w:pPr>
      <w:r w:rsidRPr="00D957AC">
        <w:t xml:space="preserve">Increased business efficiency: dealing with one regulator instead of two will lead to increased investment and savings for business by reducing administrative costs and project delays. </w:t>
      </w:r>
    </w:p>
    <w:p w:rsidR="005F7146" w:rsidRPr="00D957AC" w:rsidRDefault="005F7146" w:rsidP="005F7146">
      <w:pPr>
        <w:pStyle w:val="ListBullet"/>
        <w:numPr>
          <w:ilvl w:val="0"/>
          <w:numId w:val="0"/>
        </w:numPr>
        <w:spacing w:after="0" w:line="240" w:lineRule="auto"/>
        <w:ind w:left="369"/>
        <w:rPr>
          <w:rFonts w:cs="Arial"/>
          <w:b/>
        </w:rPr>
      </w:pPr>
    </w:p>
    <w:p w:rsidR="0035776A" w:rsidRPr="00D957AC" w:rsidRDefault="00A028BD" w:rsidP="0035776A">
      <w:pPr>
        <w:pStyle w:val="ListBullet"/>
      </w:pPr>
      <w:r w:rsidRPr="00D957AC">
        <w:t>M</w:t>
      </w:r>
      <w:r w:rsidR="0035776A" w:rsidRPr="00D957AC">
        <w:t xml:space="preserve">aintain </w:t>
      </w:r>
      <w:r w:rsidR="0006423F" w:rsidRPr="00D957AC">
        <w:t xml:space="preserve">environmental </w:t>
      </w:r>
      <w:r w:rsidR="0035776A" w:rsidRPr="00D957AC">
        <w:t>standards</w:t>
      </w:r>
      <w:r w:rsidR="00817356" w:rsidRPr="00D957AC">
        <w:t>: states and territories will need to meet the Australian Government</w:t>
      </w:r>
      <w:r w:rsidR="00D75F7C" w:rsidRPr="00D957AC">
        <w:t>’s</w:t>
      </w:r>
      <w:r w:rsidR="00817356" w:rsidRPr="00D957AC">
        <w:t xml:space="preserve"> strict environmental standards</w:t>
      </w:r>
      <w:r w:rsidR="00B361E0" w:rsidRPr="00D957AC">
        <w:t xml:space="preserve"> based on the requirements of the EPBC Act</w:t>
      </w:r>
      <w:r w:rsidR="00817356" w:rsidRPr="00D957AC">
        <w:t xml:space="preserve">. </w:t>
      </w:r>
    </w:p>
    <w:p w:rsidR="006D52FD" w:rsidRPr="00D957AC" w:rsidRDefault="006D52FD" w:rsidP="006D52FD">
      <w:pPr>
        <w:pStyle w:val="ListBullet"/>
        <w:numPr>
          <w:ilvl w:val="0"/>
          <w:numId w:val="0"/>
        </w:numPr>
        <w:ind w:left="369"/>
      </w:pPr>
    </w:p>
    <w:p w:rsidR="0006423F" w:rsidRPr="00D957AC" w:rsidRDefault="00A028BD" w:rsidP="0035776A">
      <w:pPr>
        <w:pStyle w:val="ListBullet"/>
      </w:pPr>
      <w:r w:rsidRPr="00D957AC">
        <w:t>S</w:t>
      </w:r>
      <w:r w:rsidR="0006423F" w:rsidRPr="00D957AC">
        <w:t>trengthen environmental outcomes: through environmental information sharing and strategic approaches to environmental protection.</w:t>
      </w:r>
    </w:p>
    <w:p w:rsidR="0035776A" w:rsidRPr="00D957AC" w:rsidRDefault="00A028BD" w:rsidP="0035776A">
      <w:pPr>
        <w:pStyle w:val="ListBullet"/>
      </w:pPr>
      <w:r w:rsidRPr="00D957AC">
        <w:t>S</w:t>
      </w:r>
      <w:r w:rsidR="0035776A" w:rsidRPr="00D957AC">
        <w:t>trong assurance</w:t>
      </w:r>
      <w:r w:rsidR="00817356" w:rsidRPr="00D957AC">
        <w:t xml:space="preserve">: </w:t>
      </w:r>
      <w:r w:rsidR="00D75F7C" w:rsidRPr="00D957AC">
        <w:t xml:space="preserve">to </w:t>
      </w:r>
      <w:r w:rsidR="000A7873" w:rsidRPr="00D957AC">
        <w:t xml:space="preserve">give confidence </w:t>
      </w:r>
      <w:r w:rsidR="00D75F7C" w:rsidRPr="00D957AC">
        <w:t xml:space="preserve">the outcomes of the </w:t>
      </w:r>
      <w:r w:rsidR="00284CF5" w:rsidRPr="00D957AC">
        <w:t>One-Stop Shop</w:t>
      </w:r>
      <w:r w:rsidR="00D75F7C" w:rsidRPr="00D957AC">
        <w:t xml:space="preserve"> are </w:t>
      </w:r>
      <w:r w:rsidR="000A7873" w:rsidRPr="00D957AC">
        <w:t>being achieved</w:t>
      </w:r>
      <w:r w:rsidR="00817356" w:rsidRPr="00D957AC">
        <w:t xml:space="preserve">. </w:t>
      </w:r>
    </w:p>
    <w:p w:rsidR="00470FDE" w:rsidRPr="00D957AC" w:rsidRDefault="00A028BD" w:rsidP="001B527A">
      <w:pPr>
        <w:pStyle w:val="ListBullet"/>
      </w:pPr>
      <w:r w:rsidRPr="00D957AC">
        <w:t>D</w:t>
      </w:r>
      <w:r w:rsidR="0035776A" w:rsidRPr="00D957AC">
        <w:t>urable reform</w:t>
      </w:r>
      <w:r w:rsidR="00817356" w:rsidRPr="00D957AC">
        <w:t xml:space="preserve">: checks and balances </w:t>
      </w:r>
      <w:r w:rsidR="0006423F" w:rsidRPr="00D957AC">
        <w:t>are in place</w:t>
      </w:r>
      <w:r w:rsidR="00817356" w:rsidRPr="00D957AC">
        <w:t xml:space="preserve"> to provide a </w:t>
      </w:r>
      <w:r w:rsidR="000A7873" w:rsidRPr="00D957AC">
        <w:t xml:space="preserve">stable regulatory </w:t>
      </w:r>
      <w:r w:rsidR="00817356" w:rsidRPr="00D957AC">
        <w:t xml:space="preserve">system and flexible mechanisms </w:t>
      </w:r>
      <w:r w:rsidR="000A7873" w:rsidRPr="00D957AC">
        <w:t xml:space="preserve">exist </w:t>
      </w:r>
      <w:r w:rsidR="00817356" w:rsidRPr="00D957AC">
        <w:t>to resolve issues</w:t>
      </w:r>
      <w:r w:rsidR="0006423F" w:rsidRPr="00D957AC">
        <w:t>.</w:t>
      </w:r>
    </w:p>
    <w:p w:rsidR="003A1BD9" w:rsidRPr="00D957AC" w:rsidRDefault="00F92890" w:rsidP="00D45D0A">
      <w:pPr>
        <w:pStyle w:val="Heading1"/>
      </w:pPr>
      <w:bookmarkStart w:id="16" w:name="_Toc396997129"/>
      <w:bookmarkStart w:id="17" w:name="_Toc398800524"/>
      <w:r w:rsidRPr="00D957AC">
        <w:t xml:space="preserve">Operation of the </w:t>
      </w:r>
      <w:r w:rsidR="00284CF5" w:rsidRPr="00D957AC">
        <w:t>One-Stop Shop</w:t>
      </w:r>
      <w:bookmarkEnd w:id="16"/>
      <w:bookmarkEnd w:id="17"/>
      <w:r w:rsidRPr="00D957AC">
        <w:t xml:space="preserve"> </w:t>
      </w:r>
    </w:p>
    <w:p w:rsidR="00EB3DB6" w:rsidRPr="00D957AC" w:rsidRDefault="00AC32EE">
      <w:pPr>
        <w:rPr>
          <w:rFonts w:eastAsia="Times New Roman" w:cs="Arial"/>
        </w:rPr>
      </w:pPr>
      <w:r w:rsidRPr="00D957AC">
        <w:t xml:space="preserve">Approval bilateral agreements allow a state </w:t>
      </w:r>
      <w:r w:rsidR="008A0C4F" w:rsidRPr="00D957AC">
        <w:t xml:space="preserve">or territory </w:t>
      </w:r>
      <w:r w:rsidRPr="00D957AC">
        <w:t xml:space="preserve">to conduct </w:t>
      </w:r>
      <w:r w:rsidR="00061585" w:rsidRPr="00D957AC">
        <w:t>an</w:t>
      </w:r>
      <w:r w:rsidRPr="00D957AC">
        <w:t xml:space="preserve"> environmental assessment and approval process that satisfies both state</w:t>
      </w:r>
      <w:r w:rsidR="0024103C" w:rsidRPr="00D957AC">
        <w:t xml:space="preserve"> and </w:t>
      </w:r>
      <w:r w:rsidR="00853019" w:rsidRPr="00D957AC">
        <w:t>territory a</w:t>
      </w:r>
      <w:r w:rsidRPr="00D957AC">
        <w:t>nd Australian Government requirements.</w:t>
      </w:r>
      <w:r w:rsidR="0006423F" w:rsidRPr="00D957AC">
        <w:t xml:space="preserve"> </w:t>
      </w:r>
      <w:r w:rsidR="008A0C4F" w:rsidRPr="00D957AC">
        <w:rPr>
          <w:rFonts w:eastAsia="Times New Roman" w:cs="Arial"/>
        </w:rPr>
        <w:t xml:space="preserve">Where a project is covered by the </w:t>
      </w:r>
      <w:r w:rsidR="00284CF5" w:rsidRPr="00D957AC">
        <w:rPr>
          <w:rFonts w:eastAsia="Times New Roman" w:cs="Arial"/>
        </w:rPr>
        <w:t>One-Stop Shop</w:t>
      </w:r>
      <w:r w:rsidR="008A0C4F" w:rsidRPr="00D957AC">
        <w:rPr>
          <w:rFonts w:eastAsia="Times New Roman" w:cs="Arial"/>
        </w:rPr>
        <w:t>, t</w:t>
      </w:r>
      <w:r w:rsidR="0006423F" w:rsidRPr="00D957AC">
        <w:rPr>
          <w:rFonts w:eastAsia="Times New Roman" w:cs="Arial"/>
        </w:rPr>
        <w:t xml:space="preserve">he Australian Government will no longer have a role in </w:t>
      </w:r>
      <w:r w:rsidR="008A0C4F" w:rsidRPr="00D957AC">
        <w:rPr>
          <w:rFonts w:eastAsia="Times New Roman" w:cs="Arial"/>
        </w:rPr>
        <w:t xml:space="preserve">project </w:t>
      </w:r>
      <w:r w:rsidR="0006423F" w:rsidRPr="00D957AC">
        <w:rPr>
          <w:rFonts w:eastAsia="Times New Roman" w:cs="Arial"/>
        </w:rPr>
        <w:t>assessment and approval.</w:t>
      </w:r>
      <w:r w:rsidR="001B1DC7" w:rsidRPr="00D957AC">
        <w:rPr>
          <w:rFonts w:eastAsia="Times New Roman" w:cs="Arial"/>
        </w:rPr>
        <w:t xml:space="preserve"> This will remove a substantial amount of duplication, as </w:t>
      </w:r>
      <w:r w:rsidR="00AB6DA3" w:rsidRPr="00D957AC">
        <w:rPr>
          <w:rFonts w:eastAsia="Times New Roman" w:cs="Arial"/>
        </w:rPr>
        <w:t>shown</w:t>
      </w:r>
      <w:r w:rsidR="001B1DC7" w:rsidRPr="00D957AC">
        <w:rPr>
          <w:rFonts w:eastAsia="Times New Roman" w:cs="Arial"/>
        </w:rPr>
        <w:t xml:space="preserve"> in </w:t>
      </w:r>
      <w:r w:rsidR="001B1DC7" w:rsidRPr="00D957AC">
        <w:rPr>
          <w:rFonts w:eastAsia="Times New Roman" w:cs="Arial"/>
          <w:b/>
        </w:rPr>
        <w:t xml:space="preserve">Figure </w:t>
      </w:r>
      <w:r w:rsidR="003E1139" w:rsidRPr="00D957AC">
        <w:rPr>
          <w:rFonts w:eastAsia="Times New Roman" w:cs="Arial"/>
          <w:b/>
        </w:rPr>
        <w:t>3</w:t>
      </w:r>
      <w:r w:rsidR="001B1DC7" w:rsidRPr="00D957AC">
        <w:rPr>
          <w:rFonts w:eastAsia="Times New Roman" w:cs="Arial"/>
        </w:rPr>
        <w:t>.</w:t>
      </w:r>
    </w:p>
    <w:p w:rsidR="00056D2E" w:rsidRPr="00D957AC" w:rsidRDefault="0006423F" w:rsidP="00056D2E">
      <w:pPr>
        <w:rPr>
          <w:rFonts w:eastAsia="Times New Roman" w:cs="Arial"/>
        </w:rPr>
      </w:pPr>
      <w:r w:rsidRPr="00D957AC">
        <w:rPr>
          <w:b/>
          <w:sz w:val="20"/>
          <w:szCs w:val="20"/>
        </w:rPr>
        <w:t xml:space="preserve">Figure </w:t>
      </w:r>
      <w:r w:rsidR="003E1139" w:rsidRPr="00D957AC">
        <w:rPr>
          <w:b/>
          <w:sz w:val="20"/>
          <w:szCs w:val="20"/>
        </w:rPr>
        <w:t>3</w:t>
      </w:r>
      <w:r w:rsidRPr="00D957AC">
        <w:rPr>
          <w:b/>
          <w:sz w:val="20"/>
          <w:szCs w:val="20"/>
        </w:rPr>
        <w:t xml:space="preserve">: </w:t>
      </w:r>
      <w:r w:rsidR="00AE46A1" w:rsidRPr="00D957AC">
        <w:rPr>
          <w:b/>
          <w:sz w:val="20"/>
          <w:szCs w:val="20"/>
        </w:rPr>
        <w:t>E</w:t>
      </w:r>
      <w:r w:rsidR="00953CE4" w:rsidRPr="00D957AC">
        <w:rPr>
          <w:b/>
          <w:sz w:val="20"/>
          <w:szCs w:val="20"/>
        </w:rPr>
        <w:t>xample of re</w:t>
      </w:r>
      <w:r w:rsidR="00061585" w:rsidRPr="00D957AC">
        <w:rPr>
          <w:b/>
          <w:sz w:val="20"/>
          <w:szCs w:val="20"/>
        </w:rPr>
        <w:t xml:space="preserve">moving duplication under the </w:t>
      </w:r>
      <w:r w:rsidR="00284CF5" w:rsidRPr="00D957AC">
        <w:rPr>
          <w:b/>
          <w:sz w:val="20"/>
          <w:szCs w:val="20"/>
        </w:rPr>
        <w:t>One-Stop Shop</w:t>
      </w:r>
      <w:r w:rsidRPr="00D957AC">
        <w:rPr>
          <w:b/>
          <w:sz w:val="20"/>
          <w:szCs w:val="20"/>
        </w:rPr>
        <w:t xml:space="preserve"> </w:t>
      </w:r>
      <w:r w:rsidR="0051287D" w:rsidRPr="00D957AC">
        <w:rPr>
          <w:b/>
          <w:noProof/>
          <w:sz w:val="20"/>
          <w:szCs w:val="20"/>
          <w:lang w:eastAsia="en-AU"/>
        </w:rPr>
        <w:drawing>
          <wp:inline distT="0" distB="0" distL="0" distR="0">
            <wp:extent cx="5553075" cy="4873709"/>
            <wp:effectExtent l="19050" t="19050" r="28575" b="22141"/>
            <wp:docPr id="1" name="Picture 1" descr="C:\Users\A18413\AppData\Local\Microsoft\Windows\Temporary Internet Files\Content.Outlook\HCVH9J8Q\Example-rem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13\AppData\Local\Microsoft\Windows\Temporary Internet Files\Content.Outlook\HCVH9J8Q\Example-removing.jpg"/>
                    <pic:cNvPicPr>
                      <a:picLocks noChangeAspect="1" noChangeArrowheads="1"/>
                    </pic:cNvPicPr>
                  </pic:nvPicPr>
                  <pic:blipFill>
                    <a:blip r:embed="rId16" cstate="print"/>
                    <a:srcRect t="5864" b="1173"/>
                    <a:stretch>
                      <a:fillRect/>
                    </a:stretch>
                  </pic:blipFill>
                  <pic:spPr bwMode="auto">
                    <a:xfrm>
                      <a:off x="0" y="0"/>
                      <a:ext cx="5553075" cy="4873709"/>
                    </a:xfrm>
                    <a:prstGeom prst="rect">
                      <a:avLst/>
                    </a:prstGeom>
                    <a:noFill/>
                    <a:ln w="9525">
                      <a:solidFill>
                        <a:schemeClr val="accent1"/>
                      </a:solidFill>
                      <a:miter lim="800000"/>
                      <a:headEnd/>
                      <a:tailEnd/>
                    </a:ln>
                  </pic:spPr>
                </pic:pic>
              </a:graphicData>
            </a:graphic>
          </wp:inline>
        </w:drawing>
      </w:r>
    </w:p>
    <w:p w:rsidR="00EB3DB6" w:rsidRPr="00D957AC" w:rsidRDefault="008A0C4F">
      <w:bookmarkStart w:id="18" w:name="_Toc390345339"/>
      <w:bookmarkEnd w:id="18"/>
      <w:r w:rsidRPr="00D957AC">
        <w:t>Approval bilateral agreements will include a list of state and territory proce</w:t>
      </w:r>
      <w:r w:rsidR="00333F17" w:rsidRPr="00D957AC">
        <w:t>sses that will be covered by the One-Stop Shop</w:t>
      </w:r>
      <w:r w:rsidRPr="00D957AC">
        <w:t xml:space="preserve">. </w:t>
      </w:r>
      <w:r w:rsidR="00A028BD" w:rsidRPr="00D957AC">
        <w:t>For projects that fall under these processes, a</w:t>
      </w:r>
      <w:r w:rsidRPr="00D957AC">
        <w:t xml:space="preserve"> separate Australian Government assessment or approval will </w:t>
      </w:r>
      <w:r w:rsidR="00A028BD" w:rsidRPr="00D957AC">
        <w:t xml:space="preserve">not </w:t>
      </w:r>
      <w:r w:rsidRPr="00D957AC">
        <w:t xml:space="preserve">be required as the </w:t>
      </w:r>
      <w:r w:rsidR="00A028BD" w:rsidRPr="00D957AC">
        <w:t>state or territory</w:t>
      </w:r>
      <w:r w:rsidRPr="00D957AC">
        <w:t xml:space="preserve"> process will have incorporated both state</w:t>
      </w:r>
      <w:r w:rsidR="0024103C" w:rsidRPr="00D957AC">
        <w:t xml:space="preserve"> or </w:t>
      </w:r>
      <w:r w:rsidR="00A028BD" w:rsidRPr="00D957AC">
        <w:t>territory</w:t>
      </w:r>
      <w:r w:rsidRPr="00D957AC">
        <w:t xml:space="preserve"> and</w:t>
      </w:r>
      <w:r w:rsidR="00A028BD" w:rsidRPr="00D957AC">
        <w:t xml:space="preserve"> Australian Government</w:t>
      </w:r>
      <w:r w:rsidRPr="00D957AC">
        <w:t xml:space="preserve"> requirements. Approval decisions, and any attached conditions, made by a state or territory will be enforceable under the relevant laws of that state or territory. </w:t>
      </w:r>
    </w:p>
    <w:p w:rsidR="00AA5F5B" w:rsidRPr="00D957AC" w:rsidRDefault="00470FDE" w:rsidP="00AA5F5B">
      <w:pPr>
        <w:autoSpaceDE w:val="0"/>
        <w:autoSpaceDN w:val="0"/>
      </w:pPr>
      <w:r w:rsidRPr="00D957AC">
        <w:rPr>
          <w:rFonts w:cs="Arial"/>
          <w:color w:val="000000"/>
        </w:rPr>
        <w:t xml:space="preserve">An assurance framework has been developed to ensure the successful operation of the </w:t>
      </w:r>
      <w:r w:rsidR="006D52FD" w:rsidRPr="00D957AC">
        <w:rPr>
          <w:rFonts w:cs="Arial"/>
          <w:color w:val="000000"/>
        </w:rPr>
        <w:t>One</w:t>
      </w:r>
      <w:r w:rsidR="006D52FD" w:rsidRPr="00D957AC">
        <w:rPr>
          <w:rFonts w:cs="Arial"/>
          <w:color w:val="000000"/>
        </w:rPr>
        <w:noBreakHyphen/>
      </w:r>
      <w:proofErr w:type="spellStart"/>
      <w:r w:rsidR="00284CF5" w:rsidRPr="00D957AC">
        <w:rPr>
          <w:rFonts w:cs="Arial"/>
          <w:color w:val="000000"/>
        </w:rPr>
        <w:t>Stop</w:t>
      </w:r>
      <w:proofErr w:type="spellEnd"/>
      <w:r w:rsidR="00284CF5" w:rsidRPr="00D957AC">
        <w:rPr>
          <w:rFonts w:cs="Arial"/>
          <w:color w:val="000000"/>
        </w:rPr>
        <w:t xml:space="preserve"> Shop</w:t>
      </w:r>
      <w:r w:rsidRPr="00D957AC">
        <w:rPr>
          <w:rFonts w:cs="Arial"/>
          <w:color w:val="000000"/>
        </w:rPr>
        <w:t xml:space="preserve">. </w:t>
      </w:r>
    </w:p>
    <w:p w:rsidR="00EB3DB6" w:rsidRPr="00D957AC" w:rsidRDefault="00F92890" w:rsidP="00D45D0A">
      <w:pPr>
        <w:pStyle w:val="Heading2"/>
      </w:pPr>
      <w:bookmarkStart w:id="19" w:name="_Toc396997130"/>
      <w:bookmarkStart w:id="20" w:name="_Toc398800525"/>
      <w:r w:rsidRPr="00D957AC">
        <w:t>Assurance framework</w:t>
      </w:r>
      <w:bookmarkEnd w:id="19"/>
      <w:bookmarkEnd w:id="20"/>
    </w:p>
    <w:p w:rsidR="00124017" w:rsidRPr="00D957AC" w:rsidRDefault="00124017" w:rsidP="002E75A5">
      <w:pPr>
        <w:autoSpaceDE w:val="0"/>
        <w:autoSpaceDN w:val="0"/>
        <w:rPr>
          <w:rFonts w:cs="Arial"/>
          <w:color w:val="000000"/>
        </w:rPr>
      </w:pPr>
      <w:r w:rsidRPr="00D957AC">
        <w:rPr>
          <w:rFonts w:cs="Arial"/>
          <w:color w:val="000000"/>
        </w:rPr>
        <w:t xml:space="preserve">The </w:t>
      </w:r>
      <w:r w:rsidR="008A0C4F" w:rsidRPr="00D957AC">
        <w:rPr>
          <w:rFonts w:cs="Arial"/>
          <w:color w:val="000000"/>
        </w:rPr>
        <w:t xml:space="preserve">assurance </w:t>
      </w:r>
      <w:r w:rsidRPr="00D957AC">
        <w:rPr>
          <w:rFonts w:cs="Arial"/>
          <w:color w:val="000000"/>
        </w:rPr>
        <w:t>framework will provide a cooperative approach to support stable and durable arrangements that achieve good outcomes for business and the environment</w:t>
      </w:r>
      <w:r w:rsidR="000B3A83" w:rsidRPr="00D957AC">
        <w:rPr>
          <w:rFonts w:cs="Arial"/>
          <w:color w:val="000000"/>
        </w:rPr>
        <w:t>.</w:t>
      </w:r>
      <w:r w:rsidRPr="00D957AC">
        <w:rPr>
          <w:rFonts w:cs="Arial"/>
          <w:color w:val="000000"/>
        </w:rPr>
        <w:t xml:space="preserve"> </w:t>
      </w:r>
      <w:r w:rsidR="00A41234" w:rsidRPr="00D957AC">
        <w:rPr>
          <w:rFonts w:cs="Arial"/>
          <w:color w:val="000000"/>
        </w:rPr>
        <w:t xml:space="preserve">The balance between regulatory burden and environmental benefits under the </w:t>
      </w:r>
      <w:r w:rsidR="00284CF5" w:rsidRPr="00D957AC">
        <w:rPr>
          <w:rFonts w:cs="Arial"/>
          <w:color w:val="000000"/>
        </w:rPr>
        <w:t>One-Stop Shop</w:t>
      </w:r>
      <w:r w:rsidR="00A41234" w:rsidRPr="00D957AC">
        <w:rPr>
          <w:rFonts w:cs="Arial"/>
          <w:color w:val="000000"/>
        </w:rPr>
        <w:t xml:space="preserve"> will be supported by an assurance framework</w:t>
      </w:r>
      <w:r w:rsidR="00953CE4" w:rsidRPr="00D957AC">
        <w:rPr>
          <w:rFonts w:cs="Arial"/>
          <w:color w:val="000000"/>
        </w:rPr>
        <w:t xml:space="preserve"> (see </w:t>
      </w:r>
      <w:r w:rsidR="00953CE4" w:rsidRPr="00D957AC">
        <w:rPr>
          <w:rFonts w:cs="Arial"/>
          <w:b/>
          <w:color w:val="000000"/>
        </w:rPr>
        <w:t>figure 4</w:t>
      </w:r>
      <w:r w:rsidR="00953CE4" w:rsidRPr="00D957AC">
        <w:rPr>
          <w:rFonts w:cs="Arial"/>
          <w:color w:val="000000"/>
        </w:rPr>
        <w:t>)</w:t>
      </w:r>
      <w:r w:rsidR="00A41234" w:rsidRPr="00D957AC">
        <w:rPr>
          <w:rFonts w:cs="Arial"/>
          <w:color w:val="000000"/>
        </w:rPr>
        <w:t xml:space="preserve">. </w:t>
      </w:r>
    </w:p>
    <w:p w:rsidR="00EB3DB6" w:rsidRPr="00D957AC" w:rsidRDefault="00AC32EE">
      <w:pPr>
        <w:autoSpaceDE w:val="0"/>
        <w:autoSpaceDN w:val="0"/>
        <w:rPr>
          <w:rFonts w:cs="Arial"/>
          <w:color w:val="000000"/>
        </w:rPr>
      </w:pPr>
      <w:r w:rsidRPr="00D957AC">
        <w:rPr>
          <w:rFonts w:cs="Arial"/>
          <w:color w:val="000000"/>
        </w:rPr>
        <w:t>There are three core elements to the assurance framework:</w:t>
      </w:r>
    </w:p>
    <w:p w:rsidR="00EB3DB6" w:rsidRPr="00D957AC" w:rsidRDefault="00A028BD">
      <w:pPr>
        <w:pStyle w:val="ListNumber2"/>
        <w:numPr>
          <w:ilvl w:val="1"/>
          <w:numId w:val="25"/>
        </w:numPr>
      </w:pPr>
      <w:r w:rsidRPr="00D957AC">
        <w:t>N</w:t>
      </w:r>
      <w:r w:rsidR="00AC32EE" w:rsidRPr="00D957AC">
        <w:t xml:space="preserve">ational environmental standards that states and territories are required to meet to be accredited </w:t>
      </w:r>
    </w:p>
    <w:p w:rsidR="00EB3DB6" w:rsidRPr="00D957AC" w:rsidRDefault="00A028BD">
      <w:pPr>
        <w:pStyle w:val="ListNumber2"/>
        <w:numPr>
          <w:ilvl w:val="1"/>
          <w:numId w:val="25"/>
        </w:numPr>
      </w:pPr>
      <w:r w:rsidRPr="00D957AC">
        <w:t>P</w:t>
      </w:r>
      <w:r w:rsidR="00AC32EE" w:rsidRPr="00D957AC">
        <w:t xml:space="preserve">erformance assurance to ensure commitments are met under approval bilateral agreements </w:t>
      </w:r>
    </w:p>
    <w:p w:rsidR="00EB3DB6" w:rsidRPr="00D957AC" w:rsidRDefault="00A028BD">
      <w:pPr>
        <w:pStyle w:val="ListNumber2"/>
        <w:numPr>
          <w:ilvl w:val="1"/>
          <w:numId w:val="25"/>
        </w:numPr>
      </w:pPr>
      <w:r w:rsidRPr="00D957AC">
        <w:t>O</w:t>
      </w:r>
      <w:r w:rsidR="00AC32EE" w:rsidRPr="00D957AC">
        <w:t>utcomes assurance to ensure good outcomes for business and the environment</w:t>
      </w:r>
      <w:r w:rsidRPr="00D957AC">
        <w:t>.</w:t>
      </w:r>
    </w:p>
    <w:p w:rsidR="00953CE4" w:rsidRPr="00D957AC" w:rsidRDefault="00953CE4" w:rsidP="005130BB">
      <w:pPr>
        <w:pStyle w:val="ListNumber2"/>
        <w:numPr>
          <w:ilvl w:val="0"/>
          <w:numId w:val="0"/>
        </w:numPr>
        <w:spacing w:after="0"/>
      </w:pPr>
      <w:r w:rsidRPr="00D957AC">
        <w:rPr>
          <w:b/>
          <w:sz w:val="20"/>
          <w:szCs w:val="20"/>
        </w:rPr>
        <w:t xml:space="preserve">Figure 4: </w:t>
      </w:r>
      <w:r w:rsidR="00AE46A1" w:rsidRPr="00D957AC">
        <w:rPr>
          <w:b/>
          <w:sz w:val="20"/>
          <w:szCs w:val="20"/>
        </w:rPr>
        <w:t>E</w:t>
      </w:r>
      <w:r w:rsidRPr="00D957AC">
        <w:rPr>
          <w:b/>
          <w:sz w:val="20"/>
          <w:szCs w:val="20"/>
        </w:rPr>
        <w:t xml:space="preserve">xample of removing duplication under the </w:t>
      </w:r>
      <w:r w:rsidR="00284CF5" w:rsidRPr="00D957AC">
        <w:rPr>
          <w:b/>
          <w:sz w:val="20"/>
          <w:szCs w:val="20"/>
        </w:rPr>
        <w:t>One-Stop Shop</w:t>
      </w:r>
    </w:p>
    <w:p w:rsidR="00EB3DB6" w:rsidRPr="00D957AC" w:rsidRDefault="00653CE0">
      <w:pPr>
        <w:rPr>
          <w:rFonts w:eastAsia="Times New Roman"/>
        </w:rPr>
      </w:pPr>
      <w:r w:rsidRPr="00D957AC">
        <w:rPr>
          <w:i/>
          <w:noProof/>
          <w:lang w:eastAsia="en-AU"/>
        </w:rPr>
        <w:drawing>
          <wp:inline distT="0" distB="0" distL="0" distR="0">
            <wp:extent cx="5543550" cy="2737019"/>
            <wp:effectExtent l="19050" t="19050" r="19050" b="25231"/>
            <wp:docPr id="6" name="Picture 0"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jpg"/>
                    <pic:cNvPicPr>
                      <a:picLocks noChangeAspect="1" noChangeArrowheads="1"/>
                    </pic:cNvPicPr>
                  </pic:nvPicPr>
                  <pic:blipFill>
                    <a:blip r:embed="rId17" cstate="print"/>
                    <a:srcRect/>
                    <a:stretch>
                      <a:fillRect/>
                    </a:stretch>
                  </pic:blipFill>
                  <pic:spPr bwMode="auto">
                    <a:xfrm>
                      <a:off x="0" y="0"/>
                      <a:ext cx="5543550" cy="2737019"/>
                    </a:xfrm>
                    <a:prstGeom prst="rect">
                      <a:avLst/>
                    </a:prstGeom>
                    <a:noFill/>
                    <a:ln w="9525">
                      <a:solidFill>
                        <a:schemeClr val="accent1"/>
                      </a:solidFill>
                      <a:miter lim="800000"/>
                      <a:headEnd/>
                      <a:tailEnd/>
                    </a:ln>
                  </pic:spPr>
                </pic:pic>
              </a:graphicData>
            </a:graphic>
          </wp:inline>
        </w:drawing>
      </w:r>
    </w:p>
    <w:p w:rsidR="00817356" w:rsidRPr="00D957AC" w:rsidRDefault="006D52FD" w:rsidP="00D45D0A">
      <w:pPr>
        <w:pStyle w:val="Heading2"/>
      </w:pPr>
      <w:bookmarkStart w:id="21" w:name="_Toc396997131"/>
      <w:bookmarkStart w:id="22" w:name="_Toc398800526"/>
      <w:r w:rsidRPr="00D957AC">
        <w:t>P</w:t>
      </w:r>
      <w:r w:rsidR="00F92890" w:rsidRPr="00D957AC">
        <w:t>erformance assurance</w:t>
      </w:r>
      <w:bookmarkEnd w:id="21"/>
      <w:bookmarkEnd w:id="22"/>
    </w:p>
    <w:p w:rsidR="00EB3DB6" w:rsidRPr="00D957AC" w:rsidRDefault="001E3D7F">
      <w:pPr>
        <w:autoSpaceDE w:val="0"/>
        <w:autoSpaceDN w:val="0"/>
        <w:rPr>
          <w:rFonts w:eastAsia="Times New Roman" w:cs="Arial"/>
        </w:rPr>
      </w:pPr>
      <w:r w:rsidRPr="00D957AC">
        <w:rPr>
          <w:rFonts w:eastAsia="Times New Roman" w:cs="Arial"/>
        </w:rPr>
        <w:t xml:space="preserve">The Australian Government will work collaboratively with the states and territories to ensure that commitments are met under approval bilateral agreements. Performance assurance includes </w:t>
      </w:r>
      <w:r w:rsidR="00AC32EE" w:rsidRPr="00D957AC">
        <w:rPr>
          <w:rFonts w:eastAsia="Times New Roman" w:cs="Arial"/>
        </w:rPr>
        <w:t>evaluation or audits against state and territory commitments in the bilateral agreements</w:t>
      </w:r>
      <w:r w:rsidRPr="00D957AC">
        <w:rPr>
          <w:rFonts w:eastAsia="Times New Roman" w:cs="Arial"/>
        </w:rPr>
        <w:t>, transitional and five yearly reviews of agreements</w:t>
      </w:r>
      <w:r w:rsidR="00AC32EE" w:rsidRPr="00D957AC">
        <w:rPr>
          <w:rFonts w:eastAsia="Times New Roman" w:cs="Arial"/>
        </w:rPr>
        <w:t>, reporting mechanisms to enable the Australian Government to fulfil its reporting obligations under the EPBC Act and international reporting obligations</w:t>
      </w:r>
      <w:r w:rsidR="00A028BD" w:rsidRPr="00D957AC">
        <w:rPr>
          <w:rFonts w:eastAsia="Times New Roman" w:cs="Arial"/>
        </w:rPr>
        <w:t>,</w:t>
      </w:r>
      <w:r w:rsidR="00AC32EE" w:rsidRPr="00D957AC">
        <w:rPr>
          <w:rFonts w:eastAsia="Times New Roman" w:cs="Arial"/>
        </w:rPr>
        <w:t xml:space="preserve"> and ongoing monitoring and continuous improvement mechanisms.</w:t>
      </w:r>
    </w:p>
    <w:p w:rsidR="00EB3DB6" w:rsidRPr="00D957AC" w:rsidRDefault="00AC32EE">
      <w:pPr>
        <w:autoSpaceDE w:val="0"/>
        <w:autoSpaceDN w:val="0"/>
        <w:rPr>
          <w:rFonts w:eastAsia="Times New Roman" w:cs="Arial"/>
        </w:rPr>
      </w:pPr>
      <w:r w:rsidRPr="00D957AC">
        <w:rPr>
          <w:rFonts w:eastAsia="Times New Roman" w:cs="Arial"/>
        </w:rPr>
        <w:t xml:space="preserve">An escalated dispute resolution process will be put in place to resolve any issues between the Australian Government and the state or territory. Most issues are expected to be resolved through this process. In exceptional circumstances, the Australian Government Environment Minister will be able </w:t>
      </w:r>
      <w:r w:rsidR="00B361E0" w:rsidRPr="00D957AC">
        <w:rPr>
          <w:rFonts w:eastAsia="Times New Roman" w:cs="Arial"/>
        </w:rPr>
        <w:t xml:space="preserve">to </w:t>
      </w:r>
      <w:r w:rsidRPr="00D957AC">
        <w:rPr>
          <w:rFonts w:eastAsia="Times New Roman" w:cs="Arial"/>
        </w:rPr>
        <w:t>call-in the assessment and/or approval of a project</w:t>
      </w:r>
      <w:r w:rsidR="00B35560" w:rsidRPr="00D957AC">
        <w:rPr>
          <w:rFonts w:eastAsia="Times New Roman" w:cs="Arial"/>
        </w:rPr>
        <w:t xml:space="preserve"> if </w:t>
      </w:r>
      <w:r w:rsidR="00A028BD" w:rsidRPr="00D957AC">
        <w:rPr>
          <w:rFonts w:eastAsia="Times New Roman" w:cs="Arial"/>
        </w:rPr>
        <w:t xml:space="preserve">states and territories are not </w:t>
      </w:r>
      <w:r w:rsidR="00853019" w:rsidRPr="00D957AC">
        <w:rPr>
          <w:rFonts w:eastAsia="Times New Roman" w:cs="Arial"/>
        </w:rPr>
        <w:t>meeting national standards</w:t>
      </w:r>
      <w:r w:rsidRPr="00D957AC">
        <w:rPr>
          <w:rFonts w:eastAsia="Times New Roman" w:cs="Arial"/>
        </w:rPr>
        <w:t xml:space="preserve">. </w:t>
      </w:r>
    </w:p>
    <w:p w:rsidR="00EB3DB6" w:rsidRPr="00D957AC" w:rsidRDefault="00AC32EE">
      <w:pPr>
        <w:autoSpaceDE w:val="0"/>
        <w:autoSpaceDN w:val="0"/>
        <w:rPr>
          <w:rFonts w:eastAsia="Times New Roman" w:cs="Arial"/>
        </w:rPr>
      </w:pPr>
      <w:r w:rsidRPr="00D957AC">
        <w:rPr>
          <w:rFonts w:eastAsia="Times New Roman" w:cs="Arial"/>
        </w:rPr>
        <w:t>Transparency of decisions and provision of information will ensure that the broader community is part of the ongoing monitoring process for approval bilateral agreements. States and territories will be accountable to the community and business, as well as the Australian Government.</w:t>
      </w:r>
    </w:p>
    <w:p w:rsidR="00817356" w:rsidRPr="00D957AC" w:rsidRDefault="00F92890" w:rsidP="00D45D0A">
      <w:pPr>
        <w:pStyle w:val="Heading2"/>
      </w:pPr>
      <w:bookmarkStart w:id="23" w:name="_Toc396997132"/>
      <w:bookmarkStart w:id="24" w:name="_Toc398800527"/>
      <w:r w:rsidRPr="00D957AC">
        <w:t>Outcomes assurance</w:t>
      </w:r>
      <w:bookmarkEnd w:id="23"/>
      <w:bookmarkEnd w:id="24"/>
    </w:p>
    <w:p w:rsidR="00EB3DB6" w:rsidRPr="00D957AC" w:rsidRDefault="001E3D7F">
      <w:pPr>
        <w:autoSpaceDE w:val="0"/>
        <w:autoSpaceDN w:val="0"/>
        <w:rPr>
          <w:rFonts w:eastAsia="Times New Roman" w:cs="Arial"/>
        </w:rPr>
      </w:pPr>
      <w:r w:rsidRPr="00D957AC">
        <w:rPr>
          <w:rFonts w:eastAsia="Times New Roman" w:cs="Arial"/>
        </w:rPr>
        <w:t xml:space="preserve">The Australian Government will work collaboratively with the states and territories to ensure that the </w:t>
      </w:r>
      <w:r w:rsidR="00284CF5" w:rsidRPr="00D957AC">
        <w:rPr>
          <w:rFonts w:eastAsia="Times New Roman" w:cs="Arial"/>
        </w:rPr>
        <w:t>One-Stop Shop</w:t>
      </w:r>
      <w:r w:rsidRPr="00D957AC">
        <w:rPr>
          <w:rFonts w:eastAsia="Times New Roman" w:cs="Arial"/>
        </w:rPr>
        <w:t xml:space="preserve"> leads to business efficiency and good environmental outcomes. The outcomes achieved through the </w:t>
      </w:r>
      <w:r w:rsidR="00284CF5" w:rsidRPr="00D957AC">
        <w:rPr>
          <w:rFonts w:eastAsia="Times New Roman" w:cs="Arial"/>
        </w:rPr>
        <w:t>One-Stop Shop</w:t>
      </w:r>
      <w:r w:rsidRPr="00D957AC">
        <w:rPr>
          <w:rFonts w:eastAsia="Times New Roman" w:cs="Arial"/>
        </w:rPr>
        <w:t xml:space="preserve"> will be measured to track the operation and effectiveness of approval</w:t>
      </w:r>
      <w:r w:rsidR="00AC32EE" w:rsidRPr="00D957AC">
        <w:rPr>
          <w:rFonts w:eastAsia="Times New Roman" w:cs="Arial"/>
        </w:rPr>
        <w:t xml:space="preserve"> bilateral agreements.</w:t>
      </w:r>
    </w:p>
    <w:p w:rsidR="00BF04A2" w:rsidRPr="00D957AC" w:rsidRDefault="00AC32EE" w:rsidP="00BF04A2">
      <w:r w:rsidRPr="00D957AC">
        <w:rPr>
          <w:rFonts w:eastAsia="Times New Roman" w:cs="Arial"/>
        </w:rPr>
        <w:t xml:space="preserve">A </w:t>
      </w:r>
      <w:r w:rsidR="00EB7645" w:rsidRPr="00D957AC">
        <w:rPr>
          <w:rFonts w:eastAsia="Times New Roman" w:cs="Arial"/>
        </w:rPr>
        <w:t>fundamental</w:t>
      </w:r>
      <w:r w:rsidRPr="00D957AC">
        <w:rPr>
          <w:rFonts w:eastAsia="Times New Roman" w:cs="Arial"/>
        </w:rPr>
        <w:t xml:space="preserve"> objective of outcomes assurance is transparent and accessible environmental information and data that can be </w:t>
      </w:r>
      <w:r w:rsidR="00EB7645" w:rsidRPr="00D957AC">
        <w:rPr>
          <w:rFonts w:eastAsia="Times New Roman" w:cs="Arial"/>
        </w:rPr>
        <w:t>used</w:t>
      </w:r>
      <w:r w:rsidRPr="00D957AC">
        <w:rPr>
          <w:rFonts w:eastAsia="Times New Roman" w:cs="Arial"/>
        </w:rPr>
        <w:t xml:space="preserve"> by business, governments and the community. </w:t>
      </w:r>
      <w:r w:rsidR="00BF04A2" w:rsidRPr="00D957AC">
        <w:t xml:space="preserve">The </w:t>
      </w:r>
      <w:r w:rsidR="00284CF5" w:rsidRPr="00D957AC">
        <w:t>One-Stop Shop</w:t>
      </w:r>
      <w:r w:rsidR="00BF04A2" w:rsidRPr="00D957AC">
        <w:t xml:space="preserve"> will increase sharing of environmental information between. Transparent and accessible environmental information will improve our collective ability to understand and sustainably manage our environment. </w:t>
      </w:r>
    </w:p>
    <w:p w:rsidR="002F3C7F" w:rsidRPr="00D957AC" w:rsidRDefault="000774F7" w:rsidP="002E75A5">
      <w:pPr>
        <w:autoSpaceDE w:val="0"/>
        <w:autoSpaceDN w:val="0"/>
        <w:rPr>
          <w:rFonts w:cs="Arial"/>
          <w:color w:val="000000"/>
        </w:rPr>
      </w:pPr>
      <w:bookmarkStart w:id="25" w:name="_____replySeparator"/>
      <w:bookmarkEnd w:id="25"/>
      <w:r w:rsidRPr="00D957AC">
        <w:rPr>
          <w:rFonts w:cs="Arial"/>
          <w:color w:val="000000"/>
        </w:rPr>
        <w:t xml:space="preserve">The Australian Government is committed to improving environmental standards over time cooperatively with the states and territories. </w:t>
      </w:r>
      <w:r w:rsidR="002E75A5" w:rsidRPr="00D957AC">
        <w:rPr>
          <w:rFonts w:cs="Arial"/>
          <w:color w:val="000000"/>
        </w:rPr>
        <w:t>C</w:t>
      </w:r>
      <w:r w:rsidRPr="00D957AC">
        <w:rPr>
          <w:rFonts w:cs="Arial"/>
          <w:color w:val="000000"/>
        </w:rPr>
        <w:t>ontinuous improvement will be a key featur</w:t>
      </w:r>
      <w:r w:rsidR="00A47F16" w:rsidRPr="00D957AC">
        <w:rPr>
          <w:rFonts w:cs="Arial"/>
          <w:color w:val="000000"/>
        </w:rPr>
        <w:t>e of agreements with state and t</w:t>
      </w:r>
      <w:r w:rsidRPr="00D957AC">
        <w:rPr>
          <w:rFonts w:cs="Arial"/>
          <w:color w:val="000000"/>
        </w:rPr>
        <w:t>erritory governments</w:t>
      </w:r>
      <w:r w:rsidR="00A47F16" w:rsidRPr="00D957AC">
        <w:rPr>
          <w:rFonts w:cs="Arial"/>
          <w:color w:val="000000"/>
        </w:rPr>
        <w:t xml:space="preserve"> and will involve cooperation in environmental information and greater use of strategic approaches</w:t>
      </w:r>
      <w:r w:rsidR="00B35560" w:rsidRPr="00D957AC">
        <w:rPr>
          <w:rFonts w:cs="Arial"/>
          <w:color w:val="000000"/>
        </w:rPr>
        <w:t xml:space="preserve"> to environmental protection</w:t>
      </w:r>
      <w:r w:rsidR="002F3C7F" w:rsidRPr="00D957AC">
        <w:rPr>
          <w:rFonts w:cs="Arial"/>
          <w:color w:val="000000"/>
        </w:rPr>
        <w:t>, including strategic assessments</w:t>
      </w:r>
      <w:r w:rsidR="00A47F16" w:rsidRPr="00D957AC">
        <w:rPr>
          <w:rFonts w:cs="Arial"/>
          <w:color w:val="000000"/>
        </w:rPr>
        <w:t xml:space="preserve">. </w:t>
      </w:r>
    </w:p>
    <w:p w:rsidR="000774F7" w:rsidRPr="00D957AC" w:rsidRDefault="000774F7" w:rsidP="000774F7">
      <w:pPr>
        <w:autoSpaceDE w:val="0"/>
        <w:autoSpaceDN w:val="0"/>
        <w:rPr>
          <w:rFonts w:cs="Arial"/>
          <w:color w:val="000000"/>
          <w:sz w:val="14"/>
          <w:szCs w:val="14"/>
        </w:rPr>
      </w:pPr>
      <w:r w:rsidRPr="00D957AC">
        <w:rPr>
          <w:rFonts w:cs="Arial"/>
          <w:color w:val="000000"/>
        </w:rPr>
        <w:t xml:space="preserve">The strategic approaches committed to under the </w:t>
      </w:r>
      <w:r w:rsidR="00284CF5" w:rsidRPr="00D957AC">
        <w:rPr>
          <w:rFonts w:cs="Arial"/>
          <w:color w:val="000000"/>
        </w:rPr>
        <w:t>One-Stop Shop</w:t>
      </w:r>
      <w:r w:rsidRPr="00D957AC">
        <w:rPr>
          <w:rFonts w:cs="Arial"/>
          <w:color w:val="000000"/>
        </w:rPr>
        <w:t xml:space="preserve"> reform</w:t>
      </w:r>
      <w:r w:rsidR="00EB7645" w:rsidRPr="00D957AC">
        <w:rPr>
          <w:rFonts w:cs="Arial"/>
          <w:color w:val="000000"/>
        </w:rPr>
        <w:t xml:space="preserve"> (such as commitments to prioritise and increase use of strategic assessments) will</w:t>
      </w:r>
      <w:r w:rsidR="00061585" w:rsidRPr="00D957AC">
        <w:rPr>
          <w:rFonts w:cs="Arial"/>
          <w:color w:val="000000"/>
        </w:rPr>
        <w:t xml:space="preserve"> </w:t>
      </w:r>
      <w:r w:rsidRPr="00D957AC">
        <w:rPr>
          <w:rFonts w:cs="Arial"/>
          <w:color w:val="000000"/>
        </w:rPr>
        <w:t xml:space="preserve">allow for </w:t>
      </w:r>
      <w:r w:rsidR="00B35560" w:rsidRPr="00D957AC">
        <w:rPr>
          <w:rFonts w:cs="Arial"/>
          <w:color w:val="000000"/>
        </w:rPr>
        <w:t xml:space="preserve">environmental </w:t>
      </w:r>
      <w:r w:rsidRPr="00D957AC">
        <w:rPr>
          <w:rFonts w:cs="Arial"/>
          <w:color w:val="000000"/>
        </w:rPr>
        <w:t xml:space="preserve">planning </w:t>
      </w:r>
      <w:r w:rsidR="00EB7645" w:rsidRPr="00D957AC">
        <w:rPr>
          <w:rFonts w:cs="Arial"/>
          <w:color w:val="000000"/>
        </w:rPr>
        <w:t>earlier</w:t>
      </w:r>
      <w:r w:rsidR="00B35560" w:rsidRPr="00D957AC">
        <w:rPr>
          <w:rFonts w:cs="Arial"/>
          <w:color w:val="000000"/>
        </w:rPr>
        <w:t xml:space="preserve"> in the process </w:t>
      </w:r>
      <w:r w:rsidRPr="00D957AC">
        <w:rPr>
          <w:rFonts w:cs="Arial"/>
          <w:color w:val="000000"/>
        </w:rPr>
        <w:t>and address cumulative impacts on the environment.</w:t>
      </w:r>
      <w:r w:rsidR="002F3C7F" w:rsidRPr="00D957AC">
        <w:rPr>
          <w:rFonts w:cs="Arial"/>
          <w:i/>
          <w:iCs/>
          <w:color w:val="000000"/>
        </w:rPr>
        <w:t xml:space="preserve"> </w:t>
      </w:r>
    </w:p>
    <w:p w:rsidR="001B527A" w:rsidRPr="00D957AC" w:rsidRDefault="001B527A" w:rsidP="00D45D0A">
      <w:pPr>
        <w:pStyle w:val="Heading1"/>
      </w:pPr>
      <w:bookmarkStart w:id="26" w:name="_Toc396997133"/>
      <w:bookmarkStart w:id="27" w:name="_Toc398800528"/>
      <w:r w:rsidRPr="00D957AC">
        <w:t>Savings for business from the One-Stop Shop</w:t>
      </w:r>
      <w:bookmarkEnd w:id="26"/>
      <w:bookmarkEnd w:id="27"/>
    </w:p>
    <w:p w:rsidR="00A45749" w:rsidRPr="00D957AC" w:rsidRDefault="006D52FD" w:rsidP="006D52FD">
      <w:pPr>
        <w:autoSpaceDE w:val="0"/>
        <w:autoSpaceDN w:val="0"/>
        <w:rPr>
          <w:rFonts w:cs="Arial"/>
          <w:color w:val="000000"/>
        </w:rPr>
      </w:pPr>
      <w:r w:rsidRPr="00D957AC">
        <w:rPr>
          <w:rFonts w:cs="Arial"/>
          <w:color w:val="000000"/>
        </w:rPr>
        <w:t xml:space="preserve">The One-Stop Shop will result in significant savings for business.  It will also provide </w:t>
      </w:r>
      <w:r w:rsidR="00012F18" w:rsidRPr="00D957AC">
        <w:rPr>
          <w:rFonts w:cs="Arial"/>
          <w:color w:val="000000"/>
        </w:rPr>
        <w:t>more certainty</w:t>
      </w:r>
      <w:r w:rsidR="000774F7" w:rsidRPr="00D957AC">
        <w:rPr>
          <w:rFonts w:cs="Arial"/>
          <w:color w:val="000000"/>
        </w:rPr>
        <w:t xml:space="preserve"> for investors with a simpler, transparent and more predict</w:t>
      </w:r>
      <w:r w:rsidR="00A47F16" w:rsidRPr="00D957AC">
        <w:rPr>
          <w:rFonts w:cs="Arial"/>
          <w:color w:val="000000"/>
        </w:rPr>
        <w:t xml:space="preserve">able national regulatory system. This certainty </w:t>
      </w:r>
      <w:r w:rsidR="000774F7" w:rsidRPr="00D957AC">
        <w:rPr>
          <w:rFonts w:cs="Arial"/>
          <w:color w:val="000000"/>
        </w:rPr>
        <w:t xml:space="preserve">is good for Australia’s </w:t>
      </w:r>
      <w:r w:rsidR="00A47F16" w:rsidRPr="00D957AC">
        <w:rPr>
          <w:rFonts w:cs="Arial"/>
          <w:color w:val="000000"/>
        </w:rPr>
        <w:t xml:space="preserve">domestic and </w:t>
      </w:r>
      <w:r w:rsidR="000774F7" w:rsidRPr="00D957AC">
        <w:rPr>
          <w:rFonts w:cs="Arial"/>
          <w:color w:val="000000"/>
        </w:rPr>
        <w:t>international investment reputation.</w:t>
      </w:r>
    </w:p>
    <w:p w:rsidR="00817356" w:rsidRPr="00D957AC" w:rsidRDefault="008A0C4F" w:rsidP="00C149C7">
      <w:r w:rsidRPr="00D957AC">
        <w:rPr>
          <w:b/>
        </w:rPr>
        <w:t>Table 1</w:t>
      </w:r>
      <w:r w:rsidR="00817356" w:rsidRPr="00D957AC">
        <w:t xml:space="preserve"> shows the number of referrals, assessments and </w:t>
      </w:r>
      <w:r w:rsidR="002732CA" w:rsidRPr="00D957AC">
        <w:t xml:space="preserve">the median and </w:t>
      </w:r>
      <w:r w:rsidR="00817356" w:rsidRPr="00D957AC">
        <w:t>maximum time taken for</w:t>
      </w:r>
      <w:r w:rsidR="002732CA" w:rsidRPr="00D957AC">
        <w:t xml:space="preserve"> major</w:t>
      </w:r>
      <w:r w:rsidR="00817356" w:rsidRPr="00D957AC">
        <w:t xml:space="preserve"> projects </w:t>
      </w:r>
      <w:r w:rsidRPr="00D957AC">
        <w:t>to be approved by the Australian Government after the state or territory government for a range of sectors</w:t>
      </w:r>
      <w:r w:rsidR="00817356" w:rsidRPr="00D957AC">
        <w:t xml:space="preserve">. </w:t>
      </w:r>
      <w:r w:rsidRPr="00D957AC">
        <w:t>It</w:t>
      </w:r>
      <w:r w:rsidR="00817356" w:rsidRPr="00D957AC">
        <w:t xml:space="preserve"> demonstrates </w:t>
      </w:r>
      <w:r w:rsidRPr="00D957AC">
        <w:t>some of the</w:t>
      </w:r>
      <w:r w:rsidR="00AC2438" w:rsidRPr="00D957AC">
        <w:t xml:space="preserve"> administrative and</w:t>
      </w:r>
      <w:r w:rsidR="00817356" w:rsidRPr="00D957AC">
        <w:t xml:space="preserve"> delay</w:t>
      </w:r>
      <w:r w:rsidR="00AC2438" w:rsidRPr="00D957AC">
        <w:t xml:space="preserve"> costs</w:t>
      </w:r>
      <w:r w:rsidR="00817356" w:rsidRPr="00D957AC">
        <w:t xml:space="preserve"> that </w:t>
      </w:r>
      <w:r w:rsidRPr="00D957AC">
        <w:t>could</w:t>
      </w:r>
      <w:r w:rsidR="00817356" w:rsidRPr="00D957AC">
        <w:t xml:space="preserve"> </w:t>
      </w:r>
      <w:r w:rsidR="00061585" w:rsidRPr="00D957AC">
        <w:t xml:space="preserve">be </w:t>
      </w:r>
      <w:r w:rsidR="00817356" w:rsidRPr="00D957AC">
        <w:t xml:space="preserve">avoided under the </w:t>
      </w:r>
      <w:r w:rsidR="00284CF5" w:rsidRPr="00D957AC">
        <w:t>One-Stop Shop</w:t>
      </w:r>
      <w:r w:rsidR="00817356" w:rsidRPr="00D957AC">
        <w:t xml:space="preserve">. Not all delays can be attributed to the Australian Government, but a streamlined system will </w:t>
      </w:r>
      <w:r w:rsidR="00B35560" w:rsidRPr="00D957AC">
        <w:t xml:space="preserve">help to </w:t>
      </w:r>
      <w:r w:rsidR="00817356" w:rsidRPr="00D957AC">
        <w:t>minimise these types of delays.</w:t>
      </w:r>
    </w:p>
    <w:p w:rsidR="00AF42C8" w:rsidRPr="00D957AC" w:rsidRDefault="00AF42C8" w:rsidP="00817356"/>
    <w:p w:rsidR="00AF42C8" w:rsidRPr="00D957AC" w:rsidRDefault="00AF42C8" w:rsidP="00817356"/>
    <w:p w:rsidR="00AF42C8" w:rsidRPr="00D957AC" w:rsidRDefault="00AF42C8" w:rsidP="00817356"/>
    <w:p w:rsidR="00AF42C8" w:rsidRPr="00D957AC" w:rsidRDefault="00AF42C8" w:rsidP="00817356"/>
    <w:p w:rsidR="002E6800" w:rsidRPr="00D957AC" w:rsidRDefault="002E6800" w:rsidP="00817356"/>
    <w:p w:rsidR="00AF42C8" w:rsidRPr="00D957AC" w:rsidRDefault="00AF42C8" w:rsidP="00817356"/>
    <w:p w:rsidR="005130BB" w:rsidRPr="00D957AC" w:rsidRDefault="005130BB" w:rsidP="00817356">
      <w:pPr>
        <w:rPr>
          <w:b/>
          <w:sz w:val="20"/>
          <w:szCs w:val="20"/>
        </w:rPr>
      </w:pPr>
      <w:r w:rsidRPr="00D957AC">
        <w:rPr>
          <w:b/>
          <w:sz w:val="20"/>
          <w:szCs w:val="20"/>
        </w:rPr>
        <w:t xml:space="preserve">Table 1: Referral and approval statistics under the EPBC Act over the past 5 years </w:t>
      </w:r>
      <w:r w:rsidRPr="00D957AC">
        <w:rPr>
          <w:b/>
          <w:sz w:val="20"/>
          <w:szCs w:val="20"/>
        </w:rPr>
        <w:br/>
        <w:t>(1 July 2008 – 30 June 2013)</w:t>
      </w:r>
    </w:p>
    <w:p w:rsidR="00817356" w:rsidRPr="00D957AC" w:rsidRDefault="00BB0964" w:rsidP="00817356">
      <w:pPr>
        <w:pStyle w:val="ListBullet"/>
        <w:numPr>
          <w:ilvl w:val="0"/>
          <w:numId w:val="0"/>
        </w:numPr>
        <w:ind w:left="369" w:hanging="369"/>
      </w:pPr>
      <w:r w:rsidRPr="00D957AC">
        <w:rPr>
          <w:noProof/>
          <w:lang w:eastAsia="en-AU"/>
        </w:rPr>
        <w:drawing>
          <wp:inline distT="0" distB="0" distL="0" distR="0">
            <wp:extent cx="5467350" cy="1645600"/>
            <wp:effectExtent l="19050" t="19050" r="19050" b="11750"/>
            <wp:docPr id="18" name="Picture 5" descr="C:\Users\A18413\AppData\Local\Microsoft\Windows\Temporary Internet Files\Content.Outlook\CQ1WP1BG\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18413\AppData\Local\Microsoft\Windows\Temporary Internet Files\Content.Outlook\CQ1WP1BG\Table1.jpg"/>
                    <pic:cNvPicPr>
                      <a:picLocks noChangeAspect="1" noChangeArrowheads="1"/>
                    </pic:cNvPicPr>
                  </pic:nvPicPr>
                  <pic:blipFill>
                    <a:blip r:embed="rId18" cstate="print"/>
                    <a:srcRect l="3312" t="16667" r="2681" b="7936"/>
                    <a:stretch>
                      <a:fillRect/>
                    </a:stretch>
                  </pic:blipFill>
                  <pic:spPr bwMode="auto">
                    <a:xfrm>
                      <a:off x="0" y="0"/>
                      <a:ext cx="5467350" cy="1645600"/>
                    </a:xfrm>
                    <a:prstGeom prst="rect">
                      <a:avLst/>
                    </a:prstGeom>
                    <a:noFill/>
                    <a:ln w="9525">
                      <a:solidFill>
                        <a:schemeClr val="accent1"/>
                      </a:solidFill>
                      <a:miter lim="800000"/>
                      <a:headEnd/>
                      <a:tailEnd/>
                    </a:ln>
                  </pic:spPr>
                </pic:pic>
              </a:graphicData>
            </a:graphic>
          </wp:inline>
        </w:drawing>
      </w:r>
    </w:p>
    <w:p w:rsidR="00692DB2" w:rsidRPr="00D957AC" w:rsidRDefault="00692DB2" w:rsidP="00692DB2">
      <w:pPr>
        <w:rPr>
          <w:rFonts w:cs="Arial"/>
          <w:color w:val="000000"/>
        </w:rPr>
      </w:pPr>
      <w:bookmarkStart w:id="28" w:name="_Toc390345346"/>
      <w:bookmarkEnd w:id="28"/>
      <w:r w:rsidRPr="00D957AC">
        <w:rPr>
          <w:rFonts w:cs="Arial"/>
          <w:color w:val="000000"/>
        </w:rPr>
        <w:t>Different analyses demonstrate that the One-Stop Shop will have positive flow-on effects on the broader economy, in addition to the direct cost savings to business. Comprehensive modelling, undertaken for the Minerals Council of Australia, shows that reducing approval delays would result in a much higher rate of economic growth in Australia. The cumulative gains over the next 12 years from reducing delays are estimated to be worth $120 billion in real GDP.</w:t>
      </w:r>
    </w:p>
    <w:p w:rsidR="00692DB2" w:rsidRPr="00D957AC" w:rsidRDefault="00692DB2" w:rsidP="00692DB2">
      <w:pPr>
        <w:rPr>
          <w:rFonts w:cs="Arial"/>
          <w:color w:val="000000"/>
        </w:rPr>
      </w:pPr>
      <w:r w:rsidRPr="00D957AC">
        <w:rPr>
          <w:rFonts w:cs="Arial"/>
          <w:color w:val="000000"/>
        </w:rPr>
        <w:t>The Minerals Council of Australia’s report</w:t>
      </w:r>
      <w:r w:rsidRPr="00D957AC">
        <w:rPr>
          <w:rStyle w:val="FootnoteReference"/>
          <w:rFonts w:cs="Arial"/>
          <w:color w:val="000000"/>
        </w:rPr>
        <w:footnoteReference w:id="4"/>
      </w:r>
      <w:r w:rsidRPr="00D957AC">
        <w:rPr>
          <w:rFonts w:cs="Arial"/>
          <w:color w:val="000000"/>
        </w:rPr>
        <w:t xml:space="preserve"> uses broad long-term economic modelling and includes both direct and indirect savings to business and flow on impacts for the Australian economy. It considers a broad range of impacts including indirect impacts such as future investment rates, the level of employment, and mineral exports. The greater the reduction in the average timeline for approvals, the larger the increase in mineral exports, investment and employment, and therefore the higher the average growth rate of national income</w:t>
      </w:r>
    </w:p>
    <w:p w:rsidR="00692DB2" w:rsidRPr="00D957AC" w:rsidRDefault="00692DB2" w:rsidP="00692DB2">
      <w:pPr>
        <w:rPr>
          <w:rFonts w:cs="Arial"/>
          <w:color w:val="000000"/>
        </w:rPr>
      </w:pPr>
      <w:r w:rsidRPr="00D957AC">
        <w:rPr>
          <w:rFonts w:cs="Arial"/>
          <w:color w:val="000000"/>
        </w:rPr>
        <w:t>Under the Minerals Council of Australia’s model, if approval timelines were reduced by one year, over 69,000 additional jobs would be created across the entire economy by 2025. Most of the jobs created are outside the minerals mining sector.</w:t>
      </w:r>
    </w:p>
    <w:p w:rsidR="00692DB2" w:rsidRPr="00D957AC" w:rsidRDefault="00692DB2" w:rsidP="00692DB2">
      <w:r w:rsidRPr="00D957AC">
        <w:t xml:space="preserve">This analysis focuses on the direct cost savings of the One-Stop Shop reform to business.  The Australian Government measures the regulatory impact of all new Government policies. Calculating the cost or savings from regulatory or deregulatory activities assists the Government in keeping the Australian economy as efficient, flexible and responsive as possible. </w:t>
      </w:r>
    </w:p>
    <w:p w:rsidR="00A45749" w:rsidRPr="00D957AC" w:rsidRDefault="0007628B" w:rsidP="00EB7645">
      <w:r w:rsidRPr="00D957AC">
        <w:t xml:space="preserve">The </w:t>
      </w:r>
      <w:r w:rsidR="00552F33" w:rsidRPr="00D957AC">
        <w:t>Regulatory Burden Measurement Framework</w:t>
      </w:r>
      <w:r w:rsidRPr="00D957AC">
        <w:t xml:space="preserve"> is the Australian Government’s framework for calculating savings to business arising from policies that impact the regulatory burden on business.</w:t>
      </w:r>
      <w:r w:rsidRPr="00D957AC">
        <w:rPr>
          <w:i/>
        </w:rPr>
        <w:t xml:space="preserve"> </w:t>
      </w:r>
      <w:r w:rsidR="000400F0" w:rsidRPr="00D957AC">
        <w:t xml:space="preserve">The Department has developed a tailored method for calculating savings to business arising from the </w:t>
      </w:r>
      <w:r w:rsidR="00284CF5" w:rsidRPr="00D957AC">
        <w:t>One-Stop Shop</w:t>
      </w:r>
      <w:r w:rsidR="00E50CA2" w:rsidRPr="00D957AC">
        <w:t>, based on real project data.</w:t>
      </w:r>
      <w:r w:rsidR="005130BB" w:rsidRPr="00D957AC">
        <w:t xml:space="preserve"> The Department’s method has been developed using the Government’s Regulatory Burden Measurement Framework.</w:t>
      </w:r>
    </w:p>
    <w:p w:rsidR="00A45749" w:rsidRPr="00D957AC" w:rsidRDefault="00F92890" w:rsidP="00D45D0A">
      <w:pPr>
        <w:pStyle w:val="Heading2"/>
      </w:pPr>
      <w:bookmarkStart w:id="29" w:name="_Toc396997134"/>
      <w:bookmarkStart w:id="30" w:name="_Toc398800529"/>
      <w:r w:rsidRPr="00D957AC">
        <w:t xml:space="preserve">Method for calculating savings under the </w:t>
      </w:r>
      <w:r w:rsidR="00284CF5" w:rsidRPr="00D957AC">
        <w:t>One-Stop Shop</w:t>
      </w:r>
      <w:bookmarkEnd w:id="29"/>
      <w:bookmarkEnd w:id="30"/>
    </w:p>
    <w:p w:rsidR="002E75A5" w:rsidRPr="00D957AC" w:rsidRDefault="002E75A5" w:rsidP="002E75A5">
      <w:r w:rsidRPr="00D957AC">
        <w:t xml:space="preserve">The Department’s </w:t>
      </w:r>
      <w:r w:rsidR="00E54248" w:rsidRPr="00D957AC">
        <w:t>method</w:t>
      </w:r>
      <w:r w:rsidRPr="00D957AC">
        <w:t xml:space="preserve"> for calculating savings from the </w:t>
      </w:r>
      <w:r w:rsidR="00284CF5" w:rsidRPr="00D957AC">
        <w:t>One-Stop Shop</w:t>
      </w:r>
      <w:r w:rsidR="0080332E" w:rsidRPr="00D957AC">
        <w:t xml:space="preserve"> </w:t>
      </w:r>
      <w:r w:rsidRPr="00D957AC">
        <w:t xml:space="preserve">consists of two broad steps: </w:t>
      </w:r>
    </w:p>
    <w:p w:rsidR="000400F0" w:rsidRPr="00D957AC" w:rsidRDefault="00A028BD" w:rsidP="000400F0">
      <w:pPr>
        <w:pStyle w:val="ListNumber"/>
        <w:numPr>
          <w:ilvl w:val="0"/>
          <w:numId w:val="18"/>
        </w:numPr>
        <w:ind w:left="738"/>
      </w:pPr>
      <w:r w:rsidRPr="00D957AC">
        <w:t>I</w:t>
      </w:r>
      <w:r w:rsidR="002E75A5" w:rsidRPr="00D957AC">
        <w:t xml:space="preserve">dentifying expected changes for </w:t>
      </w:r>
      <w:r w:rsidR="00D36D8F" w:rsidRPr="00D957AC">
        <w:t>business</w:t>
      </w:r>
      <w:r w:rsidR="002E75A5" w:rsidRPr="00D957AC">
        <w:t xml:space="preserve"> under the </w:t>
      </w:r>
      <w:r w:rsidR="00284CF5" w:rsidRPr="00D957AC">
        <w:t>One-Stop Shop</w:t>
      </w:r>
    </w:p>
    <w:p w:rsidR="00A45749" w:rsidRPr="00D957AC" w:rsidRDefault="00391218" w:rsidP="000400F0">
      <w:pPr>
        <w:pStyle w:val="ListNumber"/>
        <w:numPr>
          <w:ilvl w:val="0"/>
          <w:numId w:val="18"/>
        </w:numPr>
        <w:ind w:left="738"/>
      </w:pPr>
      <w:r w:rsidRPr="00D957AC">
        <w:t xml:space="preserve">Estimating the </w:t>
      </w:r>
      <w:r w:rsidR="002E75A5" w:rsidRPr="00D957AC">
        <w:t xml:space="preserve">value </w:t>
      </w:r>
      <w:r w:rsidRPr="00D957AC">
        <w:t xml:space="preserve">of </w:t>
      </w:r>
      <w:r w:rsidR="002E75A5" w:rsidRPr="00D957AC">
        <w:t>th</w:t>
      </w:r>
      <w:r w:rsidRPr="00D957AC">
        <w:t>e</w:t>
      </w:r>
      <w:r w:rsidR="002E75A5" w:rsidRPr="00D957AC">
        <w:t xml:space="preserve"> changes. </w:t>
      </w:r>
    </w:p>
    <w:p w:rsidR="00433D68" w:rsidRPr="00D957AC" w:rsidRDefault="00433D68" w:rsidP="000603D4">
      <w:pPr>
        <w:pStyle w:val="ListNumber"/>
        <w:numPr>
          <w:ilvl w:val="0"/>
          <w:numId w:val="0"/>
        </w:numPr>
      </w:pPr>
      <w:r w:rsidRPr="00D957AC">
        <w:t xml:space="preserve">The Department’s method for calculating savings is detailed at </w:t>
      </w:r>
      <w:r w:rsidRPr="00D957AC">
        <w:rPr>
          <w:b/>
        </w:rPr>
        <w:t>Attachment</w:t>
      </w:r>
      <w:r w:rsidR="000400F0" w:rsidRPr="00D957AC">
        <w:rPr>
          <w:b/>
        </w:rPr>
        <w:t> </w:t>
      </w:r>
      <w:r w:rsidRPr="00D957AC">
        <w:rPr>
          <w:b/>
        </w:rPr>
        <w:t>A</w:t>
      </w:r>
      <w:r w:rsidRPr="00D957AC">
        <w:t>.</w:t>
      </w:r>
    </w:p>
    <w:p w:rsidR="00A47F16" w:rsidRPr="00D957AC" w:rsidRDefault="00853019" w:rsidP="000603D4">
      <w:pPr>
        <w:pStyle w:val="ListNumber"/>
        <w:numPr>
          <w:ilvl w:val="0"/>
          <w:numId w:val="0"/>
        </w:numPr>
      </w:pPr>
      <w:r w:rsidRPr="00D957AC">
        <w:t>Savings for business</w:t>
      </w:r>
      <w:r w:rsidR="00A47F16" w:rsidRPr="00D957AC">
        <w:t xml:space="preserve"> under the </w:t>
      </w:r>
      <w:r w:rsidR="00284CF5" w:rsidRPr="00D957AC">
        <w:t>One-Stop Shop</w:t>
      </w:r>
      <w:r w:rsidR="00A47F16" w:rsidRPr="00D957AC">
        <w:t xml:space="preserve"> are likely to be realised in two main areas:</w:t>
      </w:r>
      <w:r w:rsidR="001B3046" w:rsidRPr="00D957AC">
        <w:t xml:space="preserve"> administrative savings and delay savings.</w:t>
      </w:r>
    </w:p>
    <w:p w:rsidR="00EB3DB6" w:rsidRPr="00D957AC" w:rsidRDefault="00A45749">
      <w:pPr>
        <w:pStyle w:val="ListBullet"/>
      </w:pPr>
      <w:r w:rsidRPr="00D957AC">
        <w:rPr>
          <w:i/>
        </w:rPr>
        <w:t>Administrative savings</w:t>
      </w:r>
      <w:r w:rsidR="001B3046" w:rsidRPr="00D957AC">
        <w:t xml:space="preserve"> are</w:t>
      </w:r>
      <w:r w:rsidR="00A47F16" w:rsidRPr="00D957AC">
        <w:t xml:space="preserve"> any costs incurred by regulated entities primarily to demonstrate compliance with regulation. The </w:t>
      </w:r>
      <w:r w:rsidR="00284CF5" w:rsidRPr="00D957AC">
        <w:t>One-Stop Shop</w:t>
      </w:r>
      <w:r w:rsidR="00A47F16" w:rsidRPr="00D957AC">
        <w:t xml:space="preserve"> will result in administrative savings by allowing business to deal with one point of contact, one assessment and approval process and one regulator. </w:t>
      </w:r>
    </w:p>
    <w:p w:rsidR="00EB3DB6" w:rsidRPr="00D957AC" w:rsidRDefault="00A45749">
      <w:pPr>
        <w:pStyle w:val="ListBullet"/>
      </w:pPr>
      <w:r w:rsidRPr="00D957AC">
        <w:rPr>
          <w:i/>
        </w:rPr>
        <w:t>Delay savings</w:t>
      </w:r>
      <w:r w:rsidR="001B3046" w:rsidRPr="00D957AC">
        <w:t xml:space="preserve"> are</w:t>
      </w:r>
      <w:r w:rsidR="00A47F16" w:rsidRPr="00D957AC">
        <w:t xml:space="preserve"> expenses incurred through delayed approvals. ‘Delay’ includes any expected changes to timeframes from streamlining the approval process under the </w:t>
      </w:r>
      <w:r w:rsidR="00284CF5" w:rsidRPr="00D957AC">
        <w:t>One-Stop Shop</w:t>
      </w:r>
      <w:r w:rsidR="00A47F16" w:rsidRPr="00D957AC">
        <w:t>. The major benefit to business from the reforms is expected to be achieved through reduced delay costs.</w:t>
      </w:r>
    </w:p>
    <w:p w:rsidR="00A615FC" w:rsidRPr="00D957AC" w:rsidRDefault="003652AD" w:rsidP="00A615FC">
      <w:r w:rsidRPr="00D957AC">
        <w:t xml:space="preserve">Assumptions used to derive the estimates of the potential change in administrative costs and delay costs are based on information from published and unpublished sources, and were developed in consultation with officers from the </w:t>
      </w:r>
      <w:r w:rsidR="00D91953" w:rsidRPr="00D957AC">
        <w:t xml:space="preserve">Australian Government </w:t>
      </w:r>
      <w:r w:rsidRPr="00D957AC">
        <w:t xml:space="preserve">Department of the Environment, the </w:t>
      </w:r>
      <w:r w:rsidR="00A14ED8" w:rsidRPr="00D957AC">
        <w:t xml:space="preserve">Australian Government </w:t>
      </w:r>
      <w:r w:rsidR="00E50CA2" w:rsidRPr="00D957AC">
        <w:rPr>
          <w:rFonts w:cs="Arial"/>
        </w:rPr>
        <w:t xml:space="preserve">Office of Best Practice Regulation </w:t>
      </w:r>
      <w:r w:rsidRPr="00D957AC">
        <w:t>and business.</w:t>
      </w:r>
      <w:r w:rsidR="00A47F16" w:rsidRPr="00D957AC">
        <w:t xml:space="preserve"> In particular, a</w:t>
      </w:r>
      <w:r w:rsidR="00A615FC" w:rsidRPr="00D957AC">
        <w:t xml:space="preserve">ssumptions were made about the estimated time spent on an activity (at each stage of the </w:t>
      </w:r>
      <w:r w:rsidR="00E50CA2" w:rsidRPr="00D957AC">
        <w:t xml:space="preserve">Australian Government </w:t>
      </w:r>
      <w:r w:rsidR="00A615FC" w:rsidRPr="00D957AC">
        <w:t>assessment and approval process) combined with Australian Bureau of Statistics earnings data. In some cases, assumptions were made about the percentage of proponents who would have undertaken certain activities based on the experiences of assessment officers (e.g.</w:t>
      </w:r>
      <w:r w:rsidR="00D03CCF" w:rsidRPr="00D957AC">
        <w:t> </w:t>
      </w:r>
      <w:r w:rsidR="00A615FC" w:rsidRPr="00D957AC">
        <w:t xml:space="preserve">making pre-referral contact with both the state </w:t>
      </w:r>
      <w:r w:rsidR="0024103C" w:rsidRPr="00D957AC">
        <w:t xml:space="preserve">or territory </w:t>
      </w:r>
      <w:r w:rsidR="00A615FC" w:rsidRPr="00D957AC">
        <w:t xml:space="preserve">and the </w:t>
      </w:r>
      <w:r w:rsidR="00E50CA2" w:rsidRPr="00D957AC">
        <w:t>Australian Government</w:t>
      </w:r>
      <w:r w:rsidR="00A615FC" w:rsidRPr="00D957AC">
        <w:t xml:space="preserve">). </w:t>
      </w:r>
    </w:p>
    <w:p w:rsidR="002732CA" w:rsidRPr="00D957AC" w:rsidRDefault="002732CA" w:rsidP="002732CA">
      <w:r w:rsidRPr="00D957AC">
        <w:t xml:space="preserve">The </w:t>
      </w:r>
      <w:r w:rsidR="00E54248" w:rsidRPr="00D957AC">
        <w:t>method</w:t>
      </w:r>
      <w:r w:rsidRPr="00D957AC">
        <w:t xml:space="preserve"> and assumptions used to calculate the </w:t>
      </w:r>
      <w:r w:rsidR="00284CF5" w:rsidRPr="00D957AC">
        <w:t>One-Stop Shop</w:t>
      </w:r>
      <w:r w:rsidRPr="00D957AC">
        <w:t xml:space="preserve"> savings contribution to the Government’s deregulation target were developed in consultation with peak industry groups. The </w:t>
      </w:r>
      <w:r w:rsidR="00E54248" w:rsidRPr="00D957AC">
        <w:t>method</w:t>
      </w:r>
      <w:r w:rsidRPr="00D957AC">
        <w:t xml:space="preserve"> was revised based on feedback received during this consultation. Industry groups generally support the </w:t>
      </w:r>
      <w:r w:rsidR="00E54248" w:rsidRPr="00D957AC">
        <w:t>method</w:t>
      </w:r>
      <w:r w:rsidRPr="00D957AC">
        <w:t xml:space="preserve"> used to calculate savings.</w:t>
      </w:r>
    </w:p>
    <w:p w:rsidR="00F804B2" w:rsidRPr="00D957AC" w:rsidRDefault="00F92890" w:rsidP="00D45D0A">
      <w:pPr>
        <w:pStyle w:val="Heading2"/>
      </w:pPr>
      <w:bookmarkStart w:id="31" w:name="_Toc396997135"/>
      <w:bookmarkStart w:id="32" w:name="_Toc398800530"/>
      <w:r w:rsidRPr="00D957AC">
        <w:t>Administrative savings</w:t>
      </w:r>
      <w:bookmarkEnd w:id="31"/>
      <w:bookmarkEnd w:id="32"/>
    </w:p>
    <w:p w:rsidR="00A615FC" w:rsidRPr="00D957AC" w:rsidRDefault="00A615FC" w:rsidP="00A615FC">
      <w:r w:rsidRPr="00D957AC">
        <w:t xml:space="preserve">The main changes generating administrative savings under the </w:t>
      </w:r>
      <w:r w:rsidR="00284CF5" w:rsidRPr="00D957AC">
        <w:t>One-Stop Shop</w:t>
      </w:r>
      <w:r w:rsidR="003D7FBC" w:rsidRPr="00D957AC">
        <w:t xml:space="preserve"> </w:t>
      </w:r>
      <w:r w:rsidRPr="00D957AC">
        <w:t>are that business</w:t>
      </w:r>
      <w:r w:rsidR="00A028BD" w:rsidRPr="00D957AC">
        <w:t xml:space="preserve"> will</w:t>
      </w:r>
      <w:r w:rsidRPr="00D957AC">
        <w:t>:</w:t>
      </w:r>
    </w:p>
    <w:p w:rsidR="00A45749" w:rsidRPr="00D957AC" w:rsidRDefault="00A028BD" w:rsidP="00A45749">
      <w:pPr>
        <w:pStyle w:val="ListBullet"/>
      </w:pPr>
      <w:r w:rsidRPr="00D957AC">
        <w:t>N</w:t>
      </w:r>
      <w:r w:rsidR="00A615FC" w:rsidRPr="00D957AC">
        <w:t xml:space="preserve">ot have pre-referral contact with the </w:t>
      </w:r>
      <w:r w:rsidR="0024103C" w:rsidRPr="00D957AC">
        <w:t>Australian Government</w:t>
      </w:r>
    </w:p>
    <w:p w:rsidR="00A45749" w:rsidRPr="00D957AC" w:rsidRDefault="00A028BD" w:rsidP="00A45749">
      <w:pPr>
        <w:pStyle w:val="ListBullet"/>
      </w:pPr>
      <w:r w:rsidRPr="00D957AC">
        <w:t>N</w:t>
      </w:r>
      <w:r w:rsidR="00A615FC" w:rsidRPr="00D957AC">
        <w:t xml:space="preserve">ot have to prepare a separate </w:t>
      </w:r>
      <w:r w:rsidR="00D03CCF" w:rsidRPr="00D957AC">
        <w:t xml:space="preserve">application </w:t>
      </w:r>
      <w:r w:rsidR="00A615FC" w:rsidRPr="00D957AC">
        <w:t xml:space="preserve">form for the </w:t>
      </w:r>
      <w:r w:rsidR="0024103C" w:rsidRPr="00D957AC">
        <w:t>Australian Government</w:t>
      </w:r>
    </w:p>
    <w:p w:rsidR="00A45749" w:rsidRPr="00D957AC" w:rsidRDefault="00A028BD" w:rsidP="00A45749">
      <w:pPr>
        <w:pStyle w:val="ListBullet"/>
      </w:pPr>
      <w:r w:rsidRPr="00D957AC">
        <w:t>A</w:t>
      </w:r>
      <w:r w:rsidR="00A615FC" w:rsidRPr="00D957AC">
        <w:t xml:space="preserve">void costs associated with providing additional information on </w:t>
      </w:r>
      <w:r w:rsidR="00D36D8F" w:rsidRPr="00D957AC">
        <w:t xml:space="preserve">Matters of National Environmental Significance </w:t>
      </w:r>
      <w:r w:rsidR="00A615FC" w:rsidRPr="00D957AC">
        <w:t>later in the assessment and approval stage and additional public consultation processes associated with this information, as all requirements</w:t>
      </w:r>
      <w:r w:rsidR="00D36D8F" w:rsidRPr="00D957AC">
        <w:t xml:space="preserve"> will be well understood upfront</w:t>
      </w:r>
    </w:p>
    <w:p w:rsidR="00A45749" w:rsidRPr="00D957AC" w:rsidRDefault="00A028BD" w:rsidP="00A45749">
      <w:pPr>
        <w:pStyle w:val="ListBullet"/>
      </w:pPr>
      <w:r w:rsidRPr="00D957AC">
        <w:t>N</w:t>
      </w:r>
      <w:r w:rsidR="00A615FC" w:rsidRPr="00D957AC">
        <w:t xml:space="preserve">ot have contact with the </w:t>
      </w:r>
      <w:r w:rsidR="0024103C" w:rsidRPr="00D957AC">
        <w:t>Australian Government</w:t>
      </w:r>
      <w:r w:rsidR="00A615FC" w:rsidRPr="00D957AC">
        <w:t xml:space="preserve"> during the assessment period</w:t>
      </w:r>
    </w:p>
    <w:p w:rsidR="00A45749" w:rsidRPr="00D957AC" w:rsidRDefault="00A028BD" w:rsidP="00A45749">
      <w:pPr>
        <w:pStyle w:val="ListBullet"/>
      </w:pPr>
      <w:r w:rsidRPr="00D957AC">
        <w:t>R</w:t>
      </w:r>
      <w:r w:rsidR="00A615FC" w:rsidRPr="00D957AC">
        <w:t xml:space="preserve">eport to </w:t>
      </w:r>
      <w:r w:rsidR="002732CA" w:rsidRPr="00D957AC">
        <w:t xml:space="preserve">only </w:t>
      </w:r>
      <w:r w:rsidR="00A615FC" w:rsidRPr="00D957AC">
        <w:t xml:space="preserve">the state </w:t>
      </w:r>
      <w:r w:rsidR="0024103C" w:rsidRPr="00D957AC">
        <w:t xml:space="preserve">or territory </w:t>
      </w:r>
      <w:r w:rsidR="00A615FC" w:rsidRPr="00D957AC">
        <w:t xml:space="preserve">in the post-approval stage. </w:t>
      </w:r>
    </w:p>
    <w:p w:rsidR="00AE46A1" w:rsidRPr="00D957AC" w:rsidRDefault="00AE46A1" w:rsidP="00AE46A1">
      <w:pPr>
        <w:pStyle w:val="ListBullet"/>
        <w:numPr>
          <w:ilvl w:val="0"/>
          <w:numId w:val="0"/>
        </w:numPr>
      </w:pPr>
      <w:r w:rsidRPr="00D957AC">
        <w:t xml:space="preserve">For administrative savings, each stage of the environmental assessment and approval process under the EPBC Act was considered separately. Over 300 projects from the Department’s databases were examined to identify and calculate administrative savings. </w:t>
      </w:r>
    </w:p>
    <w:p w:rsidR="00A615FC" w:rsidRPr="00D957AC" w:rsidRDefault="00A615FC" w:rsidP="00AE46A1">
      <w:pPr>
        <w:pStyle w:val="Heading3"/>
      </w:pPr>
      <w:bookmarkStart w:id="33" w:name="_Toc398800531"/>
      <w:r w:rsidRPr="00D957AC">
        <w:t>Pre-referral stage</w:t>
      </w:r>
      <w:bookmarkEnd w:id="33"/>
    </w:p>
    <w:p w:rsidR="001C774E" w:rsidRPr="00D957AC" w:rsidRDefault="00A615FC" w:rsidP="00A615FC">
      <w:r w:rsidRPr="00D957AC">
        <w:t xml:space="preserve">Administrative cost savings at the pre-referral stage are likely to be modest. Most project proponents do not make pre-referral contact with the </w:t>
      </w:r>
      <w:r w:rsidR="0024103C" w:rsidRPr="00D957AC">
        <w:t>Australian Government</w:t>
      </w:r>
      <w:r w:rsidRPr="00D957AC">
        <w:t>. Where they do, it may involve a telephone call or e-mail for advice on completing an application for referral. For a small number of proposals, proponents seek a pre-referral face-to-face meeting in Canberra or a site visit.</w:t>
      </w:r>
    </w:p>
    <w:p w:rsidR="00A615FC" w:rsidRPr="00D957AC" w:rsidRDefault="00A615FC" w:rsidP="00AE46A1">
      <w:pPr>
        <w:pStyle w:val="Heading3"/>
      </w:pPr>
      <w:bookmarkStart w:id="34" w:name="_Toc398800532"/>
      <w:r w:rsidRPr="00D957AC">
        <w:t>Referral stage</w:t>
      </w:r>
      <w:bookmarkEnd w:id="34"/>
    </w:p>
    <w:p w:rsidR="00A615FC" w:rsidRPr="00D957AC" w:rsidRDefault="00A615FC" w:rsidP="00A615FC">
      <w:r w:rsidRPr="00D957AC">
        <w:t xml:space="preserve">Savings at the </w:t>
      </w:r>
      <w:r w:rsidR="0024103C" w:rsidRPr="00D957AC">
        <w:t>Australian Government</w:t>
      </w:r>
      <w:r w:rsidRPr="00D957AC">
        <w:t xml:space="preserve"> referral stage may be more significant. While project proponents will still have to prepare information on </w:t>
      </w:r>
      <w:r w:rsidR="002011A4" w:rsidRPr="00D957AC">
        <w:rPr>
          <w:rFonts w:cs="Arial"/>
        </w:rPr>
        <w:t>Matters of National Environmental Significance</w:t>
      </w:r>
      <w:r w:rsidRPr="00D957AC">
        <w:t xml:space="preserve">, there will be a saving by not completing two </w:t>
      </w:r>
      <w:r w:rsidR="00853019" w:rsidRPr="00D957AC">
        <w:t>application forms for</w:t>
      </w:r>
      <w:r w:rsidRPr="00D957AC">
        <w:t xml:space="preserve"> two levels of government.</w:t>
      </w:r>
    </w:p>
    <w:p w:rsidR="001C774E" w:rsidRPr="00D957AC" w:rsidRDefault="001C774E" w:rsidP="001C774E">
      <w:bookmarkStart w:id="35" w:name="_GoBack"/>
      <w:bookmarkEnd w:id="35"/>
      <w:r w:rsidRPr="00D957AC">
        <w:t xml:space="preserve">In 2012-13, the department received 439 referrals for consideration.  Of these, 341 projects </w:t>
      </w:r>
      <w:r w:rsidR="00D36D8F" w:rsidRPr="00D957AC">
        <w:t>were</w:t>
      </w:r>
      <w:r w:rsidRPr="00D957AC">
        <w:t xml:space="preserve"> non-government projects.  Under the Regulatory Burden Measurement Framework government projects are excluded.</w:t>
      </w:r>
    </w:p>
    <w:p w:rsidR="00A615FC" w:rsidRPr="00D957AC" w:rsidRDefault="00A615FC" w:rsidP="00AE46A1">
      <w:pPr>
        <w:pStyle w:val="Heading3"/>
      </w:pPr>
      <w:bookmarkStart w:id="36" w:name="_Toc398800533"/>
      <w:r w:rsidRPr="00D957AC">
        <w:t>Assessment processes</w:t>
      </w:r>
      <w:bookmarkEnd w:id="36"/>
    </w:p>
    <w:p w:rsidR="00A615FC" w:rsidRPr="00D957AC" w:rsidRDefault="00A615FC" w:rsidP="00A615FC">
      <w:r w:rsidRPr="00D957AC">
        <w:t xml:space="preserve">Most proponents prepare one report to satisfy </w:t>
      </w:r>
      <w:r w:rsidR="00953CE4" w:rsidRPr="00D957AC">
        <w:t>Australian Government</w:t>
      </w:r>
      <w:r w:rsidRPr="00D957AC">
        <w:t xml:space="preserve"> and state </w:t>
      </w:r>
      <w:r w:rsidR="00953CE4" w:rsidRPr="00D957AC">
        <w:t xml:space="preserve">or territory </w:t>
      </w:r>
      <w:r w:rsidRPr="00D957AC">
        <w:t xml:space="preserve">assessment and approval requirements. Proponents will continue to prepare assessment documentation and undertake public consultation under the </w:t>
      </w:r>
      <w:r w:rsidR="00284CF5" w:rsidRPr="00D957AC">
        <w:t>One-Stop Shop</w:t>
      </w:r>
      <w:r w:rsidR="003D7FBC" w:rsidRPr="00D957AC">
        <w:t xml:space="preserve"> </w:t>
      </w:r>
      <w:r w:rsidRPr="00D957AC">
        <w:t xml:space="preserve">in a manner that meets </w:t>
      </w:r>
      <w:r w:rsidR="00953CE4" w:rsidRPr="00D957AC">
        <w:t>national</w:t>
      </w:r>
      <w:r w:rsidRPr="00D957AC">
        <w:t xml:space="preserve"> standards. But savings may occur where proponents currently prepare separate state</w:t>
      </w:r>
      <w:r w:rsidR="0024103C" w:rsidRPr="00D957AC">
        <w:t xml:space="preserve"> or </w:t>
      </w:r>
      <w:r w:rsidR="00953CE4" w:rsidRPr="00D957AC">
        <w:t>territory</w:t>
      </w:r>
      <w:r w:rsidRPr="00D957AC">
        <w:t xml:space="preserve"> and </w:t>
      </w:r>
      <w:r w:rsidR="00953CE4" w:rsidRPr="00D957AC">
        <w:t xml:space="preserve">Australian Government </w:t>
      </w:r>
      <w:r w:rsidRPr="00D957AC">
        <w:t>assessment documentation or undertake separate state</w:t>
      </w:r>
      <w:r w:rsidR="0024103C" w:rsidRPr="00D957AC">
        <w:t xml:space="preserve"> or </w:t>
      </w:r>
      <w:r w:rsidR="00953CE4" w:rsidRPr="00D957AC">
        <w:t>territory</w:t>
      </w:r>
      <w:r w:rsidRPr="00D957AC">
        <w:t xml:space="preserve"> and </w:t>
      </w:r>
      <w:r w:rsidR="00953CE4" w:rsidRPr="00D957AC">
        <w:t>Australian Government</w:t>
      </w:r>
      <w:r w:rsidRPr="00D957AC">
        <w:t xml:space="preserve"> consultation processes (e.g. where the proponent refers a project to the </w:t>
      </w:r>
      <w:r w:rsidR="00953CE4" w:rsidRPr="00D957AC">
        <w:t>Australian Government</w:t>
      </w:r>
      <w:r w:rsidRPr="00D957AC">
        <w:t xml:space="preserve"> after the state</w:t>
      </w:r>
      <w:r w:rsidR="0024103C" w:rsidRPr="00D957AC">
        <w:t xml:space="preserve"> or territory</w:t>
      </w:r>
      <w:r w:rsidRPr="00D957AC">
        <w:t xml:space="preserve"> has already assessed a project).</w:t>
      </w:r>
    </w:p>
    <w:p w:rsidR="00A615FC" w:rsidRPr="00D957AC" w:rsidRDefault="00A615FC" w:rsidP="00AE46A1">
      <w:pPr>
        <w:pStyle w:val="Heading3"/>
      </w:pPr>
      <w:bookmarkStart w:id="37" w:name="_Toc398800534"/>
      <w:r w:rsidRPr="00D957AC">
        <w:t>Approvals processes</w:t>
      </w:r>
      <w:bookmarkEnd w:id="37"/>
    </w:p>
    <w:p w:rsidR="0080332E" w:rsidRPr="00D957AC" w:rsidRDefault="00A615FC" w:rsidP="00A615FC">
      <w:r w:rsidRPr="00D957AC">
        <w:t xml:space="preserve">Under </w:t>
      </w:r>
      <w:r w:rsidR="00D03CCF" w:rsidRPr="00D957AC">
        <w:t xml:space="preserve">the </w:t>
      </w:r>
      <w:r w:rsidRPr="00D957AC">
        <w:t xml:space="preserve">current </w:t>
      </w:r>
      <w:r w:rsidR="00D03CCF" w:rsidRPr="00D957AC">
        <w:t>regulatory system</w:t>
      </w:r>
      <w:r w:rsidRPr="00D957AC">
        <w:t xml:space="preserve">, proponents may be asked by the </w:t>
      </w:r>
      <w:r w:rsidR="0024103C" w:rsidRPr="00D957AC">
        <w:t>Australian Government</w:t>
      </w:r>
      <w:r w:rsidRPr="00D957AC">
        <w:t xml:space="preserve"> to provide more information on </w:t>
      </w:r>
      <w:r w:rsidR="002011A4" w:rsidRPr="00D957AC">
        <w:rPr>
          <w:rFonts w:cs="Arial"/>
        </w:rPr>
        <w:t>Matters of National Environmental Significance</w:t>
      </w:r>
      <w:r w:rsidRPr="00D957AC">
        <w:t xml:space="preserve"> after a state </w:t>
      </w:r>
      <w:r w:rsidR="0024103C" w:rsidRPr="00D957AC">
        <w:t xml:space="preserve">or territory </w:t>
      </w:r>
      <w:r w:rsidRPr="00D957AC">
        <w:t xml:space="preserve">assessment has been completed. </w:t>
      </w:r>
    </w:p>
    <w:p w:rsidR="00390F85" w:rsidRPr="00D957AC" w:rsidRDefault="00390F85" w:rsidP="00AE46A1">
      <w:pPr>
        <w:pStyle w:val="Heading3"/>
      </w:pPr>
      <w:bookmarkStart w:id="38" w:name="_Toc398800535"/>
      <w:r w:rsidRPr="00D957AC">
        <w:t>Post approval stage</w:t>
      </w:r>
      <w:bookmarkEnd w:id="38"/>
    </w:p>
    <w:p w:rsidR="00390F85" w:rsidRPr="00D957AC" w:rsidRDefault="00390F85" w:rsidP="00390F85">
      <w:pPr>
        <w:pStyle w:val="ListBullet"/>
        <w:numPr>
          <w:ilvl w:val="0"/>
          <w:numId w:val="0"/>
        </w:numPr>
      </w:pPr>
      <w:r w:rsidRPr="00D957AC">
        <w:t xml:space="preserve">Currently, proponents are subject to two sets of approval conditions, project auditing and compliance functions. For example, a proponent may have to prepare additional or different management plans for the Commonwealth that are also required for the same protected matter by the State. </w:t>
      </w:r>
    </w:p>
    <w:p w:rsidR="00A615FC" w:rsidRPr="00D957AC" w:rsidRDefault="00A615FC" w:rsidP="00A615FC">
      <w:r w:rsidRPr="00D957AC">
        <w:t xml:space="preserve">Under the </w:t>
      </w:r>
      <w:r w:rsidR="00284CF5" w:rsidRPr="00D957AC">
        <w:t>One-Stop Shop</w:t>
      </w:r>
      <w:r w:rsidRPr="00D957AC">
        <w:t xml:space="preserve">, proponents will be aware of all </w:t>
      </w:r>
      <w:r w:rsidR="0080332E" w:rsidRPr="00D957AC">
        <w:t>information requirements</w:t>
      </w:r>
      <w:r w:rsidRPr="00D957AC">
        <w:t xml:space="preserve"> early in the process, enabling them to prepare and submit information on </w:t>
      </w:r>
      <w:r w:rsidR="002011A4" w:rsidRPr="00D957AC">
        <w:rPr>
          <w:rFonts w:cs="Arial"/>
        </w:rPr>
        <w:t>Matters of National Environmental Significance</w:t>
      </w:r>
      <w:r w:rsidRPr="00D957AC">
        <w:t xml:space="preserve"> once.</w:t>
      </w:r>
      <w:r w:rsidR="002E75A5" w:rsidRPr="00D957AC">
        <w:t xml:space="preserve"> </w:t>
      </w:r>
      <w:r w:rsidRPr="00D957AC">
        <w:t xml:space="preserve">This will reduce the cost of submitting additional information to governments and may reduce the cost of collecting information by allowing all information to be collected at the same time (e.g. in one field season). </w:t>
      </w:r>
    </w:p>
    <w:p w:rsidR="00F7456B" w:rsidRDefault="00F7456B" w:rsidP="00F7456B">
      <w:bookmarkStart w:id="39" w:name="_Toc396997136"/>
    </w:p>
    <w:p w:rsidR="00F7456B" w:rsidRDefault="00F7456B" w:rsidP="00F7456B"/>
    <w:p w:rsidR="00A615FC" w:rsidRPr="00D957AC" w:rsidRDefault="00A615FC" w:rsidP="00D45D0A">
      <w:pPr>
        <w:pStyle w:val="Heading2"/>
      </w:pPr>
      <w:bookmarkStart w:id="40" w:name="_Toc398800536"/>
      <w:r w:rsidRPr="00D957AC">
        <w:t>Delay savings</w:t>
      </w:r>
      <w:bookmarkEnd w:id="39"/>
      <w:bookmarkEnd w:id="40"/>
      <w:r w:rsidRPr="00D957AC">
        <w:t xml:space="preserve"> </w:t>
      </w:r>
    </w:p>
    <w:p w:rsidR="00A615FC" w:rsidRPr="00D957AC" w:rsidRDefault="00A615FC" w:rsidP="00A615FC">
      <w:r w:rsidRPr="00D957AC">
        <w:t xml:space="preserve">Reduced delays to business are the major benefit of the </w:t>
      </w:r>
      <w:r w:rsidR="00284CF5" w:rsidRPr="00D957AC">
        <w:t>One-Stop Shop</w:t>
      </w:r>
      <w:r w:rsidRPr="00D957AC">
        <w:t xml:space="preserve">. </w:t>
      </w:r>
      <w:r w:rsidR="00390F85" w:rsidRPr="00D957AC">
        <w:t xml:space="preserve"> Reduced delay is given a dollar value by analysing the impact on the present value of a project’s future expenses and revenues.  </w:t>
      </w:r>
      <w:r w:rsidRPr="00D957AC">
        <w:t xml:space="preserve">Delay costs are difficult to estimate because they depend on many factors which can be specific to each project. Approval processes also vary between states </w:t>
      </w:r>
      <w:r w:rsidR="0024103C" w:rsidRPr="00D957AC">
        <w:t xml:space="preserve">and territories </w:t>
      </w:r>
      <w:r w:rsidRPr="00D957AC">
        <w:t xml:space="preserve">which can </w:t>
      </w:r>
      <w:r w:rsidR="00D36D8F" w:rsidRPr="00D957AC">
        <w:t>affect</w:t>
      </w:r>
      <w:r w:rsidRPr="00D957AC">
        <w:t xml:space="preserve"> on how time is calculated. </w:t>
      </w:r>
    </w:p>
    <w:p w:rsidR="00A615FC" w:rsidRPr="00D957AC" w:rsidRDefault="00A615FC" w:rsidP="00A615FC">
      <w:r w:rsidRPr="00D957AC">
        <w:t xml:space="preserve">Delay savings are essentially measured by comparing the current assessment and approval timeframes to expected timeframes under the </w:t>
      </w:r>
      <w:r w:rsidR="00284CF5" w:rsidRPr="00D957AC">
        <w:t>One-Stop Shop</w:t>
      </w:r>
      <w:r w:rsidRPr="00D957AC">
        <w:t>.</w:t>
      </w:r>
      <w:r w:rsidR="002E75A5" w:rsidRPr="00D957AC">
        <w:t xml:space="preserve"> </w:t>
      </w:r>
      <w:r w:rsidR="00F7456B">
        <w:t xml:space="preserve">  </w:t>
      </w:r>
      <w:r w:rsidRPr="00D957AC">
        <w:t xml:space="preserve">Estimates </w:t>
      </w:r>
      <w:r w:rsidR="0061247B" w:rsidRPr="00D957AC">
        <w:t xml:space="preserve">of delay costs </w:t>
      </w:r>
      <w:r w:rsidRPr="00D957AC">
        <w:t>are based on:</w:t>
      </w:r>
    </w:p>
    <w:p w:rsidR="00A615FC" w:rsidRPr="00D957AC" w:rsidRDefault="00A028BD" w:rsidP="0085394E">
      <w:pPr>
        <w:pStyle w:val="ListBullet"/>
      </w:pPr>
      <w:r w:rsidRPr="00D957AC">
        <w:t>P</w:t>
      </w:r>
      <w:r w:rsidR="00A615FC" w:rsidRPr="00D957AC">
        <w:t xml:space="preserve">rojects which were assessed by environmental impact statement, public environment report or under an assessment bilateral agreement or accredited process. These projects are most likely to have been subject to two approval decisions and benefit from a </w:t>
      </w:r>
      <w:r w:rsidR="00284CF5" w:rsidRPr="00D957AC">
        <w:t>One-Stop Shop</w:t>
      </w:r>
      <w:r w:rsidR="00A615FC" w:rsidRPr="00D957AC">
        <w:t>. Projects assessed by another method, for example preliminary documentation or on referral information, have been excluded.</w:t>
      </w:r>
    </w:p>
    <w:p w:rsidR="0051754E" w:rsidRPr="00D957AC" w:rsidRDefault="00A028BD" w:rsidP="0051754E">
      <w:pPr>
        <w:pStyle w:val="ListBullet"/>
      </w:pPr>
      <w:r w:rsidRPr="00D957AC">
        <w:t>P</w:t>
      </w:r>
      <w:r w:rsidR="00A615FC" w:rsidRPr="00D957AC">
        <w:t xml:space="preserve">rojects which have been approved over the past three years (between 1 July 2010 and 30 June 2013). </w:t>
      </w:r>
      <w:r w:rsidR="0085394E" w:rsidRPr="00D957AC">
        <w:t xml:space="preserve">Departmental analysis suggests these three years are representative of the previous </w:t>
      </w:r>
      <w:r w:rsidR="00D03CCF" w:rsidRPr="00D957AC">
        <w:t xml:space="preserve">ten </w:t>
      </w:r>
      <w:r w:rsidR="0085394E" w:rsidRPr="00D957AC">
        <w:t xml:space="preserve">years and are therefore suitable for the Government’s </w:t>
      </w:r>
      <w:r w:rsidR="00552F33" w:rsidRPr="00D957AC">
        <w:t>Regulatory Burden Measurement Framework</w:t>
      </w:r>
      <w:r w:rsidR="0085394E" w:rsidRPr="00D957AC">
        <w:t xml:space="preserve">. </w:t>
      </w:r>
      <w:r w:rsidR="0051754E" w:rsidRPr="00D957AC">
        <w:t xml:space="preserve">A number of projects </w:t>
      </w:r>
      <w:r w:rsidR="00390F85" w:rsidRPr="00D957AC">
        <w:t xml:space="preserve">with relatively high value </w:t>
      </w:r>
      <w:r w:rsidR="0051754E" w:rsidRPr="00D957AC">
        <w:t>were approved in 2010-11</w:t>
      </w:r>
      <w:r w:rsidR="00552F33" w:rsidRPr="00D957AC">
        <w:t>as a result of a boom in the mining and energy sector</w:t>
      </w:r>
      <w:r w:rsidR="0051754E" w:rsidRPr="00D957AC">
        <w:t xml:space="preserve">. </w:t>
      </w:r>
      <w:r w:rsidR="00552F33" w:rsidRPr="00D957AC">
        <w:t xml:space="preserve">Projects from this year have been weighted to represent a </w:t>
      </w:r>
      <w:r w:rsidR="0051754E" w:rsidRPr="00D957AC">
        <w:t xml:space="preserve">‘once </w:t>
      </w:r>
      <w:r w:rsidR="00552F33" w:rsidRPr="00D957AC">
        <w:t>in a ten year</w:t>
      </w:r>
      <w:r w:rsidR="0051754E" w:rsidRPr="00D957AC">
        <w:t xml:space="preserve">’ peak. </w:t>
      </w:r>
    </w:p>
    <w:p w:rsidR="00E173E2" w:rsidRPr="00D957AC" w:rsidRDefault="00E173E2" w:rsidP="00A615FC">
      <w:r w:rsidRPr="00D957AC">
        <w:t xml:space="preserve">In some cases, state </w:t>
      </w:r>
      <w:r w:rsidR="0024103C" w:rsidRPr="00D957AC">
        <w:t xml:space="preserve">or territory </w:t>
      </w:r>
      <w:r w:rsidRPr="00D957AC">
        <w:t xml:space="preserve">in-principle approval can provide certainty for business to make a final investment decision on a project, and has been considered as the relevant point of state </w:t>
      </w:r>
      <w:r w:rsidR="0024103C" w:rsidRPr="00D957AC">
        <w:t xml:space="preserve">or territory </w:t>
      </w:r>
      <w:r w:rsidRPr="00D957AC">
        <w:t xml:space="preserve">approval. </w:t>
      </w:r>
    </w:p>
    <w:p w:rsidR="006D032C" w:rsidRPr="00D957AC" w:rsidRDefault="00A615FC" w:rsidP="00A615FC">
      <w:r w:rsidRPr="00D957AC">
        <w:t xml:space="preserve">Projects that are undertaken by the </w:t>
      </w:r>
      <w:r w:rsidR="0024103C" w:rsidRPr="00D957AC">
        <w:t>Australian Government</w:t>
      </w:r>
      <w:r w:rsidRPr="00D957AC">
        <w:t xml:space="preserve"> or on </w:t>
      </w:r>
      <w:r w:rsidR="0024103C" w:rsidRPr="00D957AC">
        <w:t>Australian Government</w:t>
      </w:r>
      <w:r w:rsidRPr="00D957AC">
        <w:t xml:space="preserve"> Lands, and are </w:t>
      </w:r>
      <w:r w:rsidR="001B3046" w:rsidRPr="00D957AC">
        <w:t>located</w:t>
      </w:r>
      <w:r w:rsidRPr="00D957AC">
        <w:t xml:space="preserve"> in the Commonwealth Marine Area are not included</w:t>
      </w:r>
      <w:r w:rsidR="00803BED" w:rsidRPr="00D957AC">
        <w:t xml:space="preserve"> because these </w:t>
      </w:r>
      <w:r w:rsidR="00D36D8F" w:rsidRPr="00D957AC">
        <w:t>will</w:t>
      </w:r>
      <w:r w:rsidR="00803BED" w:rsidRPr="00D957AC">
        <w:t xml:space="preserve"> not </w:t>
      </w:r>
      <w:r w:rsidR="00D03CCF" w:rsidRPr="00D957AC">
        <w:t xml:space="preserve">be covered by </w:t>
      </w:r>
      <w:r w:rsidR="00803BED" w:rsidRPr="00D957AC">
        <w:t xml:space="preserve">the </w:t>
      </w:r>
      <w:r w:rsidR="00284CF5" w:rsidRPr="00D957AC">
        <w:t>One-Stop Shop</w:t>
      </w:r>
      <w:r w:rsidR="00803BED" w:rsidRPr="00D957AC">
        <w:t>.</w:t>
      </w:r>
      <w:r w:rsidR="00E173E2" w:rsidRPr="00D957AC">
        <w:t xml:space="preserve"> Projects that were discontinued after approval </w:t>
      </w:r>
      <w:r w:rsidR="00D36D8F" w:rsidRPr="00D957AC">
        <w:t>are</w:t>
      </w:r>
      <w:r w:rsidR="00E173E2" w:rsidRPr="00D957AC">
        <w:t xml:space="preserve"> also excluded from delay cost calculations. </w:t>
      </w:r>
      <w:r w:rsidR="0080332E" w:rsidRPr="00D957AC">
        <w:t xml:space="preserve">Under the </w:t>
      </w:r>
      <w:r w:rsidR="00552F33" w:rsidRPr="00D957AC">
        <w:t>Regulatory Burden Measurement Framework</w:t>
      </w:r>
      <w:r w:rsidR="0080332E" w:rsidRPr="00D957AC">
        <w:t xml:space="preserve">, </w:t>
      </w:r>
      <w:r w:rsidR="000C7F1B" w:rsidRPr="00D957AC">
        <w:t xml:space="preserve">projects in which a </w:t>
      </w:r>
      <w:r w:rsidR="0080332E" w:rsidRPr="00D957AC">
        <w:t xml:space="preserve">Government </w:t>
      </w:r>
      <w:r w:rsidR="000C7F1B" w:rsidRPr="00D957AC">
        <w:t xml:space="preserve">is the proponent </w:t>
      </w:r>
      <w:r w:rsidR="0080332E" w:rsidRPr="00D957AC">
        <w:t>are also excluded</w:t>
      </w:r>
      <w:r w:rsidR="000C7F1B" w:rsidRPr="00D957AC">
        <w:t xml:space="preserve"> since they are not businesses</w:t>
      </w:r>
      <w:r w:rsidR="00390F85" w:rsidRPr="00D957AC">
        <w:t>, community organisations or individuals</w:t>
      </w:r>
      <w:r w:rsidR="0080332E" w:rsidRPr="00D957AC">
        <w:t>.</w:t>
      </w:r>
      <w:r w:rsidR="000C7F1B" w:rsidRPr="00D957AC">
        <w:t xml:space="preserve"> This removes a range of infrastructure</w:t>
      </w:r>
      <w:r w:rsidR="002732CA" w:rsidRPr="00D957AC">
        <w:t xml:space="preserve"> projects.</w:t>
      </w:r>
      <w:r w:rsidR="000C7F1B" w:rsidRPr="00D957AC">
        <w:t xml:space="preserve"> </w:t>
      </w:r>
      <w:r w:rsidR="00E173E2" w:rsidRPr="00D957AC">
        <w:t xml:space="preserve">However, </w:t>
      </w:r>
      <w:r w:rsidR="000C7F1B" w:rsidRPr="00D957AC">
        <w:t>projects undertaken by Government Business Enterprises (e</w:t>
      </w:r>
      <w:r w:rsidR="001C774E" w:rsidRPr="00D957AC">
        <w:t>.</w:t>
      </w:r>
      <w:r w:rsidR="000C7F1B" w:rsidRPr="00D957AC">
        <w:t>g</w:t>
      </w:r>
      <w:r w:rsidR="001C774E" w:rsidRPr="00D957AC">
        <w:t>.</w:t>
      </w:r>
      <w:r w:rsidR="000C7F1B" w:rsidRPr="00D957AC">
        <w:t xml:space="preserve"> </w:t>
      </w:r>
      <w:proofErr w:type="spellStart"/>
      <w:r w:rsidR="000C7F1B" w:rsidRPr="00D957AC">
        <w:t>corporati</w:t>
      </w:r>
      <w:r w:rsidR="001C774E" w:rsidRPr="00D957AC">
        <w:t>s</w:t>
      </w:r>
      <w:r w:rsidR="000C7F1B" w:rsidRPr="00D957AC">
        <w:t>ed</w:t>
      </w:r>
      <w:proofErr w:type="spellEnd"/>
      <w:r w:rsidR="000C7F1B" w:rsidRPr="00D957AC">
        <w:t xml:space="preserve"> energy asset owners</w:t>
      </w:r>
      <w:r w:rsidR="00F864AB" w:rsidRPr="00D957AC">
        <w:t>, even if wholly owned by government</w:t>
      </w:r>
      <w:r w:rsidR="000C7F1B" w:rsidRPr="00D957AC">
        <w:t xml:space="preserve">) are included </w:t>
      </w:r>
      <w:r w:rsidR="00390F85" w:rsidRPr="00D957AC">
        <w:t xml:space="preserve">as businesses </w:t>
      </w:r>
      <w:r w:rsidR="000C7F1B" w:rsidRPr="00D957AC">
        <w:t xml:space="preserve">under the </w:t>
      </w:r>
      <w:r w:rsidR="00552F33" w:rsidRPr="00D957AC">
        <w:t>Regulatory Burden Measurement Framework</w:t>
      </w:r>
      <w:r w:rsidR="000C7F1B" w:rsidRPr="00D957AC">
        <w:t>.</w:t>
      </w:r>
      <w:r w:rsidR="0080332E" w:rsidRPr="00D957AC">
        <w:t xml:space="preserve"> </w:t>
      </w:r>
    </w:p>
    <w:p w:rsidR="00073543" w:rsidRPr="00D957AC" w:rsidRDefault="00073543" w:rsidP="00073543">
      <w:r w:rsidRPr="00D957AC">
        <w:t xml:space="preserve">Using the criteria above, 52 projects from the Department’s databases were used to calculate </w:t>
      </w:r>
      <w:r w:rsidR="00390F85" w:rsidRPr="00D957AC">
        <w:t>the One-Stop Shop’s delay cost savings</w:t>
      </w:r>
      <w:r w:rsidRPr="00D957AC">
        <w:t xml:space="preserve">. Note this is a much smaller set of projects than were used to calculate administrative costs. </w:t>
      </w:r>
    </w:p>
    <w:p w:rsidR="00A615FC" w:rsidRPr="00D957AC" w:rsidRDefault="00A615FC" w:rsidP="00A615FC">
      <w:r w:rsidRPr="00D957AC">
        <w:t xml:space="preserve">The approval timeframe was broken down into three components to assist consideration of how timeframes would be expected to change under a </w:t>
      </w:r>
      <w:r w:rsidR="00284CF5" w:rsidRPr="00D957AC">
        <w:t>One-Stop Shop</w:t>
      </w:r>
      <w:r w:rsidRPr="00D957AC">
        <w:t xml:space="preserve">: </w:t>
      </w:r>
    </w:p>
    <w:p w:rsidR="0080332E" w:rsidRPr="00D957AC" w:rsidRDefault="00A028BD" w:rsidP="00246199">
      <w:pPr>
        <w:pStyle w:val="ListBullet"/>
      </w:pPr>
      <w:r w:rsidRPr="00D957AC">
        <w:t>T</w:t>
      </w:r>
      <w:r w:rsidR="0080332E" w:rsidRPr="00D957AC">
        <w:t>he expected timeframe for an approval decision by the Australian Government after a state or territory approval (typically 30-40 business days)</w:t>
      </w:r>
    </w:p>
    <w:p w:rsidR="00A615FC" w:rsidRPr="00D957AC" w:rsidRDefault="00A028BD" w:rsidP="00246199">
      <w:pPr>
        <w:pStyle w:val="ListBullet"/>
      </w:pPr>
      <w:r w:rsidRPr="00D957AC">
        <w:t>Ex</w:t>
      </w:r>
      <w:r w:rsidR="0080332E" w:rsidRPr="00D957AC">
        <w:t xml:space="preserve">tensions by the Australian Government to the expected timeframe, for example to obtain more information on </w:t>
      </w:r>
      <w:r w:rsidR="00D36D8F" w:rsidRPr="00D957AC">
        <w:t>Matters of National Environmental Significance</w:t>
      </w:r>
      <w:r w:rsidR="0080332E" w:rsidRPr="00D957AC">
        <w:t xml:space="preserve"> or for more time to consider information</w:t>
      </w:r>
    </w:p>
    <w:p w:rsidR="00A615FC" w:rsidRPr="00D957AC" w:rsidRDefault="00A028BD" w:rsidP="00246199">
      <w:pPr>
        <w:pStyle w:val="ListBullet"/>
      </w:pPr>
      <w:r w:rsidRPr="00D957AC">
        <w:t>A</w:t>
      </w:r>
      <w:r w:rsidR="0080332E" w:rsidRPr="00D957AC">
        <w:t xml:space="preserve"> late decision by the Australian Government</w:t>
      </w:r>
      <w:r w:rsidR="00A615FC" w:rsidRPr="00D957AC">
        <w:t>.</w:t>
      </w:r>
    </w:p>
    <w:p w:rsidR="00A615FC" w:rsidRPr="00D957AC" w:rsidRDefault="00A615FC" w:rsidP="00A615FC">
      <w:r w:rsidRPr="00D957AC">
        <w:t xml:space="preserve">Under the EPBC Act, the </w:t>
      </w:r>
      <w:r w:rsidR="0024103C" w:rsidRPr="00D957AC">
        <w:t>Australian Government</w:t>
      </w:r>
      <w:r w:rsidRPr="00D957AC">
        <w:t xml:space="preserve"> Minister can extend </w:t>
      </w:r>
      <w:r w:rsidR="0024103C" w:rsidRPr="00D957AC">
        <w:t xml:space="preserve">the standard time allowed for an Australian Government </w:t>
      </w:r>
      <w:r w:rsidRPr="00D957AC">
        <w:t xml:space="preserve">decision for various reasons, including where further information is required from the proponent and where the proponent requests a variation to the project. These are commonly known as ‘stop the clock’ extensions. Some of the reasons for these ‘stop the clock’ extensions may still be relevant for approvals under the </w:t>
      </w:r>
      <w:r w:rsidR="00284CF5" w:rsidRPr="00D957AC">
        <w:t>One-Stop Shop</w:t>
      </w:r>
      <w:r w:rsidRPr="00D957AC">
        <w:t xml:space="preserve"> because the state</w:t>
      </w:r>
      <w:r w:rsidR="00953CE4" w:rsidRPr="00D957AC">
        <w:t xml:space="preserve"> or territory</w:t>
      </w:r>
      <w:r w:rsidRPr="00D957AC">
        <w:t xml:space="preserve"> is likely to have to undertake the same process </w:t>
      </w:r>
      <w:r w:rsidR="001B3046" w:rsidRPr="00D957AC">
        <w:t>or the delay is attributable to the propon</w:t>
      </w:r>
      <w:r w:rsidR="00E173E2" w:rsidRPr="00D957AC">
        <w:t xml:space="preserve">ent or state </w:t>
      </w:r>
      <w:r w:rsidR="0024103C" w:rsidRPr="00D957AC">
        <w:t xml:space="preserve">or territory </w:t>
      </w:r>
      <w:r w:rsidR="00E173E2" w:rsidRPr="00D957AC">
        <w:t>government (e.g. a</w:t>
      </w:r>
      <w:r w:rsidR="001B3046" w:rsidRPr="00D957AC">
        <w:t xml:space="preserve"> </w:t>
      </w:r>
      <w:r w:rsidR="00176703" w:rsidRPr="00D957AC">
        <w:t xml:space="preserve">legal </w:t>
      </w:r>
      <w:r w:rsidR="001B3046" w:rsidRPr="00D957AC">
        <w:t>appeals process)</w:t>
      </w:r>
      <w:r w:rsidRPr="00D957AC">
        <w:t>.</w:t>
      </w:r>
    </w:p>
    <w:p w:rsidR="001B3046" w:rsidRPr="00D957AC" w:rsidRDefault="00F864AB" w:rsidP="00A615FC">
      <w:r w:rsidRPr="00D957AC">
        <w:t>All projects approved over a three year period to 30 June 2013 were filtered using the exclusion criteria given above. The remaining 5</w:t>
      </w:r>
      <w:r w:rsidR="008B1B8A" w:rsidRPr="00D957AC">
        <w:t>2</w:t>
      </w:r>
      <w:r w:rsidRPr="00D957AC">
        <w:t xml:space="preserve"> projects </w:t>
      </w:r>
      <w:r w:rsidR="001B3046" w:rsidRPr="00D957AC">
        <w:t xml:space="preserve">were individually </w:t>
      </w:r>
      <w:r w:rsidRPr="00D957AC">
        <w:t xml:space="preserve">analysed </w:t>
      </w:r>
      <w:r w:rsidR="001B3046" w:rsidRPr="00D957AC">
        <w:t xml:space="preserve">to determine the </w:t>
      </w:r>
      <w:r w:rsidR="00507653" w:rsidRPr="00D957AC">
        <w:t xml:space="preserve">number of days </w:t>
      </w:r>
      <w:r w:rsidR="001B3046" w:rsidRPr="00D957AC">
        <w:t xml:space="preserve">delay </w:t>
      </w:r>
      <w:r w:rsidRPr="00D957AC">
        <w:t xml:space="preserve">which would have been avoided had the project been </w:t>
      </w:r>
      <w:r w:rsidR="00507653" w:rsidRPr="00D957AC">
        <w:t xml:space="preserve">approved </w:t>
      </w:r>
      <w:r w:rsidRPr="00D957AC">
        <w:t xml:space="preserve">under </w:t>
      </w:r>
      <w:r w:rsidR="001B3046" w:rsidRPr="00D957AC">
        <w:t xml:space="preserve">the </w:t>
      </w:r>
      <w:r w:rsidR="00284CF5" w:rsidRPr="00D957AC">
        <w:t>One-Stop Shop</w:t>
      </w:r>
      <w:r w:rsidR="001B3046" w:rsidRPr="00D957AC">
        <w:t xml:space="preserve">.  </w:t>
      </w:r>
      <w:r w:rsidR="00507653" w:rsidRPr="00D957AC">
        <w:t>For each project, the impact of its d</w:t>
      </w:r>
      <w:r w:rsidR="001B3046" w:rsidRPr="00D957AC">
        <w:t>elay</w:t>
      </w:r>
      <w:r w:rsidR="00507653" w:rsidRPr="00D957AC">
        <w:t xml:space="preserve"> on </w:t>
      </w:r>
      <w:r w:rsidR="001B3046" w:rsidRPr="00D957AC">
        <w:t xml:space="preserve">the estimated net present value </w:t>
      </w:r>
      <w:r w:rsidR="00507653" w:rsidRPr="00D957AC">
        <w:t>is determined and divided by the project lifespan</w:t>
      </w:r>
      <w:r w:rsidR="001B3046" w:rsidRPr="00D957AC">
        <w:t>.</w:t>
      </w:r>
    </w:p>
    <w:p w:rsidR="001B3046" w:rsidRPr="00D957AC" w:rsidRDefault="001B3046" w:rsidP="00D45D0A">
      <w:pPr>
        <w:pStyle w:val="Heading2"/>
      </w:pPr>
      <w:bookmarkStart w:id="41" w:name="_Toc396997137"/>
      <w:bookmarkStart w:id="42" w:name="_Toc398800537"/>
      <w:r w:rsidRPr="00D957AC">
        <w:t>Total savings</w:t>
      </w:r>
      <w:r w:rsidR="000B2D4E" w:rsidRPr="00D957AC">
        <w:t xml:space="preserve"> for business</w:t>
      </w:r>
      <w:bookmarkEnd w:id="41"/>
      <w:bookmarkEnd w:id="42"/>
    </w:p>
    <w:p w:rsidR="000B2D4E" w:rsidRPr="00D957AC" w:rsidRDefault="001B3046" w:rsidP="000B2D4E">
      <w:r w:rsidRPr="00D957AC">
        <w:t>Administrative</w:t>
      </w:r>
      <w:r w:rsidR="000B2D4E" w:rsidRPr="00D957AC">
        <w:t xml:space="preserve"> savings of $</w:t>
      </w:r>
      <w:r w:rsidR="00B37AAC" w:rsidRPr="00D957AC">
        <w:t>9</w:t>
      </w:r>
      <w:r w:rsidR="000B2D4E" w:rsidRPr="00D957AC">
        <w:t xml:space="preserve"> million</w:t>
      </w:r>
      <w:r w:rsidRPr="00D957AC">
        <w:t xml:space="preserve"> and delay savings </w:t>
      </w:r>
      <w:r w:rsidR="000B2D4E" w:rsidRPr="00D957AC">
        <w:t>of $</w:t>
      </w:r>
      <w:r w:rsidR="00133EEA" w:rsidRPr="00D957AC">
        <w:t>417</w:t>
      </w:r>
      <w:r w:rsidR="000B2D4E" w:rsidRPr="00D957AC">
        <w:t xml:space="preserve"> million </w:t>
      </w:r>
      <w:r w:rsidRPr="00D957AC">
        <w:t xml:space="preserve">were combined to determine </w:t>
      </w:r>
      <w:r w:rsidR="00CE1ED2" w:rsidRPr="00D957AC">
        <w:t>the</w:t>
      </w:r>
      <w:r w:rsidRPr="00D957AC">
        <w:t xml:space="preserve"> total </w:t>
      </w:r>
      <w:r w:rsidR="000B2D4E" w:rsidRPr="00D957AC">
        <w:t>savings to business that could be</w:t>
      </w:r>
      <w:r w:rsidRPr="00D957AC">
        <w:t xml:space="preserve"> expected under the </w:t>
      </w:r>
      <w:r w:rsidR="00284CF5" w:rsidRPr="00D957AC">
        <w:t>One-Stop Shop</w:t>
      </w:r>
      <w:r w:rsidRPr="00D957AC">
        <w:t xml:space="preserve">.  </w:t>
      </w:r>
    </w:p>
    <w:p w:rsidR="001B3046" w:rsidRPr="00D957AC" w:rsidRDefault="001B3046" w:rsidP="001B3046">
      <w:r w:rsidRPr="00D957AC">
        <w:t xml:space="preserve">The </w:t>
      </w:r>
      <w:r w:rsidR="00284CF5" w:rsidRPr="00D957AC">
        <w:t>One-Stop Shop</w:t>
      </w:r>
      <w:r w:rsidRPr="00D957AC">
        <w:t xml:space="preserve"> is estimated to </w:t>
      </w:r>
      <w:r w:rsidR="000B2D4E" w:rsidRPr="00D957AC">
        <w:t>save business</w:t>
      </w:r>
      <w:r w:rsidRPr="00D957AC">
        <w:t xml:space="preserve"> </w:t>
      </w:r>
      <w:r w:rsidR="007B38DE" w:rsidRPr="00D957AC">
        <w:t xml:space="preserve">over </w:t>
      </w:r>
      <w:r w:rsidRPr="00D957AC">
        <w:t>$</w:t>
      </w:r>
      <w:r w:rsidR="00B37AAC" w:rsidRPr="00D957AC">
        <w:t>426</w:t>
      </w:r>
      <w:r w:rsidR="007131E9" w:rsidRPr="00D957AC">
        <w:t xml:space="preserve"> </w:t>
      </w:r>
      <w:r w:rsidRPr="00D957AC">
        <w:t>million</w:t>
      </w:r>
      <w:r w:rsidR="000B2D4E" w:rsidRPr="00D957AC">
        <w:t xml:space="preserve"> </w:t>
      </w:r>
      <w:r w:rsidR="00307B6D" w:rsidRPr="00D957AC">
        <w:t>a</w:t>
      </w:r>
      <w:r w:rsidR="000B2D4E" w:rsidRPr="00D957AC">
        <w:t xml:space="preserve"> year</w:t>
      </w:r>
      <w:r w:rsidRPr="00D957AC">
        <w:t xml:space="preserve">. </w:t>
      </w:r>
    </w:p>
    <w:p w:rsidR="00A45749" w:rsidRPr="00D957AC" w:rsidRDefault="00F92890" w:rsidP="00D45D0A">
      <w:pPr>
        <w:pStyle w:val="Heading2"/>
      </w:pPr>
      <w:bookmarkStart w:id="43" w:name="_Toc390345354"/>
      <w:bookmarkStart w:id="44" w:name="_Toc396997138"/>
      <w:bookmarkStart w:id="45" w:name="_Toc398800538"/>
      <w:bookmarkEnd w:id="43"/>
      <w:r w:rsidRPr="00D957AC">
        <w:t>Limitations</w:t>
      </w:r>
      <w:bookmarkEnd w:id="44"/>
      <w:bookmarkEnd w:id="45"/>
    </w:p>
    <w:p w:rsidR="0043050F" w:rsidRPr="00D957AC" w:rsidRDefault="00B020B1" w:rsidP="00A615FC">
      <w:r w:rsidRPr="00D957AC">
        <w:t xml:space="preserve">Deregulation </w:t>
      </w:r>
      <w:r w:rsidR="001B3046" w:rsidRPr="00D957AC">
        <w:t>saving</w:t>
      </w:r>
      <w:r w:rsidR="0043050F" w:rsidRPr="00D957AC">
        <w:t>s</w:t>
      </w:r>
      <w:r w:rsidR="001B3046" w:rsidRPr="00D957AC">
        <w:t xml:space="preserve"> estimates</w:t>
      </w:r>
      <w:r w:rsidR="00A615FC" w:rsidRPr="00D957AC">
        <w:t xml:space="preserve"> are conservative and based on evidence obtained from past approvals.</w:t>
      </w:r>
      <w:r w:rsidR="00C676D8" w:rsidRPr="00D957AC">
        <w:t xml:space="preserve"> </w:t>
      </w:r>
    </w:p>
    <w:p w:rsidR="00A615FC" w:rsidRPr="00D957AC" w:rsidRDefault="00B020B1" w:rsidP="00A615FC">
      <w:r w:rsidRPr="00D957AC">
        <w:t>Total</w:t>
      </w:r>
      <w:r w:rsidR="00A615FC" w:rsidRPr="00D957AC">
        <w:t xml:space="preserve"> savings will depend on the extent to which state and territory legislation can be accredited. The </w:t>
      </w:r>
      <w:r w:rsidR="001B3046" w:rsidRPr="00D957AC">
        <w:t xml:space="preserve">Australian Government </w:t>
      </w:r>
      <w:r w:rsidR="00A615FC" w:rsidRPr="00D957AC">
        <w:t xml:space="preserve">is working to accredit as many </w:t>
      </w:r>
      <w:r w:rsidR="00C676D8" w:rsidRPr="00D957AC">
        <w:t xml:space="preserve">state </w:t>
      </w:r>
      <w:r w:rsidR="0024103C" w:rsidRPr="00D957AC">
        <w:t xml:space="preserve">and territory </w:t>
      </w:r>
      <w:r w:rsidR="00C676D8" w:rsidRPr="00D957AC">
        <w:t>processes as possible. The</w:t>
      </w:r>
      <w:r w:rsidR="00A615FC" w:rsidRPr="00D957AC">
        <w:t xml:space="preserve"> total savings estimate </w:t>
      </w:r>
      <w:r w:rsidR="00C676D8" w:rsidRPr="00D957AC">
        <w:t xml:space="preserve">in this </w:t>
      </w:r>
      <w:r w:rsidR="00176703" w:rsidRPr="00D957AC">
        <w:t xml:space="preserve">regulatory impact analysis </w:t>
      </w:r>
      <w:r w:rsidR="00A615FC" w:rsidRPr="00D957AC">
        <w:t xml:space="preserve">is based on achieving EPBC Act accreditation for </w:t>
      </w:r>
      <w:r w:rsidR="00246199" w:rsidRPr="00D957AC">
        <w:t xml:space="preserve">those </w:t>
      </w:r>
      <w:r w:rsidR="00A615FC" w:rsidRPr="00D957AC">
        <w:t xml:space="preserve">state </w:t>
      </w:r>
      <w:r w:rsidR="001B3046" w:rsidRPr="00D957AC">
        <w:t xml:space="preserve">and territory </w:t>
      </w:r>
      <w:r w:rsidR="00A615FC" w:rsidRPr="00D957AC">
        <w:t xml:space="preserve">processes </w:t>
      </w:r>
      <w:r w:rsidR="00246199" w:rsidRPr="00D957AC">
        <w:t xml:space="preserve">that are either confirmed or expected as at </w:t>
      </w:r>
      <w:r w:rsidR="00312B97" w:rsidRPr="00D957AC">
        <w:t>30 June</w:t>
      </w:r>
      <w:r w:rsidR="00A45749" w:rsidRPr="00D957AC">
        <w:t> 2014</w:t>
      </w:r>
      <w:r w:rsidR="00246199" w:rsidRPr="00D957AC">
        <w:t>.</w:t>
      </w:r>
      <w:r w:rsidR="00A615FC" w:rsidRPr="00D957AC">
        <w:t xml:space="preserve"> </w:t>
      </w:r>
      <w:r w:rsidR="006F6CDA" w:rsidRPr="00D957AC">
        <w:t>The Department anticipates</w:t>
      </w:r>
      <w:r w:rsidR="00A615FC" w:rsidRPr="00D957AC">
        <w:t xml:space="preserve"> that the accredited processes are likely to capture the majority of large scale, capital intensive projects. These projects have the greatest cost impact when </w:t>
      </w:r>
      <w:r w:rsidR="001B3046" w:rsidRPr="00D957AC">
        <w:t xml:space="preserve">administrative or </w:t>
      </w:r>
      <w:r w:rsidR="00A615FC" w:rsidRPr="00D957AC">
        <w:t xml:space="preserve">delay </w:t>
      </w:r>
      <w:r w:rsidR="001B3046" w:rsidRPr="00D957AC">
        <w:t>costs are incurred.</w:t>
      </w:r>
      <w:r w:rsidR="00A615FC" w:rsidRPr="00D957AC">
        <w:t xml:space="preserve"> </w:t>
      </w:r>
    </w:p>
    <w:p w:rsidR="0043050F" w:rsidRPr="00D957AC" w:rsidRDefault="0043050F" w:rsidP="0043050F">
      <w:pPr>
        <w:pStyle w:val="ListNumber"/>
        <w:numPr>
          <w:ilvl w:val="0"/>
          <w:numId w:val="0"/>
        </w:numPr>
        <w:rPr>
          <w:rFonts w:eastAsia="Times New Roman" w:cs="Arial"/>
        </w:rPr>
      </w:pPr>
      <w:r w:rsidRPr="00D957AC">
        <w:rPr>
          <w:rFonts w:eastAsia="Times New Roman" w:cs="Arial"/>
        </w:rPr>
        <w:t>There are a number of factors that may influence the estimate that have not been directly accounted for in the calculations</w:t>
      </w:r>
      <w:r w:rsidR="005F745A" w:rsidRPr="00D957AC">
        <w:rPr>
          <w:rFonts w:eastAsia="Times New Roman" w:cs="Arial"/>
        </w:rPr>
        <w:t>,</w:t>
      </w:r>
      <w:r w:rsidR="00C16E36" w:rsidRPr="00D957AC">
        <w:rPr>
          <w:rFonts w:eastAsia="Times New Roman" w:cs="Arial"/>
        </w:rPr>
        <w:t xml:space="preserve"> due to an absence of reliable data,</w:t>
      </w:r>
      <w:r w:rsidR="005F745A" w:rsidRPr="00D957AC">
        <w:rPr>
          <w:rFonts w:eastAsia="Times New Roman" w:cs="Arial"/>
        </w:rPr>
        <w:t xml:space="preserve"> leading to an estimate which is inherently conservative</w:t>
      </w:r>
      <w:r w:rsidRPr="00D957AC">
        <w:rPr>
          <w:rFonts w:eastAsia="Times New Roman" w:cs="Arial"/>
        </w:rPr>
        <w:t>:</w:t>
      </w:r>
    </w:p>
    <w:p w:rsidR="0043050F" w:rsidRPr="00D957AC" w:rsidRDefault="00E173E2" w:rsidP="0043050F">
      <w:pPr>
        <w:pStyle w:val="ListBullet"/>
      </w:pPr>
      <w:r w:rsidRPr="00D957AC">
        <w:t>Factors that would increase the estimate</w:t>
      </w:r>
      <w:r w:rsidR="0043050F" w:rsidRPr="00D957AC">
        <w:t xml:space="preserve">: </w:t>
      </w:r>
    </w:p>
    <w:p w:rsidR="0043050F" w:rsidRPr="00D957AC" w:rsidRDefault="00A028BD" w:rsidP="0043050F">
      <w:pPr>
        <w:pStyle w:val="ListBullet2"/>
      </w:pPr>
      <w:r w:rsidRPr="00D957AC">
        <w:t>P</w:t>
      </w:r>
      <w:r w:rsidR="0043050F" w:rsidRPr="00D957AC">
        <w:t xml:space="preserve">otential </w:t>
      </w:r>
      <w:r w:rsidR="005F745A" w:rsidRPr="00D957AC">
        <w:t xml:space="preserve">increased </w:t>
      </w:r>
      <w:r w:rsidR="0043050F" w:rsidRPr="00D957AC">
        <w:t xml:space="preserve">savings to projects assessed by preliminary documentation have not been included. </w:t>
      </w:r>
    </w:p>
    <w:p w:rsidR="0043050F" w:rsidRPr="00D957AC" w:rsidRDefault="00A028BD" w:rsidP="0043050F">
      <w:pPr>
        <w:pStyle w:val="ListBullet2"/>
      </w:pPr>
      <w:r w:rsidRPr="00D957AC">
        <w:t>P</w:t>
      </w:r>
      <w:r w:rsidR="0043050F" w:rsidRPr="00D957AC">
        <w:t xml:space="preserve">otential </w:t>
      </w:r>
      <w:r w:rsidR="005F745A" w:rsidRPr="00D957AC">
        <w:t xml:space="preserve">increased </w:t>
      </w:r>
      <w:r w:rsidR="0043050F" w:rsidRPr="00D957AC">
        <w:t>savings in the post approval stage have also not been included.</w:t>
      </w:r>
      <w:r w:rsidR="00E173E2" w:rsidRPr="00D957AC">
        <w:t xml:space="preserve"> </w:t>
      </w:r>
    </w:p>
    <w:p w:rsidR="0043050F" w:rsidRPr="00D957AC" w:rsidRDefault="00A028BD" w:rsidP="0043050F">
      <w:pPr>
        <w:pStyle w:val="ListBullet2"/>
      </w:pPr>
      <w:r w:rsidRPr="00D957AC">
        <w:t>T</w:t>
      </w:r>
      <w:r w:rsidR="0043050F" w:rsidRPr="00D957AC">
        <w:t>he value of increased investment certainty has not been estimated.</w:t>
      </w:r>
      <w:r w:rsidR="0043050F" w:rsidRPr="00D957AC">
        <w:rPr>
          <w:lang w:val="en-US"/>
        </w:rPr>
        <w:t xml:space="preserve"> </w:t>
      </w:r>
    </w:p>
    <w:p w:rsidR="00065E6D" w:rsidRPr="00D957AC" w:rsidRDefault="00C16E36" w:rsidP="00065E6D">
      <w:pPr>
        <w:pStyle w:val="ListBullet2"/>
      </w:pPr>
      <w:r w:rsidRPr="00D957AC">
        <w:rPr>
          <w:lang w:val="en-US"/>
        </w:rPr>
        <w:t>The broader economi</w:t>
      </w:r>
      <w:r w:rsidR="00AB59AC" w:rsidRPr="00D957AC">
        <w:rPr>
          <w:lang w:val="en-US"/>
        </w:rPr>
        <w:t xml:space="preserve">c benefits </w:t>
      </w:r>
      <w:r w:rsidRPr="00D957AC">
        <w:rPr>
          <w:lang w:val="en-US"/>
        </w:rPr>
        <w:t xml:space="preserve">of government projects </w:t>
      </w:r>
      <w:r w:rsidR="00AB59AC" w:rsidRPr="00D957AC">
        <w:rPr>
          <w:lang w:val="en-US"/>
        </w:rPr>
        <w:t>(</w:t>
      </w:r>
      <w:r w:rsidRPr="00D957AC">
        <w:rPr>
          <w:lang w:val="en-US"/>
        </w:rPr>
        <w:t>such as road infrastructure</w:t>
      </w:r>
      <w:r w:rsidR="00AB59AC" w:rsidRPr="00D957AC">
        <w:rPr>
          <w:lang w:val="en-US"/>
        </w:rPr>
        <w:t>)</w:t>
      </w:r>
      <w:r w:rsidRPr="00D957AC">
        <w:rPr>
          <w:lang w:val="en-US"/>
        </w:rPr>
        <w:t xml:space="preserve"> </w:t>
      </w:r>
      <w:r w:rsidR="00AB59AC" w:rsidRPr="00D957AC">
        <w:rPr>
          <w:lang w:val="en-US"/>
        </w:rPr>
        <w:t xml:space="preserve">are not captured because they </w:t>
      </w:r>
      <w:r w:rsidRPr="00D957AC">
        <w:rPr>
          <w:lang w:val="en-US"/>
        </w:rPr>
        <w:t xml:space="preserve">are excluded under the </w:t>
      </w:r>
      <w:r w:rsidR="00552F33" w:rsidRPr="00D957AC">
        <w:rPr>
          <w:lang w:val="en-US"/>
        </w:rPr>
        <w:t>Regulatory Burden Measurement Framework</w:t>
      </w:r>
      <w:r w:rsidRPr="00D957AC">
        <w:rPr>
          <w:lang w:val="en-US"/>
        </w:rPr>
        <w:t>.</w:t>
      </w:r>
      <w:bookmarkStart w:id="46" w:name="_Toc396997139"/>
    </w:p>
    <w:p w:rsidR="00065E6D" w:rsidRPr="00D957AC" w:rsidRDefault="00065E6D" w:rsidP="00065E6D">
      <w:pPr>
        <w:pStyle w:val="Heading2"/>
      </w:pPr>
    </w:p>
    <w:p w:rsidR="00065E6D" w:rsidRPr="00D957AC" w:rsidRDefault="00065E6D" w:rsidP="00065E6D"/>
    <w:p w:rsidR="00A45749" w:rsidRPr="00D957AC" w:rsidRDefault="00F92890" w:rsidP="00065E6D">
      <w:pPr>
        <w:pStyle w:val="Heading2"/>
      </w:pPr>
      <w:bookmarkStart w:id="47" w:name="_Toc398800539"/>
      <w:r w:rsidRPr="00D957AC">
        <w:t>Conclusion</w:t>
      </w:r>
      <w:bookmarkEnd w:id="46"/>
      <w:bookmarkEnd w:id="47"/>
    </w:p>
    <w:p w:rsidR="00E50CA2" w:rsidRPr="00D957AC" w:rsidRDefault="004C791B" w:rsidP="0085394E">
      <w:r w:rsidRPr="00D957AC">
        <w:t>Unnecessary duplication exists under current arrangements</w:t>
      </w:r>
      <w:r w:rsidR="00EA7EB9" w:rsidRPr="00D957AC">
        <w:t xml:space="preserve"> and is well recognised by business</w:t>
      </w:r>
      <w:r w:rsidR="00E50CA2" w:rsidRPr="00D957AC">
        <w:t xml:space="preserve"> and</w:t>
      </w:r>
      <w:r w:rsidR="00EA7EB9" w:rsidRPr="00D957AC">
        <w:t xml:space="preserve"> governments. </w:t>
      </w:r>
    </w:p>
    <w:p w:rsidR="00EA7EB9" w:rsidRPr="00D957AC" w:rsidRDefault="00EA7EB9" w:rsidP="00EA7EB9">
      <w:r w:rsidRPr="00D957AC">
        <w:rPr>
          <w:rFonts w:eastAsia="Times New Roman"/>
        </w:rPr>
        <w:t xml:space="preserve">The </w:t>
      </w:r>
      <w:r w:rsidR="00284CF5" w:rsidRPr="00D957AC">
        <w:rPr>
          <w:rFonts w:eastAsia="Times New Roman"/>
        </w:rPr>
        <w:t>One-Stop Shop</w:t>
      </w:r>
      <w:r w:rsidRPr="00D957AC">
        <w:rPr>
          <w:rFonts w:eastAsia="Times New Roman"/>
        </w:rPr>
        <w:t xml:space="preserve"> will simplify and reduce duplication in the environmental assessment and approvals process.  It will result in earlier decisions on projects</w:t>
      </w:r>
      <w:r w:rsidR="00E50CA2" w:rsidRPr="00D957AC">
        <w:rPr>
          <w:rFonts w:eastAsia="Times New Roman"/>
        </w:rPr>
        <w:t xml:space="preserve"> and</w:t>
      </w:r>
      <w:r w:rsidRPr="00D957AC">
        <w:rPr>
          <w:rFonts w:eastAsia="Times New Roman"/>
        </w:rPr>
        <w:t xml:space="preserve"> reduced costs for business.  </w:t>
      </w:r>
      <w:r w:rsidR="00E50CA2" w:rsidRPr="00D957AC">
        <w:t xml:space="preserve">High environmental standards will be maintained and appropriate checks and balances exist through an assurance framework. </w:t>
      </w:r>
    </w:p>
    <w:p w:rsidR="00EA7EB9" w:rsidRPr="00D957AC" w:rsidRDefault="00176703" w:rsidP="00EA7EB9">
      <w:pPr>
        <w:rPr>
          <w:rFonts w:cs="Arial"/>
        </w:rPr>
      </w:pPr>
      <w:r w:rsidRPr="00D957AC">
        <w:rPr>
          <w:rFonts w:eastAsia="Times New Roman"/>
        </w:rPr>
        <w:t xml:space="preserve">Once the </w:t>
      </w:r>
      <w:r w:rsidR="00284CF5" w:rsidRPr="00D957AC">
        <w:rPr>
          <w:rFonts w:eastAsia="Times New Roman"/>
        </w:rPr>
        <w:t>One-Stop Shop</w:t>
      </w:r>
      <w:r w:rsidR="00EA7EB9" w:rsidRPr="00D957AC">
        <w:rPr>
          <w:rFonts w:eastAsia="Times New Roman"/>
        </w:rPr>
        <w:t xml:space="preserve"> </w:t>
      </w:r>
      <w:r w:rsidRPr="00D957AC">
        <w:rPr>
          <w:rFonts w:eastAsia="Times New Roman"/>
        </w:rPr>
        <w:t xml:space="preserve">is in </w:t>
      </w:r>
      <w:r w:rsidR="00EA7EB9" w:rsidRPr="00D957AC">
        <w:rPr>
          <w:rFonts w:eastAsia="Times New Roman"/>
        </w:rPr>
        <w:t xml:space="preserve">place, business will deal with the state or territory government as the primary regulator for environmental approvals in Australia. The Australian Government will no longer have a role in assessment and approval of these projects. </w:t>
      </w:r>
    </w:p>
    <w:p w:rsidR="00E50CA2" w:rsidRPr="00D957AC" w:rsidRDefault="00CE1ED2" w:rsidP="00B3720D">
      <w:pPr>
        <w:spacing w:before="60" w:after="60"/>
      </w:pPr>
      <w:r w:rsidRPr="00D957AC">
        <w:t xml:space="preserve">The One-Stop Shop is expected to provide economic benefits to business of </w:t>
      </w:r>
      <w:r w:rsidR="007B38DE" w:rsidRPr="00D957AC">
        <w:t xml:space="preserve">over </w:t>
      </w:r>
      <w:r w:rsidRPr="00D957AC">
        <w:t>$</w:t>
      </w:r>
      <w:r w:rsidR="00B37AAC" w:rsidRPr="00D957AC">
        <w:t>426</w:t>
      </w:r>
      <w:r w:rsidRPr="00D957AC">
        <w:t xml:space="preserve"> million </w:t>
      </w:r>
      <w:r w:rsidR="00307B6D" w:rsidRPr="00D957AC">
        <w:t>a</w:t>
      </w:r>
      <w:r w:rsidRPr="00D957AC">
        <w:t xml:space="preserve"> year.</w:t>
      </w:r>
    </w:p>
    <w:p w:rsidR="00CE1ED2" w:rsidRPr="00D957AC" w:rsidRDefault="00CE1ED2" w:rsidP="00B3720D">
      <w:pPr>
        <w:spacing w:before="60" w:after="60"/>
        <w:rPr>
          <w:rFonts w:cs="Arial"/>
        </w:rPr>
      </w:pPr>
    </w:p>
    <w:p w:rsidR="00B3720D" w:rsidRPr="00D957AC" w:rsidRDefault="00E37375" w:rsidP="00E37375">
      <w:pPr>
        <w:pStyle w:val="Heading1"/>
      </w:pPr>
      <w:bookmarkStart w:id="48" w:name="_Toc398800540"/>
      <w:r w:rsidRPr="00D957AC">
        <w:t>Attachments</w:t>
      </w:r>
      <w:r w:rsidR="00B3720D" w:rsidRPr="00D957AC">
        <w:t>:</w:t>
      </w:r>
      <w:bookmarkEnd w:id="48"/>
    </w:p>
    <w:p w:rsidR="006B14DB" w:rsidRPr="00D957AC" w:rsidRDefault="00A45749" w:rsidP="004C791B">
      <w:pPr>
        <w:spacing w:before="60" w:after="60"/>
        <w:rPr>
          <w:rFonts w:eastAsia="Times New Roman" w:cs="Arial"/>
        </w:rPr>
      </w:pPr>
      <w:r w:rsidRPr="00D957AC">
        <w:rPr>
          <w:rFonts w:eastAsia="Times New Roman" w:cs="Arial"/>
          <w:b/>
        </w:rPr>
        <w:t>Attachment A:</w:t>
      </w:r>
      <w:r w:rsidR="004C791B" w:rsidRPr="00D957AC">
        <w:rPr>
          <w:rFonts w:eastAsia="Times New Roman" w:cs="Arial"/>
        </w:rPr>
        <w:t xml:space="preserve"> </w:t>
      </w:r>
      <w:r w:rsidR="00433D68" w:rsidRPr="00D957AC">
        <w:rPr>
          <w:rFonts w:eastAsia="Times New Roman" w:cs="Arial"/>
        </w:rPr>
        <w:t xml:space="preserve"> </w:t>
      </w:r>
      <w:r w:rsidR="00E54248" w:rsidRPr="00D957AC">
        <w:rPr>
          <w:rFonts w:eastAsia="Times New Roman" w:cs="Arial"/>
        </w:rPr>
        <w:t>Method</w:t>
      </w:r>
      <w:r w:rsidR="00B3720D" w:rsidRPr="00D957AC">
        <w:rPr>
          <w:rFonts w:eastAsia="Times New Roman" w:cs="Arial"/>
        </w:rPr>
        <w:t xml:space="preserve"> for calculating savings </w:t>
      </w:r>
      <w:r w:rsidR="004C791B" w:rsidRPr="00D957AC">
        <w:rPr>
          <w:rFonts w:eastAsia="Times New Roman" w:cs="Arial"/>
        </w:rPr>
        <w:t>(detailed</w:t>
      </w:r>
      <w:r w:rsidR="00962C29" w:rsidRPr="00D957AC">
        <w:rPr>
          <w:rFonts w:eastAsia="Times New Roman" w:cs="Arial"/>
        </w:rPr>
        <w:t>)</w:t>
      </w:r>
    </w:p>
    <w:p w:rsidR="008348E2" w:rsidRPr="00D957AC" w:rsidRDefault="008348E2" w:rsidP="006D52FD">
      <w:pPr>
        <w:spacing w:after="0" w:line="240" w:lineRule="auto"/>
        <w:jc w:val="right"/>
        <w:rPr>
          <w:b/>
        </w:rPr>
      </w:pPr>
      <w:r w:rsidRPr="00D957AC">
        <w:br w:type="page"/>
      </w:r>
      <w:r w:rsidRPr="00D957AC">
        <w:rPr>
          <w:b/>
        </w:rPr>
        <w:t>ATTACHMENT A</w:t>
      </w:r>
    </w:p>
    <w:p w:rsidR="003A4BB7" w:rsidRPr="00D957AC" w:rsidRDefault="003A4BB7" w:rsidP="006D52FD">
      <w:pPr>
        <w:spacing w:after="0" w:line="240" w:lineRule="auto"/>
        <w:jc w:val="right"/>
        <w:rPr>
          <w:b/>
        </w:rPr>
      </w:pPr>
    </w:p>
    <w:p w:rsidR="003A4BB7" w:rsidRPr="00D957AC" w:rsidRDefault="003A4BB7" w:rsidP="006D52FD">
      <w:pPr>
        <w:spacing w:after="0" w:line="240" w:lineRule="auto"/>
        <w:jc w:val="right"/>
        <w:rPr>
          <w:b/>
        </w:rPr>
      </w:pPr>
    </w:p>
    <w:p w:rsidR="003A4BB7" w:rsidRPr="00D957AC" w:rsidRDefault="00084F09" w:rsidP="00CE3466">
      <w:pPr>
        <w:jc w:val="center"/>
        <w:rPr>
          <w:b/>
          <w:caps/>
        </w:rPr>
      </w:pPr>
      <w:r w:rsidRPr="00D957AC">
        <w:rPr>
          <w:b/>
          <w:caps/>
          <w:noProof/>
          <w:lang w:eastAsia="en-AU"/>
        </w:rPr>
        <w:drawing>
          <wp:inline distT="0" distB="0" distL="0" distR="0">
            <wp:extent cx="5849620" cy="7288277"/>
            <wp:effectExtent l="19050" t="0" r="0" b="0"/>
            <wp:docPr id="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4736" cy="8254498"/>
                      <a:chOff x="116632" y="637982"/>
                      <a:chExt cx="6624736" cy="8254498"/>
                    </a:xfrm>
                  </a:grpSpPr>
                  <a:sp>
                    <a:nvSpPr>
                      <a:cNvPr id="23" name="Rectangle 22"/>
                      <a:cNvSpPr/>
                    </a:nvSpPr>
                    <a:spPr>
                      <a:xfrm>
                        <a:off x="116632" y="2339752"/>
                        <a:ext cx="6624736" cy="4896544"/>
                      </a:xfrm>
                      <a:prstGeom prst="rect">
                        <a:avLst/>
                      </a:prstGeom>
                      <a:solidFill>
                        <a:schemeClr val="bg1">
                          <a:lumMod val="85000"/>
                          <a:alpha val="5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1026" name="Text Box 2"/>
                      <a:cNvSpPr txBox="1">
                        <a:spLocks noChangeArrowheads="1"/>
                      </a:cNvSpPr>
                    </a:nvSpPr>
                    <a:spPr bwMode="auto">
                      <a:xfrm>
                        <a:off x="116632" y="1115616"/>
                        <a:ext cx="6588732" cy="288032"/>
                      </a:xfrm>
                      <a:prstGeom prst="rect">
                        <a:avLst/>
                      </a:prstGeom>
                      <a:solidFill>
                        <a:schemeClr val="bg1">
                          <a:lumMod val="85000"/>
                        </a:schemeClr>
                      </a:solidFill>
                      <a:ln>
                        <a:noFill/>
                        <a:headEnd/>
                        <a:tailEnd/>
                      </a:ln>
                    </a:spPr>
                    <a:txSp>
                      <a:txBody>
                        <a:bodyPr vert="horz" wrap="square" lIns="0" tIns="45720" rIns="0" bIns="45720" numCol="1"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180000" fontAlgn="base">
                            <a:spcBef>
                              <a:spcPts val="300"/>
                            </a:spcBef>
                            <a:spcAft>
                              <a:spcPts val="300"/>
                            </a:spcAft>
                          </a:pPr>
                          <a:r>
                            <a:rPr lang="en-AU" sz="1000" b="1" dirty="0">
                              <a:solidFill>
                                <a:schemeClr val="tx1"/>
                              </a:solidFill>
                              <a:latin typeface="Arial" pitchFamily="34" charset="0"/>
                              <a:cs typeface="Arial" pitchFamily="34" charset="0"/>
                            </a:rPr>
                            <a:t>Step 1 </a:t>
                          </a:r>
                          <a:r>
                            <a:rPr lang="en-AU" sz="1000" b="1" dirty="0" smtClean="0">
                              <a:solidFill>
                                <a:schemeClr val="tx1"/>
                              </a:solidFill>
                              <a:latin typeface="Arial" pitchFamily="34" charset="0"/>
                              <a:cs typeface="Arial" pitchFamily="34" charset="0"/>
                            </a:rPr>
                            <a:t>– </a:t>
                          </a:r>
                          <a:r>
                            <a:rPr lang="en-AU" sz="1000" dirty="0" smtClean="0">
                              <a:solidFill>
                                <a:schemeClr val="tx1"/>
                              </a:solidFill>
                              <a:latin typeface="Arial" pitchFamily="34" charset="0"/>
                              <a:cs typeface="Arial" pitchFamily="34" charset="0"/>
                            </a:rPr>
                            <a:t>real project data from the Department’s databases was interrogated.</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5" name="TextBox 4"/>
                      <a:cNvSpPr txBox="1"/>
                    </a:nvSpPr>
                    <a:spPr>
                      <a:xfrm>
                        <a:off x="116632" y="637982"/>
                        <a:ext cx="6534726" cy="261610"/>
                      </a:xfrm>
                      <a:prstGeom prst="rect">
                        <a:avLst/>
                      </a:prstGeom>
                      <a:noFill/>
                      <a:ln>
                        <a:noFill/>
                      </a:ln>
                    </a:spPr>
                    <a:txSp>
                      <a:txBody>
                        <a:bodyPr wrap="square" rtlCol="0" anchor="ct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1100" b="1" dirty="0" smtClean="0">
                              <a:latin typeface="Arial" pitchFamily="34" charset="0"/>
                              <a:cs typeface="Arial" pitchFamily="34" charset="0"/>
                            </a:rPr>
                            <a:t>SNAPSHOT: METHODOLOGY FOR </a:t>
                          </a:r>
                          <a:r>
                            <a:rPr lang="en-AU" sz="1100" b="1" cap="all" dirty="0" smtClean="0">
                              <a:latin typeface="Arial" pitchFamily="34" charset="0"/>
                              <a:cs typeface="Arial" pitchFamily="34" charset="0"/>
                            </a:rPr>
                            <a:t>calculating savings FOR THE ONE-STOP SHOP</a:t>
                          </a:r>
                          <a:endParaRPr lang="en-AU" sz="1100" b="1" dirty="0">
                            <a:latin typeface="Arial" pitchFamily="34" charset="0"/>
                            <a:cs typeface="Arial" pitchFamily="34" charset="0"/>
                          </a:endParaRPr>
                        </a:p>
                      </a:txBody>
                      <a:useSpRect/>
                    </a:txSp>
                  </a:sp>
                  <a:sp>
                    <a:nvSpPr>
                      <a:cNvPr id="30" name="Rectangle 29"/>
                      <a:cNvSpPr/>
                    </a:nvSpPr>
                    <a:spPr>
                      <a:xfrm>
                        <a:off x="188640" y="2843808"/>
                        <a:ext cx="3312368" cy="4320480"/>
                      </a:xfrm>
                      <a:prstGeom prst="rect">
                        <a:avLst/>
                      </a:prstGeom>
                      <a:solidFill>
                        <a:schemeClr val="accent1">
                          <a:lumMod val="40000"/>
                          <a:lumOff val="6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Identify average number of referrals a year.</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Remove government proponents – savings are to relate only to business.</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Estimate the cost of each administrative activity that will be avoided under the One-Stop Shop (e.g. completing a referral form).</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Consider each stage of the environmental assessment and approval process separately.</a:t>
                          </a: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p>
                          <a:pPr marL="228600" indent="-228600">
                            <a:buAutoNum type="arabicPeriod"/>
                          </a:pPr>
                          <a:endParaRPr lang="en-AU" sz="1200"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Text Box 3"/>
                      <a:cNvSpPr txBox="1">
                        <a:spLocks noChangeArrowheads="1"/>
                      </a:cNvSpPr>
                    </a:nvSpPr>
                    <a:spPr bwMode="auto">
                      <a:xfrm>
                        <a:off x="116632" y="8460432"/>
                        <a:ext cx="6624736" cy="432048"/>
                      </a:xfrm>
                      <a:prstGeom prst="rect">
                        <a:avLst/>
                      </a:prstGeom>
                      <a:solidFill>
                        <a:schemeClr val="accent2">
                          <a:lumMod val="60000"/>
                          <a:lumOff val="40000"/>
                        </a:schemeClr>
                      </a:solidFill>
                      <a:ln>
                        <a:noFill/>
                        <a:headEnd/>
                        <a:tailEnd/>
                      </a:ln>
                    </a:spPr>
                    <a:txSp>
                      <a:txBody>
                        <a:bodyPr vert="horz" wrap="square" lIns="0" tIns="45720" rIns="0" bIns="45720" numCol="1"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180000" algn="ctr" fontAlgn="base">
                            <a:spcBef>
                              <a:spcPts val="300"/>
                            </a:spcBef>
                            <a:spcAft>
                              <a:spcPts val="300"/>
                            </a:spcAft>
                          </a:pPr>
                          <a:r>
                            <a:rPr lang="en-AU" sz="1200" b="1" dirty="0" smtClean="0">
                              <a:solidFill>
                                <a:schemeClr val="tx1"/>
                              </a:solidFill>
                              <a:latin typeface="Arial" pitchFamily="34" charset="0"/>
                              <a:cs typeface="Arial" pitchFamily="34" charset="0"/>
                            </a:rPr>
                            <a:t>Estimated cost savings for business from the One-Stop </a:t>
                          </a:r>
                          <a:r>
                            <a:rPr lang="en-AU" sz="1200" b="1" dirty="0" smtClean="0">
                              <a:solidFill>
                                <a:schemeClr val="tx1"/>
                              </a:solidFill>
                              <a:latin typeface="Arial" pitchFamily="34" charset="0"/>
                              <a:cs typeface="Arial" pitchFamily="34" charset="0"/>
                            </a:rPr>
                            <a:t>Shop:  $426 million</a:t>
                          </a:r>
                          <a:endParaRPr lang="en-AU" sz="1200" b="1" dirty="0">
                            <a:solidFill>
                              <a:schemeClr val="tx1"/>
                            </a:solidFill>
                            <a:latin typeface="Arial" pitchFamily="34" charset="0"/>
                            <a:cs typeface="Arial"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7" name="Text Box 3"/>
                      <a:cNvSpPr txBox="1">
                        <a:spLocks noChangeArrowheads="1"/>
                      </a:cNvSpPr>
                    </a:nvSpPr>
                    <a:spPr bwMode="auto">
                      <a:xfrm>
                        <a:off x="116632" y="1475656"/>
                        <a:ext cx="6588732" cy="720080"/>
                      </a:xfrm>
                      <a:prstGeom prst="rect">
                        <a:avLst/>
                      </a:prstGeom>
                      <a:solidFill>
                        <a:schemeClr val="bg1">
                          <a:lumMod val="85000"/>
                        </a:schemeClr>
                      </a:solidFill>
                      <a:ln>
                        <a:noFill/>
                        <a:headEnd/>
                        <a:tailEnd/>
                      </a:ln>
                    </a:spPr>
                    <a:txSp>
                      <a:txBody>
                        <a:bodyPr vert="horz" wrap="square" lIns="0" tIns="45720" rIns="0" bIns="45720" numCol="1"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180000" fontAlgn="base">
                            <a:spcBef>
                              <a:spcPts val="300"/>
                            </a:spcBef>
                            <a:spcAft>
                              <a:spcPts val="300"/>
                            </a:spcAft>
                          </a:pPr>
                          <a:r>
                            <a:rPr lang="en-AU" sz="1000" b="1" dirty="0">
                              <a:solidFill>
                                <a:schemeClr val="tx1"/>
                              </a:solidFill>
                              <a:latin typeface="Arial" pitchFamily="34" charset="0"/>
                              <a:cs typeface="Arial" pitchFamily="34" charset="0"/>
                            </a:rPr>
                            <a:t>Step </a:t>
                          </a:r>
                          <a:r>
                            <a:rPr lang="en-AU" sz="1000" b="1" dirty="0" smtClean="0">
                              <a:solidFill>
                                <a:schemeClr val="tx1"/>
                              </a:solidFill>
                              <a:latin typeface="Arial" pitchFamily="34" charset="0"/>
                              <a:cs typeface="Arial" pitchFamily="34" charset="0"/>
                            </a:rPr>
                            <a:t>2 </a:t>
                          </a:r>
                          <a:r>
                            <a:rPr lang="en-AU" sz="1000" b="1" dirty="0">
                              <a:solidFill>
                                <a:schemeClr val="tx1"/>
                              </a:solidFill>
                              <a:latin typeface="Arial" pitchFamily="34" charset="0"/>
                              <a:cs typeface="Arial" pitchFamily="34" charset="0"/>
                            </a:rPr>
                            <a:t>– </a:t>
                          </a:r>
                          <a:r>
                            <a:rPr lang="en-AU" sz="1000" dirty="0" smtClean="0">
                              <a:solidFill>
                                <a:schemeClr val="tx1"/>
                              </a:solidFill>
                              <a:latin typeface="Arial" pitchFamily="34" charset="0"/>
                              <a:cs typeface="Arial" pitchFamily="34" charset="0"/>
                            </a:rPr>
                            <a:t>two areas of potential savings were identified:</a:t>
                          </a:r>
                        </a:p>
                        <a:p>
                          <a:pPr marL="180000" fontAlgn="base">
                            <a:spcBef>
                              <a:spcPts val="300"/>
                            </a:spcBef>
                            <a:spcAft>
                              <a:spcPts val="300"/>
                            </a:spcAft>
                            <a:buFont typeface="Arial" pitchFamily="34" charset="0"/>
                            <a:buChar char="•"/>
                          </a:pPr>
                          <a:r>
                            <a:rPr lang="en-AU" sz="1000" dirty="0" smtClean="0">
                              <a:solidFill>
                                <a:schemeClr val="tx1"/>
                              </a:solidFill>
                              <a:latin typeface="Arial" pitchFamily="34" charset="0"/>
                              <a:cs typeface="Arial" pitchFamily="34" charset="0"/>
                            </a:rPr>
                            <a:t> administrative savings –reduced duplication in administrative activities by interacting with only one regulator.</a:t>
                          </a:r>
                        </a:p>
                        <a:p>
                          <a:pPr marL="180000" fontAlgn="base">
                            <a:spcBef>
                              <a:spcPts val="300"/>
                            </a:spcBef>
                            <a:spcAft>
                              <a:spcPts val="300"/>
                            </a:spcAft>
                            <a:buFont typeface="Arial" pitchFamily="34" charset="0"/>
                            <a:buChar char="•"/>
                          </a:pPr>
                          <a:r>
                            <a:rPr lang="en-AU" sz="1000" dirty="0" smtClean="0">
                              <a:solidFill>
                                <a:schemeClr val="tx1"/>
                              </a:solidFill>
                              <a:latin typeface="Arial" pitchFamily="34" charset="0"/>
                              <a:cs typeface="Arial" pitchFamily="34" charset="0"/>
                            </a:rPr>
                            <a:t> delay savings –reduced time delay by no longer requiring a second approval by the Australian Government.</a:t>
                          </a:r>
                        </a:p>
                      </a:txBody>
                      <a:useSpRect/>
                    </a:txSp>
                    <a:style>
                      <a:lnRef idx="2">
                        <a:schemeClr val="accent2">
                          <a:shade val="50000"/>
                        </a:schemeClr>
                      </a:lnRef>
                      <a:fillRef idx="1">
                        <a:schemeClr val="accent2"/>
                      </a:fillRef>
                      <a:effectRef idx="0">
                        <a:schemeClr val="accent2"/>
                      </a:effectRef>
                      <a:fontRef idx="minor">
                        <a:schemeClr val="lt1"/>
                      </a:fontRef>
                    </a:style>
                  </a:sp>
                  <a:sp>
                    <a:nvSpPr>
                      <a:cNvPr id="18" name="Rectangle 17"/>
                      <a:cNvSpPr/>
                    </a:nvSpPr>
                    <a:spPr>
                      <a:xfrm>
                        <a:off x="188640" y="2411761"/>
                        <a:ext cx="3312368" cy="360039"/>
                      </a:xfrm>
                      <a:prstGeom prst="rect">
                        <a:avLst/>
                      </a:prstGeom>
                      <a:solidFill>
                        <a:schemeClr val="accent1">
                          <a:lumMod val="40000"/>
                          <a:lumOff val="6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1000" b="1" dirty="0" smtClean="0">
                              <a:solidFill>
                                <a:schemeClr val="tx1"/>
                              </a:solidFill>
                              <a:latin typeface="Arial" pitchFamily="34" charset="0"/>
                              <a:cs typeface="Arial" pitchFamily="34" charset="0"/>
                            </a:rPr>
                            <a:t>Step 3 - calculate administrative savings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3645024" y="2411761"/>
                        <a:ext cx="3024336" cy="360039"/>
                      </a:xfrm>
                      <a:prstGeom prst="rect">
                        <a:avLst/>
                      </a:prstGeom>
                      <a:solidFill>
                        <a:schemeClr val="accent1">
                          <a:lumMod val="40000"/>
                          <a:lumOff val="6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1000" b="1" dirty="0" smtClean="0">
                              <a:solidFill>
                                <a:schemeClr val="tx1"/>
                              </a:solidFill>
                              <a:latin typeface="Arial" pitchFamily="34" charset="0"/>
                              <a:cs typeface="Arial" pitchFamily="34" charset="0"/>
                            </a:rPr>
                            <a:t>Step 4 -  calculate delay savings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ectangle 21"/>
                      <a:cNvSpPr/>
                    </a:nvSpPr>
                    <a:spPr>
                      <a:xfrm>
                        <a:off x="3645024" y="2843808"/>
                        <a:ext cx="3024336" cy="4320480"/>
                      </a:xfrm>
                      <a:prstGeom prst="rect">
                        <a:avLst/>
                      </a:prstGeom>
                      <a:solidFill>
                        <a:schemeClr val="accent1">
                          <a:lumMod val="40000"/>
                          <a:lumOff val="6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Investigate 10 years of data to determine that the last three years of project data are representative sample of a 10 year period.</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The year 2010-11 is a 1 in10 year peak based on Departmental data and is weighted accordingly.</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Identify private sector projects approved between 1 July 2010 and 30 June 2013.</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Include projects where the state or territory government approved the project before the Australian Government and that are expected to be covered by the One-Stop Shop.</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Investigate each project to determine how many days delay can be attributed to the Australian Government.</a:t>
                          </a:r>
                        </a:p>
                        <a:p>
                          <a:pPr marL="228600" indent="-228600">
                            <a:spcBef>
                              <a:spcPts val="300"/>
                            </a:spcBef>
                            <a:spcAft>
                              <a:spcPts val="300"/>
                            </a:spcAft>
                            <a:buAutoNum type="arabicPeriod"/>
                          </a:pPr>
                          <a:r>
                            <a:rPr lang="en-AU" sz="1000" dirty="0" smtClean="0">
                              <a:solidFill>
                                <a:schemeClr val="tx1"/>
                              </a:solidFill>
                              <a:latin typeface="Arial" pitchFamily="34" charset="0"/>
                              <a:cs typeface="Arial" pitchFamily="34" charset="0"/>
                            </a:rPr>
                            <a:t>Cost delay for each project using change to estimated net present value.</a:t>
                          </a:r>
                        </a:p>
                        <a:p>
                          <a:pPr marL="228600" indent="-228600">
                            <a:spcBef>
                              <a:spcPts val="300"/>
                            </a:spcBef>
                            <a:spcAft>
                              <a:spcPts val="300"/>
                            </a:spcAft>
                            <a:buAutoNum type="arabicPeriod"/>
                          </a:pPr>
                          <a:endParaRPr lang="en-AU" sz="1000" dirty="0" smtClean="0">
                            <a:solidFill>
                              <a:schemeClr val="tx1"/>
                            </a:solidFill>
                            <a:latin typeface="Arial" pitchFamily="34" charset="0"/>
                            <a:cs typeface="Arial" pitchFamily="34" charset="0"/>
                          </a:endParaRPr>
                        </a:p>
                        <a:p>
                          <a:pPr marL="228600" indent="-228600">
                            <a:spcBef>
                              <a:spcPts val="300"/>
                            </a:spcBef>
                            <a:spcAft>
                              <a:spcPts val="300"/>
                            </a:spcAft>
                          </a:pPr>
                          <a:endParaRPr lang="en-AU" sz="1000" dirty="0" smtClean="0">
                            <a:solidFill>
                              <a:schemeClr val="tx1"/>
                            </a:solidFill>
                            <a:latin typeface="Arial" pitchFamily="34" charset="0"/>
                            <a:cs typeface="Arial" pitchFamily="34" charset="0"/>
                          </a:endParaRPr>
                        </a:p>
                        <a:p>
                          <a:pPr marL="228600" indent="-228600">
                            <a:spcBef>
                              <a:spcPts val="300"/>
                            </a:spcBef>
                            <a:spcAft>
                              <a:spcPts val="300"/>
                            </a:spcAft>
                            <a:buAutoNum type="arabicPeriod"/>
                          </a:pPr>
                          <a:endParaRPr lang="en-AU" sz="1000" dirty="0" smtClean="0">
                            <a:solidFill>
                              <a:schemeClr val="tx1"/>
                            </a:solidFill>
                            <a:latin typeface="Arial" pitchFamily="34" charset="0"/>
                            <a:cs typeface="Arial" pitchFamily="34" charset="0"/>
                          </a:endParaRPr>
                        </a:p>
                        <a:p>
                          <a:pPr marL="228600" indent="-228600">
                            <a:spcBef>
                              <a:spcPts val="300"/>
                            </a:spcBef>
                            <a:spcAft>
                              <a:spcPts val="300"/>
                            </a:spcAft>
                            <a:buAutoNum type="arabicPeriod"/>
                          </a:pPr>
                          <a:endParaRPr lang="en-AU" sz="1000" dirty="0" smtClean="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a:off x="260648" y="4572000"/>
                        <a:ext cx="792088" cy="432048"/>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800" b="1" dirty="0" smtClean="0">
                              <a:latin typeface="Arial" pitchFamily="34" charset="0"/>
                              <a:cs typeface="Arial" pitchFamily="34" charset="0"/>
                            </a:rPr>
                            <a:t>Pre-referral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260648" y="5076056"/>
                        <a:ext cx="792088" cy="432048"/>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800" b="1" dirty="0" smtClean="0">
                              <a:latin typeface="Arial" pitchFamily="34" charset="0"/>
                              <a:cs typeface="Arial" pitchFamily="34" charset="0"/>
                            </a:rPr>
                            <a:t>Referral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ectangle 28"/>
                      <a:cNvSpPr/>
                    </a:nvSpPr>
                    <a:spPr>
                      <a:xfrm>
                        <a:off x="260648" y="5580112"/>
                        <a:ext cx="792088" cy="432048"/>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800" b="1" dirty="0" smtClean="0">
                              <a:latin typeface="Arial" pitchFamily="34" charset="0"/>
                              <a:cs typeface="Arial" pitchFamily="34" charset="0"/>
                            </a:rPr>
                            <a:t>Assessment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260648" y="6084168"/>
                        <a:ext cx="792088" cy="432048"/>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800" b="1" dirty="0" smtClean="0">
                              <a:latin typeface="Arial" pitchFamily="34" charset="0"/>
                              <a:cs typeface="Arial" pitchFamily="34" charset="0"/>
                            </a:rPr>
                            <a:t>Approval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260648" y="6588224"/>
                        <a:ext cx="792088" cy="432048"/>
                      </a:xfrm>
                      <a:prstGeom prst="rect">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800" b="1" dirty="0" smtClean="0">
                              <a:latin typeface="Arial" pitchFamily="34" charset="0"/>
                              <a:cs typeface="Arial" pitchFamily="34" charset="0"/>
                            </a:rPr>
                            <a:t>Post-approval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1124744" y="4572000"/>
                        <a:ext cx="2304256" cy="432048"/>
                      </a:xfrm>
                      <a:prstGeom prst="rect">
                        <a:avLst/>
                      </a:prstGeom>
                      <a:solidFill>
                        <a:schemeClr val="accent1">
                          <a:lumMod val="20000"/>
                          <a:lumOff val="8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solidFill>
                                <a:schemeClr val="tx1"/>
                              </a:solidFill>
                            </a:rPr>
                            <a:t>Proponents will no longer have pre-referral meetings with the Australian Government.</a:t>
                          </a:r>
                          <a:endParaRPr lang="en-AU" sz="9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Rectangle 40"/>
                      <a:cNvSpPr/>
                    </a:nvSpPr>
                    <a:spPr>
                      <a:xfrm>
                        <a:off x="1124744" y="5076056"/>
                        <a:ext cx="2304256" cy="432048"/>
                      </a:xfrm>
                      <a:prstGeom prst="rect">
                        <a:avLst/>
                      </a:prstGeom>
                      <a:solidFill>
                        <a:schemeClr val="accent1">
                          <a:lumMod val="20000"/>
                          <a:lumOff val="8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solidFill>
                                <a:schemeClr val="tx1"/>
                              </a:solidFill>
                            </a:rPr>
                            <a:t>Proponents will no longer need to complete an Australia Government referral form</a:t>
                          </a:r>
                          <a:r>
                            <a:rPr lang="en-AU" sz="800" dirty="0" smtClean="0">
                              <a:solidFill>
                                <a:schemeClr val="tx1"/>
                              </a:solidFill>
                            </a:rPr>
                            <a:t>.</a:t>
                          </a:r>
                          <a:endParaRPr lang="en-AU" sz="9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Rectangle 41"/>
                      <a:cNvSpPr/>
                    </a:nvSpPr>
                    <a:spPr>
                      <a:xfrm>
                        <a:off x="1124744" y="5580112"/>
                        <a:ext cx="2304256" cy="432048"/>
                      </a:xfrm>
                      <a:prstGeom prst="rect">
                        <a:avLst/>
                      </a:prstGeom>
                      <a:solidFill>
                        <a:schemeClr val="accent1">
                          <a:lumMod val="20000"/>
                          <a:lumOff val="8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solidFill>
                                <a:schemeClr val="tx1"/>
                              </a:solidFill>
                            </a:rPr>
                            <a:t>Proponents will only need to seek expert advice on one assessment at one point in the process.</a:t>
                          </a:r>
                          <a:endParaRPr lang="en-AU" sz="9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Rectangle 42"/>
                      <a:cNvSpPr/>
                    </a:nvSpPr>
                    <a:spPr>
                      <a:xfrm>
                        <a:off x="1124744" y="6084168"/>
                        <a:ext cx="2304256" cy="432048"/>
                      </a:xfrm>
                      <a:prstGeom prst="rect">
                        <a:avLst/>
                      </a:prstGeom>
                      <a:solidFill>
                        <a:schemeClr val="accent1">
                          <a:lumMod val="20000"/>
                          <a:lumOff val="8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solidFill>
                                <a:schemeClr val="tx1"/>
                              </a:solidFill>
                            </a:rPr>
                            <a:t>Proponents will no longer have to undertake additional public consultation periods.</a:t>
                          </a:r>
                          <a:endParaRPr lang="en-AU" sz="9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1124744" y="6588224"/>
                        <a:ext cx="2304256" cy="432048"/>
                      </a:xfrm>
                      <a:prstGeom prst="rect">
                        <a:avLst/>
                      </a:prstGeom>
                      <a:solidFill>
                        <a:schemeClr val="accent1">
                          <a:lumMod val="20000"/>
                          <a:lumOff val="8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900" dirty="0" smtClean="0">
                              <a:solidFill>
                                <a:schemeClr val="tx1"/>
                              </a:solidFill>
                            </a:rPr>
                            <a:t>Proponents will only be subject to one set of approval conditions.</a:t>
                          </a:r>
                          <a:endParaRPr lang="en-AU" sz="9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 Box 3"/>
                      <a:cNvSpPr txBox="1">
                        <a:spLocks noChangeArrowheads="1"/>
                      </a:cNvSpPr>
                    </a:nvSpPr>
                    <a:spPr bwMode="auto">
                      <a:xfrm>
                        <a:off x="116632" y="7308304"/>
                        <a:ext cx="6624736" cy="504056"/>
                      </a:xfrm>
                      <a:prstGeom prst="rect">
                        <a:avLst/>
                      </a:prstGeom>
                      <a:solidFill>
                        <a:schemeClr val="bg1">
                          <a:lumMod val="85000"/>
                        </a:schemeClr>
                      </a:solidFill>
                      <a:ln>
                        <a:noFill/>
                        <a:headEnd/>
                        <a:tailEnd/>
                      </a:ln>
                    </a:spPr>
                    <a:txSp>
                      <a:txBody>
                        <a:bodyPr vert="horz" wrap="square" lIns="0" tIns="45720" rIns="0" bIns="45720" numCol="1"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180000" fontAlgn="base">
                            <a:spcBef>
                              <a:spcPts val="300"/>
                            </a:spcBef>
                            <a:spcAft>
                              <a:spcPts val="300"/>
                            </a:spcAft>
                          </a:pPr>
                          <a:endParaRPr lang="en-AU" sz="1000" b="1" dirty="0" smtClean="0">
                            <a:solidFill>
                              <a:schemeClr val="tx1"/>
                            </a:solidFill>
                            <a:latin typeface="Arial" pitchFamily="34" charset="0"/>
                            <a:cs typeface="Arial" pitchFamily="34" charset="0"/>
                          </a:endParaRPr>
                        </a:p>
                        <a:p>
                          <a:pPr marL="180000" fontAlgn="base">
                            <a:spcBef>
                              <a:spcPts val="300"/>
                            </a:spcBef>
                            <a:spcAft>
                              <a:spcPts val="300"/>
                            </a:spcAft>
                          </a:pPr>
                          <a:r>
                            <a:rPr lang="en-AU" sz="1000" b="1" dirty="0" smtClean="0">
                              <a:solidFill>
                                <a:schemeClr val="tx1"/>
                              </a:solidFill>
                              <a:latin typeface="Arial" pitchFamily="34" charset="0"/>
                              <a:cs typeface="Arial" pitchFamily="34" charset="0"/>
                            </a:rPr>
                            <a:t>Step 5 </a:t>
                          </a:r>
                          <a:r>
                            <a:rPr lang="en-AU" sz="1000" dirty="0" smtClean="0">
                              <a:solidFill>
                                <a:schemeClr val="tx1"/>
                              </a:solidFill>
                              <a:latin typeface="Arial" pitchFamily="34" charset="0"/>
                              <a:cs typeface="Arial" pitchFamily="34" charset="0"/>
                            </a:rPr>
                            <a:t>– combine administrative and delay savings to calculate the estimated cost savings to business from the One-Stop Shop.</a:t>
                          </a:r>
                        </a:p>
                        <a:p>
                          <a:pPr marL="180000" fontAlgn="base">
                            <a:spcBef>
                              <a:spcPts val="300"/>
                            </a:spcBef>
                            <a:spcAft>
                              <a:spcPts val="300"/>
                            </a:spcAft>
                          </a:pPr>
                          <a:endParaRPr lang="en-AU" sz="1100" b="1" dirty="0">
                            <a:solidFill>
                              <a:schemeClr val="tx1"/>
                            </a:solidFill>
                            <a:latin typeface="Arial" pitchFamily="34" charset="0"/>
                            <a:cs typeface="Arial"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26" name="Rectangle 25"/>
                      <a:cNvSpPr/>
                    </a:nvSpPr>
                    <a:spPr>
                      <a:xfrm>
                        <a:off x="116632" y="7884368"/>
                        <a:ext cx="2880000" cy="504000"/>
                      </a:xfrm>
                      <a:prstGeom prst="rect">
                        <a:avLst/>
                      </a:prstGeom>
                      <a:solidFill>
                        <a:schemeClr val="accent2">
                          <a:lumMod val="60000"/>
                          <a:lumOff val="40000"/>
                        </a:schemeClr>
                      </a:solidFill>
                      <a:ln>
                        <a:noFill/>
                        <a:headEnd/>
                        <a:tailEnd/>
                      </a:ln>
                    </a:spPr>
                    <a:txSp>
                      <a:txBody>
                        <a:bodyPr vert="horz" wrap="square" lIns="0" tIns="45720" rIns="0" bIns="45720" numCol="1"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180000" algn="ctr" fontAlgn="base">
                            <a:spcBef>
                              <a:spcPts val="300"/>
                            </a:spcBef>
                            <a:spcAft>
                              <a:spcPts val="300"/>
                            </a:spcAft>
                          </a:pPr>
                          <a:r>
                            <a:rPr lang="en-AU" sz="1000" b="1" dirty="0" smtClean="0">
                              <a:solidFill>
                                <a:schemeClr val="tx1"/>
                              </a:solidFill>
                              <a:latin typeface="Arial" pitchFamily="34" charset="0"/>
                              <a:cs typeface="Arial" pitchFamily="34" charset="0"/>
                            </a:rPr>
                            <a:t>Total administrative </a:t>
                          </a:r>
                          <a:r>
                            <a:rPr lang="en-AU" sz="1000" b="1" dirty="0" smtClean="0">
                              <a:solidFill>
                                <a:schemeClr val="tx1"/>
                              </a:solidFill>
                              <a:latin typeface="Arial" pitchFamily="34" charset="0"/>
                              <a:cs typeface="Arial" pitchFamily="34" charset="0"/>
                            </a:rPr>
                            <a:t>savings: $9 million</a:t>
                          </a:r>
                          <a:endParaRPr lang="en-AU" sz="1000" b="1" dirty="0">
                            <a:solidFill>
                              <a:schemeClr val="tx1"/>
                            </a:solidFill>
                            <a:latin typeface="Arial" pitchFamily="34" charset="0"/>
                            <a:cs typeface="Arial"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27" name="Rectangle 26"/>
                      <a:cNvSpPr/>
                    </a:nvSpPr>
                    <a:spPr>
                      <a:xfrm>
                        <a:off x="3861048" y="7884368"/>
                        <a:ext cx="2880000" cy="504000"/>
                      </a:xfrm>
                      <a:prstGeom prst="rect">
                        <a:avLst/>
                      </a:prstGeom>
                      <a:solidFill>
                        <a:schemeClr val="accent2">
                          <a:lumMod val="60000"/>
                          <a:lumOff val="40000"/>
                        </a:schemeClr>
                      </a:solidFill>
                      <a:ln>
                        <a:noFill/>
                        <a:headEnd/>
                        <a:tailEnd/>
                      </a:ln>
                    </a:spPr>
                    <a:txSp>
                      <a:txBody>
                        <a:bodyPr vert="horz" wrap="square" lIns="0" tIns="45720" rIns="0" bIns="45720" numCol="1" anchor="ctr" anchorCtr="0" compatLnSpc="1">
                          <a:prstTxWarp prst="textNoShape">
                            <a:avLst/>
                          </a:prstTxWarp>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180000" algn="ctr" fontAlgn="base">
                            <a:spcBef>
                              <a:spcPts val="300"/>
                            </a:spcBef>
                            <a:spcAft>
                              <a:spcPts val="300"/>
                            </a:spcAft>
                          </a:pPr>
                          <a:r>
                            <a:rPr lang="en-AU" sz="1000" b="1" dirty="0" smtClean="0">
                              <a:solidFill>
                                <a:schemeClr val="tx1"/>
                              </a:solidFill>
                              <a:latin typeface="Arial" pitchFamily="34" charset="0"/>
                              <a:cs typeface="Arial" pitchFamily="34" charset="0"/>
                            </a:rPr>
                            <a:t>Total delay </a:t>
                          </a:r>
                          <a:r>
                            <a:rPr lang="en-AU" sz="1000" b="1" dirty="0" smtClean="0">
                              <a:solidFill>
                                <a:schemeClr val="tx1"/>
                              </a:solidFill>
                              <a:latin typeface="Arial" pitchFamily="34" charset="0"/>
                              <a:cs typeface="Arial" pitchFamily="34" charset="0"/>
                            </a:rPr>
                            <a:t>savings: $417 million</a:t>
                          </a:r>
                          <a:endParaRPr lang="en-AU" sz="1000" b="1" dirty="0">
                            <a:solidFill>
                              <a:schemeClr val="tx1"/>
                            </a:solidFill>
                            <a:latin typeface="Arial" pitchFamily="34" charset="0"/>
                            <a:cs typeface="Arial" pitchFamily="34"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35" name="Plus 34"/>
                      <a:cNvSpPr/>
                    </a:nvSpPr>
                    <a:spPr>
                      <a:xfrm>
                        <a:off x="3213032" y="7884368"/>
                        <a:ext cx="504000" cy="504000"/>
                      </a:xfrm>
                      <a:prstGeom prst="mathPlus">
                        <a:avLst/>
                      </a:prstGeom>
                      <a:ln w="127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B2D4E" w:rsidRPr="00D957AC" w:rsidRDefault="000B2D4E" w:rsidP="00CE3466">
      <w:pPr>
        <w:jc w:val="center"/>
        <w:rPr>
          <w:b/>
          <w:caps/>
        </w:rPr>
      </w:pPr>
    </w:p>
    <w:p w:rsidR="006D52FD" w:rsidRPr="00D957AC" w:rsidRDefault="006D52FD" w:rsidP="00CE3466">
      <w:pPr>
        <w:jc w:val="center"/>
        <w:rPr>
          <w:b/>
          <w:caps/>
        </w:rPr>
      </w:pPr>
    </w:p>
    <w:p w:rsidR="003A4BB7" w:rsidRPr="00D957AC" w:rsidRDefault="003A4BB7" w:rsidP="00CE3466">
      <w:pPr>
        <w:jc w:val="center"/>
        <w:rPr>
          <w:b/>
          <w:caps/>
        </w:rPr>
      </w:pPr>
    </w:p>
    <w:p w:rsidR="00AF150A" w:rsidRPr="00D957AC" w:rsidRDefault="00AF150A" w:rsidP="00CE3466">
      <w:pPr>
        <w:jc w:val="center"/>
        <w:rPr>
          <w:b/>
          <w:caps/>
        </w:rPr>
      </w:pPr>
    </w:p>
    <w:p w:rsidR="00CE78D7" w:rsidRPr="00D957AC" w:rsidRDefault="00CE78D7" w:rsidP="00CE3466">
      <w:pPr>
        <w:jc w:val="center"/>
        <w:rPr>
          <w:b/>
          <w:caps/>
        </w:rPr>
      </w:pPr>
    </w:p>
    <w:p w:rsidR="008348E2" w:rsidRPr="00D957AC" w:rsidRDefault="00E54248" w:rsidP="00CE3466">
      <w:pPr>
        <w:jc w:val="center"/>
        <w:rPr>
          <w:b/>
          <w:caps/>
        </w:rPr>
      </w:pPr>
      <w:r w:rsidRPr="00D957AC">
        <w:rPr>
          <w:b/>
          <w:caps/>
        </w:rPr>
        <w:t>Method</w:t>
      </w:r>
      <w:r w:rsidR="008348E2" w:rsidRPr="00D957AC">
        <w:rPr>
          <w:b/>
          <w:caps/>
        </w:rPr>
        <w:t xml:space="preserve"> for calculating savings from the </w:t>
      </w:r>
      <w:r w:rsidR="00284CF5" w:rsidRPr="00D957AC">
        <w:rPr>
          <w:b/>
          <w:caps/>
        </w:rPr>
        <w:t>One-Stop Shop</w:t>
      </w:r>
    </w:p>
    <w:p w:rsidR="008348E2" w:rsidRPr="00D957AC" w:rsidRDefault="00664C08" w:rsidP="008348E2">
      <w:pPr>
        <w:rPr>
          <w:b/>
          <w:bCs/>
        </w:rPr>
      </w:pPr>
      <w:r w:rsidRPr="00664C08">
        <w:rPr>
          <w:noProof/>
          <w:color w:val="FFFFFF" w:themeColor="background1"/>
          <w:lang w:eastAsia="en-AU"/>
        </w:rPr>
        <w:pict>
          <v:rect id="_x0000_s1031" style="position:absolute;margin-left:-.35pt;margin-top:16.8pt;width:459.75pt;height:25.5pt;z-index:-25164288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b8cce4 [1300]" stroked="f" strokecolor="#fabf8f [1945]" strokeweight="1pt">
            <v:fill color2="#fbd4b4 [1305]"/>
            <v:shadow type="perspective" color="#974706 [1609]" opacity=".5" offset="1pt" offset2="-3pt"/>
          </v:rect>
        </w:pict>
      </w:r>
    </w:p>
    <w:p w:rsidR="008348E2" w:rsidRPr="00D957AC" w:rsidRDefault="008348E2" w:rsidP="008348E2">
      <w:r w:rsidRPr="00D957AC">
        <w:rPr>
          <w:b/>
          <w:bCs/>
        </w:rPr>
        <w:t>Step 1 - real project data from the Department’s databases was interrogated</w:t>
      </w:r>
    </w:p>
    <w:p w:rsidR="008348E2" w:rsidRPr="00D957AC" w:rsidRDefault="008348E2" w:rsidP="008348E2">
      <w:pPr>
        <w:pStyle w:val="ListBullet"/>
        <w:numPr>
          <w:ilvl w:val="0"/>
          <w:numId w:val="0"/>
        </w:numPr>
      </w:pPr>
      <w:r w:rsidRPr="00D957AC">
        <w:t>The Department maintains a database that contains records of project referrals, assessments and approvals. Information on projects is also available in files maintained by the Department.</w:t>
      </w:r>
    </w:p>
    <w:p w:rsidR="008348E2" w:rsidRPr="00D957AC" w:rsidRDefault="008348E2" w:rsidP="008348E2">
      <w:pPr>
        <w:pStyle w:val="ListBullet"/>
        <w:numPr>
          <w:ilvl w:val="0"/>
          <w:numId w:val="0"/>
        </w:numPr>
        <w:rPr>
          <w:rFonts w:eastAsia="Times New Roman" w:cs="Arial"/>
        </w:rPr>
      </w:pPr>
      <w:r w:rsidRPr="00D957AC">
        <w:t>The Department interrogated data for EPBC Act projects over the past ten years and identified:</w:t>
      </w:r>
    </w:p>
    <w:p w:rsidR="008348E2" w:rsidRPr="00D957AC" w:rsidRDefault="008348E2" w:rsidP="008348E2">
      <w:pPr>
        <w:pStyle w:val="ListBullet"/>
        <w:numPr>
          <w:ilvl w:val="0"/>
          <w:numId w:val="12"/>
        </w:numPr>
      </w:pPr>
      <w:r w:rsidRPr="00D957AC">
        <w:rPr>
          <w:rFonts w:eastAsia="Times New Roman" w:cs="Arial"/>
        </w:rPr>
        <w:t>the average number and type of referrals received each year</w:t>
      </w:r>
    </w:p>
    <w:p w:rsidR="008348E2" w:rsidRPr="00D957AC" w:rsidRDefault="008348E2" w:rsidP="008348E2">
      <w:pPr>
        <w:pStyle w:val="ListBullet"/>
        <w:numPr>
          <w:ilvl w:val="0"/>
          <w:numId w:val="12"/>
        </w:numPr>
      </w:pPr>
      <w:r w:rsidRPr="00D957AC">
        <w:rPr>
          <w:rFonts w:eastAsia="Times New Roman" w:cs="Arial"/>
        </w:rPr>
        <w:t>projects where the proponent was a government</w:t>
      </w:r>
    </w:p>
    <w:p w:rsidR="008348E2" w:rsidRPr="00D957AC" w:rsidRDefault="008348E2" w:rsidP="008348E2">
      <w:pPr>
        <w:pStyle w:val="ListBullet"/>
        <w:numPr>
          <w:ilvl w:val="0"/>
          <w:numId w:val="12"/>
        </w:numPr>
      </w:pPr>
      <w:r w:rsidRPr="00D957AC">
        <w:rPr>
          <w:rFonts w:eastAsia="Times New Roman" w:cs="Arial"/>
        </w:rPr>
        <w:t xml:space="preserve">how many projects required further assessment and approval under the </w:t>
      </w:r>
      <w:r w:rsidRPr="00D957AC">
        <w:rPr>
          <w:rFonts w:eastAsia="Times New Roman" w:cs="Arial"/>
          <w:i/>
        </w:rPr>
        <w:t xml:space="preserve">environment Protection and Biodiversity Conservation Act 1999 </w:t>
      </w:r>
      <w:r w:rsidRPr="00D957AC">
        <w:rPr>
          <w:rFonts w:eastAsia="Times New Roman" w:cs="Arial"/>
        </w:rPr>
        <w:t>(</w:t>
      </w:r>
      <w:proofErr w:type="spellStart"/>
      <w:r w:rsidRPr="00D957AC">
        <w:rPr>
          <w:rFonts w:eastAsia="Times New Roman" w:cs="Arial"/>
        </w:rPr>
        <w:t>Cth</w:t>
      </w:r>
      <w:proofErr w:type="spellEnd"/>
      <w:r w:rsidRPr="00D957AC">
        <w:rPr>
          <w:rFonts w:eastAsia="Times New Roman" w:cs="Arial"/>
        </w:rPr>
        <w:t>) (EPBC Act)</w:t>
      </w:r>
    </w:p>
    <w:p w:rsidR="008348E2" w:rsidRPr="00D957AC" w:rsidRDefault="008348E2" w:rsidP="008348E2">
      <w:pPr>
        <w:pStyle w:val="ListBullet"/>
        <w:numPr>
          <w:ilvl w:val="0"/>
          <w:numId w:val="12"/>
        </w:numPr>
      </w:pPr>
      <w:r w:rsidRPr="00D957AC">
        <w:rPr>
          <w:rFonts w:eastAsia="Times New Roman" w:cs="Arial"/>
        </w:rPr>
        <w:t>the type of assessment required by the state or territory and by the Australian Government (e.g. environmental impact statement)</w:t>
      </w:r>
    </w:p>
    <w:p w:rsidR="008348E2" w:rsidRPr="00D957AC" w:rsidRDefault="008348E2" w:rsidP="008348E2">
      <w:pPr>
        <w:pStyle w:val="ListBullet"/>
        <w:numPr>
          <w:ilvl w:val="0"/>
          <w:numId w:val="12"/>
        </w:numPr>
      </w:pPr>
      <w:r w:rsidRPr="00D957AC">
        <w:rPr>
          <w:rFonts w:eastAsia="Times New Roman" w:cs="Arial"/>
        </w:rPr>
        <w:t>the number and type of projects approved under the EPBC Act and the date of approval</w:t>
      </w:r>
    </w:p>
    <w:p w:rsidR="008348E2" w:rsidRPr="00D957AC" w:rsidRDefault="00664C08" w:rsidP="008348E2">
      <w:pPr>
        <w:pStyle w:val="ListBullet"/>
        <w:numPr>
          <w:ilvl w:val="0"/>
          <w:numId w:val="12"/>
        </w:numPr>
        <w:rPr>
          <w:i/>
        </w:rPr>
      </w:pPr>
      <w:r w:rsidRPr="00664C08">
        <w:rPr>
          <w:noProof/>
          <w:color w:val="FFFFFF" w:themeColor="background1"/>
          <w:lang w:eastAsia="en-AU"/>
        </w:rPr>
        <w:pict>
          <v:rect id="_x0000_s1026" style="position:absolute;left:0;text-align:left;margin-left:-1.1pt;margin-top:34.5pt;width:459.75pt;height:25.5pt;z-index:-25165004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b8cce4 [1300]" stroked="f" strokecolor="#fabf8f [1945]" strokeweight="1pt">
            <v:fill color2="#fbd4b4 [1305]"/>
            <v:shadow type="perspective" color="#974706 [1609]" opacity=".5" offset="1pt" offset2="-3pt"/>
          </v:rect>
        </w:pict>
      </w:r>
      <w:proofErr w:type="gramStart"/>
      <w:r w:rsidR="008348E2" w:rsidRPr="00D957AC">
        <w:rPr>
          <w:rFonts w:eastAsia="Times New Roman" w:cs="Arial"/>
        </w:rPr>
        <w:t>the</w:t>
      </w:r>
      <w:proofErr w:type="gramEnd"/>
      <w:r w:rsidR="008348E2" w:rsidRPr="00D957AC">
        <w:rPr>
          <w:rFonts w:eastAsia="Times New Roman" w:cs="Arial"/>
        </w:rPr>
        <w:t xml:space="preserve"> date of state or territory approval for projects.</w:t>
      </w:r>
      <w:r w:rsidR="008348E2" w:rsidRPr="00D957AC">
        <w:rPr>
          <w:i/>
        </w:rPr>
        <w:br/>
      </w:r>
    </w:p>
    <w:p w:rsidR="008348E2" w:rsidRPr="00D957AC" w:rsidRDefault="008348E2" w:rsidP="008348E2">
      <w:r w:rsidRPr="00D957AC">
        <w:rPr>
          <w:b/>
          <w:bCs/>
        </w:rPr>
        <w:t xml:space="preserve">Step 2 - assumptions applied based on changes expected under the </w:t>
      </w:r>
      <w:r w:rsidR="00284CF5" w:rsidRPr="00D957AC">
        <w:rPr>
          <w:b/>
          <w:bCs/>
        </w:rPr>
        <w:t>One-Stop Shop</w:t>
      </w:r>
    </w:p>
    <w:p w:rsidR="008348E2" w:rsidRPr="00D957AC" w:rsidRDefault="008348E2" w:rsidP="008348E2">
      <w:r w:rsidRPr="00D957AC">
        <w:t xml:space="preserve">A number of assumptions were made to identify changes that could be expected if projects were assessed and approved under the </w:t>
      </w:r>
      <w:r w:rsidR="00284CF5" w:rsidRPr="00D957AC">
        <w:t>One-Stop Shop</w:t>
      </w:r>
      <w:r w:rsidRPr="00D957AC">
        <w:t xml:space="preserve">. </w:t>
      </w:r>
    </w:p>
    <w:p w:rsidR="008348E2" w:rsidRPr="00D957AC" w:rsidRDefault="008348E2" w:rsidP="008348E2">
      <w:r w:rsidRPr="00D957AC">
        <w:t>The two main assumptions are:</w:t>
      </w:r>
    </w:p>
    <w:p w:rsidR="008348E2" w:rsidRPr="00D957AC" w:rsidRDefault="008348E2" w:rsidP="008348E2">
      <w:pPr>
        <w:pStyle w:val="ListNumber"/>
        <w:numPr>
          <w:ilvl w:val="0"/>
          <w:numId w:val="34"/>
        </w:numPr>
      </w:pPr>
      <w:r w:rsidRPr="00D957AC">
        <w:t xml:space="preserve">Environmental standards remain unchanged. Any action currently requiring assessment and approval under the EPBC Act will be assessed and approved by the state or territory, to the same standard, under the </w:t>
      </w:r>
      <w:r w:rsidR="00284CF5" w:rsidRPr="00D957AC">
        <w:t>One-Stop Shop</w:t>
      </w:r>
      <w:r w:rsidRPr="00D957AC">
        <w:t>. The proposed approval bilateral agreements:</w:t>
      </w:r>
    </w:p>
    <w:p w:rsidR="008348E2" w:rsidRPr="00D957AC" w:rsidRDefault="008348E2" w:rsidP="008348E2">
      <w:pPr>
        <w:pStyle w:val="ListBullet2"/>
        <w:numPr>
          <w:ilvl w:val="1"/>
          <w:numId w:val="12"/>
        </w:numPr>
      </w:pPr>
      <w:r w:rsidRPr="00D957AC">
        <w:t xml:space="preserve">will retain the level of protection provided for </w:t>
      </w:r>
      <w:r w:rsidR="002011A4" w:rsidRPr="00D957AC">
        <w:rPr>
          <w:rFonts w:cs="Arial"/>
        </w:rPr>
        <w:t>Matters of National Environmental Significance</w:t>
      </w:r>
      <w:r w:rsidR="002011A4" w:rsidRPr="00D957AC">
        <w:t xml:space="preserve"> </w:t>
      </w:r>
      <w:r w:rsidRPr="00D957AC">
        <w:t>under the EPBC Act</w:t>
      </w:r>
    </w:p>
    <w:p w:rsidR="008348E2" w:rsidRPr="00D957AC" w:rsidRDefault="008348E2" w:rsidP="008348E2">
      <w:pPr>
        <w:pStyle w:val="ListBullet2"/>
        <w:numPr>
          <w:ilvl w:val="1"/>
          <w:numId w:val="12"/>
        </w:numPr>
      </w:pPr>
      <w:r w:rsidRPr="00D957AC">
        <w:t>are not expected to reduce the quality of information required of project proponents;</w:t>
      </w:r>
    </w:p>
    <w:p w:rsidR="008348E2" w:rsidRPr="00D957AC" w:rsidRDefault="008348E2" w:rsidP="008348E2">
      <w:pPr>
        <w:pStyle w:val="ListBullet2"/>
        <w:numPr>
          <w:ilvl w:val="1"/>
          <w:numId w:val="12"/>
        </w:numPr>
      </w:pPr>
      <w:proofErr w:type="gramStart"/>
      <w:r w:rsidRPr="00D957AC">
        <w:t>will</w:t>
      </w:r>
      <w:proofErr w:type="gramEnd"/>
      <w:r w:rsidRPr="00D957AC">
        <w:t xml:space="preserve"> not change the requirement for adequate assessment of the impacts of actions on </w:t>
      </w:r>
      <w:r w:rsidR="002011A4" w:rsidRPr="00D957AC">
        <w:rPr>
          <w:rFonts w:cs="Arial"/>
        </w:rPr>
        <w:t>Matters of National Environmental Significance</w:t>
      </w:r>
      <w:r w:rsidRPr="00D957AC">
        <w:t xml:space="preserve"> under the EPBC Act.</w:t>
      </w:r>
    </w:p>
    <w:p w:rsidR="008348E2" w:rsidRPr="00D957AC" w:rsidRDefault="008348E2" w:rsidP="008348E2">
      <w:pPr>
        <w:pStyle w:val="ListBullet2"/>
        <w:numPr>
          <w:ilvl w:val="1"/>
          <w:numId w:val="12"/>
        </w:numPr>
      </w:pPr>
      <w:proofErr w:type="gramStart"/>
      <w:r w:rsidRPr="00D957AC">
        <w:t>will</w:t>
      </w:r>
      <w:proofErr w:type="gramEnd"/>
      <w:r w:rsidRPr="00D957AC">
        <w:t xml:space="preserve"> not change the ‘avoid, mitigate, offset’ hierarchy of principles guiding the assessment and approval of actions.</w:t>
      </w:r>
    </w:p>
    <w:p w:rsidR="00CE78D7" w:rsidRPr="00D957AC" w:rsidRDefault="008348E2" w:rsidP="000B2D4E">
      <w:pPr>
        <w:pStyle w:val="ListNumber"/>
        <w:numPr>
          <w:ilvl w:val="0"/>
          <w:numId w:val="0"/>
        </w:numPr>
      </w:pPr>
      <w:r w:rsidRPr="00D957AC">
        <w:t xml:space="preserve">Projects would be assessed under current approval processes if the </w:t>
      </w:r>
      <w:r w:rsidR="00284CF5" w:rsidRPr="00D957AC">
        <w:t>One-Stop Shop</w:t>
      </w:r>
      <w:r w:rsidRPr="00D957AC">
        <w:t xml:space="preserve"> did not proceed.</w:t>
      </w:r>
    </w:p>
    <w:p w:rsidR="00CE78D7" w:rsidRPr="00D957AC" w:rsidRDefault="00CE78D7" w:rsidP="000B2D4E">
      <w:pPr>
        <w:pStyle w:val="ListNumber"/>
        <w:numPr>
          <w:ilvl w:val="0"/>
          <w:numId w:val="0"/>
        </w:numPr>
      </w:pPr>
    </w:p>
    <w:p w:rsidR="000B2D4E" w:rsidRPr="00D957AC" w:rsidRDefault="00A173BB" w:rsidP="000B2D4E">
      <w:pPr>
        <w:pStyle w:val="ListNumber"/>
        <w:numPr>
          <w:ilvl w:val="0"/>
          <w:numId w:val="0"/>
        </w:numPr>
      </w:pPr>
      <w:r w:rsidRPr="00D957AC">
        <w:br/>
      </w:r>
    </w:p>
    <w:p w:rsidR="008348E2" w:rsidRPr="00D957AC" w:rsidRDefault="00664C08" w:rsidP="008348E2">
      <w:pPr>
        <w:rPr>
          <w:b/>
          <w:bCs/>
        </w:rPr>
      </w:pPr>
      <w:r>
        <w:rPr>
          <w:b/>
          <w:bCs/>
          <w:noProof/>
          <w:lang w:eastAsia="en-AU"/>
        </w:rPr>
        <w:pict>
          <v:rect id="_x0000_s1027" style="position:absolute;margin-left:-1.45pt;margin-top:-6.75pt;width:459.75pt;height:25.5pt;z-index:-2516490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fillcolor="#b8cce4 [1300]" stroked="f" strokecolor="#fabf8f [1945]" strokeweight="1pt">
            <v:fill color2="#fbd4b4 [1305]"/>
            <v:shadow type="perspective" color="#974706 [1609]" opacity=".5" offset="1pt" offset2="-3pt"/>
          </v:rect>
        </w:pict>
      </w:r>
      <w:r w:rsidR="008348E2" w:rsidRPr="00D957AC">
        <w:rPr>
          <w:b/>
          <w:bCs/>
        </w:rPr>
        <w:t>Step 3 - two areas of potential savings were identified</w:t>
      </w:r>
    </w:p>
    <w:p w:rsidR="008348E2" w:rsidRPr="00D957AC" w:rsidRDefault="008348E2" w:rsidP="008348E2">
      <w:pPr>
        <w:pStyle w:val="ListNumber"/>
        <w:numPr>
          <w:ilvl w:val="0"/>
          <w:numId w:val="0"/>
        </w:numPr>
      </w:pPr>
      <w:r w:rsidRPr="00D957AC">
        <w:t xml:space="preserve">The Department identified two types of savings that are expected to be realised through the </w:t>
      </w:r>
      <w:r w:rsidR="00284CF5" w:rsidRPr="00D957AC">
        <w:t>One-Stop Shop</w:t>
      </w:r>
      <w:r w:rsidRPr="00D957AC">
        <w:t>:</w:t>
      </w:r>
    </w:p>
    <w:p w:rsidR="008348E2" w:rsidRPr="00D957AC" w:rsidRDefault="008348E2" w:rsidP="008348E2">
      <w:pPr>
        <w:pStyle w:val="ListNumber"/>
        <w:numPr>
          <w:ilvl w:val="0"/>
          <w:numId w:val="18"/>
        </w:numPr>
      </w:pPr>
      <w:r w:rsidRPr="00D957AC">
        <w:t>Administrative savings – reduced duplication in administrative activities by interacting with only one regulator.</w:t>
      </w:r>
    </w:p>
    <w:p w:rsidR="008348E2" w:rsidRPr="00D957AC" w:rsidRDefault="008348E2" w:rsidP="008348E2">
      <w:pPr>
        <w:pStyle w:val="ListNumber"/>
        <w:numPr>
          <w:ilvl w:val="0"/>
          <w:numId w:val="34"/>
        </w:numPr>
      </w:pPr>
      <w:r w:rsidRPr="00D957AC">
        <w:t>Delay savings – reduced time delay from requiring a second approval by the Australian Government after a state or territory.</w:t>
      </w:r>
    </w:p>
    <w:p w:rsidR="008348E2" w:rsidRPr="00D957AC" w:rsidRDefault="008348E2" w:rsidP="008348E2">
      <w:pPr>
        <w:pStyle w:val="ListNumber"/>
        <w:numPr>
          <w:ilvl w:val="0"/>
          <w:numId w:val="0"/>
        </w:numPr>
        <w:rPr>
          <w:b/>
        </w:rPr>
      </w:pPr>
      <w:r w:rsidRPr="00D957AC">
        <w:rPr>
          <w:b/>
        </w:rPr>
        <w:t>Administrative savings</w:t>
      </w:r>
    </w:p>
    <w:p w:rsidR="008348E2" w:rsidRPr="00D957AC" w:rsidRDefault="008348E2" w:rsidP="008348E2">
      <w:pPr>
        <w:pStyle w:val="ListNumber"/>
        <w:numPr>
          <w:ilvl w:val="0"/>
          <w:numId w:val="0"/>
        </w:numPr>
        <w:rPr>
          <w:rFonts w:eastAsia="Times New Roman" w:cs="Arial"/>
        </w:rPr>
      </w:pPr>
      <w:r w:rsidRPr="00D957AC">
        <w:t>Some of the types of administrative savings are that proponents will:</w:t>
      </w:r>
    </w:p>
    <w:p w:rsidR="008348E2" w:rsidRPr="00D957AC" w:rsidRDefault="008348E2" w:rsidP="008348E2">
      <w:pPr>
        <w:pStyle w:val="ListBullet"/>
        <w:numPr>
          <w:ilvl w:val="0"/>
          <w:numId w:val="12"/>
        </w:numPr>
      </w:pPr>
      <w:r w:rsidRPr="00D957AC">
        <w:t>not have pre-referral contact with the Australian Government</w:t>
      </w:r>
    </w:p>
    <w:p w:rsidR="008348E2" w:rsidRPr="00D957AC" w:rsidRDefault="008348E2" w:rsidP="008348E2">
      <w:pPr>
        <w:pStyle w:val="ListBullet"/>
        <w:numPr>
          <w:ilvl w:val="0"/>
          <w:numId w:val="12"/>
        </w:numPr>
      </w:pPr>
      <w:r w:rsidRPr="00D957AC">
        <w:t>not have to prepare a separate referral form for the Australian Government</w:t>
      </w:r>
    </w:p>
    <w:p w:rsidR="008348E2" w:rsidRPr="00D957AC" w:rsidRDefault="008348E2" w:rsidP="008348E2">
      <w:pPr>
        <w:pStyle w:val="ListBullet"/>
        <w:numPr>
          <w:ilvl w:val="0"/>
          <w:numId w:val="12"/>
        </w:numPr>
      </w:pPr>
      <w:r w:rsidRPr="00D957AC">
        <w:t xml:space="preserve">avoid costs associated with providing additional information on </w:t>
      </w:r>
      <w:r w:rsidR="002011A4" w:rsidRPr="00D957AC">
        <w:rPr>
          <w:rFonts w:cs="Arial"/>
        </w:rPr>
        <w:t>Matters of National Environmental Significance</w:t>
      </w:r>
      <w:r w:rsidRPr="00D957AC">
        <w:t xml:space="preserve"> later in the assessment and approval stage and additional public consultation processes associated with this information, as all requirements will be well understood upfront </w:t>
      </w:r>
    </w:p>
    <w:p w:rsidR="008348E2" w:rsidRPr="00D957AC" w:rsidRDefault="008348E2" w:rsidP="008348E2">
      <w:pPr>
        <w:pStyle w:val="ListBullet"/>
        <w:numPr>
          <w:ilvl w:val="0"/>
          <w:numId w:val="12"/>
        </w:numPr>
      </w:pPr>
      <w:r w:rsidRPr="00D957AC">
        <w:t>not have contact with the Australian Government during the assessment period</w:t>
      </w:r>
    </w:p>
    <w:p w:rsidR="008348E2" w:rsidRPr="00D957AC" w:rsidRDefault="008348E2" w:rsidP="008348E2">
      <w:pPr>
        <w:pStyle w:val="ListBullet"/>
        <w:numPr>
          <w:ilvl w:val="0"/>
          <w:numId w:val="12"/>
        </w:numPr>
      </w:pPr>
      <w:proofErr w:type="gramStart"/>
      <w:r w:rsidRPr="00D957AC">
        <w:t>report</w:t>
      </w:r>
      <w:proofErr w:type="gramEnd"/>
      <w:r w:rsidRPr="00D957AC">
        <w:t xml:space="preserve"> only to the state or territory government in the post-approval stage. </w:t>
      </w:r>
    </w:p>
    <w:p w:rsidR="008348E2" w:rsidRPr="00D957AC" w:rsidRDefault="008348E2" w:rsidP="008348E2">
      <w:r w:rsidRPr="00D957AC">
        <w:t xml:space="preserve">A number of assumptions were made to calculate administrative savings: </w:t>
      </w:r>
    </w:p>
    <w:p w:rsidR="008348E2" w:rsidRPr="00D957AC" w:rsidRDefault="008348E2" w:rsidP="008348E2">
      <w:pPr>
        <w:pStyle w:val="ListBullet"/>
        <w:numPr>
          <w:ilvl w:val="0"/>
          <w:numId w:val="12"/>
        </w:numPr>
      </w:pPr>
      <w:r w:rsidRPr="00D957AC">
        <w:t>On average, the number of referrals in future years will remain the same. This is supported by 10 years of project data.</w:t>
      </w:r>
    </w:p>
    <w:p w:rsidR="008348E2" w:rsidRPr="00D957AC" w:rsidRDefault="008348E2" w:rsidP="008348E2">
      <w:pPr>
        <w:pStyle w:val="ListBullet"/>
        <w:numPr>
          <w:ilvl w:val="0"/>
          <w:numId w:val="12"/>
        </w:numPr>
      </w:pPr>
      <w:r w:rsidRPr="00D957AC">
        <w:t>Estimates were made about the time spent on each administrative activity (at each stage of the Australian Government assessment and approval process) combined with Australian Bureau of Statistics earnings data and the percentage of proponents who would have undertaken certain activities. These assumptions were based on the experiences of assessment officers and feedback from peak industry groups (e.g. the cost of pre-referral contact with both the state or territory and the Australian Government).</w:t>
      </w:r>
    </w:p>
    <w:p w:rsidR="008348E2" w:rsidRPr="00D957AC" w:rsidRDefault="008348E2" w:rsidP="008348E2">
      <w:pPr>
        <w:pStyle w:val="ListBullet"/>
        <w:numPr>
          <w:ilvl w:val="0"/>
          <w:numId w:val="12"/>
        </w:numPr>
      </w:pPr>
      <w:r w:rsidRPr="00D957AC">
        <w:t xml:space="preserve">There will be no increase in state and territory administrative requirements under the </w:t>
      </w:r>
      <w:r w:rsidR="00284CF5" w:rsidRPr="00D957AC">
        <w:t>One-Stop Shop</w:t>
      </w:r>
      <w:r w:rsidRPr="00D957AC">
        <w:t xml:space="preserve">, as these will remain the same as those currently required by state or territory government processes. </w:t>
      </w:r>
    </w:p>
    <w:p w:rsidR="008348E2" w:rsidRPr="00D957AC" w:rsidRDefault="008348E2" w:rsidP="008348E2">
      <w:pPr>
        <w:rPr>
          <w:b/>
        </w:rPr>
      </w:pPr>
      <w:r w:rsidRPr="00D957AC">
        <w:rPr>
          <w:b/>
        </w:rPr>
        <w:t>Delay savings</w:t>
      </w:r>
    </w:p>
    <w:p w:rsidR="008348E2" w:rsidRPr="00D957AC" w:rsidRDefault="008348E2" w:rsidP="008348E2">
      <w:r w:rsidRPr="00D957AC">
        <w:t xml:space="preserve">A reduction in project delays is expected to be the major cost saving for business under the </w:t>
      </w:r>
      <w:r w:rsidR="00284CF5" w:rsidRPr="00D957AC">
        <w:t>One-Stop Shop</w:t>
      </w:r>
      <w:r w:rsidRPr="00D957AC">
        <w:t xml:space="preserve">. Savings are realised because a second approval would not be required from the Australian Government, allowing projects to obtain earlier approval and make earlier project and investment decisions. Delay savings are measured by comparing the current assessment and approval timeframes to expected timeframes under the </w:t>
      </w:r>
      <w:r w:rsidR="00284CF5" w:rsidRPr="00D957AC">
        <w:t>One-Stop Shop</w:t>
      </w:r>
      <w:r w:rsidRPr="00D957AC">
        <w:t>.</w:t>
      </w:r>
    </w:p>
    <w:p w:rsidR="00CA5DBE" w:rsidRPr="00D957AC" w:rsidRDefault="00CA5DBE" w:rsidP="008348E2"/>
    <w:p w:rsidR="00CA5DBE" w:rsidRPr="00D957AC" w:rsidRDefault="00CA5DBE" w:rsidP="008348E2"/>
    <w:p w:rsidR="008348E2" w:rsidRPr="00D957AC" w:rsidRDefault="008348E2" w:rsidP="008348E2">
      <w:r w:rsidRPr="00D957AC">
        <w:t xml:space="preserve">A number of assumptions were made to calculate delay savings: </w:t>
      </w:r>
    </w:p>
    <w:p w:rsidR="008348E2" w:rsidRPr="00D957AC" w:rsidRDefault="008348E2" w:rsidP="008348E2">
      <w:pPr>
        <w:pStyle w:val="ListBullet"/>
        <w:numPr>
          <w:ilvl w:val="0"/>
          <w:numId w:val="12"/>
        </w:numPr>
      </w:pPr>
      <w:proofErr w:type="gramStart"/>
      <w:r w:rsidRPr="00D957AC">
        <w:t>the</w:t>
      </w:r>
      <w:proofErr w:type="gramEnd"/>
      <w:r w:rsidRPr="00D957AC">
        <w:t xml:space="preserve"> scope of projects that would be covered by the </w:t>
      </w:r>
      <w:r w:rsidR="00284CF5" w:rsidRPr="00D957AC">
        <w:t>One-Stop Shop</w:t>
      </w:r>
      <w:r w:rsidRPr="00D957AC">
        <w:t xml:space="preserve"> is based on those state and territory processes that are either confirmed or expected as at 30 June 2014. The Department anticipates that the accredited processes are likely to capture the majority of large scale, capital intensive projects. These projects have the greatest cost impact when administrative or delay costs are incurred. </w:t>
      </w:r>
    </w:p>
    <w:p w:rsidR="008348E2" w:rsidRPr="00D957AC" w:rsidRDefault="008348E2" w:rsidP="008348E2">
      <w:pPr>
        <w:pStyle w:val="ListBullet"/>
        <w:numPr>
          <w:ilvl w:val="0"/>
          <w:numId w:val="12"/>
        </w:numPr>
      </w:pPr>
      <w:r w:rsidRPr="00D957AC">
        <w:t>The last three years of project data is a representative sample of a 10 year period with the year 2010-11 a 1-in-10 year peak based on Departmental data. This is supported by 10 years of project data.</w:t>
      </w:r>
    </w:p>
    <w:p w:rsidR="008348E2" w:rsidRPr="00D957AC" w:rsidRDefault="008348E2" w:rsidP="008348E2">
      <w:pPr>
        <w:pStyle w:val="ListBullet"/>
        <w:numPr>
          <w:ilvl w:val="0"/>
          <w:numId w:val="12"/>
        </w:numPr>
      </w:pPr>
      <w:r w:rsidRPr="00D957AC">
        <w:t xml:space="preserve">Projects which were assessed by environmental impact statement, public environment report or under an assessment bilateral agreement or accredited process are most likely to have been subject to two approval decisions and benefit from a </w:t>
      </w:r>
      <w:r w:rsidR="00284CF5" w:rsidRPr="00D957AC">
        <w:t>One-Stop Shop</w:t>
      </w:r>
      <w:r w:rsidRPr="00D957AC">
        <w:t xml:space="preserve">. </w:t>
      </w:r>
    </w:p>
    <w:p w:rsidR="008348E2" w:rsidRPr="00D957AC" w:rsidRDefault="008348E2" w:rsidP="008348E2">
      <w:pPr>
        <w:pStyle w:val="ListBullet"/>
        <w:numPr>
          <w:ilvl w:val="0"/>
          <w:numId w:val="12"/>
        </w:numPr>
      </w:pPr>
      <w:r w:rsidRPr="00D957AC">
        <w:t xml:space="preserve">State or territory in-principle approval can provide certainty for business to make a final investment decision on a project, and has been considered as the relevant point of state or territory approval in some cases. </w:t>
      </w:r>
    </w:p>
    <w:p w:rsidR="008348E2" w:rsidRPr="00D957AC" w:rsidRDefault="008348E2" w:rsidP="008348E2">
      <w:pPr>
        <w:pStyle w:val="ListBullet"/>
        <w:numPr>
          <w:ilvl w:val="0"/>
          <w:numId w:val="12"/>
        </w:numPr>
      </w:pPr>
      <w:r w:rsidRPr="00D957AC">
        <w:t xml:space="preserve">There will be no increase in state and territory approval timeframes under the </w:t>
      </w:r>
      <w:r w:rsidR="00284CF5" w:rsidRPr="00D957AC">
        <w:t>One-Stop Shop</w:t>
      </w:r>
      <w:r w:rsidRPr="00D957AC">
        <w:t>, as state and territory governments will continue to make approval decisions according to existing processes and statutory timeframes</w:t>
      </w:r>
    </w:p>
    <w:p w:rsidR="003270B5" w:rsidRPr="00D957AC" w:rsidRDefault="00664C08" w:rsidP="000B2D4E">
      <w:pPr>
        <w:pStyle w:val="ListBullet"/>
        <w:numPr>
          <w:ilvl w:val="0"/>
          <w:numId w:val="12"/>
        </w:numPr>
      </w:pPr>
      <w:r w:rsidRPr="00664C08">
        <w:rPr>
          <w:b/>
          <w:bCs/>
          <w:noProof/>
          <w:lang w:eastAsia="en-AU"/>
        </w:rPr>
        <w:pict>
          <v:rect id="_x0000_s1029" style="position:absolute;left:0;text-align:left;margin-left:-.05pt;margin-top:31.9pt;width:459.75pt;height:25.5pt;z-index:-251646976" fillcolor="#b8cce4 [1300]" stroked="f" strokecolor="#fabf8f [1945]" strokeweight="1pt">
            <v:fill color2="#fbd4b4 [1305]"/>
            <v:shadow type="perspective" color="#974706 [1609]" opacity=".5" offset="1pt" offset2="-3pt"/>
          </v:rect>
        </w:pict>
      </w:r>
      <w:r w:rsidR="008348E2" w:rsidRPr="00D957AC">
        <w:t xml:space="preserve">There are two points in state or territory processes where there may be a delay cost for a proponent: final investment decision and commencement of work.  </w:t>
      </w:r>
    </w:p>
    <w:p w:rsidR="008348E2" w:rsidRPr="00D957AC" w:rsidRDefault="008348E2" w:rsidP="008348E2">
      <w:pPr>
        <w:rPr>
          <w:b/>
        </w:rPr>
      </w:pPr>
      <w:r w:rsidRPr="00D957AC">
        <w:rPr>
          <w:b/>
        </w:rPr>
        <w:t>Step 4 - calculate administrative savings</w:t>
      </w:r>
    </w:p>
    <w:p w:rsidR="008348E2" w:rsidRPr="00D957AC" w:rsidRDefault="008348E2" w:rsidP="008348E2">
      <w:pPr>
        <w:pStyle w:val="ListNumber"/>
        <w:numPr>
          <w:ilvl w:val="0"/>
          <w:numId w:val="0"/>
        </w:numPr>
        <w:rPr>
          <w:rFonts w:eastAsia="Times New Roman" w:cs="Arial"/>
        </w:rPr>
      </w:pPr>
      <w:r w:rsidRPr="00D957AC">
        <w:rPr>
          <w:rFonts w:eastAsia="Times New Roman" w:cs="Arial"/>
        </w:rPr>
        <w:t>The Department calculated the average number of referrals received each year.  Consistent with the Australian Government’s Regulatory Burden Measurement Framework projects with government proponents were removed. This</w:t>
      </w:r>
      <w:r w:rsidR="000B2D4E" w:rsidRPr="00D957AC">
        <w:rPr>
          <w:rFonts w:eastAsia="Times New Roman" w:cs="Arial"/>
        </w:rPr>
        <w:t xml:space="preserve"> resulted in an average of over</w:t>
      </w:r>
      <w:r w:rsidRPr="00D957AC">
        <w:rPr>
          <w:rFonts w:eastAsia="Times New Roman" w:cs="Arial"/>
        </w:rPr>
        <w:t xml:space="preserve"> 300 referrals being received each year under the EPBC Act.</w:t>
      </w:r>
    </w:p>
    <w:p w:rsidR="008348E2" w:rsidRPr="00D957AC" w:rsidRDefault="008348E2" w:rsidP="008348E2">
      <w:pPr>
        <w:pStyle w:val="ListNumber2"/>
        <w:numPr>
          <w:ilvl w:val="0"/>
          <w:numId w:val="0"/>
        </w:numPr>
      </w:pPr>
      <w:r w:rsidRPr="00D957AC">
        <w:t>Administrative savings were calculated for each stage of the environmental assessment and approval process separately. These savings were developed in consultation with peak industry groups. The following areas of saving were identified:</w:t>
      </w:r>
      <w:r w:rsidRPr="00D957AC">
        <w:rPr>
          <w:lang w:val="en-US"/>
        </w:rPr>
        <w:t xml:space="preserve"> </w:t>
      </w:r>
    </w:p>
    <w:p w:rsidR="008348E2" w:rsidRPr="00D957AC" w:rsidRDefault="008348E2" w:rsidP="008348E2">
      <w:pPr>
        <w:pStyle w:val="ListNumber2"/>
        <w:numPr>
          <w:ilvl w:val="0"/>
          <w:numId w:val="0"/>
        </w:numPr>
        <w:rPr>
          <w:b/>
        </w:rPr>
      </w:pPr>
      <w:r w:rsidRPr="00D957AC">
        <w:rPr>
          <w:b/>
        </w:rPr>
        <w:t>Pre-referral</w:t>
      </w:r>
    </w:p>
    <w:p w:rsidR="008348E2" w:rsidRPr="00D957AC" w:rsidRDefault="008348E2" w:rsidP="008348E2">
      <w:pPr>
        <w:pStyle w:val="ListBullet"/>
        <w:numPr>
          <w:ilvl w:val="0"/>
          <w:numId w:val="12"/>
        </w:numPr>
      </w:pPr>
      <w:r w:rsidRPr="00D957AC">
        <w:t>Proponents will no longer need to engage with the Australian Government before lodging an application.</w:t>
      </w:r>
    </w:p>
    <w:p w:rsidR="008348E2" w:rsidRPr="00D957AC" w:rsidRDefault="008348E2" w:rsidP="008348E2">
      <w:pPr>
        <w:pStyle w:val="ListBullet"/>
        <w:numPr>
          <w:ilvl w:val="0"/>
          <w:numId w:val="12"/>
        </w:numPr>
      </w:pPr>
      <w:r w:rsidRPr="00D957AC">
        <w:t xml:space="preserve">Savings include travel and preparing for pre-referral meetings, and liaising with the Australian Government. </w:t>
      </w:r>
    </w:p>
    <w:p w:rsidR="008348E2" w:rsidRPr="00D957AC" w:rsidRDefault="008348E2" w:rsidP="008348E2">
      <w:pPr>
        <w:pStyle w:val="ListNumber2"/>
        <w:numPr>
          <w:ilvl w:val="0"/>
          <w:numId w:val="0"/>
        </w:numPr>
        <w:rPr>
          <w:b/>
        </w:rPr>
      </w:pPr>
      <w:r w:rsidRPr="00D957AC">
        <w:rPr>
          <w:b/>
        </w:rPr>
        <w:t>Referral</w:t>
      </w:r>
    </w:p>
    <w:p w:rsidR="008348E2" w:rsidRPr="00D957AC" w:rsidRDefault="008348E2" w:rsidP="008348E2">
      <w:pPr>
        <w:pStyle w:val="ListBullet"/>
        <w:numPr>
          <w:ilvl w:val="0"/>
          <w:numId w:val="12"/>
        </w:numPr>
      </w:pPr>
      <w:r w:rsidRPr="00D957AC">
        <w:t xml:space="preserve">Proponents will no longer have to complete an Australian Government referral form or seek expert advice on Australian Government processes. In addition, the proponent will not have to liaise with the Australian Government during the referral stage. </w:t>
      </w:r>
    </w:p>
    <w:p w:rsidR="00CA5DBE" w:rsidRPr="00D957AC" w:rsidRDefault="00CA5DBE" w:rsidP="008348E2">
      <w:pPr>
        <w:pStyle w:val="ListNumber"/>
        <w:numPr>
          <w:ilvl w:val="0"/>
          <w:numId w:val="0"/>
        </w:numPr>
        <w:rPr>
          <w:b/>
        </w:rPr>
      </w:pPr>
    </w:p>
    <w:p w:rsidR="00CA5DBE" w:rsidRPr="00D957AC" w:rsidRDefault="00CA5DBE" w:rsidP="008348E2">
      <w:pPr>
        <w:pStyle w:val="ListNumber"/>
        <w:numPr>
          <w:ilvl w:val="0"/>
          <w:numId w:val="0"/>
        </w:numPr>
        <w:rPr>
          <w:b/>
        </w:rPr>
      </w:pPr>
    </w:p>
    <w:p w:rsidR="008348E2" w:rsidRPr="00D957AC" w:rsidRDefault="008348E2" w:rsidP="008348E2">
      <w:pPr>
        <w:pStyle w:val="ListNumber"/>
        <w:numPr>
          <w:ilvl w:val="0"/>
          <w:numId w:val="0"/>
        </w:numPr>
        <w:rPr>
          <w:b/>
        </w:rPr>
      </w:pPr>
      <w:r w:rsidRPr="00D957AC">
        <w:rPr>
          <w:b/>
        </w:rPr>
        <w:t>Assessment</w:t>
      </w:r>
    </w:p>
    <w:p w:rsidR="008348E2" w:rsidRPr="00D957AC" w:rsidRDefault="008348E2" w:rsidP="008348E2">
      <w:pPr>
        <w:pStyle w:val="ListBullet"/>
        <w:numPr>
          <w:ilvl w:val="0"/>
          <w:numId w:val="12"/>
        </w:numPr>
      </w:pPr>
      <w:r w:rsidRPr="00D957AC">
        <w:t xml:space="preserve">Proponents will only have to seek expert advice on one assessment, with all information provided upfront with one consultation period.  In addition, the proponent will not have to liaise with the Australian Government during the assessment stage. </w:t>
      </w:r>
    </w:p>
    <w:p w:rsidR="008348E2" w:rsidRPr="00D957AC" w:rsidRDefault="008348E2" w:rsidP="008348E2">
      <w:pPr>
        <w:pStyle w:val="ListNumber"/>
        <w:numPr>
          <w:ilvl w:val="0"/>
          <w:numId w:val="0"/>
        </w:numPr>
        <w:rPr>
          <w:b/>
        </w:rPr>
      </w:pPr>
      <w:r w:rsidRPr="00D957AC">
        <w:rPr>
          <w:b/>
        </w:rPr>
        <w:t>Approval</w:t>
      </w:r>
    </w:p>
    <w:p w:rsidR="008348E2" w:rsidRPr="00D957AC" w:rsidRDefault="008348E2" w:rsidP="008348E2">
      <w:pPr>
        <w:pStyle w:val="ListBullet"/>
        <w:numPr>
          <w:ilvl w:val="0"/>
          <w:numId w:val="12"/>
        </w:numPr>
      </w:pPr>
      <w:r w:rsidRPr="00D957AC">
        <w:t xml:space="preserve">Proponents will no longer have to prepare additional information for the Australian Government at the approval stage as this will be considered as part of the state or territory assessment and approval process. Some proponents will also no longer have to undertake additional public consultation. </w:t>
      </w:r>
    </w:p>
    <w:p w:rsidR="008348E2" w:rsidRPr="00D957AC" w:rsidRDefault="008348E2" w:rsidP="008348E2">
      <w:pPr>
        <w:pStyle w:val="ListNumber"/>
        <w:numPr>
          <w:ilvl w:val="0"/>
          <w:numId w:val="0"/>
        </w:numPr>
        <w:rPr>
          <w:b/>
        </w:rPr>
      </w:pPr>
      <w:r w:rsidRPr="00D957AC">
        <w:rPr>
          <w:b/>
        </w:rPr>
        <w:t>Post approval</w:t>
      </w:r>
    </w:p>
    <w:p w:rsidR="008348E2" w:rsidRPr="00D957AC" w:rsidRDefault="008348E2" w:rsidP="008348E2">
      <w:pPr>
        <w:pStyle w:val="ListBullet"/>
        <w:numPr>
          <w:ilvl w:val="0"/>
          <w:numId w:val="12"/>
        </w:numPr>
      </w:pPr>
      <w:r w:rsidRPr="00D957AC">
        <w:t>Proponents will only be subject to one set of approval conditions, project auditing and post</w:t>
      </w:r>
      <w:r w:rsidRPr="00D957AC">
        <w:noBreakHyphen/>
      </w:r>
      <w:proofErr w:type="spellStart"/>
      <w:r w:rsidR="003270B5" w:rsidRPr="00D957AC">
        <w:t>approval</w:t>
      </w:r>
      <w:proofErr w:type="spellEnd"/>
      <w:r w:rsidRPr="00D957AC">
        <w:t xml:space="preserve"> site visits, and will no longer need to liaise with the Australian Government on post approval requirements. </w:t>
      </w:r>
    </w:p>
    <w:p w:rsidR="008348E2" w:rsidRPr="00D957AC" w:rsidRDefault="00664C08" w:rsidP="008348E2">
      <w:pPr>
        <w:pStyle w:val="ListNumber2"/>
        <w:numPr>
          <w:ilvl w:val="0"/>
          <w:numId w:val="0"/>
        </w:numPr>
        <w:rPr>
          <w:b/>
        </w:rPr>
      </w:pPr>
      <w:r w:rsidRPr="00664C08">
        <w:rPr>
          <w:b/>
          <w:bCs/>
          <w:noProof/>
          <w:lang w:eastAsia="en-AU"/>
        </w:rPr>
        <w:pict>
          <v:rect id="_x0000_s1030" style="position:absolute;margin-left:-1.85pt;margin-top:47.3pt;width:459.75pt;height:25.5pt;z-index:-251645952" fillcolor="#b8cce4 [1300]" stroked="f" strokecolor="#fabf8f [1945]" strokeweight="1pt">
            <v:fill color2="#fbd4b4 [1305]"/>
            <v:shadow type="perspective" color="#974706 [1609]" opacity=".5" offset="1pt" offset2="-3pt"/>
          </v:rect>
        </w:pict>
      </w:r>
      <w:r w:rsidR="008348E2" w:rsidRPr="00D957AC">
        <w:t xml:space="preserve">The expected savings for each stage of the process were combined to calculate the total annual expected administrative savings under the </w:t>
      </w:r>
      <w:r w:rsidR="00284CF5" w:rsidRPr="00D957AC">
        <w:t>One-Stop Shop</w:t>
      </w:r>
      <w:r w:rsidR="008348E2" w:rsidRPr="00D957AC">
        <w:t xml:space="preserve">, of approximately </w:t>
      </w:r>
      <w:r w:rsidR="000B2D4E" w:rsidRPr="00D957AC">
        <w:rPr>
          <w:b/>
        </w:rPr>
        <w:t>$</w:t>
      </w:r>
      <w:r w:rsidR="00B37AAC" w:rsidRPr="00D957AC">
        <w:rPr>
          <w:b/>
        </w:rPr>
        <w:t>9</w:t>
      </w:r>
      <w:r w:rsidR="000B2D4E" w:rsidRPr="00D957AC">
        <w:rPr>
          <w:b/>
        </w:rPr>
        <w:t> </w:t>
      </w:r>
      <w:r w:rsidR="008348E2" w:rsidRPr="00D957AC">
        <w:rPr>
          <w:b/>
        </w:rPr>
        <w:t>million</w:t>
      </w:r>
      <w:r w:rsidR="000B2D4E" w:rsidRPr="00D957AC">
        <w:rPr>
          <w:b/>
        </w:rPr>
        <w:t xml:space="preserve"> </w:t>
      </w:r>
      <w:r w:rsidR="00307B6D" w:rsidRPr="00D957AC">
        <w:t>a</w:t>
      </w:r>
      <w:r w:rsidR="000B2D4E" w:rsidRPr="00D957AC">
        <w:t xml:space="preserve"> year</w:t>
      </w:r>
      <w:r w:rsidR="008348E2" w:rsidRPr="00D957AC">
        <w:t>.</w:t>
      </w:r>
    </w:p>
    <w:p w:rsidR="008348E2" w:rsidRPr="00D957AC" w:rsidRDefault="008348E2" w:rsidP="008348E2">
      <w:pPr>
        <w:rPr>
          <w:b/>
        </w:rPr>
      </w:pPr>
      <w:r w:rsidRPr="00D957AC">
        <w:rPr>
          <w:b/>
        </w:rPr>
        <w:t>Step 5 – calculate delay savings</w:t>
      </w:r>
    </w:p>
    <w:p w:rsidR="008348E2" w:rsidRPr="00D957AC" w:rsidRDefault="008348E2" w:rsidP="008348E2">
      <w:pPr>
        <w:pStyle w:val="ListBullet"/>
        <w:numPr>
          <w:ilvl w:val="0"/>
          <w:numId w:val="0"/>
        </w:numPr>
      </w:pPr>
      <w:r w:rsidRPr="00D957AC">
        <w:t>To calculate delay savings, a subset of projects were identified for detailed analysis according to the following criteria:</w:t>
      </w:r>
    </w:p>
    <w:p w:rsidR="008348E2" w:rsidRPr="00D957AC" w:rsidRDefault="008348E2" w:rsidP="008348E2">
      <w:pPr>
        <w:pStyle w:val="ListBullet"/>
        <w:numPr>
          <w:ilvl w:val="0"/>
          <w:numId w:val="12"/>
        </w:numPr>
      </w:pPr>
      <w:r w:rsidRPr="00D957AC">
        <w:t xml:space="preserve"> Projects where the state or territory decision preceded the Australian Government approval decision between 1 July 2010 and 30 June 2013. </w:t>
      </w:r>
    </w:p>
    <w:p w:rsidR="008348E2" w:rsidRPr="00D957AC" w:rsidRDefault="008348E2" w:rsidP="008348E2">
      <w:pPr>
        <w:pStyle w:val="ListBullet"/>
        <w:numPr>
          <w:ilvl w:val="0"/>
          <w:numId w:val="12"/>
        </w:numPr>
      </w:pPr>
      <w:r w:rsidRPr="00D957AC">
        <w:t xml:space="preserve">Projects which were assessed by environmental impact statement, public environment report or under an assessment bilateral agreement or accredited process. These projects are most likely to have been subject to two approval decisions and benefit from </w:t>
      </w:r>
      <w:proofErr w:type="gramStart"/>
      <w:r w:rsidRPr="00D957AC">
        <w:t>a</w:t>
      </w:r>
      <w:proofErr w:type="gramEnd"/>
      <w:r w:rsidRPr="00D957AC">
        <w:t xml:space="preserve"> </w:t>
      </w:r>
      <w:r w:rsidR="000B2D4E" w:rsidRPr="00D957AC">
        <w:t>One</w:t>
      </w:r>
      <w:r w:rsidR="000B2D4E" w:rsidRPr="00D957AC">
        <w:noBreakHyphen/>
      </w:r>
      <w:proofErr w:type="spellStart"/>
      <w:r w:rsidR="00284CF5" w:rsidRPr="00D957AC">
        <w:t>Stop</w:t>
      </w:r>
      <w:proofErr w:type="spellEnd"/>
      <w:r w:rsidR="00284CF5" w:rsidRPr="00D957AC">
        <w:t xml:space="preserve"> Shop</w:t>
      </w:r>
      <w:r w:rsidRPr="00D957AC">
        <w:t>. Projects assessed by another method, for example preliminary documentation or on referral information, have been excluded.</w:t>
      </w:r>
    </w:p>
    <w:p w:rsidR="008348E2" w:rsidRPr="00D957AC" w:rsidRDefault="008348E2" w:rsidP="008348E2">
      <w:pPr>
        <w:pStyle w:val="ListBullet"/>
        <w:numPr>
          <w:ilvl w:val="0"/>
          <w:numId w:val="12"/>
        </w:numPr>
      </w:pPr>
      <w:r w:rsidRPr="00D957AC">
        <w:t xml:space="preserve">Each project was investigated to determine how many days delay can be attributed to the Australian Government. Projects that are undertaken by the </w:t>
      </w:r>
      <w:r w:rsidR="0024103C" w:rsidRPr="00D957AC">
        <w:t>Australian Government</w:t>
      </w:r>
      <w:r w:rsidRPr="00D957AC">
        <w:t xml:space="preserve"> or on </w:t>
      </w:r>
      <w:r w:rsidR="0024103C" w:rsidRPr="00D957AC">
        <w:t>Australian Government</w:t>
      </w:r>
      <w:r w:rsidRPr="00D957AC">
        <w:t xml:space="preserve"> Lands, </w:t>
      </w:r>
      <w:r w:rsidR="0024103C" w:rsidRPr="00D957AC">
        <w:t xml:space="preserve">or </w:t>
      </w:r>
      <w:r w:rsidRPr="00D957AC">
        <w:t xml:space="preserve">are undertaken solely in </w:t>
      </w:r>
      <w:r w:rsidR="0024103C" w:rsidRPr="00D957AC">
        <w:t>a</w:t>
      </w:r>
      <w:r w:rsidRPr="00D957AC">
        <w:t xml:space="preserve"> Commonwealth Marine Area are not included.  </w:t>
      </w:r>
    </w:p>
    <w:p w:rsidR="008348E2" w:rsidRPr="00D957AC" w:rsidRDefault="008348E2" w:rsidP="008348E2">
      <w:pPr>
        <w:pStyle w:val="ListBullet"/>
        <w:numPr>
          <w:ilvl w:val="0"/>
          <w:numId w:val="12"/>
        </w:numPr>
      </w:pPr>
      <w:r w:rsidRPr="00D957AC">
        <w:t>Projects undertaken by state, territory and governments are also excluded. In some cases, state</w:t>
      </w:r>
      <w:r w:rsidR="006D52FD" w:rsidRPr="00D957AC">
        <w:t xml:space="preserve"> or territory</w:t>
      </w:r>
      <w:r w:rsidRPr="00D957AC">
        <w:t xml:space="preserve"> in-principle approval can provide certainty for business to make a final investment decision on a project, and has been considered as the relevant point of state </w:t>
      </w:r>
      <w:r w:rsidR="0024103C" w:rsidRPr="00D957AC">
        <w:t xml:space="preserve">or territory </w:t>
      </w:r>
      <w:r w:rsidRPr="00D957AC">
        <w:t>approval.</w:t>
      </w:r>
    </w:p>
    <w:p w:rsidR="008348E2" w:rsidRPr="00D957AC" w:rsidRDefault="008348E2" w:rsidP="008348E2">
      <w:r w:rsidRPr="00D957AC">
        <w:t xml:space="preserve">The year 2010-2011 has been adjusted to take into account the mining boom associated with liquefied natural gas to coal seam gas developments in that year. This is considered likely to be a ‘once every ten years’ peak and has been weighted accordingly. We have assumed that the future profile of projects requiring assessment and approval under the EPBC Act would be broadly similar to the past ten years. </w:t>
      </w:r>
    </w:p>
    <w:p w:rsidR="008348E2" w:rsidRPr="00D957AC" w:rsidRDefault="008348E2" w:rsidP="008348E2">
      <w:r w:rsidRPr="00D957AC">
        <w:t xml:space="preserve">Using the criteria above, 52 projects were used to calculate delay costs according to the method below. This is a much smaller set of projects than were used to calculate administrative costs as it focuses on large projects most likely to experience delays that would likely be accredited under a </w:t>
      </w:r>
      <w:r w:rsidR="00284CF5" w:rsidRPr="00D957AC">
        <w:t>One-Stop Shop</w:t>
      </w:r>
      <w:r w:rsidRPr="00D957AC">
        <w:t>.</w:t>
      </w:r>
    </w:p>
    <w:p w:rsidR="008348E2" w:rsidRPr="00D957AC" w:rsidRDefault="008348E2" w:rsidP="008348E2">
      <w:r w:rsidRPr="00D957AC">
        <w:t xml:space="preserve">The approval timeframe was broken down into three components (A, B and C) to assist consideration of how timeframes would be expected to change under a </w:t>
      </w:r>
      <w:r w:rsidR="00284CF5" w:rsidRPr="00D957AC">
        <w:t>One-Stop Shop</w:t>
      </w:r>
      <w:r w:rsidRPr="00D957AC">
        <w:t xml:space="preserve">: </w:t>
      </w:r>
    </w:p>
    <w:p w:rsidR="008348E2" w:rsidRPr="00D957AC" w:rsidRDefault="008348E2" w:rsidP="008348E2">
      <w:pPr>
        <w:pStyle w:val="ListBullet"/>
      </w:pPr>
      <w:r w:rsidRPr="00D957AC">
        <w:rPr>
          <w:b/>
        </w:rPr>
        <w:t xml:space="preserve">A </w:t>
      </w:r>
      <w:r w:rsidRPr="00D957AC">
        <w:t>- the expected timeframe for an approval decision by the Australian Government after a state or territory approval (typically 30-40 business days)</w:t>
      </w:r>
    </w:p>
    <w:p w:rsidR="008348E2" w:rsidRPr="00D957AC" w:rsidRDefault="008348E2" w:rsidP="008348E2">
      <w:pPr>
        <w:pStyle w:val="ListBullet"/>
      </w:pPr>
      <w:r w:rsidRPr="00D957AC">
        <w:rPr>
          <w:b/>
        </w:rPr>
        <w:t xml:space="preserve">B </w:t>
      </w:r>
      <w:r w:rsidRPr="00D957AC">
        <w:t xml:space="preserve">- extensions by the Australian Government to the expected timeframe, for example to obtain more information on </w:t>
      </w:r>
      <w:r w:rsidR="002011A4" w:rsidRPr="00D957AC">
        <w:rPr>
          <w:rFonts w:cs="Arial"/>
        </w:rPr>
        <w:t>Matters of National Environmental Significance</w:t>
      </w:r>
      <w:r w:rsidRPr="00D957AC">
        <w:t xml:space="preserve"> or for more time to consider information</w:t>
      </w:r>
    </w:p>
    <w:p w:rsidR="008348E2" w:rsidRPr="00D957AC" w:rsidRDefault="008348E2" w:rsidP="008348E2">
      <w:pPr>
        <w:pStyle w:val="ListBullet"/>
      </w:pPr>
      <w:r w:rsidRPr="00D957AC">
        <w:rPr>
          <w:b/>
        </w:rPr>
        <w:t xml:space="preserve">C </w:t>
      </w:r>
      <w:r w:rsidRPr="00D957AC">
        <w:t xml:space="preserve">- </w:t>
      </w:r>
      <w:proofErr w:type="gramStart"/>
      <w:r w:rsidRPr="00D957AC">
        <w:t>a</w:t>
      </w:r>
      <w:proofErr w:type="gramEnd"/>
      <w:r w:rsidRPr="00D957AC">
        <w:t xml:space="preserve"> late decision by the Australian Government.</w:t>
      </w:r>
    </w:p>
    <w:p w:rsidR="008348E2" w:rsidRPr="00D957AC" w:rsidRDefault="008348E2" w:rsidP="008348E2">
      <w:pPr>
        <w:pStyle w:val="ListBullet"/>
        <w:numPr>
          <w:ilvl w:val="0"/>
          <w:numId w:val="0"/>
        </w:numPr>
      </w:pPr>
      <w:r w:rsidRPr="00D957AC">
        <w:t>Figure 1 shows how A, B and C have been used to calculate delay costs.</w:t>
      </w:r>
    </w:p>
    <w:p w:rsidR="008348E2" w:rsidRPr="00D957AC" w:rsidRDefault="005F4E9F" w:rsidP="000B2D4E">
      <w:pPr>
        <w:pStyle w:val="ListBullet"/>
        <w:numPr>
          <w:ilvl w:val="0"/>
          <w:numId w:val="0"/>
        </w:numPr>
        <w:spacing w:after="0"/>
        <w:rPr>
          <w:b/>
          <w:sz w:val="20"/>
          <w:szCs w:val="20"/>
        </w:rPr>
      </w:pPr>
      <w:r w:rsidRPr="00D957AC">
        <w:rPr>
          <w:b/>
          <w:sz w:val="20"/>
          <w:szCs w:val="20"/>
        </w:rPr>
        <w:t>Figure 1: C</w:t>
      </w:r>
      <w:r w:rsidR="008348E2" w:rsidRPr="00D957AC">
        <w:rPr>
          <w:b/>
          <w:sz w:val="20"/>
          <w:szCs w:val="20"/>
        </w:rPr>
        <w:t>alculating delay costs</w:t>
      </w:r>
    </w:p>
    <w:p w:rsidR="008348E2" w:rsidRPr="00D957AC" w:rsidRDefault="008348E2" w:rsidP="008348E2">
      <w:pPr>
        <w:pStyle w:val="ListBullet"/>
        <w:numPr>
          <w:ilvl w:val="0"/>
          <w:numId w:val="0"/>
        </w:numPr>
      </w:pPr>
      <w:r w:rsidRPr="00D957AC">
        <w:rPr>
          <w:noProof/>
          <w:bdr w:val="single" w:sz="12" w:space="0" w:color="95B3D7" w:themeColor="accent1" w:themeTint="99"/>
          <w:lang w:eastAsia="en-AU"/>
        </w:rPr>
        <w:drawing>
          <wp:inline distT="0" distB="0" distL="0" distR="0">
            <wp:extent cx="5849620" cy="769325"/>
            <wp:effectExtent l="1905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3837" cy="864463"/>
                      <a:chOff x="1094507" y="1772449"/>
                      <a:chExt cx="6573837" cy="864463"/>
                    </a:xfrm>
                  </a:grpSpPr>
                  <a:grpSp>
                    <a:nvGrpSpPr>
                      <a:cNvPr id="1028" name="Group 4"/>
                      <a:cNvGrpSpPr>
                        <a:grpSpLocks/>
                      </a:cNvGrpSpPr>
                    </a:nvGrpSpPr>
                    <a:grpSpPr bwMode="auto">
                      <a:xfrm>
                        <a:off x="1094507" y="1772449"/>
                        <a:ext cx="6573837" cy="864463"/>
                        <a:chOff x="2434" y="7431"/>
                        <a:chExt cx="7010" cy="1086"/>
                      </a:xfrm>
                      <a:solidFill>
                        <a:schemeClr val="accent1">
                          <a:lumMod val="40000"/>
                          <a:lumOff val="60000"/>
                        </a:schemeClr>
                      </a:solidFill>
                    </a:grpSpPr>
                    <a:sp>
                      <a:nvSpPr>
                        <a:cNvPr id="1029" name="Rectangle 5"/>
                        <a:cNvSpPr>
                          <a:spLocks noChangeArrowheads="1"/>
                        </a:cNvSpPr>
                      </a:nvSpPr>
                      <a:spPr bwMode="auto">
                        <a:xfrm>
                          <a:off x="2434" y="7701"/>
                          <a:ext cx="833" cy="441"/>
                        </a:xfrm>
                        <a:prstGeom prst="rect">
                          <a:avLst/>
                        </a:prstGeom>
                        <a:grp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100"/>
                              </a:spcBef>
                              <a:spcAft>
                                <a:spcPts val="100"/>
                              </a:spcAft>
                              <a:buClrTx/>
                              <a:buSzTx/>
                              <a:buFontTx/>
                              <a:buNone/>
                              <a:tabLst/>
                            </a:pPr>
                            <a:r>
                              <a:rPr kumimoji="0" lang="en-AU" sz="1000" b="0" i="0" u="none" strike="noStrike" cap="none" normalizeH="0" baseline="0" smtClean="0">
                                <a:ln>
                                  <a:noFill/>
                                </a:ln>
                                <a:solidFill>
                                  <a:schemeClr val="tx1"/>
                                </a:solidFill>
                                <a:effectLst/>
                                <a:latin typeface="Calibri" pitchFamily="34" charset="0"/>
                                <a:cs typeface="Arial" pitchFamily="34" charset="0"/>
                              </a:rPr>
                              <a:t>State decision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0" name="Rectangle 6"/>
                        <a:cNvSpPr>
                          <a:spLocks noChangeArrowheads="1"/>
                        </a:cNvSpPr>
                      </a:nvSpPr>
                      <a:spPr bwMode="auto">
                        <a:xfrm>
                          <a:off x="4497" y="7703"/>
                          <a:ext cx="833" cy="439"/>
                        </a:xfrm>
                        <a:prstGeom prst="rect">
                          <a:avLst/>
                        </a:prstGeom>
                        <a:grp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AU" sz="1000" b="0" i="0" u="none" strike="noStrike" cap="none" normalizeH="0" baseline="0" smtClean="0">
                                <a:ln>
                                  <a:noFill/>
                                </a:ln>
                                <a:solidFill>
                                  <a:schemeClr val="tx1"/>
                                </a:solidFill>
                                <a:effectLst/>
                                <a:latin typeface="Calibri" pitchFamily="34" charset="0"/>
                                <a:cs typeface="Arial" pitchFamily="34" charset="0"/>
                              </a:rPr>
                              <a:t>Original due date</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1" name="Rectangle 7"/>
                        <a:cNvSpPr>
                          <a:spLocks noChangeArrowheads="1"/>
                        </a:cNvSpPr>
                      </a:nvSpPr>
                      <a:spPr bwMode="auto">
                        <a:xfrm>
                          <a:off x="6539" y="7701"/>
                          <a:ext cx="833" cy="438"/>
                        </a:xfrm>
                        <a:prstGeom prst="rect">
                          <a:avLst/>
                        </a:prstGeom>
                        <a:grp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AU" sz="1000" b="0" i="0" u="none" strike="noStrike" cap="none" normalizeH="0" baseline="0" dirty="0" smtClean="0">
                                <a:ln>
                                  <a:noFill/>
                                </a:ln>
                                <a:solidFill>
                                  <a:schemeClr val="tx1"/>
                                </a:solidFill>
                                <a:effectLst/>
                                <a:latin typeface="Calibri" pitchFamily="34" charset="0"/>
                                <a:cs typeface="Arial" pitchFamily="34" charset="0"/>
                              </a:rPr>
                              <a:t>Adjusted due date</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2" name="Rectangle 8"/>
                        <a:cNvSpPr>
                          <a:spLocks noChangeArrowheads="1"/>
                        </a:cNvSpPr>
                      </a:nvSpPr>
                      <a:spPr bwMode="auto">
                        <a:xfrm>
                          <a:off x="8610" y="7698"/>
                          <a:ext cx="834" cy="439"/>
                        </a:xfrm>
                        <a:prstGeom prst="rect">
                          <a:avLst/>
                        </a:prstGeom>
                        <a:grp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AU" sz="1000" b="0" i="0" u="none" strike="noStrike" cap="none" normalizeH="0" baseline="0" dirty="0" smtClean="0">
                                <a:ln>
                                  <a:noFill/>
                                </a:ln>
                                <a:solidFill>
                                  <a:schemeClr val="tx1"/>
                                </a:solidFill>
                                <a:effectLst/>
                                <a:latin typeface="Calibri" pitchFamily="34" charset="0"/>
                                <a:cs typeface="Arial" pitchFamily="34" charset="0"/>
                              </a:rPr>
                              <a:t>Cth decision</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3" name="AutoShape 9"/>
                        <a:cNvSpPr>
                          <a:spLocks noChangeArrowheads="1"/>
                        </a:cNvSpPr>
                      </a:nvSpPr>
                      <a:spPr bwMode="auto">
                        <a:xfrm>
                          <a:off x="3267" y="7431"/>
                          <a:ext cx="1259" cy="1086"/>
                        </a:xfrm>
                        <a:prstGeom prst="flowChartAlternateProcess">
                          <a:avLst/>
                        </a:prstGeom>
                        <a:solidFill>
                          <a:schemeClr val="bg1">
                            <a:lumMod val="75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600"/>
                              </a:spcBef>
                              <a:spcAft>
                                <a:spcPts val="1000"/>
                              </a:spcAft>
                              <a:buClrTx/>
                              <a:buSzTx/>
                              <a:buFontTx/>
                              <a:buNone/>
                              <a:tabLst/>
                            </a:pPr>
                            <a:r>
                              <a:rPr kumimoji="0" lang="en-AU" sz="1100" b="0" i="0" u="none" strike="noStrike" cap="none" normalizeH="0" baseline="0" dirty="0" smtClean="0">
                                <a:ln>
                                  <a:noFill/>
                                </a:ln>
                                <a:solidFill>
                                  <a:schemeClr val="tx1"/>
                                </a:solidFill>
                                <a:effectLst/>
                                <a:latin typeface="Calibri" pitchFamily="34" charset="0"/>
                                <a:cs typeface="Arial" pitchFamily="34" charset="0"/>
                              </a:rPr>
                              <a:t>Expected timeframe for </a:t>
                            </a:r>
                            <a:r>
                              <a:rPr kumimoji="0" lang="en-AU" sz="1100" b="0" i="0" u="none" strike="noStrike" cap="none" normalizeH="0" baseline="0" dirty="0" err="1" smtClean="0">
                                <a:ln>
                                  <a:noFill/>
                                </a:ln>
                                <a:solidFill>
                                  <a:schemeClr val="tx1"/>
                                </a:solidFill>
                                <a:effectLst/>
                                <a:latin typeface="Calibri" pitchFamily="34" charset="0"/>
                                <a:cs typeface="Arial" pitchFamily="34" charset="0"/>
                              </a:rPr>
                              <a:t>AusGov</a:t>
                            </a:r>
                            <a:r>
                              <a:rPr kumimoji="0" lang="en-AU" sz="1100" b="0" i="0" u="none" strike="noStrike" cap="none" normalizeH="0" baseline="0" dirty="0" smtClean="0">
                                <a:ln>
                                  <a:noFill/>
                                </a:ln>
                                <a:solidFill>
                                  <a:schemeClr val="tx1"/>
                                </a:solidFill>
                                <a:effectLst/>
                                <a:latin typeface="Calibri" pitchFamily="34" charset="0"/>
                                <a:cs typeface="Arial" pitchFamily="34" charset="0"/>
                              </a:rPr>
                              <a:t> decision </a:t>
                            </a:r>
                            <a:r>
                              <a:rPr kumimoji="0" lang="en-AU" sz="1100" b="0" i="0" u="none" strike="noStrike" cap="none" normalizeH="0" baseline="0" dirty="0" smtClean="0">
                                <a:ln>
                                  <a:noFill/>
                                </a:ln>
                                <a:solidFill>
                                  <a:schemeClr val="tx1"/>
                                </a:solidFill>
                                <a:effectLst/>
                                <a:latin typeface="Calibri" pitchFamily="34" charset="0"/>
                                <a:cs typeface="Arial" pitchFamily="34" charset="0"/>
                              </a:rPr>
                              <a:t>(A)</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4" name="AutoShape 10"/>
                        <a:cNvSpPr>
                          <a:spLocks noChangeArrowheads="1"/>
                        </a:cNvSpPr>
                      </a:nvSpPr>
                      <a:spPr bwMode="auto">
                        <a:xfrm>
                          <a:off x="5330" y="7431"/>
                          <a:ext cx="1260" cy="1086"/>
                        </a:xfrm>
                        <a:prstGeom prst="flowChartAlternateProcess">
                          <a:avLst/>
                        </a:prstGeom>
                        <a:solidFill>
                          <a:schemeClr val="bg1">
                            <a:lumMod val="75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AU" sz="1100" b="0" i="0" u="none" strike="noStrike" cap="none" normalizeH="0" baseline="0" dirty="0" smtClean="0">
                                <a:ln>
                                  <a:noFill/>
                                </a:ln>
                                <a:solidFill>
                                  <a:schemeClr val="tx1"/>
                                </a:solidFill>
                                <a:effectLst/>
                                <a:latin typeface="Calibri" pitchFamily="34" charset="0"/>
                                <a:cs typeface="Arial" pitchFamily="34" charset="0"/>
                              </a:rPr>
                              <a:t>Possible extensions to </a:t>
                            </a:r>
                            <a:r>
                              <a:rPr kumimoji="0" lang="en-AU" sz="1100" b="0" i="0" u="none" strike="noStrike" cap="none" normalizeH="0" baseline="0" dirty="0" err="1" smtClean="0">
                                <a:ln>
                                  <a:noFill/>
                                </a:ln>
                                <a:solidFill>
                                  <a:schemeClr val="tx1"/>
                                </a:solidFill>
                                <a:effectLst/>
                                <a:latin typeface="Calibri" pitchFamily="34" charset="0"/>
                                <a:cs typeface="Arial" pitchFamily="34" charset="0"/>
                              </a:rPr>
                              <a:t>AusGov</a:t>
                            </a:r>
                            <a:r>
                              <a:rPr kumimoji="0" lang="en-AU" sz="1100" b="0" i="0" u="none" strike="noStrike" cap="none" normalizeH="0" baseline="0" dirty="0" smtClean="0">
                                <a:ln>
                                  <a:noFill/>
                                </a:ln>
                                <a:solidFill>
                                  <a:schemeClr val="tx1"/>
                                </a:solidFill>
                                <a:effectLst/>
                                <a:latin typeface="Calibri" pitchFamily="34" charset="0"/>
                                <a:cs typeface="Arial" pitchFamily="34" charset="0"/>
                              </a:rPr>
                              <a:t> decision </a:t>
                            </a:r>
                            <a:r>
                              <a:rPr kumimoji="0" lang="en-AU" sz="1100" b="0" i="0" u="none" strike="noStrike" cap="none" normalizeH="0" baseline="0" dirty="0" smtClean="0">
                                <a:ln>
                                  <a:noFill/>
                                </a:ln>
                                <a:solidFill>
                                  <a:schemeClr val="tx1"/>
                                </a:solidFill>
                                <a:effectLst/>
                                <a:latin typeface="Calibri" pitchFamily="34" charset="0"/>
                                <a:cs typeface="Arial" pitchFamily="34" charset="0"/>
                              </a:rPr>
                              <a:t>(B)</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5" name="AutoShape 11"/>
                        <a:cNvSpPr>
                          <a:spLocks noChangeArrowheads="1"/>
                        </a:cNvSpPr>
                      </a:nvSpPr>
                      <a:spPr bwMode="auto">
                        <a:xfrm>
                          <a:off x="7372" y="7431"/>
                          <a:ext cx="1260" cy="1086"/>
                        </a:xfrm>
                        <a:prstGeom prst="flowChartAlternateProcess">
                          <a:avLst/>
                        </a:prstGeom>
                        <a:solidFill>
                          <a:schemeClr val="bg1">
                            <a:lumMod val="75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ts val="600"/>
                              </a:spcBef>
                              <a:spcAft>
                                <a:spcPts val="1000"/>
                              </a:spcAft>
                              <a:buClrTx/>
                              <a:buSzTx/>
                              <a:buFontTx/>
                              <a:buNone/>
                              <a:tabLst/>
                            </a:pPr>
                            <a:r>
                              <a:rPr kumimoji="0" lang="en-AU" sz="1100" b="0" i="0" u="none" strike="noStrike" cap="none" normalizeH="0" baseline="0" dirty="0" smtClean="0">
                                <a:ln>
                                  <a:noFill/>
                                </a:ln>
                                <a:solidFill>
                                  <a:schemeClr val="tx1"/>
                                </a:solidFill>
                                <a:effectLst/>
                                <a:latin typeface="Calibri" pitchFamily="34" charset="0"/>
                                <a:cs typeface="Arial" pitchFamily="34" charset="0"/>
                              </a:rPr>
                              <a:t>Non-statutory delays to </a:t>
                            </a:r>
                            <a:r>
                              <a:rPr kumimoji="0" lang="en-AU" sz="1100" b="0" i="0" u="none" strike="noStrike" cap="none" normalizeH="0" baseline="0" dirty="0" err="1" smtClean="0">
                                <a:ln>
                                  <a:noFill/>
                                </a:ln>
                                <a:solidFill>
                                  <a:schemeClr val="tx1"/>
                                </a:solidFill>
                                <a:effectLst/>
                                <a:latin typeface="Calibri" pitchFamily="34" charset="0"/>
                                <a:cs typeface="Arial" pitchFamily="34" charset="0"/>
                              </a:rPr>
                              <a:t>AusGov</a:t>
                            </a:r>
                            <a:r>
                              <a:rPr kumimoji="0" lang="en-AU" sz="1100" b="0" i="0" u="none" strike="noStrike" cap="none" normalizeH="0" baseline="0" dirty="0" smtClean="0">
                                <a:ln>
                                  <a:noFill/>
                                </a:ln>
                                <a:solidFill>
                                  <a:schemeClr val="tx1"/>
                                </a:solidFill>
                                <a:effectLst/>
                                <a:latin typeface="Calibri" pitchFamily="34" charset="0"/>
                                <a:cs typeface="Arial" pitchFamily="34" charset="0"/>
                              </a:rPr>
                              <a:t> decision </a:t>
                            </a:r>
                            <a:r>
                              <a:rPr kumimoji="0" lang="en-AU" sz="1100" b="0" i="0" u="none" strike="noStrike" cap="none" normalizeH="0" baseline="0" dirty="0" smtClean="0">
                                <a:ln>
                                  <a:noFill/>
                                </a:ln>
                                <a:solidFill>
                                  <a:schemeClr val="tx1"/>
                                </a:solidFill>
                                <a:effectLst/>
                                <a:latin typeface="Calibri" pitchFamily="34" charset="0"/>
                                <a:cs typeface="Arial" pitchFamily="34" charset="0"/>
                              </a:rPr>
                              <a:t>(C)</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lc:lockedCanvas>
              </a:graphicData>
            </a:graphic>
          </wp:inline>
        </w:drawing>
      </w:r>
    </w:p>
    <w:p w:rsidR="008348E2" w:rsidRPr="00D957AC" w:rsidRDefault="008348E2" w:rsidP="008348E2">
      <w:pPr>
        <w:rPr>
          <w:b/>
        </w:rPr>
      </w:pPr>
      <w:r w:rsidRPr="00D957AC">
        <w:rPr>
          <w:b/>
        </w:rPr>
        <w:t>Calculating A</w:t>
      </w:r>
    </w:p>
    <w:p w:rsidR="008348E2" w:rsidRPr="00D957AC" w:rsidRDefault="008348E2" w:rsidP="008348E2">
      <w:r w:rsidRPr="00D957AC">
        <w:t>The expected timeframe for an Australian Government decision (A) is the time between the state or territory approval decision on a project and when the Australian could reasonably be expected to approve the project.  This is often 30-40 business days which is the time allowed under the EPBC Act for the Australian Government to make a decision on a project once a state or territory has approved a project or once final assessment documentation is received from the proponent.</w:t>
      </w:r>
    </w:p>
    <w:p w:rsidR="008348E2" w:rsidRPr="00D957AC" w:rsidRDefault="008348E2" w:rsidP="008348E2">
      <w:pPr>
        <w:rPr>
          <w:b/>
        </w:rPr>
      </w:pPr>
      <w:r w:rsidRPr="00D957AC">
        <w:rPr>
          <w:b/>
        </w:rPr>
        <w:t>Calculating B</w:t>
      </w:r>
    </w:p>
    <w:p w:rsidR="008348E2" w:rsidRPr="00D957AC" w:rsidRDefault="008348E2" w:rsidP="008348E2">
      <w:r w:rsidRPr="00D957AC">
        <w:t xml:space="preserve">Extensions to Australian Government timeframes (B) is calculated as the length of time the Australian Government extended an approval decision for a project, after the state or territory made an approval decision.  For example: </w:t>
      </w:r>
    </w:p>
    <w:p w:rsidR="008348E2" w:rsidRPr="00D957AC" w:rsidRDefault="008348E2" w:rsidP="008348E2">
      <w:pPr>
        <w:pStyle w:val="ListBullet2"/>
        <w:numPr>
          <w:ilvl w:val="1"/>
          <w:numId w:val="12"/>
        </w:numPr>
      </w:pPr>
      <w:r w:rsidRPr="00D957AC">
        <w:t xml:space="preserve">where the Minister required more time to make an approval decision, or </w:t>
      </w:r>
    </w:p>
    <w:p w:rsidR="008348E2" w:rsidRPr="00D957AC" w:rsidRDefault="008348E2" w:rsidP="008348E2">
      <w:pPr>
        <w:pStyle w:val="ListBullet2"/>
        <w:numPr>
          <w:ilvl w:val="1"/>
          <w:numId w:val="12"/>
        </w:numPr>
      </w:pPr>
      <w:proofErr w:type="gramStart"/>
      <w:r w:rsidRPr="00D957AC">
        <w:t>where</w:t>
      </w:r>
      <w:proofErr w:type="gramEnd"/>
      <w:r w:rsidRPr="00D957AC">
        <w:t xml:space="preserve"> the Minister required additional information on matters of national environmental significance to make a decision to approve a project. </w:t>
      </w:r>
    </w:p>
    <w:p w:rsidR="008348E2" w:rsidRPr="00D957AC" w:rsidRDefault="008348E2" w:rsidP="008348E2">
      <w:r w:rsidRPr="00D957AC">
        <w:t>There are some circumstances where extensions to timeframes are not included in savings calculation as they are attributable to the proponent or the state or territory government.  For example:</w:t>
      </w:r>
    </w:p>
    <w:p w:rsidR="008348E2" w:rsidRPr="00D957AC" w:rsidRDefault="008348E2" w:rsidP="008348E2">
      <w:pPr>
        <w:pStyle w:val="ListBullet2"/>
        <w:numPr>
          <w:ilvl w:val="1"/>
          <w:numId w:val="12"/>
        </w:numPr>
      </w:pPr>
      <w:r w:rsidRPr="00D957AC">
        <w:t>where a proponent has requested a variation to a project, or</w:t>
      </w:r>
    </w:p>
    <w:p w:rsidR="008348E2" w:rsidRPr="00D957AC" w:rsidRDefault="008348E2" w:rsidP="008348E2">
      <w:pPr>
        <w:pStyle w:val="ListBullet2"/>
        <w:numPr>
          <w:ilvl w:val="1"/>
          <w:numId w:val="12"/>
        </w:numPr>
      </w:pPr>
      <w:proofErr w:type="gramStart"/>
      <w:r w:rsidRPr="00D957AC">
        <w:t>where</w:t>
      </w:r>
      <w:proofErr w:type="gramEnd"/>
      <w:r w:rsidRPr="00D957AC">
        <w:t xml:space="preserve"> there are appeals to a state or territory government approval that has delayed </w:t>
      </w:r>
      <w:r w:rsidR="00012F18" w:rsidRPr="00D957AC">
        <w:t>an</w:t>
      </w:r>
      <w:r w:rsidRPr="00D957AC">
        <w:t xml:space="preserve"> Australian Government approval.</w:t>
      </w:r>
    </w:p>
    <w:p w:rsidR="008348E2" w:rsidRPr="00D957AC" w:rsidRDefault="008348E2" w:rsidP="008348E2">
      <w:pPr>
        <w:pStyle w:val="ListBullet2"/>
        <w:numPr>
          <w:ilvl w:val="0"/>
          <w:numId w:val="0"/>
        </w:numPr>
      </w:pPr>
      <w:r w:rsidRPr="00D957AC">
        <w:t xml:space="preserve">This is because these types of delays are still expected to occur under the </w:t>
      </w:r>
      <w:r w:rsidR="00284CF5" w:rsidRPr="00D957AC">
        <w:t>One-Stop Shop</w:t>
      </w:r>
      <w:r w:rsidRPr="00D957AC">
        <w:t xml:space="preserve"> </w:t>
      </w:r>
      <w:r w:rsidRPr="00D957AC">
        <w:br/>
        <w:t xml:space="preserve">(e.g. under a </w:t>
      </w:r>
      <w:r w:rsidR="00284CF5" w:rsidRPr="00D957AC">
        <w:t>One-Stop Shop</w:t>
      </w:r>
      <w:r w:rsidRPr="00D957AC">
        <w:t xml:space="preserve"> a proponent is still likely to vary a project for reasons such as engineering constraints).</w:t>
      </w:r>
    </w:p>
    <w:p w:rsidR="008348E2" w:rsidRPr="00D957AC" w:rsidRDefault="008348E2" w:rsidP="008348E2">
      <w:r w:rsidRPr="00D957AC">
        <w:t>The Department has investigated each individual project to calculate the appropriate amount of time to be included in ‘B’ based on the above considerations.</w:t>
      </w:r>
    </w:p>
    <w:p w:rsidR="008348E2" w:rsidRPr="00D957AC" w:rsidRDefault="008348E2" w:rsidP="008348E2">
      <w:pPr>
        <w:rPr>
          <w:b/>
        </w:rPr>
      </w:pPr>
      <w:r w:rsidRPr="00D957AC">
        <w:rPr>
          <w:b/>
        </w:rPr>
        <w:t>Calculating C</w:t>
      </w:r>
    </w:p>
    <w:p w:rsidR="008348E2" w:rsidRPr="00D957AC" w:rsidRDefault="008348E2" w:rsidP="008348E2">
      <w:r w:rsidRPr="00D957AC">
        <w:t xml:space="preserve">Non-statutory delays to an Australian Government decision (C) is calculated as the length of time the Australian Government exceeded a statutory due date under the EPBC Act to make an approval decision. For example, if the Australian Government made a decision 10 days after the date due for a project approval the value of C for that project is 10 days. The total amount of ‘C’ is included in the </w:t>
      </w:r>
      <w:r w:rsidR="00E54248" w:rsidRPr="00D957AC">
        <w:t>method</w:t>
      </w:r>
      <w:r w:rsidRPr="00D957AC">
        <w:t xml:space="preserve"> as late decisions by the Australian Government would no longer occur under the </w:t>
      </w:r>
      <w:r w:rsidR="00284CF5" w:rsidRPr="00D957AC">
        <w:t>One-Stop Shop</w:t>
      </w:r>
      <w:r w:rsidRPr="00D957AC">
        <w:t xml:space="preserve">. </w:t>
      </w:r>
    </w:p>
    <w:p w:rsidR="008348E2" w:rsidRPr="00D957AC" w:rsidRDefault="008348E2" w:rsidP="008348E2">
      <w:pPr>
        <w:rPr>
          <w:b/>
        </w:rPr>
      </w:pPr>
      <w:r w:rsidRPr="00D957AC">
        <w:rPr>
          <w:b/>
        </w:rPr>
        <w:t>Total delay</w:t>
      </w:r>
    </w:p>
    <w:p w:rsidR="008348E2" w:rsidRPr="00D957AC" w:rsidRDefault="008348E2" w:rsidP="008348E2">
      <w:r w:rsidRPr="00D957AC">
        <w:t xml:space="preserve">The total delay for each </w:t>
      </w:r>
      <w:r w:rsidR="006D52FD" w:rsidRPr="00D957AC">
        <w:t>project</w:t>
      </w:r>
      <w:r w:rsidRPr="00D957AC">
        <w:t xml:space="preserve"> was calculated by combining A, B and C. An example case study is shown at Figure 2.</w:t>
      </w:r>
    </w:p>
    <w:p w:rsidR="008348E2" w:rsidRPr="00D957AC" w:rsidRDefault="008348E2" w:rsidP="000B2D4E">
      <w:pPr>
        <w:spacing w:after="0"/>
        <w:rPr>
          <w:b/>
          <w:sz w:val="20"/>
          <w:szCs w:val="20"/>
        </w:rPr>
      </w:pPr>
      <w:r w:rsidRPr="00D957AC">
        <w:rPr>
          <w:b/>
          <w:sz w:val="20"/>
          <w:szCs w:val="20"/>
        </w:rPr>
        <w:t>Figure 2: calculating project delays</w:t>
      </w:r>
    </w:p>
    <w:p w:rsidR="008348E2" w:rsidRPr="00D957AC" w:rsidRDefault="008348E2" w:rsidP="008348E2">
      <w:r w:rsidRPr="00D957AC">
        <w:rPr>
          <w:noProof/>
          <w:bdr w:val="single" w:sz="12" w:space="0" w:color="95B3D7" w:themeColor="accent1" w:themeTint="99"/>
          <w:lang w:eastAsia="en-AU"/>
        </w:rPr>
        <w:drawing>
          <wp:inline distT="0" distB="0" distL="0" distR="0">
            <wp:extent cx="5849620" cy="1426782"/>
            <wp:effectExtent l="19050" t="0" r="0" b="0"/>
            <wp:docPr id="5"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56984" cy="2160240"/>
                      <a:chOff x="107504" y="4725144"/>
                      <a:chExt cx="8856984" cy="2160240"/>
                    </a:xfrm>
                  </a:grpSpPr>
                  <a:sp>
                    <a:nvSpPr>
                      <a:cNvPr id="89" name="Rectangle 88"/>
                      <a:cNvSpPr/>
                    </a:nvSpPr>
                    <a:spPr>
                      <a:xfrm>
                        <a:off x="107504" y="4797152"/>
                        <a:ext cx="8856984" cy="2060848"/>
                      </a:xfrm>
                      <a:prstGeom prst="rect">
                        <a:avLst/>
                      </a:prstGeom>
                      <a:solidFill>
                        <a:schemeClr val="accent1">
                          <a:lumMod val="20000"/>
                          <a:lumOff val="80000"/>
                        </a:schemeClr>
                      </a:solidFill>
                      <a:ln w="1270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AU"/>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Rectangle 76"/>
                      <a:cNvSpPr/>
                    </a:nvSpPr>
                    <a:spPr>
                      <a:xfrm>
                        <a:off x="2123728" y="5157192"/>
                        <a:ext cx="1152128" cy="576064"/>
                      </a:xfrm>
                      <a:prstGeom prst="rect">
                        <a:avLst/>
                      </a:prstGeom>
                      <a:solidFill>
                        <a:schemeClr val="bg1">
                          <a:lumMod val="65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1100" dirty="0" smtClean="0">
                              <a:solidFill>
                                <a:sysClr val="windowText" lastClr="000000"/>
                              </a:solidFill>
                            </a:rPr>
                            <a:t>Cth expected to make decision</a:t>
                          </a:r>
                        </a:p>
                        <a:p>
                          <a:pPr algn="ctr"/>
                          <a:r>
                            <a:rPr lang="en-AU" sz="1100" b="1" dirty="0" smtClean="0">
                              <a:solidFill>
                                <a:sysClr val="windowText" lastClr="000000"/>
                              </a:solidFill>
                            </a:rPr>
                            <a:t>2 May 2012</a:t>
                          </a:r>
                          <a:endParaRPr lang="en-AU" sz="1100" b="1"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Rectangle 77"/>
                      <a:cNvSpPr/>
                    </a:nvSpPr>
                    <a:spPr>
                      <a:xfrm>
                        <a:off x="179512" y="5949280"/>
                        <a:ext cx="1296144" cy="648072"/>
                      </a:xfrm>
                      <a:prstGeom prst="rect">
                        <a:avLst/>
                      </a:prstGeom>
                      <a:solidFill>
                        <a:schemeClr val="accent1">
                          <a:lumMod val="60000"/>
                          <a:lumOff val="4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1100" dirty="0" smtClean="0">
                              <a:solidFill>
                                <a:sysClr val="windowText" lastClr="000000"/>
                              </a:solidFill>
                            </a:rPr>
                            <a:t>State approved project</a:t>
                          </a:r>
                        </a:p>
                        <a:p>
                          <a:pPr algn="ctr"/>
                          <a:r>
                            <a:rPr lang="en-AU" sz="1100" b="1" dirty="0" smtClean="0">
                              <a:solidFill>
                                <a:sysClr val="windowText" lastClr="000000"/>
                              </a:solidFill>
                            </a:rPr>
                            <a:t>10 March 2012</a:t>
                          </a:r>
                          <a:endParaRPr lang="en-AU" sz="1100" b="1"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Rectangle 78"/>
                      <a:cNvSpPr/>
                    </a:nvSpPr>
                    <a:spPr>
                      <a:xfrm>
                        <a:off x="4572000" y="5157193"/>
                        <a:ext cx="1224136" cy="576063"/>
                      </a:xfrm>
                      <a:prstGeom prst="rect">
                        <a:avLst/>
                      </a:prstGeom>
                      <a:solidFill>
                        <a:schemeClr val="bg1">
                          <a:lumMod val="65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1100" dirty="0" smtClean="0">
                              <a:solidFill>
                                <a:sysClr val="windowText" lastClr="000000"/>
                              </a:solidFill>
                            </a:rPr>
                            <a:t>Cth approval due after extensions</a:t>
                          </a:r>
                          <a:br>
                            <a:rPr lang="en-AU" sz="1100" dirty="0" smtClean="0">
                              <a:solidFill>
                                <a:sysClr val="windowText" lastClr="000000"/>
                              </a:solidFill>
                            </a:rPr>
                          </a:br>
                          <a:r>
                            <a:rPr lang="en-AU" sz="1100" b="1" dirty="0" smtClean="0">
                              <a:solidFill>
                                <a:sysClr val="windowText" lastClr="000000"/>
                              </a:solidFill>
                            </a:rPr>
                            <a:t>8 Aug 2012</a:t>
                          </a:r>
                          <a:endParaRPr lang="en-AU" sz="1100" b="1"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0" name="Straight Arrow Connector 79"/>
                      <a:cNvCxnSpPr/>
                    </a:nvCxnSpPr>
                    <a:spPr>
                      <a:xfrm>
                        <a:off x="5868144" y="5877272"/>
                        <a:ext cx="2304256" cy="0"/>
                      </a:xfrm>
                      <a:prstGeom prst="straightConnector1">
                        <a:avLst/>
                      </a:prstGeom>
                      <a:ln w="28575">
                        <a:solidFill>
                          <a:schemeClr val="bg1">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81" name="Straight Arrow Connector 80"/>
                      <a:cNvCxnSpPr/>
                    </a:nvCxnSpPr>
                    <a:spPr>
                      <a:xfrm>
                        <a:off x="1403648" y="5877272"/>
                        <a:ext cx="1944216" cy="0"/>
                      </a:xfrm>
                      <a:prstGeom prst="straightConnector1">
                        <a:avLst/>
                      </a:prstGeom>
                      <a:ln w="28575">
                        <a:solidFill>
                          <a:schemeClr val="bg1">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82" name="Straight Arrow Connector 81"/>
                      <a:cNvCxnSpPr/>
                    </a:nvCxnSpPr>
                    <a:spPr>
                      <a:xfrm>
                        <a:off x="1547664" y="6597352"/>
                        <a:ext cx="6624736" cy="0"/>
                      </a:xfrm>
                      <a:prstGeom prst="straightConnector1">
                        <a:avLst/>
                      </a:prstGeom>
                      <a:ln w="28575">
                        <a:solidFill>
                          <a:srgbClr val="FF0000"/>
                        </a:solidFill>
                        <a:prstDash val="dash"/>
                        <a:headEnd type="arrow"/>
                        <a:tailEnd type="arrow"/>
                      </a:ln>
                    </a:spPr>
                    <a:style>
                      <a:lnRef idx="1">
                        <a:schemeClr val="accent1"/>
                      </a:lnRef>
                      <a:fillRef idx="0">
                        <a:schemeClr val="accent1"/>
                      </a:fillRef>
                      <a:effectRef idx="0">
                        <a:schemeClr val="accent1"/>
                      </a:effectRef>
                      <a:fontRef idx="minor">
                        <a:schemeClr val="tx1"/>
                      </a:fontRef>
                    </a:style>
                  </a:cxnSp>
                  <a:sp>
                    <a:nvSpPr>
                      <a:cNvPr id="83" name="TextBox 82"/>
                      <a:cNvSpPr txBox="1"/>
                    </a:nvSpPr>
                    <a:spPr>
                      <a:xfrm>
                        <a:off x="4932040" y="5857527"/>
                        <a:ext cx="115212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b="1" dirty="0" smtClean="0">
                              <a:solidFill>
                                <a:schemeClr val="bg1">
                                  <a:lumMod val="50000"/>
                                </a:schemeClr>
                              </a:solidFill>
                            </a:rPr>
                            <a:t>B = </a:t>
                          </a:r>
                          <a:r>
                            <a:rPr lang="en-AU" sz="1400" b="1" dirty="0" smtClean="0">
                              <a:solidFill>
                                <a:schemeClr val="bg1">
                                  <a:lumMod val="50000"/>
                                </a:schemeClr>
                              </a:solidFill>
                            </a:rPr>
                            <a:t>98 </a:t>
                          </a:r>
                          <a:r>
                            <a:rPr lang="en-AU" sz="1400" b="1" dirty="0" smtClean="0">
                              <a:solidFill>
                                <a:schemeClr val="bg1">
                                  <a:lumMod val="50000"/>
                                </a:schemeClr>
                              </a:solidFill>
                            </a:rPr>
                            <a:t>days</a:t>
                          </a:r>
                          <a:endParaRPr lang="en-AU" sz="1400" b="1" dirty="0">
                            <a:solidFill>
                              <a:schemeClr val="bg1">
                                <a:lumMod val="50000"/>
                              </a:schemeClr>
                            </a:solidFill>
                          </a:endParaRPr>
                        </a:p>
                      </a:txBody>
                      <a:useSpRect/>
                    </a:txSp>
                  </a:sp>
                  <a:sp>
                    <a:nvSpPr>
                      <a:cNvPr id="84" name="TextBox 83"/>
                      <a:cNvSpPr txBox="1"/>
                    </a:nvSpPr>
                    <a:spPr>
                      <a:xfrm>
                        <a:off x="2411760" y="5857527"/>
                        <a:ext cx="1152128" cy="307777"/>
                      </a:xfrm>
                      <a:prstGeom prst="rect">
                        <a:avLst/>
                      </a:prstGeom>
                      <a:noFill/>
                      <a:ln>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b="1" dirty="0" smtClean="0">
                              <a:solidFill>
                                <a:schemeClr val="bg1">
                                  <a:lumMod val="50000"/>
                                </a:schemeClr>
                              </a:solidFill>
                            </a:rPr>
                            <a:t>A = </a:t>
                          </a:r>
                          <a:r>
                            <a:rPr lang="en-AU" sz="1400" b="1" dirty="0" smtClean="0">
                              <a:solidFill>
                                <a:schemeClr val="bg1">
                                  <a:lumMod val="50000"/>
                                </a:schemeClr>
                              </a:solidFill>
                            </a:rPr>
                            <a:t>53 days</a:t>
                          </a:r>
                          <a:endParaRPr lang="en-AU" sz="1400" b="1" dirty="0">
                            <a:solidFill>
                              <a:schemeClr val="bg1">
                                <a:lumMod val="50000"/>
                              </a:schemeClr>
                            </a:solidFill>
                          </a:endParaRPr>
                        </a:p>
                      </a:txBody>
                      <a:useSpRect/>
                    </a:txSp>
                  </a:sp>
                  <a:sp>
                    <a:nvSpPr>
                      <a:cNvPr id="85" name="TextBox 84"/>
                      <a:cNvSpPr txBox="1"/>
                    </a:nvSpPr>
                    <a:spPr>
                      <a:xfrm>
                        <a:off x="3779912" y="6577607"/>
                        <a:ext cx="2448272"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b="1" dirty="0" smtClean="0">
                              <a:solidFill>
                                <a:srgbClr val="FF0000"/>
                              </a:solidFill>
                            </a:rPr>
                            <a:t>Total delay =  </a:t>
                          </a:r>
                          <a:r>
                            <a:rPr lang="en-AU" sz="1400" b="1" dirty="0" smtClean="0">
                              <a:solidFill>
                                <a:srgbClr val="FF0000"/>
                              </a:solidFill>
                            </a:rPr>
                            <a:t>161 </a:t>
                          </a:r>
                          <a:r>
                            <a:rPr lang="en-AU" sz="1400" b="1" dirty="0" smtClean="0">
                              <a:solidFill>
                                <a:srgbClr val="FF0000"/>
                              </a:solidFill>
                            </a:rPr>
                            <a:t>days</a:t>
                          </a:r>
                          <a:endParaRPr lang="en-AU" sz="1400" b="1" dirty="0">
                            <a:solidFill>
                              <a:srgbClr val="FF0000"/>
                            </a:solidFill>
                          </a:endParaRPr>
                        </a:p>
                      </a:txBody>
                      <a:useSpRect/>
                    </a:txSp>
                  </a:sp>
                  <a:sp>
                    <a:nvSpPr>
                      <a:cNvPr id="86" name="Rectangle 85"/>
                      <a:cNvSpPr/>
                    </a:nvSpPr>
                    <a:spPr>
                      <a:xfrm>
                        <a:off x="7092280" y="5157192"/>
                        <a:ext cx="936104" cy="576064"/>
                      </a:xfrm>
                      <a:prstGeom prst="rect">
                        <a:avLst/>
                      </a:prstGeom>
                      <a:solidFill>
                        <a:schemeClr val="bg1">
                          <a:lumMod val="65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AU" sz="1100" dirty="0" smtClean="0">
                              <a:solidFill>
                                <a:sysClr val="windowText" lastClr="000000"/>
                              </a:solidFill>
                            </a:rPr>
                            <a:t>Decision made late</a:t>
                          </a:r>
                        </a:p>
                        <a:p>
                          <a:pPr algn="ctr"/>
                          <a:r>
                            <a:rPr lang="en-AU" sz="1100" b="1" dirty="0" smtClean="0">
                              <a:solidFill>
                                <a:sysClr val="windowText" lastClr="000000"/>
                              </a:solidFill>
                            </a:rPr>
                            <a:t>18</a:t>
                          </a:r>
                          <a:r>
                            <a:rPr lang="en-AU" sz="1100" b="1" dirty="0" smtClean="0">
                              <a:solidFill>
                                <a:sysClr val="windowText" lastClr="000000"/>
                              </a:solidFill>
                            </a:rPr>
                            <a:t> Aug 2012</a:t>
                          </a:r>
                          <a:endParaRPr lang="en-AU" sz="1100" b="1" dirty="0">
                            <a:solidFill>
                              <a:sysClr val="windowText" lastClr="00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7" name="Straight Arrow Connector 86"/>
                      <a:cNvCxnSpPr/>
                    </a:nvCxnSpPr>
                    <a:spPr>
                      <a:xfrm>
                        <a:off x="3347864" y="5877272"/>
                        <a:ext cx="2520280" cy="0"/>
                      </a:xfrm>
                      <a:prstGeom prst="straightConnector1">
                        <a:avLst/>
                      </a:prstGeom>
                      <a:ln w="28575">
                        <a:solidFill>
                          <a:schemeClr val="bg1">
                            <a:lumMod val="50000"/>
                          </a:schemeClr>
                        </a:solidFill>
                        <a:headEnd type="arrow"/>
                        <a:tailEnd type="arrow"/>
                      </a:ln>
                    </a:spPr>
                    <a:style>
                      <a:lnRef idx="1">
                        <a:schemeClr val="accent1"/>
                      </a:lnRef>
                      <a:fillRef idx="0">
                        <a:schemeClr val="accent1"/>
                      </a:fillRef>
                      <a:effectRef idx="0">
                        <a:schemeClr val="accent1"/>
                      </a:effectRef>
                      <a:fontRef idx="minor">
                        <a:schemeClr val="tx1"/>
                      </a:fontRef>
                    </a:style>
                  </a:cxnSp>
                  <a:sp>
                    <a:nvSpPr>
                      <a:cNvPr id="88" name="TextBox 87"/>
                      <a:cNvSpPr txBox="1"/>
                    </a:nvSpPr>
                    <a:spPr>
                      <a:xfrm>
                        <a:off x="7236296" y="5857527"/>
                        <a:ext cx="1152128"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b="1" dirty="0" smtClean="0">
                              <a:solidFill>
                                <a:schemeClr val="bg1">
                                  <a:lumMod val="50000"/>
                                </a:schemeClr>
                              </a:solidFill>
                            </a:rPr>
                            <a:t>C = </a:t>
                          </a:r>
                          <a:r>
                            <a:rPr lang="en-AU" sz="1400" b="1" dirty="0" smtClean="0">
                              <a:solidFill>
                                <a:schemeClr val="bg1">
                                  <a:lumMod val="50000"/>
                                </a:schemeClr>
                              </a:solidFill>
                            </a:rPr>
                            <a:t>10 </a:t>
                          </a:r>
                          <a:r>
                            <a:rPr lang="en-AU" sz="1400" b="1" dirty="0" smtClean="0">
                              <a:solidFill>
                                <a:schemeClr val="bg1">
                                  <a:lumMod val="50000"/>
                                </a:schemeClr>
                              </a:solidFill>
                            </a:rPr>
                            <a:t>days</a:t>
                          </a:r>
                          <a:endParaRPr lang="en-AU" sz="1400" b="1" dirty="0">
                            <a:solidFill>
                              <a:schemeClr val="bg1">
                                <a:lumMod val="50000"/>
                              </a:schemeClr>
                            </a:solidFill>
                          </a:endParaRPr>
                        </a:p>
                      </a:txBody>
                      <a:useSpRect/>
                    </a:txSp>
                  </a:sp>
                  <a:sp>
                    <a:nvSpPr>
                      <a:cNvPr id="99" name="TextBox 98"/>
                      <a:cNvSpPr txBox="1"/>
                    </a:nvSpPr>
                    <a:spPr>
                      <a:xfrm rot="5400000">
                        <a:off x="3003791" y="1900863"/>
                        <a:ext cx="400110" cy="6048672"/>
                      </a:xfrm>
                      <a:prstGeom prst="rect">
                        <a:avLst/>
                      </a:prstGeom>
                      <a:noFill/>
                    </a:spPr>
                    <a:txSp>
                      <a:txBody>
                        <a:bodyPr vert="vert270"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AU" sz="1400" b="1" i="1" dirty="0" smtClean="0"/>
                            <a:t>Example</a:t>
                          </a:r>
                          <a:r>
                            <a:rPr lang="en-AU" sz="1400" b="1" i="1" dirty="0" smtClean="0"/>
                            <a:t>: Mining project</a:t>
                          </a:r>
                          <a:endParaRPr lang="en-AU" sz="1400" b="1" i="1" dirty="0" smtClean="0"/>
                        </a:p>
                      </a:txBody>
                      <a:useSpRect/>
                    </a:txSp>
                  </a:sp>
                </lc:lockedCanvas>
              </a:graphicData>
            </a:graphic>
          </wp:inline>
        </w:drawing>
      </w:r>
    </w:p>
    <w:p w:rsidR="008348E2" w:rsidRPr="00D957AC" w:rsidRDefault="008348E2" w:rsidP="008348E2">
      <w:pPr>
        <w:rPr>
          <w:b/>
        </w:rPr>
      </w:pPr>
      <w:r w:rsidRPr="00D957AC">
        <w:rPr>
          <w:b/>
        </w:rPr>
        <w:t>Putting a value on delay</w:t>
      </w:r>
    </w:p>
    <w:p w:rsidR="008348E2" w:rsidRPr="00D957AC" w:rsidRDefault="008348E2" w:rsidP="008348E2">
      <w:r w:rsidRPr="00D957AC">
        <w:t xml:space="preserve">The cost of a delay for each project was calculated using the project’s estimated net present value which was obtained from publicly available sources. In some cases net present value is published by proponents. Otherwise, this has been estimated based on data and/or assumptions about capital expenditure, expected returns and project life (including construction time). Time savings have been combined with net present value estimates for each project to determine the expected change in net present value under the </w:t>
      </w:r>
      <w:r w:rsidR="00284CF5" w:rsidRPr="00D957AC">
        <w:t>One-Stop Shop</w:t>
      </w:r>
      <w:r w:rsidRPr="00D957AC">
        <w:t>.</w:t>
      </w:r>
      <w:r w:rsidR="00A10ED4" w:rsidRPr="00D957AC">
        <w:t xml:space="preserve"> The change in present value is based on a discount rate of </w:t>
      </w:r>
      <w:r w:rsidR="00133EEA" w:rsidRPr="00D957AC">
        <w:t>8</w:t>
      </w:r>
      <w:r w:rsidR="00A10ED4" w:rsidRPr="00D957AC">
        <w:t>%, being an average of the weighted average cost of capital for the kinds of projects affected (primarily in the resources and energy sectors).</w:t>
      </w:r>
    </w:p>
    <w:p w:rsidR="008348E2" w:rsidRPr="00D957AC" w:rsidRDefault="00664C08" w:rsidP="008348E2">
      <w:pPr>
        <w:rPr>
          <w:b/>
        </w:rPr>
      </w:pPr>
      <w:r w:rsidRPr="00664C08">
        <w:rPr>
          <w:b/>
          <w:bCs/>
          <w:noProof/>
          <w:lang w:eastAsia="en-AU"/>
        </w:rPr>
        <w:pict>
          <v:rect id="_x0000_s1028" style="position:absolute;margin-left:-.9pt;margin-top:20.3pt;width:459.75pt;height:25.5pt;z-index:-251648000" fillcolor="#b8cce4 [1300]" stroked="f" strokecolor="#fabf8f [1945]" strokeweight="1pt">
            <v:fill color2="#fbd4b4 [1305]"/>
            <v:shadow type="perspective" color="#974706 [1609]" opacity=".5" offset="1pt" offset2="-3pt"/>
          </v:rect>
        </w:pict>
      </w:r>
      <w:r w:rsidR="00B529C1" w:rsidRPr="00D957AC">
        <w:t xml:space="preserve">Total delay savings expected under the </w:t>
      </w:r>
      <w:r w:rsidR="00284CF5" w:rsidRPr="00D957AC">
        <w:t>One-Stop Shop</w:t>
      </w:r>
      <w:r w:rsidR="000B2D4E" w:rsidRPr="00D957AC">
        <w:t xml:space="preserve"> </w:t>
      </w:r>
      <w:r w:rsidR="00B529C1" w:rsidRPr="00D957AC">
        <w:t xml:space="preserve">are </w:t>
      </w:r>
      <w:r w:rsidR="00B529C1" w:rsidRPr="00D957AC">
        <w:rPr>
          <w:b/>
        </w:rPr>
        <w:t>$</w:t>
      </w:r>
      <w:r w:rsidR="00133EEA" w:rsidRPr="00D957AC">
        <w:rPr>
          <w:b/>
        </w:rPr>
        <w:t>417</w:t>
      </w:r>
      <w:r w:rsidR="00B529C1" w:rsidRPr="00D957AC">
        <w:rPr>
          <w:b/>
        </w:rPr>
        <w:t> million</w:t>
      </w:r>
      <w:r w:rsidR="000B2D4E" w:rsidRPr="00D957AC">
        <w:t xml:space="preserve"> </w:t>
      </w:r>
      <w:r w:rsidR="00307B6D" w:rsidRPr="00D957AC">
        <w:t>a</w:t>
      </w:r>
      <w:r w:rsidR="000B2D4E" w:rsidRPr="00D957AC">
        <w:t xml:space="preserve"> year</w:t>
      </w:r>
      <w:r w:rsidR="000B2D4E" w:rsidRPr="00D957AC">
        <w:rPr>
          <w:b/>
        </w:rPr>
        <w:t>.</w:t>
      </w:r>
      <w:r w:rsidR="000B2D4E" w:rsidRPr="00D957AC">
        <w:rPr>
          <w:b/>
        </w:rPr>
        <w:br/>
      </w:r>
      <w:r w:rsidR="008348E2" w:rsidRPr="00D957AC">
        <w:rPr>
          <w:b/>
        </w:rPr>
        <w:br/>
      </w:r>
      <w:r w:rsidR="008348E2" w:rsidRPr="00D957AC">
        <w:rPr>
          <w:b/>
          <w:bCs/>
        </w:rPr>
        <w:t xml:space="preserve">Step 6 – total </w:t>
      </w:r>
      <w:r w:rsidR="000B2D4E" w:rsidRPr="00D957AC">
        <w:rPr>
          <w:b/>
          <w:bCs/>
        </w:rPr>
        <w:t>savings to business under</w:t>
      </w:r>
      <w:r w:rsidR="008348E2" w:rsidRPr="00D957AC">
        <w:rPr>
          <w:b/>
          <w:bCs/>
        </w:rPr>
        <w:t xml:space="preserve"> the </w:t>
      </w:r>
      <w:r w:rsidR="00284CF5" w:rsidRPr="00D957AC">
        <w:rPr>
          <w:b/>
          <w:bCs/>
        </w:rPr>
        <w:t>One-Stop Shop</w:t>
      </w:r>
    </w:p>
    <w:p w:rsidR="008348E2" w:rsidRPr="00B529C1" w:rsidRDefault="008348E2" w:rsidP="00B529C1">
      <w:r w:rsidRPr="00D957AC">
        <w:t xml:space="preserve">Administrative and delay savings were combined to calculate the total </w:t>
      </w:r>
      <w:r w:rsidR="000B2D4E" w:rsidRPr="00D957AC">
        <w:t>economic benefits to business under the One-Stop Shop.  Business</w:t>
      </w:r>
      <w:r w:rsidR="006D52FD" w:rsidRPr="00D957AC">
        <w:t xml:space="preserve"> is </w:t>
      </w:r>
      <w:r w:rsidR="000B2D4E" w:rsidRPr="00D957AC">
        <w:t xml:space="preserve">expected to save </w:t>
      </w:r>
      <w:r w:rsidRPr="00D957AC">
        <w:rPr>
          <w:b/>
        </w:rPr>
        <w:t>$</w:t>
      </w:r>
      <w:r w:rsidR="00820579" w:rsidRPr="00D957AC">
        <w:rPr>
          <w:b/>
        </w:rPr>
        <w:t>42</w:t>
      </w:r>
      <w:r w:rsidR="00B37AAC" w:rsidRPr="00D957AC">
        <w:rPr>
          <w:b/>
        </w:rPr>
        <w:t>6</w:t>
      </w:r>
      <w:r w:rsidRPr="00D957AC">
        <w:rPr>
          <w:b/>
        </w:rPr>
        <w:t> million</w:t>
      </w:r>
      <w:r w:rsidRPr="00D957AC">
        <w:t xml:space="preserve"> </w:t>
      </w:r>
      <w:r w:rsidR="00307B6D" w:rsidRPr="00D957AC">
        <w:t>a</w:t>
      </w:r>
      <w:r w:rsidR="000B2D4E" w:rsidRPr="00D957AC">
        <w:t xml:space="preserve"> year under the reform.</w:t>
      </w:r>
      <w:r w:rsidR="001910F6">
        <w:t xml:space="preserve"> </w:t>
      </w:r>
    </w:p>
    <w:sectPr w:rsidR="008348E2" w:rsidRPr="00B529C1" w:rsidSect="002A1E5E">
      <w:headerReference w:type="first" r:id="rId19"/>
      <w:pgSz w:w="11906" w:h="16838"/>
      <w:pgMar w:top="1380" w:right="1276" w:bottom="567" w:left="1418"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FA7" w:rsidRDefault="004A7FA7" w:rsidP="00A60185">
      <w:pPr>
        <w:spacing w:after="0" w:line="240" w:lineRule="auto"/>
      </w:pPr>
      <w:r>
        <w:separator/>
      </w:r>
    </w:p>
  </w:endnote>
  <w:endnote w:type="continuationSeparator" w:id="0">
    <w:p w:rsidR="004A7FA7" w:rsidRDefault="004A7FA7"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25534"/>
      <w:docPartObj>
        <w:docPartGallery w:val="Page Numbers (Bottom of Page)"/>
        <w:docPartUnique/>
      </w:docPartObj>
    </w:sdtPr>
    <w:sdtContent>
      <w:p w:rsidR="00C149C7" w:rsidRDefault="00664C08">
        <w:pPr>
          <w:pStyle w:val="Footer"/>
          <w:jc w:val="center"/>
        </w:pPr>
        <w:fldSimple w:instr=" PAGE   \* MERGEFORMAT ">
          <w:r w:rsidR="00454BFA">
            <w:rPr>
              <w:noProof/>
            </w:rPr>
            <w:t>20</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9C7" w:rsidRDefault="00C149C7">
    <w:pPr>
      <w:pStyle w:val="Footer"/>
    </w:pPr>
    <w:r w:rsidRPr="001E3C58">
      <w:rPr>
        <w:noProof/>
        <w:lang w:eastAsia="en-AU"/>
      </w:rPr>
      <w:drawing>
        <wp:anchor distT="0" distB="0" distL="114300" distR="114300" simplePos="0" relativeHeight="25165926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12"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476"/>
      <w:docPartObj>
        <w:docPartGallery w:val="Page Numbers (Bottom of Page)"/>
        <w:docPartUnique/>
      </w:docPartObj>
    </w:sdtPr>
    <w:sdtContent>
      <w:p w:rsidR="00C149C7" w:rsidRDefault="00664C08" w:rsidP="00390F85">
        <w:pPr>
          <w:pStyle w:val="Footer"/>
          <w:jc w:val="center"/>
        </w:pPr>
        <w:sdt>
          <w:sdtPr>
            <w:id w:val="176660734"/>
            <w:docPartObj>
              <w:docPartGallery w:val="Page Numbers (Bottom of Page)"/>
              <w:docPartUnique/>
            </w:docPartObj>
          </w:sdtPr>
          <w:sdtContent>
            <w:fldSimple w:instr=" PAGE   \* MERGEFORMAT ">
              <w:r w:rsidR="00454BFA">
                <w:rPr>
                  <w:noProof/>
                </w:rPr>
                <w:t>2</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FA7" w:rsidRDefault="004A7FA7" w:rsidP="00A60185">
      <w:pPr>
        <w:spacing w:after="0" w:line="240" w:lineRule="auto"/>
      </w:pPr>
      <w:r>
        <w:separator/>
      </w:r>
    </w:p>
  </w:footnote>
  <w:footnote w:type="continuationSeparator" w:id="0">
    <w:p w:rsidR="004A7FA7" w:rsidRDefault="004A7FA7" w:rsidP="00A60185">
      <w:pPr>
        <w:spacing w:after="0" w:line="240" w:lineRule="auto"/>
      </w:pPr>
      <w:r>
        <w:continuationSeparator/>
      </w:r>
    </w:p>
  </w:footnote>
  <w:footnote w:id="1">
    <w:p w:rsidR="00C149C7" w:rsidRPr="00F804B2" w:rsidRDefault="00C149C7">
      <w:pPr>
        <w:pStyle w:val="FootnoteText"/>
        <w:rPr>
          <w:rFonts w:ascii="Arial" w:hAnsi="Arial" w:cs="Arial"/>
        </w:rPr>
      </w:pPr>
      <w:r w:rsidRPr="00F804B2">
        <w:rPr>
          <w:rStyle w:val="FootnoteReference"/>
          <w:rFonts w:ascii="Arial" w:hAnsi="Arial" w:cs="Arial"/>
        </w:rPr>
        <w:footnoteRef/>
      </w:r>
      <w:r w:rsidRPr="00F804B2">
        <w:rPr>
          <w:rFonts w:ascii="Arial" w:hAnsi="Arial" w:cs="Arial"/>
        </w:rPr>
        <w:t xml:space="preserve"> Productivity Commission 2013, </w:t>
      </w:r>
      <w:r w:rsidRPr="00F804B2">
        <w:rPr>
          <w:rFonts w:ascii="Arial" w:hAnsi="Arial" w:cs="Arial"/>
          <w:i/>
          <w:iCs/>
        </w:rPr>
        <w:t xml:space="preserve">Major Project Development Assessment Processes, </w:t>
      </w:r>
      <w:r w:rsidRPr="00F804B2">
        <w:rPr>
          <w:rFonts w:ascii="Arial" w:hAnsi="Arial" w:cs="Arial"/>
        </w:rPr>
        <w:t>Research Report, Canberra.</w:t>
      </w:r>
    </w:p>
  </w:footnote>
  <w:footnote w:id="2">
    <w:p w:rsidR="00C149C7" w:rsidRPr="00F804B2" w:rsidRDefault="00C149C7" w:rsidP="00FD1639">
      <w:pPr>
        <w:rPr>
          <w:rFonts w:cs="Arial"/>
          <w:sz w:val="20"/>
          <w:szCs w:val="20"/>
          <w:lang w:eastAsia="en-AU"/>
        </w:rPr>
      </w:pPr>
      <w:r w:rsidRPr="00F804B2">
        <w:rPr>
          <w:rStyle w:val="FootnoteReference"/>
          <w:rFonts w:cs="Arial"/>
          <w:sz w:val="20"/>
          <w:szCs w:val="20"/>
        </w:rPr>
        <w:footnoteRef/>
      </w:r>
      <w:r w:rsidRPr="00F804B2">
        <w:rPr>
          <w:rFonts w:cs="Arial"/>
          <w:sz w:val="20"/>
          <w:szCs w:val="20"/>
        </w:rPr>
        <w:t xml:space="preserve"> </w:t>
      </w:r>
      <w:r w:rsidRPr="00F804B2">
        <w:rPr>
          <w:rFonts w:eastAsiaTheme="minorHAnsi" w:cs="Arial"/>
          <w:sz w:val="20"/>
          <w:szCs w:val="20"/>
        </w:rPr>
        <w:t xml:space="preserve">COAG Meeting </w:t>
      </w:r>
      <w:proofErr w:type="spellStart"/>
      <w:r w:rsidRPr="00F804B2">
        <w:rPr>
          <w:rFonts w:eastAsiaTheme="minorHAnsi" w:cs="Arial"/>
          <w:sz w:val="20"/>
          <w:szCs w:val="20"/>
        </w:rPr>
        <w:t>Communique</w:t>
      </w:r>
      <w:proofErr w:type="spellEnd"/>
      <w:r w:rsidRPr="00F804B2">
        <w:rPr>
          <w:rFonts w:eastAsiaTheme="minorHAnsi" w:cs="Arial"/>
          <w:sz w:val="20"/>
          <w:szCs w:val="20"/>
        </w:rPr>
        <w:t>, 19 August 2011.</w:t>
      </w:r>
    </w:p>
    <w:p w:rsidR="00C149C7" w:rsidRDefault="00C149C7">
      <w:pPr>
        <w:pStyle w:val="FootnoteText"/>
      </w:pPr>
    </w:p>
  </w:footnote>
  <w:footnote w:id="3">
    <w:p w:rsidR="00C149C7" w:rsidRPr="00A860D7" w:rsidRDefault="00C149C7" w:rsidP="00542CBE">
      <w:pPr>
        <w:pStyle w:val="FootnoteText"/>
      </w:pPr>
      <w:r>
        <w:rPr>
          <w:rStyle w:val="FootnoteReference"/>
        </w:rPr>
        <w:footnoteRef/>
      </w:r>
      <w:r>
        <w:t xml:space="preserve"> </w:t>
      </w:r>
      <w:proofErr w:type="gramStart"/>
      <w:r w:rsidRPr="00A860D7">
        <w:rPr>
          <w:rFonts w:ascii="Arial" w:hAnsi="Arial" w:cs="Arial"/>
          <w:i/>
        </w:rPr>
        <w:t>Environment Protection and Biodiversity Conservation Act 1999 (</w:t>
      </w:r>
      <w:proofErr w:type="spellStart"/>
      <w:r w:rsidRPr="00A860D7">
        <w:rPr>
          <w:rFonts w:ascii="Arial" w:hAnsi="Arial" w:cs="Arial"/>
          <w:i/>
        </w:rPr>
        <w:t>Cth</w:t>
      </w:r>
      <w:proofErr w:type="spellEnd"/>
      <w:r>
        <w:rPr>
          <w:rFonts w:ascii="Arial" w:hAnsi="Arial" w:cs="Arial"/>
          <w:i/>
        </w:rPr>
        <w:t>)</w:t>
      </w:r>
      <w:r w:rsidRPr="00A860D7">
        <w:rPr>
          <w:rFonts w:ascii="Arial" w:hAnsi="Arial" w:cs="Arial"/>
          <w:i/>
        </w:rPr>
        <w:t xml:space="preserve"> </w:t>
      </w:r>
      <w:r w:rsidRPr="00A860D7">
        <w:rPr>
          <w:rFonts w:ascii="Arial" w:hAnsi="Arial" w:cs="Arial"/>
        </w:rPr>
        <w:t>s 45</w:t>
      </w:r>
      <w:r>
        <w:t>.</w:t>
      </w:r>
      <w:proofErr w:type="gramEnd"/>
    </w:p>
  </w:footnote>
  <w:footnote w:id="4">
    <w:p w:rsidR="00692DB2" w:rsidRDefault="00692DB2" w:rsidP="00692DB2">
      <w:pPr>
        <w:pStyle w:val="FootnoteText"/>
        <w:rPr>
          <w:i/>
        </w:rPr>
      </w:pPr>
      <w:r>
        <w:rPr>
          <w:rStyle w:val="FootnoteReference"/>
        </w:rPr>
        <w:footnoteRef/>
      </w:r>
      <w:r>
        <w:t xml:space="preserve"> </w:t>
      </w:r>
      <w:proofErr w:type="spellStart"/>
      <w:r>
        <w:t>BAEconomic</w:t>
      </w:r>
      <w:proofErr w:type="spellEnd"/>
      <w:r>
        <w:t xml:space="preserve"> (July 2014) </w:t>
      </w:r>
      <w:r>
        <w:rPr>
          <w:i/>
        </w:rPr>
        <w:t>The economic gains from streamlining the process of resource projects approval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9C7" w:rsidRDefault="00664C08" w:rsidP="00E45765">
    <w:pPr>
      <w:pStyle w:val="Classification"/>
    </w:pPr>
    <w:r>
      <w:fldChar w:fldCharType="begin"/>
    </w:r>
    <w:r w:rsidR="00C149C7">
      <w:instrText xml:space="preserve"> DOCPROPERTY SecurityClassification \* MERGEFORMAT </w:instrText>
    </w:r>
    <w:r>
      <w:fldChar w:fldCharType="separate"/>
    </w:r>
    <w:r w:rsidR="00407221">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9C7" w:rsidRDefault="00C149C7">
    <w:pPr>
      <w:pStyle w:val="Header"/>
    </w:pPr>
  </w:p>
  <w:p w:rsidR="00C149C7" w:rsidRDefault="00C149C7">
    <w:pPr>
      <w:pStyle w:val="Header"/>
    </w:pPr>
  </w:p>
  <w:p w:rsidR="00C149C7" w:rsidRDefault="00C149C7">
    <w:pPr>
      <w:pStyle w:val="Header"/>
    </w:pPr>
  </w:p>
  <w:p w:rsidR="00C149C7" w:rsidRDefault="00C149C7">
    <w:pPr>
      <w:pStyle w:val="Header"/>
    </w:pPr>
  </w:p>
  <w:p w:rsidR="00C149C7" w:rsidRDefault="00C149C7">
    <w:pPr>
      <w:pStyle w:val="Header"/>
    </w:pPr>
    <w:r>
      <w:rPr>
        <w:noProof/>
        <w:lang w:eastAsia="en-AU"/>
      </w:rPr>
      <w:drawing>
        <wp:anchor distT="0" distB="0" distL="114300" distR="114300" simplePos="0" relativeHeight="251661312"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8"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r>
      <w:rPr>
        <w:noProof/>
        <w:lang w:eastAsia="en-AU"/>
      </w:rPr>
      <w:drawing>
        <wp:anchor distT="0" distB="0" distL="114300" distR="114300" simplePos="0" relativeHeight="251660288" behindDoc="1" locked="0" layoutInCell="1" allowOverlap="1">
          <wp:simplePos x="0" y="0"/>
          <wp:positionH relativeFrom="page">
            <wp:posOffset>-2092</wp:posOffset>
          </wp:positionH>
          <wp:positionV relativeFrom="page">
            <wp:posOffset>5940957</wp:posOffset>
          </wp:positionV>
          <wp:extent cx="7596000" cy="3918788"/>
          <wp:effectExtent l="19050" t="0" r="4950" b="0"/>
          <wp:wrapNone/>
          <wp:docPr id="10"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9C7" w:rsidRDefault="00C149C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9C7" w:rsidRDefault="00C149C7">
    <w:pPr>
      <w:pStyle w:val="Header"/>
    </w:pPr>
  </w:p>
  <w:p w:rsidR="00C149C7" w:rsidRDefault="00C149C7">
    <w:pPr>
      <w:pStyle w:val="Header"/>
    </w:pPr>
  </w:p>
  <w:p w:rsidR="00C149C7" w:rsidRDefault="00C149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16F3E2"/>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B4BC1EFC"/>
    <w:lvl w:ilvl="0">
      <w:numFmt w:val="bullet"/>
      <w:lvlText w:val="*"/>
      <w:lvlJc w:val="left"/>
    </w:lvl>
  </w:abstractNum>
  <w:abstractNum w:abstractNumId="2">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nsid w:val="00000004"/>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5">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nsid w:val="0FFD7D9C"/>
    <w:multiLevelType w:val="multilevel"/>
    <w:tmpl w:val="328EBC08"/>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cs="Times New Roman" w:hint="default"/>
      </w:rPr>
    </w:lvl>
    <w:lvl w:ilvl="2">
      <w:start w:val="1"/>
      <w:numFmt w:val="lowerRoman"/>
      <w:lvlText w:val="%3."/>
      <w:lvlJc w:val="left"/>
      <w:pPr>
        <w:ind w:left="1107" w:hanging="369"/>
      </w:pPr>
      <w:rPr>
        <w:rFonts w:cs="Times New Roman" w:hint="default"/>
      </w:rPr>
    </w:lvl>
    <w:lvl w:ilvl="3">
      <w:start w:val="1"/>
      <w:numFmt w:val="none"/>
      <w:lvlText w:val="%4"/>
      <w:lvlJc w:val="left"/>
      <w:pPr>
        <w:ind w:left="1476" w:hanging="369"/>
      </w:pPr>
      <w:rPr>
        <w:rFonts w:cs="Times New Roman" w:hint="default"/>
      </w:rPr>
    </w:lvl>
    <w:lvl w:ilvl="4">
      <w:start w:val="1"/>
      <w:numFmt w:val="none"/>
      <w:lvlText w:val=""/>
      <w:lvlJc w:val="left"/>
      <w:pPr>
        <w:ind w:left="1845" w:hanging="369"/>
      </w:pPr>
      <w:rPr>
        <w:rFonts w:cs="Times New Roman" w:hint="default"/>
      </w:rPr>
    </w:lvl>
    <w:lvl w:ilvl="5">
      <w:start w:val="1"/>
      <w:numFmt w:val="none"/>
      <w:lvlText w:val=""/>
      <w:lvlJc w:val="left"/>
      <w:pPr>
        <w:ind w:left="2214" w:hanging="369"/>
      </w:pPr>
      <w:rPr>
        <w:rFonts w:cs="Times New Roman" w:hint="default"/>
      </w:rPr>
    </w:lvl>
    <w:lvl w:ilvl="6">
      <w:start w:val="1"/>
      <w:numFmt w:val="none"/>
      <w:lvlText w:val=""/>
      <w:lvlJc w:val="left"/>
      <w:pPr>
        <w:ind w:left="2583" w:hanging="369"/>
      </w:pPr>
      <w:rPr>
        <w:rFonts w:cs="Times New Roman" w:hint="default"/>
      </w:rPr>
    </w:lvl>
    <w:lvl w:ilvl="7">
      <w:start w:val="1"/>
      <w:numFmt w:val="none"/>
      <w:lvlText w:val=""/>
      <w:lvlJc w:val="left"/>
      <w:pPr>
        <w:ind w:left="2952" w:hanging="369"/>
      </w:pPr>
      <w:rPr>
        <w:rFonts w:cs="Times New Roman" w:hint="default"/>
      </w:rPr>
    </w:lvl>
    <w:lvl w:ilvl="8">
      <w:start w:val="1"/>
      <w:numFmt w:val="none"/>
      <w:lvlText w:val=""/>
      <w:lvlJc w:val="left"/>
      <w:pPr>
        <w:ind w:left="3321" w:hanging="369"/>
      </w:pPr>
      <w:rPr>
        <w:rFonts w:cs="Times New Roman" w:hint="default"/>
      </w:rPr>
    </w:lvl>
  </w:abstractNum>
  <w:abstractNum w:abstractNumId="7">
    <w:nsid w:val="17583D43"/>
    <w:multiLevelType w:val="hybridMultilevel"/>
    <w:tmpl w:val="E3CA7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F745BC2"/>
    <w:multiLevelType w:val="multilevel"/>
    <w:tmpl w:val="E5E89F92"/>
    <w:numStyleLink w:val="BulletList"/>
  </w:abstractNum>
  <w:abstractNum w:abstractNumId="9">
    <w:nsid w:val="2D1F3EA8"/>
    <w:multiLevelType w:val="hybridMultilevel"/>
    <w:tmpl w:val="F356E7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71B6C7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5456429"/>
    <w:multiLevelType w:val="multilevel"/>
    <w:tmpl w:val="E898CC72"/>
    <w:numStyleLink w:val="KeyPoints"/>
  </w:abstractNum>
  <w:abstractNum w:abstractNumId="14">
    <w:nsid w:val="680564F5"/>
    <w:multiLevelType w:val="hybridMultilevel"/>
    <w:tmpl w:val="56C8C294"/>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4CA383E"/>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nsid w:val="75F47368"/>
    <w:multiLevelType w:val="multilevel"/>
    <w:tmpl w:val="C02E433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0">
    <w:nsid w:val="77A13B43"/>
    <w:multiLevelType w:val="multilevel"/>
    <w:tmpl w:val="8E18B35A"/>
    <w:lvl w:ilvl="0">
      <w:start w:val="1"/>
      <w:numFmt w:val="decimal"/>
      <w:lvlText w:val="%1."/>
      <w:lvlJc w:val="left"/>
      <w:pPr>
        <w:ind w:left="369" w:hanging="369"/>
      </w:pPr>
      <w:rPr>
        <w:rFonts w:ascii="Arial" w:hAnsi="Arial"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9"/>
  </w:num>
  <w:num w:numId="2">
    <w:abstractNumId w:val="5"/>
  </w:num>
  <w:num w:numId="3">
    <w:abstractNumId w:val="11"/>
  </w:num>
  <w:num w:numId="4">
    <w:abstractNumId w:val="10"/>
  </w:num>
  <w:num w:numId="5">
    <w:abstractNumId w:val="13"/>
    <w:lvlOverride w:ilvl="0">
      <w:lvl w:ilvl="0">
        <w:start w:val="1"/>
        <w:numFmt w:val="decimal"/>
        <w:pStyle w:val="ListNumber"/>
        <w:lvlText w:val="%1."/>
        <w:lvlJc w:val="left"/>
        <w:pPr>
          <w:ind w:left="369" w:hanging="369"/>
        </w:pPr>
        <w:rPr>
          <w:rFonts w:ascii="Arial" w:hAnsi="Arial" w:hint="default"/>
          <w:sz w:val="22"/>
        </w:rPr>
      </w:lvl>
    </w:lvlOverride>
    <w:lvlOverride w:ilvl="1">
      <w:lvl w:ilvl="1">
        <w:start w:val="1"/>
        <w:numFmt w:val="lowerLetter"/>
        <w:pStyle w:val="ListNumber2"/>
        <w:lvlText w:val="%2."/>
        <w:lvlJc w:val="left"/>
        <w:pPr>
          <w:ind w:left="738" w:hanging="369"/>
        </w:pPr>
        <w:rPr>
          <w:rFonts w:hint="default"/>
        </w:rPr>
      </w:lvl>
    </w:lvlOverride>
    <w:lvlOverride w:ilvl="2">
      <w:lvl w:ilvl="2">
        <w:start w:val="1"/>
        <w:numFmt w:val="lowerRoman"/>
        <w:pStyle w:val="ListNumber3"/>
        <w:lvlText w:val="%3."/>
        <w:lvlJc w:val="left"/>
        <w:pPr>
          <w:ind w:left="1107" w:hanging="369"/>
        </w:pPr>
        <w:rPr>
          <w:rFonts w:hint="default"/>
        </w:rPr>
      </w:lvl>
    </w:lvlOverride>
    <w:lvlOverride w:ilvl="3">
      <w:lvl w:ilvl="3">
        <w:start w:val="1"/>
        <w:numFmt w:val="none"/>
        <w:pStyle w:val="ListNumber4"/>
        <w:lvlText w:val="%4"/>
        <w:lvlJc w:val="left"/>
        <w:pPr>
          <w:ind w:left="1476" w:hanging="369"/>
        </w:pPr>
        <w:rPr>
          <w:rFonts w:hint="default"/>
        </w:rPr>
      </w:lvl>
    </w:lvlOverride>
    <w:lvlOverride w:ilvl="4">
      <w:lvl w:ilvl="4">
        <w:start w:val="1"/>
        <w:numFmt w:val="none"/>
        <w:pStyle w:val="ListNumber5"/>
        <w:lvlText w:val=""/>
        <w:lvlJc w:val="left"/>
        <w:pPr>
          <w:ind w:left="1845" w:hanging="369"/>
        </w:pPr>
        <w:rPr>
          <w:rFonts w:hint="default"/>
        </w:rPr>
      </w:lvl>
    </w:lvlOverride>
    <w:lvlOverride w:ilvl="5">
      <w:lvl w:ilvl="5">
        <w:start w:val="1"/>
        <w:numFmt w:val="none"/>
        <w:lvlText w:val=""/>
        <w:lvlJc w:val="left"/>
        <w:pPr>
          <w:ind w:left="2214" w:hanging="369"/>
        </w:pPr>
        <w:rPr>
          <w:rFonts w:hint="default"/>
        </w:rPr>
      </w:lvl>
    </w:lvlOverride>
    <w:lvlOverride w:ilvl="6">
      <w:lvl w:ilvl="6">
        <w:start w:val="1"/>
        <w:numFmt w:val="none"/>
        <w:lvlText w:val=""/>
        <w:lvlJc w:val="left"/>
        <w:pPr>
          <w:ind w:left="2583" w:hanging="369"/>
        </w:pPr>
        <w:rPr>
          <w:rFonts w:hint="default"/>
        </w:rPr>
      </w:lvl>
    </w:lvlOverride>
    <w:lvlOverride w:ilvl="7">
      <w:lvl w:ilvl="7">
        <w:start w:val="1"/>
        <w:numFmt w:val="none"/>
        <w:lvlText w:val=""/>
        <w:lvlJc w:val="left"/>
        <w:pPr>
          <w:ind w:left="2952" w:hanging="369"/>
        </w:pPr>
        <w:rPr>
          <w:rFonts w:hint="default"/>
        </w:rPr>
      </w:lvl>
    </w:lvlOverride>
    <w:lvlOverride w:ilvl="8">
      <w:lvl w:ilvl="8">
        <w:start w:val="1"/>
        <w:numFmt w:val="none"/>
        <w:lvlText w:val=""/>
        <w:lvlJc w:val="left"/>
        <w:pPr>
          <w:ind w:left="3321" w:hanging="369"/>
        </w:pPr>
        <w:rPr>
          <w:rFonts w:hint="default"/>
        </w:rPr>
      </w:lvl>
    </w:lvlOverride>
  </w:num>
  <w:num w:numId="6">
    <w:abstractNumId w:val="8"/>
    <w:lvlOverride w:ilvl="0">
      <w:lvl w:ilvl="0">
        <w:start w:val="1"/>
        <w:numFmt w:val="bullet"/>
        <w:pStyle w:val="ListBullet"/>
        <w:lvlText w:val=""/>
        <w:lvlJc w:val="left"/>
        <w:pPr>
          <w:ind w:left="369" w:hanging="369"/>
        </w:pPr>
        <w:rPr>
          <w:rFonts w:ascii="Symbol" w:hAnsi="Symbol" w:hint="default"/>
        </w:rPr>
      </w:lvl>
    </w:lvlOverride>
  </w:num>
  <w:num w:numId="7">
    <w:abstractNumId w:val="18"/>
  </w:num>
  <w:num w:numId="8">
    <w:abstractNumId w:val="9"/>
  </w:num>
  <w:num w:numId="9">
    <w:abstractNumId w:val="8"/>
    <w:lvlOverride w:ilvl="0">
      <w:lvl w:ilvl="0">
        <w:start w:val="1"/>
        <w:numFmt w:val="bullet"/>
        <w:pStyle w:val="ListBullet"/>
        <w:lvlText w:val=""/>
        <w:lvlJc w:val="left"/>
        <w:pPr>
          <w:ind w:left="369" w:hanging="369"/>
        </w:pPr>
        <w:rPr>
          <w:rFonts w:ascii="Symbol" w:hAnsi="Symbol" w:hint="default"/>
          <w:color w:val="auto"/>
        </w:rPr>
      </w:lvl>
    </w:lvlOverride>
    <w:lvlOverride w:ilvl="1">
      <w:lvl w:ilvl="1">
        <w:start w:val="1"/>
        <w:numFmt w:val="none"/>
        <w:pStyle w:val="ListBullet2"/>
        <w:lvlText w:val="-"/>
        <w:lvlJc w:val="left"/>
        <w:pPr>
          <w:ind w:left="737" w:hanging="368"/>
        </w:pPr>
        <w:rPr>
          <w:rFonts w:cs="Times New Roman" w:hint="default"/>
        </w:rPr>
      </w:lvl>
    </w:lvlOverride>
    <w:lvlOverride w:ilvl="2">
      <w:lvl w:ilvl="2">
        <w:start w:val="1"/>
        <w:numFmt w:val="none"/>
        <w:pStyle w:val="ListBullet3"/>
        <w:lvlText w:val=":"/>
        <w:lvlJc w:val="left"/>
        <w:pPr>
          <w:ind w:left="1106" w:hanging="369"/>
        </w:pPr>
        <w:rPr>
          <w:rFonts w:cs="Times New Roman" w:hint="default"/>
        </w:rPr>
      </w:lvl>
    </w:lvlOverride>
    <w:lvlOverride w:ilvl="3">
      <w:lvl w:ilvl="3">
        <w:start w:val="1"/>
        <w:numFmt w:val="none"/>
        <w:pStyle w:val="ListBullet4"/>
        <w:lvlText w:val=""/>
        <w:lvlJc w:val="left"/>
        <w:pPr>
          <w:ind w:left="1474" w:hanging="368"/>
        </w:pPr>
        <w:rPr>
          <w:rFonts w:cs="Times New Roman" w:hint="default"/>
          <w:color w:val="auto"/>
        </w:rPr>
      </w:lvl>
    </w:lvlOverride>
    <w:lvlOverride w:ilvl="4">
      <w:lvl w:ilvl="4">
        <w:start w:val="1"/>
        <w:numFmt w:val="none"/>
        <w:pStyle w:val="ListBullet5"/>
        <w:lvlText w:val=""/>
        <w:lvlJc w:val="left"/>
        <w:pPr>
          <w:ind w:left="1800" w:hanging="360"/>
        </w:pPr>
        <w:rPr>
          <w:rFonts w:cs="Times New Roman" w:hint="default"/>
          <w:color w:val="auto"/>
        </w:rPr>
      </w:lvl>
    </w:lvlOverride>
    <w:lvlOverride w:ilvl="5">
      <w:lvl w:ilvl="5">
        <w:start w:val="1"/>
        <w:numFmt w:val="none"/>
        <w:lvlText w:val=""/>
        <w:lvlJc w:val="left"/>
        <w:pPr>
          <w:ind w:left="2160" w:hanging="360"/>
        </w:pPr>
        <w:rPr>
          <w:rFonts w:cs="Times New Roman" w:hint="default"/>
          <w:color w:val="auto"/>
        </w:rPr>
      </w:lvl>
    </w:lvlOverride>
    <w:lvlOverride w:ilvl="6">
      <w:lvl w:ilvl="6">
        <w:start w:val="1"/>
        <w:numFmt w:val="none"/>
        <w:lvlText w:val=""/>
        <w:lvlJc w:val="left"/>
        <w:pPr>
          <w:ind w:left="2520" w:hanging="360"/>
        </w:pPr>
        <w:rPr>
          <w:rFonts w:cs="Times New Roman" w:hint="default"/>
          <w:color w:val="auto"/>
        </w:rPr>
      </w:lvl>
    </w:lvlOverride>
    <w:lvlOverride w:ilvl="7">
      <w:lvl w:ilvl="7">
        <w:start w:val="1"/>
        <w:numFmt w:val="none"/>
        <w:lvlText w:val=""/>
        <w:lvlJc w:val="left"/>
        <w:pPr>
          <w:ind w:left="2880" w:hanging="360"/>
        </w:pPr>
        <w:rPr>
          <w:rFonts w:cs="Times New Roman" w:hint="default"/>
          <w:color w:val="auto"/>
        </w:rPr>
      </w:lvl>
    </w:lvlOverride>
    <w:lvlOverride w:ilvl="8">
      <w:lvl w:ilvl="8">
        <w:start w:val="1"/>
        <w:numFmt w:val="none"/>
        <w:lvlText w:val=""/>
        <w:lvlJc w:val="left"/>
        <w:pPr>
          <w:ind w:left="3240" w:hanging="360"/>
        </w:pPr>
        <w:rPr>
          <w:rFonts w:cs="Times New Roman" w:hint="default"/>
          <w:color w:val="auto"/>
        </w:rPr>
      </w:lvl>
    </w:lvlOverride>
  </w:num>
  <w:num w:numId="10">
    <w:abstractNumId w:val="6"/>
  </w:num>
  <w:num w:numId="11">
    <w:abstractNumId w:val="7"/>
  </w:num>
  <w:num w:numId="12">
    <w:abstractNumId w:val="8"/>
  </w:num>
  <w:num w:numId="13">
    <w:abstractNumId w:val="8"/>
  </w:num>
  <w:num w:numId="14">
    <w:abstractNumId w:val="12"/>
  </w:num>
  <w:num w:numId="15">
    <w:abstractNumId w:val="17"/>
  </w:num>
  <w:num w:numId="16">
    <w:abstractNumId w:val="8"/>
  </w:num>
  <w:num w:numId="17">
    <w:abstractNumId w:val="8"/>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 w:ilvl="0">
        <w:start w:val="1"/>
        <w:numFmt w:val="bullet"/>
        <w:pStyle w:val="ListBullet"/>
        <w:lvlText w:val=""/>
        <w:lvlJc w:val="left"/>
        <w:pPr>
          <w:ind w:left="369" w:hanging="369"/>
        </w:pPr>
        <w:rPr>
          <w:rFonts w:ascii="Symbol" w:hAnsi="Symbol" w:hint="default"/>
        </w:rPr>
      </w:lvl>
    </w:lvlOverride>
  </w:num>
  <w:num w:numId="20">
    <w:abstractNumId w:val="8"/>
    <w:lvlOverride w:ilvl="0">
      <w:lvl w:ilvl="0">
        <w:start w:val="1"/>
        <w:numFmt w:val="bullet"/>
        <w:pStyle w:val="ListBullet"/>
        <w:lvlText w:val=""/>
        <w:lvlJc w:val="left"/>
        <w:pPr>
          <w:ind w:left="369" w:hanging="369"/>
        </w:pPr>
        <w:rPr>
          <w:rFonts w:ascii="Symbol" w:hAnsi="Symbol" w:hint="default"/>
        </w:rPr>
      </w:lvl>
    </w:lvlOverride>
  </w:num>
  <w:num w:numId="21">
    <w:abstractNumId w:val="8"/>
    <w:lvlOverride w:ilvl="0">
      <w:lvl w:ilvl="0">
        <w:start w:val="1"/>
        <w:numFmt w:val="bullet"/>
        <w:pStyle w:val="ListBullet"/>
        <w:lvlText w:val=""/>
        <w:lvlJc w:val="left"/>
        <w:pPr>
          <w:ind w:left="369" w:hanging="369"/>
        </w:pPr>
        <w:rPr>
          <w:rFonts w:ascii="Symbol" w:hAnsi="Symbol" w:hint="default"/>
        </w:rPr>
      </w:lvl>
    </w:lvlOverride>
  </w:num>
  <w:num w:numId="22">
    <w:abstractNumId w:val="8"/>
    <w:lvlOverride w:ilvl="0">
      <w:lvl w:ilvl="0">
        <w:start w:val="1"/>
        <w:numFmt w:val="bullet"/>
        <w:pStyle w:val="ListBullet"/>
        <w:lvlText w:val=""/>
        <w:lvlJc w:val="left"/>
        <w:pPr>
          <w:ind w:left="369" w:hanging="369"/>
        </w:pPr>
        <w:rPr>
          <w:rFonts w:ascii="Symbol" w:hAnsi="Symbol" w:hint="default"/>
        </w:rPr>
      </w:lvl>
    </w:lvlOverride>
  </w:num>
  <w:num w:numId="23">
    <w:abstractNumId w:val="1"/>
    <w:lvlOverride w:ilvl="0">
      <w:lvl w:ilvl="0">
        <w:numFmt w:val="bullet"/>
        <w:lvlText w:val=""/>
        <w:legacy w:legacy="1" w:legacySpace="0" w:legacyIndent="360"/>
        <w:lvlJc w:val="left"/>
        <w:pPr>
          <w:ind w:left="720" w:hanging="360"/>
        </w:pPr>
        <w:rPr>
          <w:rFonts w:ascii="Symbol" w:hAnsi="Symbol" w:hint="default"/>
        </w:rPr>
      </w:lvl>
    </w:lvlOverride>
  </w:num>
  <w:num w:numId="24">
    <w:abstractNumId w:val="13"/>
    <w:lvlOverride w:ilvl="0">
      <w:startOverride w:val="1"/>
      <w:lvl w:ilvl="0">
        <w:start w:val="1"/>
        <w:numFmt w:val="decimal"/>
        <w:pStyle w:val="ListNumber"/>
        <w:lvlText w:val="%1."/>
        <w:lvlJc w:val="left"/>
        <w:pPr>
          <w:ind w:left="738" w:hanging="369"/>
        </w:pPr>
        <w:rPr>
          <w:rFonts w:ascii="Arial" w:hAnsi="Arial" w:hint="default"/>
          <w:sz w:val="22"/>
        </w:rPr>
      </w:lvl>
    </w:lvlOverride>
    <w:lvlOverride w:ilvl="1">
      <w:startOverride w:val="1"/>
      <w:lvl w:ilvl="1">
        <w:start w:val="1"/>
        <w:numFmt w:val="lowerLetter"/>
        <w:pStyle w:val="ListNumber2"/>
        <w:lvlText w:val="%2."/>
        <w:lvlJc w:val="left"/>
        <w:pPr>
          <w:ind w:left="1107" w:hanging="369"/>
        </w:pPr>
        <w:rPr>
          <w:rFonts w:hint="default"/>
        </w:rPr>
      </w:lvl>
    </w:lvlOverride>
    <w:lvlOverride w:ilvl="2">
      <w:startOverride w:val="1"/>
      <w:lvl w:ilvl="2">
        <w:start w:val="1"/>
        <w:numFmt w:val="lowerRoman"/>
        <w:pStyle w:val="ListNumber3"/>
        <w:lvlText w:val="%3."/>
        <w:lvlJc w:val="left"/>
        <w:pPr>
          <w:ind w:left="1476" w:hanging="369"/>
        </w:pPr>
        <w:rPr>
          <w:rFonts w:hint="default"/>
        </w:rPr>
      </w:lvl>
    </w:lvlOverride>
    <w:lvlOverride w:ilvl="3">
      <w:startOverride w:val="1"/>
      <w:lvl w:ilvl="3">
        <w:start w:val="1"/>
        <w:numFmt w:val="none"/>
        <w:pStyle w:val="ListNumber4"/>
        <w:lvlText w:val="%4"/>
        <w:lvlJc w:val="left"/>
        <w:pPr>
          <w:ind w:left="1845" w:hanging="369"/>
        </w:pPr>
        <w:rPr>
          <w:rFonts w:hint="default"/>
        </w:rPr>
      </w:lvl>
    </w:lvlOverride>
    <w:lvlOverride w:ilvl="4">
      <w:startOverride w:val="1"/>
      <w:lvl w:ilvl="4">
        <w:start w:val="1"/>
        <w:numFmt w:val="none"/>
        <w:pStyle w:val="ListNumber5"/>
        <w:lvlText w:val=""/>
        <w:lvlJc w:val="left"/>
        <w:pPr>
          <w:ind w:left="2214" w:hanging="369"/>
        </w:pPr>
        <w:rPr>
          <w:rFonts w:hint="default"/>
        </w:rPr>
      </w:lvl>
    </w:lvlOverride>
    <w:lvlOverride w:ilvl="5">
      <w:startOverride w:val="1"/>
      <w:lvl w:ilvl="5">
        <w:start w:val="1"/>
        <w:numFmt w:val="none"/>
        <w:lvlText w:val=""/>
        <w:lvlJc w:val="left"/>
        <w:pPr>
          <w:ind w:left="2583" w:hanging="369"/>
        </w:pPr>
        <w:rPr>
          <w:rFonts w:hint="default"/>
        </w:rPr>
      </w:lvl>
    </w:lvlOverride>
    <w:lvlOverride w:ilvl="6">
      <w:startOverride w:val="1"/>
      <w:lvl w:ilvl="6">
        <w:start w:val="1"/>
        <w:numFmt w:val="none"/>
        <w:lvlText w:val=""/>
        <w:lvlJc w:val="left"/>
        <w:pPr>
          <w:ind w:left="2952" w:hanging="369"/>
        </w:pPr>
        <w:rPr>
          <w:rFonts w:hint="default"/>
        </w:rPr>
      </w:lvl>
    </w:lvlOverride>
    <w:lvlOverride w:ilvl="7">
      <w:startOverride w:val="1"/>
      <w:lvl w:ilvl="7">
        <w:start w:val="1"/>
        <w:numFmt w:val="none"/>
        <w:lvlText w:val=""/>
        <w:lvlJc w:val="left"/>
        <w:pPr>
          <w:ind w:left="3321" w:hanging="369"/>
        </w:pPr>
        <w:rPr>
          <w:rFonts w:hint="default"/>
        </w:rPr>
      </w:lvl>
    </w:lvlOverride>
    <w:lvlOverride w:ilvl="8">
      <w:startOverride w:val="1"/>
      <w:lvl w:ilvl="8">
        <w:start w:val="1"/>
        <w:numFmt w:val="none"/>
        <w:lvlText w:val=""/>
        <w:lvlJc w:val="left"/>
        <w:pPr>
          <w:ind w:left="3690" w:hanging="369"/>
        </w:pPr>
        <w:rPr>
          <w:rFonts w:hint="default"/>
        </w:rPr>
      </w:lvl>
    </w:lvlOverride>
  </w:num>
  <w:num w:numId="25">
    <w:abstractNumId w:val="20"/>
  </w:num>
  <w:num w:numId="26">
    <w:abstractNumId w:val="8"/>
    <w:lvlOverride w:ilvl="0">
      <w:lvl w:ilvl="0">
        <w:start w:val="1"/>
        <w:numFmt w:val="bullet"/>
        <w:pStyle w:val="ListBullet"/>
        <w:lvlText w:val=""/>
        <w:lvlJc w:val="left"/>
        <w:pPr>
          <w:ind w:left="369" w:hanging="369"/>
        </w:pPr>
        <w:rPr>
          <w:rFonts w:ascii="Symbol" w:hAnsi="Symbol" w:hint="default"/>
        </w:rPr>
      </w:lvl>
    </w:lvlOverride>
  </w:num>
  <w:num w:numId="27">
    <w:abstractNumId w:val="13"/>
    <w:lvlOverride w:ilvl="0">
      <w:startOverride w:val="1"/>
      <w:lvl w:ilvl="0">
        <w:start w:val="1"/>
        <w:numFmt w:val="decimal"/>
        <w:pStyle w:val="ListNumber"/>
        <w:lvlText w:val="%1."/>
        <w:lvlJc w:val="left"/>
        <w:pPr>
          <w:ind w:left="369" w:hanging="369"/>
        </w:pPr>
        <w:rPr>
          <w:rFonts w:ascii="Arial" w:hAnsi="Arial" w:hint="default"/>
          <w:sz w:val="22"/>
        </w:rPr>
      </w:lvl>
    </w:lvlOverride>
    <w:lvlOverride w:ilvl="1">
      <w:startOverride w:val="1"/>
      <w:lvl w:ilvl="1">
        <w:start w:val="1"/>
        <w:numFmt w:val="lowerLetter"/>
        <w:pStyle w:val="ListNumber2"/>
        <w:lvlText w:val="%2."/>
        <w:lvlJc w:val="left"/>
        <w:pPr>
          <w:ind w:left="738" w:hanging="369"/>
        </w:pPr>
        <w:rPr>
          <w:rFonts w:hint="default"/>
        </w:rPr>
      </w:lvl>
    </w:lvlOverride>
    <w:lvlOverride w:ilvl="2">
      <w:startOverride w:val="1"/>
      <w:lvl w:ilvl="2">
        <w:start w:val="1"/>
        <w:numFmt w:val="lowerRoman"/>
        <w:pStyle w:val="ListNumber3"/>
        <w:lvlText w:val="%3."/>
        <w:lvlJc w:val="left"/>
        <w:pPr>
          <w:ind w:left="1107" w:hanging="369"/>
        </w:pPr>
        <w:rPr>
          <w:rFonts w:hint="default"/>
        </w:rPr>
      </w:lvl>
    </w:lvlOverride>
    <w:lvlOverride w:ilvl="3">
      <w:startOverride w:val="1"/>
      <w:lvl w:ilvl="3">
        <w:start w:val="1"/>
        <w:numFmt w:val="none"/>
        <w:pStyle w:val="ListNumber4"/>
        <w:lvlText w:val="%4"/>
        <w:lvlJc w:val="left"/>
        <w:pPr>
          <w:ind w:left="1476" w:hanging="369"/>
        </w:pPr>
        <w:rPr>
          <w:rFonts w:hint="default"/>
        </w:rPr>
      </w:lvl>
    </w:lvlOverride>
    <w:lvlOverride w:ilvl="4">
      <w:startOverride w:val="1"/>
      <w:lvl w:ilvl="4">
        <w:start w:val="1"/>
        <w:numFmt w:val="none"/>
        <w:pStyle w:val="ListNumber5"/>
        <w:lvlText w:val=""/>
        <w:lvlJc w:val="left"/>
        <w:pPr>
          <w:ind w:left="1845" w:hanging="369"/>
        </w:pPr>
        <w:rPr>
          <w:rFonts w:hint="default"/>
        </w:rPr>
      </w:lvl>
    </w:lvlOverride>
    <w:lvlOverride w:ilvl="5">
      <w:startOverride w:val="1"/>
      <w:lvl w:ilvl="5">
        <w:start w:val="1"/>
        <w:numFmt w:val="none"/>
        <w:lvlText w:val=""/>
        <w:lvlJc w:val="left"/>
        <w:pPr>
          <w:ind w:left="2214" w:hanging="369"/>
        </w:pPr>
        <w:rPr>
          <w:rFonts w:hint="default"/>
        </w:rPr>
      </w:lvl>
    </w:lvlOverride>
    <w:lvlOverride w:ilvl="6">
      <w:startOverride w:val="1"/>
      <w:lvl w:ilvl="6">
        <w:start w:val="1"/>
        <w:numFmt w:val="none"/>
        <w:lvlText w:val=""/>
        <w:lvlJc w:val="left"/>
        <w:pPr>
          <w:ind w:left="2583" w:hanging="369"/>
        </w:pPr>
        <w:rPr>
          <w:rFonts w:hint="default"/>
        </w:rPr>
      </w:lvl>
    </w:lvlOverride>
    <w:lvlOverride w:ilvl="7">
      <w:startOverride w:val="1"/>
      <w:lvl w:ilvl="7">
        <w:start w:val="1"/>
        <w:numFmt w:val="none"/>
        <w:lvlText w:val=""/>
        <w:lvlJc w:val="left"/>
        <w:pPr>
          <w:ind w:left="2952" w:hanging="369"/>
        </w:pPr>
        <w:rPr>
          <w:rFonts w:hint="default"/>
        </w:rPr>
      </w:lvl>
    </w:lvlOverride>
    <w:lvlOverride w:ilvl="8">
      <w:startOverride w:val="1"/>
      <w:lvl w:ilvl="8">
        <w:start w:val="1"/>
        <w:numFmt w:val="none"/>
        <w:lvlText w:val=""/>
        <w:lvlJc w:val="left"/>
        <w:pPr>
          <w:ind w:left="3321" w:hanging="369"/>
        </w:pPr>
        <w:rPr>
          <w:rFonts w:hint="default"/>
        </w:rPr>
      </w:lvl>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0">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1">
    <w:abstractNumId w:val="4"/>
    <w:lvlOverride w:ilvl="0">
      <w:lvl w:ilvl="0">
        <w:numFmt w:val="decimal"/>
        <w:lvlText w:val=""/>
        <w:lvlJc w:val="left"/>
      </w:lvl>
    </w:lvlOverride>
    <w:lvlOverride w:ilvl="1">
      <w:startOverride w:val="1"/>
      <w:lvl w:ilvl="1">
        <w:start w:val="1"/>
        <w:numFmt w:val="lowerRoman"/>
        <w:lvlText w:val="%2."/>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num>
  <w:num w:numId="32">
    <w:abstractNumId w:val="1"/>
    <w:lvlOverride w:ilvl="0">
      <w:lvl w:ilvl="0">
        <w:numFmt w:val="bullet"/>
        <w:lvlText w:val=""/>
        <w:legacy w:legacy="1" w:legacySpace="0" w:legacyIndent="0"/>
        <w:lvlJc w:val="left"/>
        <w:pPr>
          <w:ind w:left="0" w:firstLine="0"/>
        </w:pPr>
        <w:rPr>
          <w:rFonts w:ascii="Symbol" w:hAnsi="Symbol" w:hint="default"/>
        </w:rPr>
      </w:lvl>
    </w:lvlOverride>
  </w:num>
  <w:num w:numId="33">
    <w:abstractNumId w:val="8"/>
    <w:lvlOverride w:ilvl="0">
      <w:lvl w:ilvl="0">
        <w:start w:val="1"/>
        <w:numFmt w:val="bullet"/>
        <w:pStyle w:val="ListBullet"/>
        <w:lvlText w:val=""/>
        <w:lvlJc w:val="left"/>
        <w:pPr>
          <w:ind w:left="369" w:hanging="369"/>
        </w:pPr>
        <w:rPr>
          <w:rFonts w:ascii="Symbol" w:hAnsi="Symbol" w:hint="default"/>
        </w:rPr>
      </w:lvl>
    </w:lvlOverride>
  </w:num>
  <w:num w:numId="34">
    <w:abstractNumId w:val="13"/>
  </w:num>
  <w:num w:numId="35">
    <w:abstractNumId w:val="15"/>
  </w:num>
  <w:num w:numId="36">
    <w:abstractNumId w:val="16"/>
  </w:num>
  <w:num w:numId="37">
    <w:abstractNumId w:val="0"/>
  </w:num>
  <w:num w:numId="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docVars>
    <w:docVar w:name="SecurityClassificationInHeader" w:val="False"/>
  </w:docVars>
  <w:rsids>
    <w:rsidRoot w:val="00B3720D"/>
    <w:rsid w:val="00004AEE"/>
    <w:rsid w:val="00004F37"/>
    <w:rsid w:val="00005CAA"/>
    <w:rsid w:val="00010210"/>
    <w:rsid w:val="00010401"/>
    <w:rsid w:val="00012383"/>
    <w:rsid w:val="00012D66"/>
    <w:rsid w:val="00012F18"/>
    <w:rsid w:val="00015ADA"/>
    <w:rsid w:val="00020C99"/>
    <w:rsid w:val="000268D0"/>
    <w:rsid w:val="0002707B"/>
    <w:rsid w:val="000323FD"/>
    <w:rsid w:val="00032AA1"/>
    <w:rsid w:val="000400F0"/>
    <w:rsid w:val="000423B6"/>
    <w:rsid w:val="00043CCD"/>
    <w:rsid w:val="00044C0F"/>
    <w:rsid w:val="00044C1E"/>
    <w:rsid w:val="0005148E"/>
    <w:rsid w:val="00056D2E"/>
    <w:rsid w:val="000603D4"/>
    <w:rsid w:val="00061585"/>
    <w:rsid w:val="0006423F"/>
    <w:rsid w:val="00065E6D"/>
    <w:rsid w:val="00066C8D"/>
    <w:rsid w:val="00072C5A"/>
    <w:rsid w:val="00073543"/>
    <w:rsid w:val="00075745"/>
    <w:rsid w:val="000759E5"/>
    <w:rsid w:val="0007628B"/>
    <w:rsid w:val="000774F7"/>
    <w:rsid w:val="000849B0"/>
    <w:rsid w:val="00084AC6"/>
    <w:rsid w:val="00084F09"/>
    <w:rsid w:val="00085904"/>
    <w:rsid w:val="00086BEC"/>
    <w:rsid w:val="00087566"/>
    <w:rsid w:val="00091608"/>
    <w:rsid w:val="00091CE2"/>
    <w:rsid w:val="0009333C"/>
    <w:rsid w:val="00094758"/>
    <w:rsid w:val="000958A0"/>
    <w:rsid w:val="00095E54"/>
    <w:rsid w:val="000961E3"/>
    <w:rsid w:val="0009704F"/>
    <w:rsid w:val="00097056"/>
    <w:rsid w:val="0009713E"/>
    <w:rsid w:val="000A0F11"/>
    <w:rsid w:val="000A125A"/>
    <w:rsid w:val="000A57CD"/>
    <w:rsid w:val="000A7873"/>
    <w:rsid w:val="000A7AFD"/>
    <w:rsid w:val="000B11BC"/>
    <w:rsid w:val="000B1563"/>
    <w:rsid w:val="000B204F"/>
    <w:rsid w:val="000B2D4E"/>
    <w:rsid w:val="000B3758"/>
    <w:rsid w:val="000B3A83"/>
    <w:rsid w:val="000B7681"/>
    <w:rsid w:val="000B7B42"/>
    <w:rsid w:val="000C02B7"/>
    <w:rsid w:val="000C1CB2"/>
    <w:rsid w:val="000C5100"/>
    <w:rsid w:val="000C5342"/>
    <w:rsid w:val="000C706A"/>
    <w:rsid w:val="000C7F1B"/>
    <w:rsid w:val="000D2887"/>
    <w:rsid w:val="000D6967"/>
    <w:rsid w:val="000D6D63"/>
    <w:rsid w:val="000E0081"/>
    <w:rsid w:val="000E07CF"/>
    <w:rsid w:val="000E31C1"/>
    <w:rsid w:val="000E6E62"/>
    <w:rsid w:val="000F2CF2"/>
    <w:rsid w:val="000F3937"/>
    <w:rsid w:val="00100BEF"/>
    <w:rsid w:val="001049CA"/>
    <w:rsid w:val="001058A5"/>
    <w:rsid w:val="00106BA8"/>
    <w:rsid w:val="00111326"/>
    <w:rsid w:val="00113293"/>
    <w:rsid w:val="0011379A"/>
    <w:rsid w:val="0011498E"/>
    <w:rsid w:val="00117A45"/>
    <w:rsid w:val="001224AE"/>
    <w:rsid w:val="00123C1A"/>
    <w:rsid w:val="00124017"/>
    <w:rsid w:val="00124FE0"/>
    <w:rsid w:val="0012790A"/>
    <w:rsid w:val="001336F9"/>
    <w:rsid w:val="001337D4"/>
    <w:rsid w:val="00133EEA"/>
    <w:rsid w:val="001401FE"/>
    <w:rsid w:val="00147C12"/>
    <w:rsid w:val="0015073A"/>
    <w:rsid w:val="0015146C"/>
    <w:rsid w:val="00152605"/>
    <w:rsid w:val="001527A1"/>
    <w:rsid w:val="001530DC"/>
    <w:rsid w:val="00154989"/>
    <w:rsid w:val="0015581A"/>
    <w:rsid w:val="00155A9F"/>
    <w:rsid w:val="00160262"/>
    <w:rsid w:val="0016207D"/>
    <w:rsid w:val="00165BAC"/>
    <w:rsid w:val="0016780A"/>
    <w:rsid w:val="001713FA"/>
    <w:rsid w:val="00173EBF"/>
    <w:rsid w:val="00175CD4"/>
    <w:rsid w:val="00175ED3"/>
    <w:rsid w:val="00176703"/>
    <w:rsid w:val="00182633"/>
    <w:rsid w:val="00183B84"/>
    <w:rsid w:val="001842A2"/>
    <w:rsid w:val="00187FA8"/>
    <w:rsid w:val="001910F6"/>
    <w:rsid w:val="00192F5E"/>
    <w:rsid w:val="00197772"/>
    <w:rsid w:val="001A51C8"/>
    <w:rsid w:val="001B1DC7"/>
    <w:rsid w:val="001B3046"/>
    <w:rsid w:val="001B4CA8"/>
    <w:rsid w:val="001B5063"/>
    <w:rsid w:val="001B5175"/>
    <w:rsid w:val="001B527A"/>
    <w:rsid w:val="001B5EA1"/>
    <w:rsid w:val="001C4F3D"/>
    <w:rsid w:val="001C774E"/>
    <w:rsid w:val="001D0CDC"/>
    <w:rsid w:val="001D1D82"/>
    <w:rsid w:val="001E1182"/>
    <w:rsid w:val="001E3D7F"/>
    <w:rsid w:val="001F0BDC"/>
    <w:rsid w:val="001F1BB3"/>
    <w:rsid w:val="001F219F"/>
    <w:rsid w:val="002011A4"/>
    <w:rsid w:val="00202C90"/>
    <w:rsid w:val="002035A4"/>
    <w:rsid w:val="00204519"/>
    <w:rsid w:val="00204B88"/>
    <w:rsid w:val="00212A9E"/>
    <w:rsid w:val="00213DE8"/>
    <w:rsid w:val="00216118"/>
    <w:rsid w:val="002209AB"/>
    <w:rsid w:val="002251E3"/>
    <w:rsid w:val="00227A95"/>
    <w:rsid w:val="002314FA"/>
    <w:rsid w:val="002316BD"/>
    <w:rsid w:val="002374DE"/>
    <w:rsid w:val="0024103C"/>
    <w:rsid w:val="002435C7"/>
    <w:rsid w:val="00245271"/>
    <w:rsid w:val="00246199"/>
    <w:rsid w:val="002473FC"/>
    <w:rsid w:val="00251A8E"/>
    <w:rsid w:val="00252E3C"/>
    <w:rsid w:val="00254432"/>
    <w:rsid w:val="0026146A"/>
    <w:rsid w:val="00262198"/>
    <w:rsid w:val="00267179"/>
    <w:rsid w:val="002732CA"/>
    <w:rsid w:val="00284CF5"/>
    <w:rsid w:val="00285F1B"/>
    <w:rsid w:val="00290680"/>
    <w:rsid w:val="00292B81"/>
    <w:rsid w:val="002A1E5E"/>
    <w:rsid w:val="002A6A1E"/>
    <w:rsid w:val="002B18AE"/>
    <w:rsid w:val="002B24D3"/>
    <w:rsid w:val="002B308F"/>
    <w:rsid w:val="002B5A99"/>
    <w:rsid w:val="002B5F81"/>
    <w:rsid w:val="002B6EEB"/>
    <w:rsid w:val="002C1C93"/>
    <w:rsid w:val="002C1FE8"/>
    <w:rsid w:val="002C4CEE"/>
    <w:rsid w:val="002C5066"/>
    <w:rsid w:val="002C5813"/>
    <w:rsid w:val="002D1AAC"/>
    <w:rsid w:val="002D4AAC"/>
    <w:rsid w:val="002E6800"/>
    <w:rsid w:val="002E75A5"/>
    <w:rsid w:val="002E79A9"/>
    <w:rsid w:val="002F045A"/>
    <w:rsid w:val="002F0DC9"/>
    <w:rsid w:val="002F3C7F"/>
    <w:rsid w:val="0030020C"/>
    <w:rsid w:val="0030039D"/>
    <w:rsid w:val="00302BC3"/>
    <w:rsid w:val="0030326F"/>
    <w:rsid w:val="00307B6D"/>
    <w:rsid w:val="00310701"/>
    <w:rsid w:val="00312B97"/>
    <w:rsid w:val="0031544B"/>
    <w:rsid w:val="00315980"/>
    <w:rsid w:val="00316F7F"/>
    <w:rsid w:val="0032184D"/>
    <w:rsid w:val="003218E8"/>
    <w:rsid w:val="00325E34"/>
    <w:rsid w:val="003270B5"/>
    <w:rsid w:val="00330DCE"/>
    <w:rsid w:val="00331E11"/>
    <w:rsid w:val="00332225"/>
    <w:rsid w:val="00333F17"/>
    <w:rsid w:val="00334761"/>
    <w:rsid w:val="00337EBC"/>
    <w:rsid w:val="00341DCD"/>
    <w:rsid w:val="0034563E"/>
    <w:rsid w:val="003518D6"/>
    <w:rsid w:val="0035460C"/>
    <w:rsid w:val="003556BD"/>
    <w:rsid w:val="00355B9A"/>
    <w:rsid w:val="0035776A"/>
    <w:rsid w:val="00365147"/>
    <w:rsid w:val="003652AD"/>
    <w:rsid w:val="0037016E"/>
    <w:rsid w:val="00372908"/>
    <w:rsid w:val="00372F94"/>
    <w:rsid w:val="00377C33"/>
    <w:rsid w:val="00383020"/>
    <w:rsid w:val="003831AB"/>
    <w:rsid w:val="00390F85"/>
    <w:rsid w:val="00391218"/>
    <w:rsid w:val="00394D7E"/>
    <w:rsid w:val="003975FD"/>
    <w:rsid w:val="003A0DF5"/>
    <w:rsid w:val="003A1BD9"/>
    <w:rsid w:val="003A387A"/>
    <w:rsid w:val="003A4BB7"/>
    <w:rsid w:val="003B057D"/>
    <w:rsid w:val="003B60CC"/>
    <w:rsid w:val="003C1B25"/>
    <w:rsid w:val="003C2443"/>
    <w:rsid w:val="003C24B5"/>
    <w:rsid w:val="003C5DA3"/>
    <w:rsid w:val="003D288F"/>
    <w:rsid w:val="003D4BCD"/>
    <w:rsid w:val="003D6C2B"/>
    <w:rsid w:val="003D7FBC"/>
    <w:rsid w:val="003E01D8"/>
    <w:rsid w:val="003E1139"/>
    <w:rsid w:val="003E2100"/>
    <w:rsid w:val="003F3324"/>
    <w:rsid w:val="003F36E7"/>
    <w:rsid w:val="003F6B68"/>
    <w:rsid w:val="003F6F5B"/>
    <w:rsid w:val="003F703B"/>
    <w:rsid w:val="0040342D"/>
    <w:rsid w:val="00405BB2"/>
    <w:rsid w:val="004070BB"/>
    <w:rsid w:val="00407221"/>
    <w:rsid w:val="0041192D"/>
    <w:rsid w:val="00413EE1"/>
    <w:rsid w:val="00417804"/>
    <w:rsid w:val="00417C34"/>
    <w:rsid w:val="004202CA"/>
    <w:rsid w:val="0042128E"/>
    <w:rsid w:val="004224CC"/>
    <w:rsid w:val="0043050F"/>
    <w:rsid w:val="00432B60"/>
    <w:rsid w:val="00433D68"/>
    <w:rsid w:val="00440698"/>
    <w:rsid w:val="004540E2"/>
    <w:rsid w:val="00454454"/>
    <w:rsid w:val="00454BFA"/>
    <w:rsid w:val="0046016F"/>
    <w:rsid w:val="00467924"/>
    <w:rsid w:val="00470FDE"/>
    <w:rsid w:val="004712A5"/>
    <w:rsid w:val="0047266F"/>
    <w:rsid w:val="00476D6B"/>
    <w:rsid w:val="00483695"/>
    <w:rsid w:val="00492C16"/>
    <w:rsid w:val="00493957"/>
    <w:rsid w:val="004A0678"/>
    <w:rsid w:val="004A36C3"/>
    <w:rsid w:val="004A48A3"/>
    <w:rsid w:val="004A4F32"/>
    <w:rsid w:val="004A653B"/>
    <w:rsid w:val="004A7FA7"/>
    <w:rsid w:val="004B0D92"/>
    <w:rsid w:val="004B0EC0"/>
    <w:rsid w:val="004B2CCE"/>
    <w:rsid w:val="004B66F1"/>
    <w:rsid w:val="004C3EA0"/>
    <w:rsid w:val="004C6646"/>
    <w:rsid w:val="004C791B"/>
    <w:rsid w:val="004D333A"/>
    <w:rsid w:val="004E0B44"/>
    <w:rsid w:val="004E262A"/>
    <w:rsid w:val="004E351A"/>
    <w:rsid w:val="004E5CEC"/>
    <w:rsid w:val="004F0687"/>
    <w:rsid w:val="004F30B1"/>
    <w:rsid w:val="004F7169"/>
    <w:rsid w:val="00500D66"/>
    <w:rsid w:val="0050271D"/>
    <w:rsid w:val="00507653"/>
    <w:rsid w:val="0051287D"/>
    <w:rsid w:val="005130BB"/>
    <w:rsid w:val="00514C8E"/>
    <w:rsid w:val="005151A8"/>
    <w:rsid w:val="0051754E"/>
    <w:rsid w:val="00524E6F"/>
    <w:rsid w:val="0053032D"/>
    <w:rsid w:val="00531DBF"/>
    <w:rsid w:val="00542CBE"/>
    <w:rsid w:val="00545759"/>
    <w:rsid w:val="00545BE0"/>
    <w:rsid w:val="00546029"/>
    <w:rsid w:val="0054684C"/>
    <w:rsid w:val="00546930"/>
    <w:rsid w:val="00552F33"/>
    <w:rsid w:val="00554C6A"/>
    <w:rsid w:val="0056087E"/>
    <w:rsid w:val="00561EE7"/>
    <w:rsid w:val="00561F49"/>
    <w:rsid w:val="00562E85"/>
    <w:rsid w:val="005630CC"/>
    <w:rsid w:val="0056332F"/>
    <w:rsid w:val="005650D7"/>
    <w:rsid w:val="005719B3"/>
    <w:rsid w:val="0057295E"/>
    <w:rsid w:val="00581C39"/>
    <w:rsid w:val="005852C3"/>
    <w:rsid w:val="00586F78"/>
    <w:rsid w:val="005903B6"/>
    <w:rsid w:val="00590C0A"/>
    <w:rsid w:val="005977FC"/>
    <w:rsid w:val="005A0247"/>
    <w:rsid w:val="005A126E"/>
    <w:rsid w:val="005A452F"/>
    <w:rsid w:val="005B0841"/>
    <w:rsid w:val="005B140D"/>
    <w:rsid w:val="005C1FEA"/>
    <w:rsid w:val="005C3495"/>
    <w:rsid w:val="005E0052"/>
    <w:rsid w:val="005E1AC6"/>
    <w:rsid w:val="005E3DFC"/>
    <w:rsid w:val="005E4FAB"/>
    <w:rsid w:val="005E51EA"/>
    <w:rsid w:val="005E5942"/>
    <w:rsid w:val="005E60AF"/>
    <w:rsid w:val="005F1DEA"/>
    <w:rsid w:val="005F4E9F"/>
    <w:rsid w:val="005F528F"/>
    <w:rsid w:val="005F7146"/>
    <w:rsid w:val="005F745A"/>
    <w:rsid w:val="00602D30"/>
    <w:rsid w:val="00607FC9"/>
    <w:rsid w:val="0061247B"/>
    <w:rsid w:val="0062092B"/>
    <w:rsid w:val="00622FE1"/>
    <w:rsid w:val="00623C57"/>
    <w:rsid w:val="0062521C"/>
    <w:rsid w:val="00630A2B"/>
    <w:rsid w:val="00632DC7"/>
    <w:rsid w:val="006357FB"/>
    <w:rsid w:val="00637B89"/>
    <w:rsid w:val="006406FC"/>
    <w:rsid w:val="00640E57"/>
    <w:rsid w:val="00646122"/>
    <w:rsid w:val="006527EB"/>
    <w:rsid w:val="00653CE0"/>
    <w:rsid w:val="00653E16"/>
    <w:rsid w:val="00653F99"/>
    <w:rsid w:val="00657220"/>
    <w:rsid w:val="00657362"/>
    <w:rsid w:val="0066104B"/>
    <w:rsid w:val="00662AC0"/>
    <w:rsid w:val="00664C08"/>
    <w:rsid w:val="006655EE"/>
    <w:rsid w:val="00666580"/>
    <w:rsid w:val="00667C10"/>
    <w:rsid w:val="00667EF4"/>
    <w:rsid w:val="0067056C"/>
    <w:rsid w:val="00676FCA"/>
    <w:rsid w:val="00677177"/>
    <w:rsid w:val="0068612E"/>
    <w:rsid w:val="00687C92"/>
    <w:rsid w:val="00692DB2"/>
    <w:rsid w:val="0069534E"/>
    <w:rsid w:val="0069669C"/>
    <w:rsid w:val="006A1200"/>
    <w:rsid w:val="006A4F4E"/>
    <w:rsid w:val="006A6C23"/>
    <w:rsid w:val="006B14DB"/>
    <w:rsid w:val="006B21C4"/>
    <w:rsid w:val="006C152D"/>
    <w:rsid w:val="006C4A1A"/>
    <w:rsid w:val="006D032C"/>
    <w:rsid w:val="006D0393"/>
    <w:rsid w:val="006D1A83"/>
    <w:rsid w:val="006D52FD"/>
    <w:rsid w:val="006D5598"/>
    <w:rsid w:val="006E1CFE"/>
    <w:rsid w:val="006E608E"/>
    <w:rsid w:val="006E65A3"/>
    <w:rsid w:val="006E7C2A"/>
    <w:rsid w:val="006F0CE7"/>
    <w:rsid w:val="006F0D20"/>
    <w:rsid w:val="006F10C4"/>
    <w:rsid w:val="006F40E9"/>
    <w:rsid w:val="006F5603"/>
    <w:rsid w:val="006F6CDA"/>
    <w:rsid w:val="006F7B87"/>
    <w:rsid w:val="00701400"/>
    <w:rsid w:val="007037CF"/>
    <w:rsid w:val="007131E9"/>
    <w:rsid w:val="007167C0"/>
    <w:rsid w:val="00720481"/>
    <w:rsid w:val="0072128F"/>
    <w:rsid w:val="00733193"/>
    <w:rsid w:val="00743A85"/>
    <w:rsid w:val="00744C1C"/>
    <w:rsid w:val="00744DDA"/>
    <w:rsid w:val="00745E03"/>
    <w:rsid w:val="007509BE"/>
    <w:rsid w:val="0075732A"/>
    <w:rsid w:val="007600F8"/>
    <w:rsid w:val="00760262"/>
    <w:rsid w:val="0076310C"/>
    <w:rsid w:val="0076744F"/>
    <w:rsid w:val="00767BCE"/>
    <w:rsid w:val="00767EFC"/>
    <w:rsid w:val="007707DE"/>
    <w:rsid w:val="00770B5D"/>
    <w:rsid w:val="007752F1"/>
    <w:rsid w:val="00776768"/>
    <w:rsid w:val="00777B9B"/>
    <w:rsid w:val="0078187A"/>
    <w:rsid w:val="007839B4"/>
    <w:rsid w:val="00792E19"/>
    <w:rsid w:val="00793BC6"/>
    <w:rsid w:val="00794D02"/>
    <w:rsid w:val="00794ED8"/>
    <w:rsid w:val="007964B9"/>
    <w:rsid w:val="00796D9F"/>
    <w:rsid w:val="007A2573"/>
    <w:rsid w:val="007B01FE"/>
    <w:rsid w:val="007B106C"/>
    <w:rsid w:val="007B1A4E"/>
    <w:rsid w:val="007B38DE"/>
    <w:rsid w:val="007B3D05"/>
    <w:rsid w:val="007B5503"/>
    <w:rsid w:val="007B6FA4"/>
    <w:rsid w:val="007B7286"/>
    <w:rsid w:val="007C179C"/>
    <w:rsid w:val="007C6BB3"/>
    <w:rsid w:val="007D14B4"/>
    <w:rsid w:val="007D3AD7"/>
    <w:rsid w:val="007E1C95"/>
    <w:rsid w:val="007E24F6"/>
    <w:rsid w:val="007F181B"/>
    <w:rsid w:val="00800F64"/>
    <w:rsid w:val="00801050"/>
    <w:rsid w:val="00802F0B"/>
    <w:rsid w:val="0080332E"/>
    <w:rsid w:val="00803BED"/>
    <w:rsid w:val="0080446E"/>
    <w:rsid w:val="00805C5B"/>
    <w:rsid w:val="00807300"/>
    <w:rsid w:val="00810A67"/>
    <w:rsid w:val="00817356"/>
    <w:rsid w:val="00820579"/>
    <w:rsid w:val="008229A8"/>
    <w:rsid w:val="00833CF7"/>
    <w:rsid w:val="008348E2"/>
    <w:rsid w:val="00834A83"/>
    <w:rsid w:val="00834CDE"/>
    <w:rsid w:val="00840187"/>
    <w:rsid w:val="00842464"/>
    <w:rsid w:val="00845601"/>
    <w:rsid w:val="00853019"/>
    <w:rsid w:val="0085394E"/>
    <w:rsid w:val="00855B79"/>
    <w:rsid w:val="00855C5C"/>
    <w:rsid w:val="0086160F"/>
    <w:rsid w:val="008767BA"/>
    <w:rsid w:val="00880041"/>
    <w:rsid w:val="008A0C4F"/>
    <w:rsid w:val="008A1409"/>
    <w:rsid w:val="008A14ED"/>
    <w:rsid w:val="008A3C96"/>
    <w:rsid w:val="008A51DD"/>
    <w:rsid w:val="008B0F35"/>
    <w:rsid w:val="008B167E"/>
    <w:rsid w:val="008B1B8A"/>
    <w:rsid w:val="008B4019"/>
    <w:rsid w:val="008B65C9"/>
    <w:rsid w:val="008C0C44"/>
    <w:rsid w:val="008C2D4A"/>
    <w:rsid w:val="008C54C1"/>
    <w:rsid w:val="008D3900"/>
    <w:rsid w:val="008D6E1D"/>
    <w:rsid w:val="008E110E"/>
    <w:rsid w:val="008E4703"/>
    <w:rsid w:val="008F1F79"/>
    <w:rsid w:val="008F39B4"/>
    <w:rsid w:val="008F4162"/>
    <w:rsid w:val="008F69C0"/>
    <w:rsid w:val="0090033A"/>
    <w:rsid w:val="00901577"/>
    <w:rsid w:val="00903E02"/>
    <w:rsid w:val="00907757"/>
    <w:rsid w:val="00913175"/>
    <w:rsid w:val="00916EDB"/>
    <w:rsid w:val="00920861"/>
    <w:rsid w:val="0092292F"/>
    <w:rsid w:val="00922B13"/>
    <w:rsid w:val="009242EF"/>
    <w:rsid w:val="00932291"/>
    <w:rsid w:val="00932861"/>
    <w:rsid w:val="0093408E"/>
    <w:rsid w:val="009343D0"/>
    <w:rsid w:val="00944E5E"/>
    <w:rsid w:val="00945D55"/>
    <w:rsid w:val="00952DDF"/>
    <w:rsid w:val="00953CE4"/>
    <w:rsid w:val="00955C06"/>
    <w:rsid w:val="00962C29"/>
    <w:rsid w:val="00963B6A"/>
    <w:rsid w:val="009643B7"/>
    <w:rsid w:val="00965403"/>
    <w:rsid w:val="00970950"/>
    <w:rsid w:val="009728B4"/>
    <w:rsid w:val="009812D4"/>
    <w:rsid w:val="00986CF3"/>
    <w:rsid w:val="00987DFB"/>
    <w:rsid w:val="009920D8"/>
    <w:rsid w:val="009A112B"/>
    <w:rsid w:val="009B38BE"/>
    <w:rsid w:val="009B5B8E"/>
    <w:rsid w:val="009C3B2F"/>
    <w:rsid w:val="009C3D0F"/>
    <w:rsid w:val="009C7345"/>
    <w:rsid w:val="009D78F8"/>
    <w:rsid w:val="009E1B19"/>
    <w:rsid w:val="009F35E2"/>
    <w:rsid w:val="009F3E77"/>
    <w:rsid w:val="009F4857"/>
    <w:rsid w:val="009F5FCC"/>
    <w:rsid w:val="009F65F9"/>
    <w:rsid w:val="009F68BA"/>
    <w:rsid w:val="00A022AD"/>
    <w:rsid w:val="00A028BD"/>
    <w:rsid w:val="00A06277"/>
    <w:rsid w:val="00A079DC"/>
    <w:rsid w:val="00A10ED4"/>
    <w:rsid w:val="00A111C2"/>
    <w:rsid w:val="00A14ED8"/>
    <w:rsid w:val="00A173BB"/>
    <w:rsid w:val="00A26900"/>
    <w:rsid w:val="00A318DC"/>
    <w:rsid w:val="00A338E7"/>
    <w:rsid w:val="00A33CD0"/>
    <w:rsid w:val="00A35CAA"/>
    <w:rsid w:val="00A36E7F"/>
    <w:rsid w:val="00A40945"/>
    <w:rsid w:val="00A41234"/>
    <w:rsid w:val="00A41E65"/>
    <w:rsid w:val="00A43E0A"/>
    <w:rsid w:val="00A45749"/>
    <w:rsid w:val="00A47F16"/>
    <w:rsid w:val="00A530C7"/>
    <w:rsid w:val="00A55234"/>
    <w:rsid w:val="00A55F5B"/>
    <w:rsid w:val="00A60185"/>
    <w:rsid w:val="00A615FC"/>
    <w:rsid w:val="00A62F1F"/>
    <w:rsid w:val="00A661EA"/>
    <w:rsid w:val="00A663E7"/>
    <w:rsid w:val="00A7072E"/>
    <w:rsid w:val="00A71AB8"/>
    <w:rsid w:val="00A748C2"/>
    <w:rsid w:val="00A830E5"/>
    <w:rsid w:val="00A860D7"/>
    <w:rsid w:val="00A87135"/>
    <w:rsid w:val="00A87E3C"/>
    <w:rsid w:val="00A93280"/>
    <w:rsid w:val="00A951EA"/>
    <w:rsid w:val="00A95843"/>
    <w:rsid w:val="00A958E9"/>
    <w:rsid w:val="00AA2548"/>
    <w:rsid w:val="00AA58C4"/>
    <w:rsid w:val="00AA5F5B"/>
    <w:rsid w:val="00AA7003"/>
    <w:rsid w:val="00AB11C8"/>
    <w:rsid w:val="00AB3587"/>
    <w:rsid w:val="00AB59AC"/>
    <w:rsid w:val="00AB6DA3"/>
    <w:rsid w:val="00AC08A8"/>
    <w:rsid w:val="00AC2438"/>
    <w:rsid w:val="00AC32EE"/>
    <w:rsid w:val="00AD1160"/>
    <w:rsid w:val="00AD46E6"/>
    <w:rsid w:val="00AD56C8"/>
    <w:rsid w:val="00AD58F2"/>
    <w:rsid w:val="00AE23ED"/>
    <w:rsid w:val="00AE46A1"/>
    <w:rsid w:val="00AE7BB8"/>
    <w:rsid w:val="00AF14B2"/>
    <w:rsid w:val="00AF150A"/>
    <w:rsid w:val="00AF42C8"/>
    <w:rsid w:val="00AF4680"/>
    <w:rsid w:val="00B020B1"/>
    <w:rsid w:val="00B0512A"/>
    <w:rsid w:val="00B0529F"/>
    <w:rsid w:val="00B11735"/>
    <w:rsid w:val="00B13F94"/>
    <w:rsid w:val="00B1418B"/>
    <w:rsid w:val="00B17FA9"/>
    <w:rsid w:val="00B21195"/>
    <w:rsid w:val="00B24B22"/>
    <w:rsid w:val="00B25310"/>
    <w:rsid w:val="00B32985"/>
    <w:rsid w:val="00B32F8F"/>
    <w:rsid w:val="00B3492A"/>
    <w:rsid w:val="00B34B88"/>
    <w:rsid w:val="00B35560"/>
    <w:rsid w:val="00B361E0"/>
    <w:rsid w:val="00B3720D"/>
    <w:rsid w:val="00B37AAC"/>
    <w:rsid w:val="00B43EE4"/>
    <w:rsid w:val="00B44F10"/>
    <w:rsid w:val="00B529C1"/>
    <w:rsid w:val="00B54DE9"/>
    <w:rsid w:val="00B553EC"/>
    <w:rsid w:val="00B55E3F"/>
    <w:rsid w:val="00B655D5"/>
    <w:rsid w:val="00B67C67"/>
    <w:rsid w:val="00B7326D"/>
    <w:rsid w:val="00B759DC"/>
    <w:rsid w:val="00B7688E"/>
    <w:rsid w:val="00B80089"/>
    <w:rsid w:val="00B9156E"/>
    <w:rsid w:val="00B91828"/>
    <w:rsid w:val="00B93DD0"/>
    <w:rsid w:val="00B97055"/>
    <w:rsid w:val="00B97732"/>
    <w:rsid w:val="00BA508A"/>
    <w:rsid w:val="00BA65A8"/>
    <w:rsid w:val="00BA6D19"/>
    <w:rsid w:val="00BA7461"/>
    <w:rsid w:val="00BA7DA9"/>
    <w:rsid w:val="00BB0327"/>
    <w:rsid w:val="00BB0964"/>
    <w:rsid w:val="00BC0081"/>
    <w:rsid w:val="00BC4215"/>
    <w:rsid w:val="00BD1481"/>
    <w:rsid w:val="00BD1A6F"/>
    <w:rsid w:val="00BD376A"/>
    <w:rsid w:val="00BD382B"/>
    <w:rsid w:val="00BD4AD9"/>
    <w:rsid w:val="00BD51D1"/>
    <w:rsid w:val="00BE2FA0"/>
    <w:rsid w:val="00BE6D3C"/>
    <w:rsid w:val="00BE7852"/>
    <w:rsid w:val="00BF04A2"/>
    <w:rsid w:val="00BF7CEE"/>
    <w:rsid w:val="00C03880"/>
    <w:rsid w:val="00C1131A"/>
    <w:rsid w:val="00C135CF"/>
    <w:rsid w:val="00C149C7"/>
    <w:rsid w:val="00C154BD"/>
    <w:rsid w:val="00C16E36"/>
    <w:rsid w:val="00C17F2C"/>
    <w:rsid w:val="00C25755"/>
    <w:rsid w:val="00C2683F"/>
    <w:rsid w:val="00C3184D"/>
    <w:rsid w:val="00C457C0"/>
    <w:rsid w:val="00C4714E"/>
    <w:rsid w:val="00C51CCA"/>
    <w:rsid w:val="00C5504F"/>
    <w:rsid w:val="00C57B55"/>
    <w:rsid w:val="00C63376"/>
    <w:rsid w:val="00C676D8"/>
    <w:rsid w:val="00C72859"/>
    <w:rsid w:val="00C74F97"/>
    <w:rsid w:val="00C821B6"/>
    <w:rsid w:val="00C8276E"/>
    <w:rsid w:val="00C83885"/>
    <w:rsid w:val="00C842AC"/>
    <w:rsid w:val="00C96688"/>
    <w:rsid w:val="00CA0723"/>
    <w:rsid w:val="00CA1484"/>
    <w:rsid w:val="00CA5DBE"/>
    <w:rsid w:val="00CA7898"/>
    <w:rsid w:val="00CB1690"/>
    <w:rsid w:val="00CB27C5"/>
    <w:rsid w:val="00CC4365"/>
    <w:rsid w:val="00CC7B91"/>
    <w:rsid w:val="00CD11B0"/>
    <w:rsid w:val="00CD5F7F"/>
    <w:rsid w:val="00CE1ED2"/>
    <w:rsid w:val="00CE3466"/>
    <w:rsid w:val="00CE3C67"/>
    <w:rsid w:val="00CE61B4"/>
    <w:rsid w:val="00CE71C2"/>
    <w:rsid w:val="00CE78D7"/>
    <w:rsid w:val="00CF37D3"/>
    <w:rsid w:val="00CF42D5"/>
    <w:rsid w:val="00CF43FD"/>
    <w:rsid w:val="00CF4EDA"/>
    <w:rsid w:val="00D021CB"/>
    <w:rsid w:val="00D03CCF"/>
    <w:rsid w:val="00D05C62"/>
    <w:rsid w:val="00D10F1A"/>
    <w:rsid w:val="00D116F8"/>
    <w:rsid w:val="00D17596"/>
    <w:rsid w:val="00D22640"/>
    <w:rsid w:val="00D26D3A"/>
    <w:rsid w:val="00D27FD1"/>
    <w:rsid w:val="00D311AA"/>
    <w:rsid w:val="00D311AF"/>
    <w:rsid w:val="00D32ECA"/>
    <w:rsid w:val="00D36D8F"/>
    <w:rsid w:val="00D37145"/>
    <w:rsid w:val="00D45D0A"/>
    <w:rsid w:val="00D45EE3"/>
    <w:rsid w:val="00D50561"/>
    <w:rsid w:val="00D50618"/>
    <w:rsid w:val="00D509E9"/>
    <w:rsid w:val="00D53B1C"/>
    <w:rsid w:val="00D66C1C"/>
    <w:rsid w:val="00D75F7C"/>
    <w:rsid w:val="00D84420"/>
    <w:rsid w:val="00D85DAE"/>
    <w:rsid w:val="00D91953"/>
    <w:rsid w:val="00D957AC"/>
    <w:rsid w:val="00D97B2B"/>
    <w:rsid w:val="00DA1B12"/>
    <w:rsid w:val="00DA4D14"/>
    <w:rsid w:val="00DA54C9"/>
    <w:rsid w:val="00DA6739"/>
    <w:rsid w:val="00DA6CAE"/>
    <w:rsid w:val="00DB1A9E"/>
    <w:rsid w:val="00DB31D6"/>
    <w:rsid w:val="00DB4005"/>
    <w:rsid w:val="00DB5D97"/>
    <w:rsid w:val="00DC1710"/>
    <w:rsid w:val="00DC34EB"/>
    <w:rsid w:val="00DC623B"/>
    <w:rsid w:val="00DC7BC4"/>
    <w:rsid w:val="00DD61A4"/>
    <w:rsid w:val="00DE2295"/>
    <w:rsid w:val="00DE7F89"/>
    <w:rsid w:val="00DF1E5B"/>
    <w:rsid w:val="00DF2275"/>
    <w:rsid w:val="00DF3F5E"/>
    <w:rsid w:val="00DF5653"/>
    <w:rsid w:val="00DF5D49"/>
    <w:rsid w:val="00E005D4"/>
    <w:rsid w:val="00E0596E"/>
    <w:rsid w:val="00E06F66"/>
    <w:rsid w:val="00E12ABD"/>
    <w:rsid w:val="00E13CBD"/>
    <w:rsid w:val="00E173E2"/>
    <w:rsid w:val="00E25F93"/>
    <w:rsid w:val="00E3447F"/>
    <w:rsid w:val="00E34486"/>
    <w:rsid w:val="00E356E5"/>
    <w:rsid w:val="00E36D29"/>
    <w:rsid w:val="00E36F81"/>
    <w:rsid w:val="00E37375"/>
    <w:rsid w:val="00E45765"/>
    <w:rsid w:val="00E5098C"/>
    <w:rsid w:val="00E50CA2"/>
    <w:rsid w:val="00E515F9"/>
    <w:rsid w:val="00E54248"/>
    <w:rsid w:val="00E561F5"/>
    <w:rsid w:val="00E60213"/>
    <w:rsid w:val="00E661B2"/>
    <w:rsid w:val="00E74D29"/>
    <w:rsid w:val="00E76925"/>
    <w:rsid w:val="00E81B6B"/>
    <w:rsid w:val="00E83C74"/>
    <w:rsid w:val="00E83CEE"/>
    <w:rsid w:val="00E91F18"/>
    <w:rsid w:val="00E9226D"/>
    <w:rsid w:val="00E97A19"/>
    <w:rsid w:val="00E97D03"/>
    <w:rsid w:val="00EA278E"/>
    <w:rsid w:val="00EA3E26"/>
    <w:rsid w:val="00EA416C"/>
    <w:rsid w:val="00EA5941"/>
    <w:rsid w:val="00EA7EB9"/>
    <w:rsid w:val="00EB0521"/>
    <w:rsid w:val="00EB3DB6"/>
    <w:rsid w:val="00EB5EE9"/>
    <w:rsid w:val="00EB60CE"/>
    <w:rsid w:val="00EB7645"/>
    <w:rsid w:val="00EB7D53"/>
    <w:rsid w:val="00EC4466"/>
    <w:rsid w:val="00ED3E26"/>
    <w:rsid w:val="00ED5230"/>
    <w:rsid w:val="00EE0991"/>
    <w:rsid w:val="00EE3146"/>
    <w:rsid w:val="00EE593C"/>
    <w:rsid w:val="00EF1FDB"/>
    <w:rsid w:val="00EF50BB"/>
    <w:rsid w:val="00EF53FF"/>
    <w:rsid w:val="00F00192"/>
    <w:rsid w:val="00F01DF6"/>
    <w:rsid w:val="00F03236"/>
    <w:rsid w:val="00F0340D"/>
    <w:rsid w:val="00F059A6"/>
    <w:rsid w:val="00F15426"/>
    <w:rsid w:val="00F20530"/>
    <w:rsid w:val="00F20E28"/>
    <w:rsid w:val="00F21AB9"/>
    <w:rsid w:val="00F23756"/>
    <w:rsid w:val="00F2523A"/>
    <w:rsid w:val="00F25FFA"/>
    <w:rsid w:val="00F309D9"/>
    <w:rsid w:val="00F310D2"/>
    <w:rsid w:val="00F36F3D"/>
    <w:rsid w:val="00F40EF5"/>
    <w:rsid w:val="00F439C5"/>
    <w:rsid w:val="00F477BD"/>
    <w:rsid w:val="00F53491"/>
    <w:rsid w:val="00F600F9"/>
    <w:rsid w:val="00F61EB3"/>
    <w:rsid w:val="00F6492D"/>
    <w:rsid w:val="00F65A1C"/>
    <w:rsid w:val="00F66F50"/>
    <w:rsid w:val="00F70626"/>
    <w:rsid w:val="00F7456B"/>
    <w:rsid w:val="00F804B2"/>
    <w:rsid w:val="00F82FF8"/>
    <w:rsid w:val="00F8330D"/>
    <w:rsid w:val="00F84305"/>
    <w:rsid w:val="00F8485C"/>
    <w:rsid w:val="00F84BDB"/>
    <w:rsid w:val="00F864AB"/>
    <w:rsid w:val="00F87149"/>
    <w:rsid w:val="00F871CA"/>
    <w:rsid w:val="00F87FFE"/>
    <w:rsid w:val="00F90FFF"/>
    <w:rsid w:val="00F92890"/>
    <w:rsid w:val="00F954C9"/>
    <w:rsid w:val="00FA4CF0"/>
    <w:rsid w:val="00FA583F"/>
    <w:rsid w:val="00FA61AA"/>
    <w:rsid w:val="00FA69A4"/>
    <w:rsid w:val="00FA70D1"/>
    <w:rsid w:val="00FB1279"/>
    <w:rsid w:val="00FB1495"/>
    <w:rsid w:val="00FC54CC"/>
    <w:rsid w:val="00FC62FD"/>
    <w:rsid w:val="00FD0F2B"/>
    <w:rsid w:val="00FD1639"/>
    <w:rsid w:val="00FD1694"/>
    <w:rsid w:val="00FD1A9B"/>
    <w:rsid w:val="00FD7636"/>
    <w:rsid w:val="00FE0FAC"/>
    <w:rsid w:val="00FE3229"/>
    <w:rsid w:val="00FE3C6B"/>
    <w:rsid w:val="00FE466C"/>
    <w:rsid w:val="00FE74C3"/>
    <w:rsid w:val="00FF15D6"/>
    <w:rsid w:val="00FF215C"/>
    <w:rsid w:val="00FF32D6"/>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Default Paragraph Font" w:uiPriority="1"/>
    <w:lsdException w:name="List Continue" w:semiHidden="0" w:unhideWhenUsed="0"/>
    <w:lsdException w:name="Subtitle" w:uiPriority="11"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ind w:left="0" w:firstLine="0"/>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CommentText">
    <w:name w:val="annotation text"/>
    <w:basedOn w:val="Normal"/>
    <w:link w:val="CommentTextChar"/>
    <w:uiPriority w:val="99"/>
    <w:unhideWhenUsed/>
    <w:rsid w:val="00D85DAE"/>
    <w:pPr>
      <w:spacing w:line="240" w:lineRule="auto"/>
    </w:pPr>
    <w:rPr>
      <w:sz w:val="20"/>
      <w:szCs w:val="20"/>
    </w:rPr>
  </w:style>
  <w:style w:type="character" w:customStyle="1" w:styleId="CommentTextChar">
    <w:name w:val="Comment Text Char"/>
    <w:basedOn w:val="DefaultParagraphFont"/>
    <w:link w:val="CommentText"/>
    <w:uiPriority w:val="99"/>
    <w:rsid w:val="00D85DAE"/>
    <w:rPr>
      <w:lang w:eastAsia="en-US"/>
    </w:rPr>
  </w:style>
  <w:style w:type="table" w:styleId="LightList-Accent5">
    <w:name w:val="Light List Accent 5"/>
    <w:basedOn w:val="TableNormal"/>
    <w:uiPriority w:val="61"/>
    <w:rsid w:val="005650D7"/>
    <w:rPr>
      <w:rFonts w:eastAsia="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5650D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FootnoteText">
    <w:name w:val="footnote text"/>
    <w:basedOn w:val="Normal"/>
    <w:link w:val="FootnoteTextChar"/>
    <w:uiPriority w:val="99"/>
    <w:semiHidden/>
    <w:unhideWhenUsed/>
    <w:rsid w:val="00A615FC"/>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615FC"/>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A615FC"/>
    <w:rPr>
      <w:vertAlign w:val="superscript"/>
    </w:rPr>
  </w:style>
  <w:style w:type="paragraph" w:styleId="TOCHeading">
    <w:name w:val="TOC Heading"/>
    <w:basedOn w:val="Heading1"/>
    <w:next w:val="Normal"/>
    <w:uiPriority w:val="39"/>
    <w:unhideWhenUsed/>
    <w:qFormat/>
    <w:rsid w:val="003D7FBC"/>
    <w:pPr>
      <w:keepLines/>
      <w:spacing w:before="480" w:after="0"/>
      <w:outlineLvl w:val="9"/>
    </w:pPr>
    <w:rPr>
      <w:rFonts w:asciiTheme="majorHAnsi" w:eastAsiaTheme="majorEastAsia" w:hAnsiTheme="majorHAnsi" w:cstheme="majorBidi"/>
      <w:bCs/>
      <w:caps w:val="0"/>
      <w:color w:val="365F91" w:themeColor="accent1" w:themeShade="BF"/>
      <w:sz w:val="28"/>
      <w:szCs w:val="28"/>
      <w:lang w:val="en-US"/>
    </w:rPr>
  </w:style>
  <w:style w:type="paragraph" w:styleId="TOC1">
    <w:name w:val="toc 1"/>
    <w:basedOn w:val="Normal"/>
    <w:next w:val="Normal"/>
    <w:autoRedefine/>
    <w:uiPriority w:val="39"/>
    <w:unhideWhenUsed/>
    <w:rsid w:val="003D7FBC"/>
    <w:pPr>
      <w:spacing w:after="100"/>
    </w:pPr>
  </w:style>
  <w:style w:type="paragraph" w:styleId="TOC2">
    <w:name w:val="toc 2"/>
    <w:basedOn w:val="Normal"/>
    <w:next w:val="Normal"/>
    <w:autoRedefine/>
    <w:uiPriority w:val="39"/>
    <w:unhideWhenUsed/>
    <w:rsid w:val="003D7FBC"/>
    <w:pPr>
      <w:spacing w:after="100"/>
      <w:ind w:left="220"/>
    </w:pPr>
  </w:style>
  <w:style w:type="paragraph" w:styleId="TOC3">
    <w:name w:val="toc 3"/>
    <w:basedOn w:val="Normal"/>
    <w:next w:val="Normal"/>
    <w:autoRedefine/>
    <w:uiPriority w:val="39"/>
    <w:unhideWhenUsed/>
    <w:rsid w:val="003D7FBC"/>
    <w:pPr>
      <w:spacing w:after="100"/>
      <w:ind w:left="440"/>
    </w:pPr>
  </w:style>
  <w:style w:type="character" w:styleId="Hyperlink">
    <w:name w:val="Hyperlink"/>
    <w:basedOn w:val="DefaultParagraphFont"/>
    <w:uiPriority w:val="99"/>
    <w:unhideWhenUsed/>
    <w:rsid w:val="003D7FBC"/>
    <w:rPr>
      <w:color w:val="0000FF" w:themeColor="hyperlink"/>
      <w:u w:val="single"/>
    </w:rPr>
  </w:style>
  <w:style w:type="paragraph" w:customStyle="1" w:styleId="Default">
    <w:name w:val="Default"/>
    <w:rsid w:val="00113293"/>
    <w:pPr>
      <w:autoSpaceDE w:val="0"/>
      <w:autoSpaceDN w:val="0"/>
      <w:adjustRightInd w:val="0"/>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DA4D14"/>
    <w:rPr>
      <w:sz w:val="16"/>
      <w:szCs w:val="16"/>
    </w:rPr>
  </w:style>
  <w:style w:type="paragraph" w:styleId="CommentSubject">
    <w:name w:val="annotation subject"/>
    <w:basedOn w:val="CommentText"/>
    <w:next w:val="CommentText"/>
    <w:link w:val="CommentSubjectChar"/>
    <w:uiPriority w:val="99"/>
    <w:semiHidden/>
    <w:unhideWhenUsed/>
    <w:rsid w:val="00DA4D14"/>
    <w:rPr>
      <w:b/>
      <w:bCs/>
    </w:rPr>
  </w:style>
  <w:style w:type="character" w:customStyle="1" w:styleId="CommentSubjectChar">
    <w:name w:val="Comment Subject Char"/>
    <w:basedOn w:val="CommentTextChar"/>
    <w:link w:val="CommentSubject"/>
    <w:uiPriority w:val="99"/>
    <w:semiHidden/>
    <w:rsid w:val="00DA4D14"/>
    <w:rPr>
      <w:b/>
      <w:bCs/>
    </w:rPr>
  </w:style>
  <w:style w:type="paragraph" w:styleId="Revision">
    <w:name w:val="Revision"/>
    <w:hidden/>
    <w:uiPriority w:val="99"/>
    <w:semiHidden/>
    <w:rsid w:val="00DA4D14"/>
    <w:rPr>
      <w:sz w:val="22"/>
      <w:szCs w:val="22"/>
      <w:lang w:eastAsia="en-US"/>
    </w:rPr>
  </w:style>
  <w:style w:type="paragraph" w:customStyle="1" w:styleId="H1">
    <w:name w:val="H1"/>
    <w:basedOn w:val="Normal"/>
    <w:next w:val="Normal"/>
    <w:uiPriority w:val="99"/>
    <w:rsid w:val="000849B0"/>
    <w:pPr>
      <w:keepNext/>
      <w:autoSpaceDE w:val="0"/>
      <w:autoSpaceDN w:val="0"/>
      <w:adjustRightInd w:val="0"/>
      <w:spacing w:before="100" w:after="100" w:line="240" w:lineRule="auto"/>
      <w:outlineLvl w:val="1"/>
    </w:pPr>
    <w:rPr>
      <w:rFonts w:ascii="Times New Roman" w:hAnsi="Times New Roman"/>
      <w:b/>
      <w:bCs/>
      <w:kern w:val="36"/>
      <w:sz w:val="48"/>
      <w:szCs w:val="48"/>
      <w:lang w:eastAsia="en-AU"/>
    </w:rPr>
  </w:style>
  <w:style w:type="character" w:styleId="Emphasis">
    <w:name w:val="Emphasis"/>
    <w:basedOn w:val="DefaultParagraphFont"/>
    <w:uiPriority w:val="99"/>
    <w:qFormat/>
    <w:rsid w:val="000849B0"/>
    <w:rPr>
      <w:i/>
      <w:iCs/>
    </w:rPr>
  </w:style>
  <w:style w:type="paragraph" w:customStyle="1" w:styleId="H2">
    <w:name w:val="H2"/>
    <w:basedOn w:val="Normal"/>
    <w:next w:val="Normal"/>
    <w:uiPriority w:val="99"/>
    <w:rsid w:val="008A0C4F"/>
    <w:pPr>
      <w:keepNext/>
      <w:autoSpaceDE w:val="0"/>
      <w:autoSpaceDN w:val="0"/>
      <w:adjustRightInd w:val="0"/>
      <w:spacing w:before="100" w:after="100" w:line="240" w:lineRule="auto"/>
      <w:outlineLvl w:val="2"/>
    </w:pPr>
    <w:rPr>
      <w:rFonts w:ascii="Times New Roman" w:hAnsi="Times New Roman"/>
      <w:b/>
      <w:bCs/>
      <w:sz w:val="36"/>
      <w:szCs w:val="36"/>
      <w:lang w:eastAsia="en-AU"/>
    </w:rPr>
  </w:style>
  <w:style w:type="paragraph" w:customStyle="1" w:styleId="H3">
    <w:name w:val="H3"/>
    <w:basedOn w:val="Normal"/>
    <w:next w:val="Normal"/>
    <w:uiPriority w:val="99"/>
    <w:rsid w:val="008A0C4F"/>
    <w:pPr>
      <w:keepNext/>
      <w:autoSpaceDE w:val="0"/>
      <w:autoSpaceDN w:val="0"/>
      <w:adjustRightInd w:val="0"/>
      <w:spacing w:before="100" w:after="100" w:line="240" w:lineRule="auto"/>
      <w:outlineLvl w:val="3"/>
    </w:pPr>
    <w:rPr>
      <w:rFonts w:ascii="Times New Roman" w:hAnsi="Times New Roman"/>
      <w:b/>
      <w:bCs/>
      <w:sz w:val="28"/>
      <w:szCs w:val="28"/>
      <w:lang w:eastAsia="en-AU"/>
    </w:rPr>
  </w:style>
  <w:style w:type="table" w:customStyle="1" w:styleId="LightList-Accent11">
    <w:name w:val="Light List - Accent 11"/>
    <w:basedOn w:val="TableNormal"/>
    <w:uiPriority w:val="61"/>
    <w:rsid w:val="0006158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99"/>
    <w:qFormat/>
    <w:rsid w:val="00A860D7"/>
    <w:rPr>
      <w:b/>
      <w:bCs/>
    </w:rPr>
  </w:style>
  <w:style w:type="paragraph" w:styleId="NormalWeb">
    <w:name w:val="Normal (Web)"/>
    <w:basedOn w:val="Normal"/>
    <w:uiPriority w:val="99"/>
    <w:semiHidden/>
    <w:unhideWhenUsed/>
    <w:rsid w:val="0043050F"/>
    <w:pPr>
      <w:spacing w:before="100" w:beforeAutospacing="1" w:after="100" w:afterAutospacing="1" w:line="240" w:lineRule="auto"/>
    </w:pPr>
    <w:rPr>
      <w:rFonts w:ascii="Times New Roman" w:eastAsia="Times New Roman" w:hAnsi="Times New Roman"/>
      <w:sz w:val="24"/>
      <w:szCs w:val="24"/>
      <w:lang w:eastAsia="en-AU"/>
    </w:rPr>
  </w:style>
  <w:style w:type="paragraph" w:styleId="NoSpacing">
    <w:name w:val="No Spacing"/>
    <w:link w:val="NoSpacingChar"/>
    <w:uiPriority w:val="1"/>
    <w:qFormat/>
    <w:rsid w:val="0092292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2292F"/>
    <w:rPr>
      <w:rFonts w:asciiTheme="minorHAnsi" w:eastAsiaTheme="minorEastAsia" w:hAnsiTheme="minorHAnsi" w:cstheme="minorBidi"/>
      <w:sz w:val="22"/>
      <w:szCs w:val="22"/>
      <w:lang w:val="en-US" w:eastAsia="en-US"/>
    </w:rPr>
  </w:style>
  <w:style w:type="paragraph" w:customStyle="1" w:styleId="ReportTitle">
    <w:name w:val="Report Title"/>
    <w:basedOn w:val="Normal"/>
    <w:uiPriority w:val="11"/>
    <w:qFormat/>
    <w:rsid w:val="002A1E5E"/>
    <w:rPr>
      <w:rFonts w:eastAsia="Times New Roman"/>
      <w:b/>
      <w:color w:val="17365D" w:themeColor="text2" w:themeShade="BF"/>
      <w:sz w:val="52"/>
    </w:rPr>
  </w:style>
  <w:style w:type="paragraph" w:customStyle="1" w:styleId="Reportsubtitle">
    <w:name w:val="Report sub title"/>
    <w:basedOn w:val="ReportTitle"/>
    <w:uiPriority w:val="11"/>
    <w:qFormat/>
    <w:rsid w:val="002A1E5E"/>
    <w:rPr>
      <w:b w:val="0"/>
      <w:color w:val="auto"/>
      <w:sz w:val="32"/>
    </w:rPr>
  </w:style>
  <w:style w:type="paragraph" w:styleId="Caption">
    <w:name w:val="caption"/>
    <w:basedOn w:val="Normal"/>
    <w:next w:val="Normal"/>
    <w:uiPriority w:val="35"/>
    <w:unhideWhenUsed/>
    <w:qFormat/>
    <w:rsid w:val="00D45D0A"/>
    <w:pPr>
      <w:spacing w:after="80"/>
    </w:pPr>
    <w:rPr>
      <w:b/>
      <w:bCs/>
      <w:sz w:val="20"/>
      <w:szCs w:val="18"/>
    </w:rPr>
  </w:style>
</w:styles>
</file>

<file path=word/webSettings.xml><?xml version="1.0" encoding="utf-8"?>
<w:webSettings xmlns:r="http://schemas.openxmlformats.org/officeDocument/2006/relationships" xmlns:w="http://schemas.openxmlformats.org/wordprocessingml/2006/main">
  <w:divs>
    <w:div w:id="89276027">
      <w:bodyDiv w:val="1"/>
      <w:marLeft w:val="0"/>
      <w:marRight w:val="0"/>
      <w:marTop w:val="0"/>
      <w:marBottom w:val="0"/>
      <w:divBdr>
        <w:top w:val="none" w:sz="0" w:space="0" w:color="auto"/>
        <w:left w:val="none" w:sz="0" w:space="0" w:color="auto"/>
        <w:bottom w:val="none" w:sz="0" w:space="0" w:color="auto"/>
        <w:right w:val="none" w:sz="0" w:space="0" w:color="auto"/>
      </w:divBdr>
    </w:div>
    <w:div w:id="134952979">
      <w:bodyDiv w:val="1"/>
      <w:marLeft w:val="0"/>
      <w:marRight w:val="0"/>
      <w:marTop w:val="0"/>
      <w:marBottom w:val="0"/>
      <w:divBdr>
        <w:top w:val="none" w:sz="0" w:space="0" w:color="auto"/>
        <w:left w:val="none" w:sz="0" w:space="0" w:color="auto"/>
        <w:bottom w:val="none" w:sz="0" w:space="0" w:color="auto"/>
        <w:right w:val="none" w:sz="0" w:space="0" w:color="auto"/>
      </w:divBdr>
    </w:div>
    <w:div w:id="152335015">
      <w:bodyDiv w:val="1"/>
      <w:marLeft w:val="0"/>
      <w:marRight w:val="0"/>
      <w:marTop w:val="0"/>
      <w:marBottom w:val="0"/>
      <w:divBdr>
        <w:top w:val="none" w:sz="0" w:space="0" w:color="auto"/>
        <w:left w:val="none" w:sz="0" w:space="0" w:color="auto"/>
        <w:bottom w:val="none" w:sz="0" w:space="0" w:color="auto"/>
        <w:right w:val="none" w:sz="0" w:space="0" w:color="auto"/>
      </w:divBdr>
    </w:div>
    <w:div w:id="226495944">
      <w:bodyDiv w:val="1"/>
      <w:marLeft w:val="0"/>
      <w:marRight w:val="0"/>
      <w:marTop w:val="0"/>
      <w:marBottom w:val="0"/>
      <w:divBdr>
        <w:top w:val="none" w:sz="0" w:space="0" w:color="auto"/>
        <w:left w:val="none" w:sz="0" w:space="0" w:color="auto"/>
        <w:bottom w:val="none" w:sz="0" w:space="0" w:color="auto"/>
        <w:right w:val="none" w:sz="0" w:space="0" w:color="auto"/>
      </w:divBdr>
    </w:div>
    <w:div w:id="647781843">
      <w:bodyDiv w:val="1"/>
      <w:marLeft w:val="0"/>
      <w:marRight w:val="0"/>
      <w:marTop w:val="0"/>
      <w:marBottom w:val="0"/>
      <w:divBdr>
        <w:top w:val="none" w:sz="0" w:space="0" w:color="auto"/>
        <w:left w:val="none" w:sz="0" w:space="0" w:color="auto"/>
        <w:bottom w:val="none" w:sz="0" w:space="0" w:color="auto"/>
        <w:right w:val="none" w:sz="0" w:space="0" w:color="auto"/>
      </w:divBdr>
    </w:div>
    <w:div w:id="698356953">
      <w:bodyDiv w:val="1"/>
      <w:marLeft w:val="0"/>
      <w:marRight w:val="0"/>
      <w:marTop w:val="0"/>
      <w:marBottom w:val="0"/>
      <w:divBdr>
        <w:top w:val="none" w:sz="0" w:space="0" w:color="auto"/>
        <w:left w:val="none" w:sz="0" w:space="0" w:color="auto"/>
        <w:bottom w:val="none" w:sz="0" w:space="0" w:color="auto"/>
        <w:right w:val="none" w:sz="0" w:space="0" w:color="auto"/>
      </w:divBdr>
    </w:div>
    <w:div w:id="155631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6732</Words>
  <Characters>38373</Characters>
  <Application>Microsoft Office Word</Application>
  <DocSecurity>4</DocSecurity>
  <Lines>319</Lines>
  <Paragraphs>90</Paragraphs>
  <ScaleCrop>false</ScaleCrop>
  <LinksUpToDate>false</LinksUpToDate>
  <CharactersWithSpaces>45015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Cost Savings under the One-Stop Shop for Environmental Approvals</dc:title>
  <dc:creator/>
  <cp:lastModifiedBy/>
  <cp:revision>1</cp:revision>
  <dcterms:created xsi:type="dcterms:W3CDTF">2014-09-18T04:14:00Z</dcterms:created>
  <dcterms:modified xsi:type="dcterms:W3CDTF">2014-09-18T04:14:00Z</dcterms:modified>
</cp:coreProperties>
</file>