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HAnsi" w:eastAsiaTheme="majorEastAsia" w:hAnsiTheme="majorHAnsi" w:cstheme="majorBidi"/>
          <w:lang w:val="en-AU"/>
        </w:rPr>
        <w:id w:val="40281532"/>
        <w:docPartObj>
          <w:docPartGallery w:val="Cover Pages"/>
          <w:docPartUnique/>
        </w:docPartObj>
      </w:sdtPr>
      <w:sdtEndPr>
        <w:rPr>
          <w:rFonts w:ascii="Arial" w:eastAsia="Calibri" w:hAnsi="Arial" w:cs="Times New Roman"/>
          <w:b/>
          <w:color w:val="0B5294" w:themeColor="accent1" w:themeShade="BF"/>
          <w:sz w:val="44"/>
          <w:szCs w:val="44"/>
        </w:rPr>
      </w:sdtEndPr>
      <w:sdtContent>
        <w:tbl>
          <w:tblPr>
            <w:tblpPr w:leftFromText="187" w:rightFromText="187" w:horzAnchor="margin" w:tblpXSpec="center" w:tblpY="2881"/>
            <w:tblW w:w="5000" w:type="pct"/>
            <w:tblBorders>
              <w:left w:val="single" w:sz="18" w:space="0" w:color="0F6FC6" w:themeColor="accent1"/>
            </w:tblBorders>
            <w:tblLook w:val="04A0" w:firstRow="1" w:lastRow="0" w:firstColumn="1" w:lastColumn="0" w:noHBand="0" w:noVBand="1"/>
          </w:tblPr>
          <w:tblGrid>
            <w:gridCol w:w="9189"/>
          </w:tblGrid>
          <w:tr w:rsidR="001C7CDB" w:rsidTr="004E3028">
            <w:tc>
              <w:tcPr>
                <w:tcW w:w="9754" w:type="dxa"/>
                <w:tcMar>
                  <w:top w:w="216" w:type="dxa"/>
                  <w:left w:w="115" w:type="dxa"/>
                  <w:bottom w:w="216" w:type="dxa"/>
                  <w:right w:w="115" w:type="dxa"/>
                </w:tcMar>
              </w:tcPr>
              <w:p w:rsidR="001C7CDB" w:rsidRDefault="001C7CDB" w:rsidP="001C7CDB">
                <w:pPr>
                  <w:pStyle w:val="NoSpacing"/>
                  <w:rPr>
                    <w:rFonts w:asciiTheme="majorHAnsi" w:eastAsiaTheme="majorEastAsia" w:hAnsiTheme="majorHAnsi" w:cstheme="majorBidi"/>
                  </w:rPr>
                </w:pPr>
              </w:p>
            </w:tc>
          </w:tr>
          <w:tr w:rsidR="001C7CDB" w:rsidTr="004E3028">
            <w:trPr>
              <w:trHeight w:val="3853"/>
            </w:trPr>
            <w:tc>
              <w:tcPr>
                <w:tcW w:w="9754" w:type="dxa"/>
              </w:tcPr>
              <w:p w:rsidR="001C7CDB" w:rsidRDefault="0006161A" w:rsidP="005236CD">
                <w:pPr>
                  <w:pStyle w:val="NoSpacing"/>
                  <w:jc w:val="center"/>
                  <w:rPr>
                    <w:rFonts w:asciiTheme="majorHAnsi" w:eastAsiaTheme="majorEastAsia" w:hAnsiTheme="majorHAnsi" w:cstheme="majorBidi"/>
                    <w:color w:val="0F6FC6" w:themeColor="accent1"/>
                    <w:sz w:val="80"/>
                    <w:szCs w:val="80"/>
                  </w:rPr>
                </w:pPr>
                <w:r>
                  <w:rPr>
                    <w:rFonts w:asciiTheme="majorHAnsi" w:eastAsiaTheme="majorEastAsia" w:hAnsiTheme="majorHAnsi" w:cstheme="majorBidi"/>
                    <w:color w:val="0F6FC6" w:themeColor="accent1"/>
                    <w:sz w:val="72"/>
                    <w:szCs w:val="72"/>
                    <w:lang w:val="en-AU"/>
                  </w:rPr>
                  <w:t>Report-Regulatory Maturity Project Final Report</w:t>
                </w:r>
              </w:p>
            </w:tc>
          </w:tr>
          <w:tr w:rsidR="001C7CDB" w:rsidTr="004E3028">
            <w:tc>
              <w:tcPr>
                <w:tcW w:w="9754" w:type="dxa"/>
                <w:tcMar>
                  <w:top w:w="216" w:type="dxa"/>
                  <w:left w:w="115" w:type="dxa"/>
                  <w:bottom w:w="216" w:type="dxa"/>
                  <w:right w:w="115" w:type="dxa"/>
                </w:tcMar>
              </w:tcPr>
              <w:p w:rsidR="005236CD" w:rsidRPr="005236CD" w:rsidRDefault="005236CD" w:rsidP="005236CD">
                <w:pPr>
                  <w:pStyle w:val="NoSpacing"/>
                  <w:jc w:val="center"/>
                  <w:rPr>
                    <w:rFonts w:asciiTheme="majorHAnsi" w:eastAsiaTheme="majorEastAsia" w:hAnsiTheme="majorHAnsi" w:cstheme="majorBidi"/>
                    <w:sz w:val="52"/>
                    <w:szCs w:val="52"/>
                  </w:rPr>
                </w:pPr>
                <w:r w:rsidRPr="005236CD">
                  <w:rPr>
                    <w:rFonts w:asciiTheme="majorHAnsi" w:eastAsiaTheme="majorEastAsia" w:hAnsiTheme="majorHAnsi" w:cstheme="majorBidi"/>
                    <w:color w:val="0F6FC6" w:themeColor="accent1"/>
                    <w:sz w:val="52"/>
                    <w:szCs w:val="52"/>
                    <w:lang w:val="en-AU"/>
                  </w:rPr>
                  <w:t>APRIL 2016</w:t>
                </w:r>
              </w:p>
            </w:tc>
          </w:tr>
        </w:tbl>
        <w:p w:rsidR="001C7CDB" w:rsidRDefault="001C7CDB"/>
        <w:p w:rsidR="001C7CDB" w:rsidRDefault="001C7CDB"/>
        <w:tbl>
          <w:tblPr>
            <w:tblpPr w:leftFromText="187" w:rightFromText="187" w:horzAnchor="margin" w:tblpXSpec="center" w:tblpYSpec="bottom"/>
            <w:tblW w:w="4000" w:type="pct"/>
            <w:tblLook w:val="04A0" w:firstRow="1" w:lastRow="0" w:firstColumn="1" w:lastColumn="0" w:noHBand="0" w:noVBand="1"/>
          </w:tblPr>
          <w:tblGrid>
            <w:gridCol w:w="7370"/>
          </w:tblGrid>
          <w:tr w:rsidR="001C7CDB">
            <w:tc>
              <w:tcPr>
                <w:tcW w:w="7672" w:type="dxa"/>
                <w:tcMar>
                  <w:top w:w="216" w:type="dxa"/>
                  <w:left w:w="115" w:type="dxa"/>
                  <w:bottom w:w="216" w:type="dxa"/>
                  <w:right w:w="115" w:type="dxa"/>
                </w:tcMar>
              </w:tcPr>
              <w:p w:rsidR="001C7CDB" w:rsidRDefault="001C7CDB">
                <w:pPr>
                  <w:pStyle w:val="NoSpacing"/>
                  <w:rPr>
                    <w:color w:val="0F6FC6" w:themeColor="accent1"/>
                  </w:rPr>
                </w:pPr>
              </w:p>
              <w:p w:rsidR="001C7CDB" w:rsidRDefault="001C7CDB">
                <w:pPr>
                  <w:pStyle w:val="NoSpacing"/>
                  <w:rPr>
                    <w:color w:val="0F6FC6" w:themeColor="accent1"/>
                  </w:rPr>
                </w:pPr>
              </w:p>
              <w:p w:rsidR="001C7CDB" w:rsidRDefault="001C7CDB">
                <w:pPr>
                  <w:pStyle w:val="NoSpacing"/>
                  <w:rPr>
                    <w:color w:val="0F6FC6" w:themeColor="accent1"/>
                  </w:rPr>
                </w:pPr>
              </w:p>
            </w:tc>
          </w:tr>
        </w:tbl>
        <w:p w:rsidR="001C7CDB" w:rsidRDefault="001C7CDB"/>
        <w:p w:rsidR="001C7CDB" w:rsidRDefault="001C7CDB">
          <w:pPr>
            <w:spacing w:after="0" w:line="240" w:lineRule="auto"/>
            <w:rPr>
              <w:b/>
              <w:color w:val="0B5294" w:themeColor="accent1" w:themeShade="BF"/>
              <w:sz w:val="44"/>
              <w:szCs w:val="44"/>
            </w:rPr>
          </w:pPr>
          <w:r>
            <w:rPr>
              <w:b/>
              <w:color w:val="0B5294" w:themeColor="accent1" w:themeShade="BF"/>
              <w:sz w:val="44"/>
              <w:szCs w:val="44"/>
            </w:rPr>
            <w:br w:type="page"/>
          </w:r>
        </w:p>
      </w:sdtContent>
    </w:sdt>
    <w:sdt>
      <w:sdtPr>
        <w:rPr>
          <w:rFonts w:ascii="Arial" w:eastAsia="Calibri" w:hAnsi="Arial" w:cs="Times New Roman"/>
          <w:b w:val="0"/>
          <w:bCs w:val="0"/>
          <w:color w:val="auto"/>
          <w:sz w:val="22"/>
          <w:szCs w:val="22"/>
          <w:lang w:val="en-AU"/>
        </w:rPr>
        <w:id w:val="40281673"/>
        <w:docPartObj>
          <w:docPartGallery w:val="Table of Contents"/>
          <w:docPartUnique/>
        </w:docPartObj>
      </w:sdtPr>
      <w:sdtEndPr/>
      <w:sdtContent>
        <w:p w:rsidR="001C7CDB" w:rsidRDefault="001C7CDB">
          <w:pPr>
            <w:pStyle w:val="TOCHeading"/>
          </w:pPr>
          <w:r>
            <w:t>Contents</w:t>
          </w:r>
        </w:p>
        <w:p w:rsidR="00CF61F3" w:rsidRPr="00CF61F3" w:rsidRDefault="00CF61F3" w:rsidP="00CF61F3">
          <w:pPr>
            <w:rPr>
              <w:lang w:val="en-US"/>
            </w:rPr>
          </w:pPr>
        </w:p>
        <w:p w:rsidR="00736F65" w:rsidRDefault="009C00F4" w:rsidP="00A84DD4">
          <w:pPr>
            <w:pStyle w:val="TOC1"/>
            <w:rPr>
              <w:rFonts w:asciiTheme="minorHAnsi" w:eastAsiaTheme="minorEastAsia" w:hAnsiTheme="minorHAnsi" w:cstheme="minorBidi"/>
              <w:noProof/>
              <w:lang w:eastAsia="en-AU"/>
            </w:rPr>
          </w:pPr>
          <w:r>
            <w:fldChar w:fldCharType="begin"/>
          </w:r>
          <w:r w:rsidR="001C7CDB">
            <w:instrText xml:space="preserve"> TOC \o "1-3" \h \z \u </w:instrText>
          </w:r>
          <w:r>
            <w:fldChar w:fldCharType="separate"/>
          </w:r>
          <w:hyperlink w:anchor="_Toc443405136" w:history="1">
            <w:r w:rsidR="00736F65" w:rsidRPr="00C338FC">
              <w:rPr>
                <w:rStyle w:val="Hyperlink"/>
                <w:noProof/>
              </w:rPr>
              <w:t>Glossary of Commonly-Used Terms</w:t>
            </w:r>
            <w:r w:rsidR="00736F65">
              <w:rPr>
                <w:noProof/>
                <w:webHidden/>
              </w:rPr>
              <w:tab/>
            </w:r>
            <w:r>
              <w:rPr>
                <w:noProof/>
                <w:webHidden/>
              </w:rPr>
              <w:fldChar w:fldCharType="begin"/>
            </w:r>
            <w:r w:rsidR="00736F65">
              <w:rPr>
                <w:noProof/>
                <w:webHidden/>
              </w:rPr>
              <w:instrText xml:space="preserve"> PAGEREF _Toc443405136 \h </w:instrText>
            </w:r>
            <w:r>
              <w:rPr>
                <w:noProof/>
                <w:webHidden/>
              </w:rPr>
            </w:r>
            <w:r>
              <w:rPr>
                <w:noProof/>
                <w:webHidden/>
              </w:rPr>
              <w:fldChar w:fldCharType="separate"/>
            </w:r>
            <w:r w:rsidR="004F2B19">
              <w:rPr>
                <w:noProof/>
                <w:webHidden/>
              </w:rPr>
              <w:t>4</w:t>
            </w:r>
            <w:r>
              <w:rPr>
                <w:noProof/>
                <w:webHidden/>
              </w:rPr>
              <w:fldChar w:fldCharType="end"/>
            </w:r>
          </w:hyperlink>
        </w:p>
        <w:p w:rsidR="00736F65" w:rsidRDefault="00811931" w:rsidP="00A84DD4">
          <w:pPr>
            <w:pStyle w:val="TOC1"/>
            <w:rPr>
              <w:rFonts w:asciiTheme="minorHAnsi" w:eastAsiaTheme="minorEastAsia" w:hAnsiTheme="minorHAnsi" w:cstheme="minorBidi"/>
              <w:noProof/>
              <w:lang w:eastAsia="en-AU"/>
            </w:rPr>
          </w:pPr>
          <w:hyperlink w:anchor="_Toc443405137" w:history="1">
            <w:r w:rsidR="00736F65" w:rsidRPr="00C338FC">
              <w:rPr>
                <w:rStyle w:val="Hyperlink"/>
                <w:noProof/>
              </w:rPr>
              <w:t>Executive Summary</w:t>
            </w:r>
            <w:r w:rsidR="00736F65">
              <w:rPr>
                <w:noProof/>
                <w:webHidden/>
              </w:rPr>
              <w:tab/>
            </w:r>
            <w:r w:rsidR="009C00F4">
              <w:rPr>
                <w:noProof/>
                <w:webHidden/>
              </w:rPr>
              <w:fldChar w:fldCharType="begin"/>
            </w:r>
            <w:r w:rsidR="00736F65">
              <w:rPr>
                <w:noProof/>
                <w:webHidden/>
              </w:rPr>
              <w:instrText xml:space="preserve"> PAGEREF _Toc443405137 \h </w:instrText>
            </w:r>
            <w:r w:rsidR="009C00F4">
              <w:rPr>
                <w:noProof/>
                <w:webHidden/>
              </w:rPr>
            </w:r>
            <w:r w:rsidR="009C00F4">
              <w:rPr>
                <w:noProof/>
                <w:webHidden/>
              </w:rPr>
              <w:fldChar w:fldCharType="separate"/>
            </w:r>
            <w:r w:rsidR="004F2B19">
              <w:rPr>
                <w:noProof/>
                <w:webHidden/>
              </w:rPr>
              <w:t>5</w:t>
            </w:r>
            <w:r w:rsidR="009C00F4">
              <w:rPr>
                <w:noProof/>
                <w:webHidden/>
              </w:rPr>
              <w:fldChar w:fldCharType="end"/>
            </w:r>
          </w:hyperlink>
        </w:p>
        <w:p w:rsidR="00736F65" w:rsidRDefault="00811931" w:rsidP="00A84DD4">
          <w:pPr>
            <w:pStyle w:val="TOC1"/>
            <w:rPr>
              <w:rFonts w:asciiTheme="minorHAnsi" w:eastAsiaTheme="minorEastAsia" w:hAnsiTheme="minorHAnsi" w:cstheme="minorBidi"/>
              <w:noProof/>
              <w:lang w:eastAsia="en-AU"/>
            </w:rPr>
          </w:pPr>
          <w:hyperlink w:anchor="_Toc443405140" w:history="1">
            <w:r w:rsidR="00736F65" w:rsidRPr="00C338FC">
              <w:rPr>
                <w:rStyle w:val="Hyperlink"/>
                <w:noProof/>
              </w:rPr>
              <w:t>Summary of Recommendations</w:t>
            </w:r>
            <w:r w:rsidR="00736F65">
              <w:rPr>
                <w:noProof/>
                <w:webHidden/>
              </w:rPr>
              <w:tab/>
            </w:r>
            <w:r w:rsidR="009C00F4">
              <w:rPr>
                <w:noProof/>
                <w:webHidden/>
              </w:rPr>
              <w:fldChar w:fldCharType="begin"/>
            </w:r>
            <w:r w:rsidR="00736F65">
              <w:rPr>
                <w:noProof/>
                <w:webHidden/>
              </w:rPr>
              <w:instrText xml:space="preserve"> PAGEREF _Toc443405140 \h </w:instrText>
            </w:r>
            <w:r w:rsidR="009C00F4">
              <w:rPr>
                <w:noProof/>
                <w:webHidden/>
              </w:rPr>
            </w:r>
            <w:r w:rsidR="009C00F4">
              <w:rPr>
                <w:noProof/>
                <w:webHidden/>
              </w:rPr>
              <w:fldChar w:fldCharType="separate"/>
            </w:r>
            <w:r w:rsidR="004F2B19">
              <w:rPr>
                <w:noProof/>
                <w:webHidden/>
              </w:rPr>
              <w:t>13</w:t>
            </w:r>
            <w:r w:rsidR="009C00F4">
              <w:rPr>
                <w:noProof/>
                <w:webHidden/>
              </w:rPr>
              <w:fldChar w:fldCharType="end"/>
            </w:r>
          </w:hyperlink>
        </w:p>
        <w:p w:rsidR="00736F65" w:rsidRDefault="00811931" w:rsidP="00A84DD4">
          <w:pPr>
            <w:pStyle w:val="TOC1"/>
            <w:rPr>
              <w:rFonts w:asciiTheme="minorHAnsi" w:eastAsiaTheme="minorEastAsia" w:hAnsiTheme="minorHAnsi" w:cstheme="minorBidi"/>
              <w:noProof/>
              <w:lang w:eastAsia="en-AU"/>
            </w:rPr>
          </w:pPr>
          <w:hyperlink w:anchor="_Toc443405141" w:history="1">
            <w:r w:rsidR="00736F65">
              <w:rPr>
                <w:rStyle w:val="Hyperlink"/>
                <w:noProof/>
              </w:rPr>
              <w:t>Introduction</w:t>
            </w:r>
            <w:r w:rsidR="00736F65">
              <w:rPr>
                <w:noProof/>
                <w:webHidden/>
              </w:rPr>
              <w:tab/>
            </w:r>
            <w:r w:rsidR="009C00F4">
              <w:rPr>
                <w:noProof/>
                <w:webHidden/>
              </w:rPr>
              <w:fldChar w:fldCharType="begin"/>
            </w:r>
            <w:r w:rsidR="00736F65">
              <w:rPr>
                <w:noProof/>
                <w:webHidden/>
              </w:rPr>
              <w:instrText xml:space="preserve"> PAGEREF _Toc443405141 \h </w:instrText>
            </w:r>
            <w:r w:rsidR="009C00F4">
              <w:rPr>
                <w:noProof/>
                <w:webHidden/>
              </w:rPr>
            </w:r>
            <w:r w:rsidR="009C00F4">
              <w:rPr>
                <w:noProof/>
                <w:webHidden/>
              </w:rPr>
              <w:fldChar w:fldCharType="separate"/>
            </w:r>
            <w:r w:rsidR="004F2B19">
              <w:rPr>
                <w:noProof/>
                <w:webHidden/>
              </w:rPr>
              <w:t>35</w:t>
            </w:r>
            <w:r w:rsidR="009C00F4">
              <w:rPr>
                <w:noProof/>
                <w:webHidden/>
              </w:rPr>
              <w:fldChar w:fldCharType="end"/>
            </w:r>
          </w:hyperlink>
        </w:p>
        <w:p w:rsidR="00736F65" w:rsidRDefault="00811931" w:rsidP="00A84DD4">
          <w:pPr>
            <w:pStyle w:val="TOC1"/>
            <w:rPr>
              <w:rFonts w:asciiTheme="minorHAnsi" w:eastAsiaTheme="minorEastAsia" w:hAnsiTheme="minorHAnsi" w:cstheme="minorBidi"/>
              <w:noProof/>
              <w:lang w:eastAsia="en-AU"/>
            </w:rPr>
          </w:pPr>
          <w:hyperlink w:anchor="_Toc443405150" w:history="1">
            <w:r w:rsidR="00736F65">
              <w:rPr>
                <w:rStyle w:val="Hyperlink"/>
                <w:noProof/>
              </w:rPr>
              <w:t>Chapter 1: Our Objectives and Performance</w:t>
            </w:r>
            <w:r w:rsidR="00736F65">
              <w:rPr>
                <w:noProof/>
                <w:webHidden/>
              </w:rPr>
              <w:tab/>
            </w:r>
            <w:r w:rsidR="009C00F4">
              <w:rPr>
                <w:noProof/>
                <w:webHidden/>
              </w:rPr>
              <w:fldChar w:fldCharType="begin"/>
            </w:r>
            <w:r w:rsidR="00736F65">
              <w:rPr>
                <w:noProof/>
                <w:webHidden/>
              </w:rPr>
              <w:instrText xml:space="preserve"> PAGEREF _Toc443405150 \h </w:instrText>
            </w:r>
            <w:r w:rsidR="009C00F4">
              <w:rPr>
                <w:noProof/>
                <w:webHidden/>
              </w:rPr>
            </w:r>
            <w:r w:rsidR="009C00F4">
              <w:rPr>
                <w:noProof/>
                <w:webHidden/>
              </w:rPr>
              <w:fldChar w:fldCharType="separate"/>
            </w:r>
            <w:r w:rsidR="004F2B19">
              <w:rPr>
                <w:noProof/>
                <w:webHidden/>
              </w:rPr>
              <w:t>40</w:t>
            </w:r>
            <w:r w:rsidR="009C00F4">
              <w:rPr>
                <w:noProof/>
                <w:webHidden/>
              </w:rPr>
              <w:fldChar w:fldCharType="end"/>
            </w:r>
          </w:hyperlink>
        </w:p>
        <w:p w:rsidR="00736F65" w:rsidRDefault="00811931" w:rsidP="00A84DD4">
          <w:pPr>
            <w:pStyle w:val="TOC1"/>
            <w:rPr>
              <w:rFonts w:asciiTheme="minorHAnsi" w:eastAsiaTheme="minorEastAsia" w:hAnsiTheme="minorHAnsi" w:cstheme="minorBidi"/>
              <w:noProof/>
              <w:lang w:eastAsia="en-AU"/>
            </w:rPr>
          </w:pPr>
          <w:hyperlink w:anchor="_Toc443405156" w:history="1">
            <w:r w:rsidR="00736F65">
              <w:rPr>
                <w:rStyle w:val="Hyperlink"/>
                <w:noProof/>
              </w:rPr>
              <w:t>Chapter 2: Our Approach to Regulation</w:t>
            </w:r>
            <w:r w:rsidR="00736F65">
              <w:rPr>
                <w:noProof/>
                <w:webHidden/>
              </w:rPr>
              <w:tab/>
            </w:r>
            <w:r w:rsidR="009C00F4">
              <w:rPr>
                <w:noProof/>
                <w:webHidden/>
              </w:rPr>
              <w:fldChar w:fldCharType="begin"/>
            </w:r>
            <w:r w:rsidR="00736F65">
              <w:rPr>
                <w:noProof/>
                <w:webHidden/>
              </w:rPr>
              <w:instrText xml:space="preserve"> PAGEREF _Toc443405156 \h </w:instrText>
            </w:r>
            <w:r w:rsidR="009C00F4">
              <w:rPr>
                <w:noProof/>
                <w:webHidden/>
              </w:rPr>
            </w:r>
            <w:r w:rsidR="009C00F4">
              <w:rPr>
                <w:noProof/>
                <w:webHidden/>
              </w:rPr>
              <w:fldChar w:fldCharType="separate"/>
            </w:r>
            <w:r w:rsidR="004F2B19">
              <w:rPr>
                <w:noProof/>
                <w:webHidden/>
              </w:rPr>
              <w:t>46</w:t>
            </w:r>
            <w:r w:rsidR="009C00F4">
              <w:rPr>
                <w:noProof/>
                <w:webHidden/>
              </w:rPr>
              <w:fldChar w:fldCharType="end"/>
            </w:r>
          </w:hyperlink>
        </w:p>
        <w:p w:rsidR="00736F65" w:rsidRDefault="00811931" w:rsidP="00A84DD4">
          <w:pPr>
            <w:pStyle w:val="TOC1"/>
            <w:rPr>
              <w:rFonts w:asciiTheme="minorHAnsi" w:eastAsiaTheme="minorEastAsia" w:hAnsiTheme="minorHAnsi" w:cstheme="minorBidi"/>
              <w:noProof/>
              <w:lang w:eastAsia="en-AU"/>
            </w:rPr>
          </w:pPr>
          <w:hyperlink w:anchor="_Toc443405169" w:history="1">
            <w:r w:rsidR="00736F65">
              <w:rPr>
                <w:rStyle w:val="Hyperlink"/>
                <w:noProof/>
              </w:rPr>
              <w:t>Chapter 3: Our People</w:t>
            </w:r>
            <w:r w:rsidR="00736F65">
              <w:rPr>
                <w:noProof/>
                <w:webHidden/>
              </w:rPr>
              <w:tab/>
            </w:r>
            <w:r w:rsidR="009C00F4">
              <w:rPr>
                <w:noProof/>
                <w:webHidden/>
              </w:rPr>
              <w:fldChar w:fldCharType="begin"/>
            </w:r>
            <w:r w:rsidR="00736F65">
              <w:rPr>
                <w:noProof/>
                <w:webHidden/>
              </w:rPr>
              <w:instrText xml:space="preserve"> PAGEREF _Toc443405169 \h </w:instrText>
            </w:r>
            <w:r w:rsidR="009C00F4">
              <w:rPr>
                <w:noProof/>
                <w:webHidden/>
              </w:rPr>
            </w:r>
            <w:r w:rsidR="009C00F4">
              <w:rPr>
                <w:noProof/>
                <w:webHidden/>
              </w:rPr>
              <w:fldChar w:fldCharType="separate"/>
            </w:r>
            <w:r w:rsidR="004F2B19">
              <w:rPr>
                <w:noProof/>
                <w:webHidden/>
              </w:rPr>
              <w:t>61</w:t>
            </w:r>
            <w:r w:rsidR="009C00F4">
              <w:rPr>
                <w:noProof/>
                <w:webHidden/>
              </w:rPr>
              <w:fldChar w:fldCharType="end"/>
            </w:r>
          </w:hyperlink>
        </w:p>
        <w:p w:rsidR="00736F65" w:rsidRDefault="00811931" w:rsidP="00A84DD4">
          <w:pPr>
            <w:pStyle w:val="TOC1"/>
            <w:rPr>
              <w:rFonts w:asciiTheme="minorHAnsi" w:eastAsiaTheme="minorEastAsia" w:hAnsiTheme="minorHAnsi" w:cstheme="minorBidi"/>
              <w:noProof/>
              <w:lang w:eastAsia="en-AU"/>
            </w:rPr>
          </w:pPr>
          <w:hyperlink w:anchor="_Toc443405184" w:history="1">
            <w:r w:rsidR="00736F65">
              <w:rPr>
                <w:rStyle w:val="Hyperlink"/>
                <w:noProof/>
              </w:rPr>
              <w:t>Chapter 4: Our Systems and Tools</w:t>
            </w:r>
            <w:r w:rsidR="00736F65">
              <w:rPr>
                <w:noProof/>
                <w:webHidden/>
              </w:rPr>
              <w:tab/>
            </w:r>
            <w:r w:rsidR="009C00F4">
              <w:rPr>
                <w:noProof/>
                <w:webHidden/>
              </w:rPr>
              <w:fldChar w:fldCharType="begin"/>
            </w:r>
            <w:r w:rsidR="00736F65">
              <w:rPr>
                <w:noProof/>
                <w:webHidden/>
              </w:rPr>
              <w:instrText xml:space="preserve"> PAGEREF _Toc443405184 \h </w:instrText>
            </w:r>
            <w:r w:rsidR="009C00F4">
              <w:rPr>
                <w:noProof/>
                <w:webHidden/>
              </w:rPr>
            </w:r>
            <w:r w:rsidR="009C00F4">
              <w:rPr>
                <w:noProof/>
                <w:webHidden/>
              </w:rPr>
              <w:fldChar w:fldCharType="separate"/>
            </w:r>
            <w:r w:rsidR="004F2B19">
              <w:rPr>
                <w:noProof/>
                <w:webHidden/>
              </w:rPr>
              <w:t>73</w:t>
            </w:r>
            <w:r w:rsidR="009C00F4">
              <w:rPr>
                <w:noProof/>
                <w:webHidden/>
              </w:rPr>
              <w:fldChar w:fldCharType="end"/>
            </w:r>
          </w:hyperlink>
        </w:p>
        <w:p w:rsidR="00736F65" w:rsidRDefault="00811931" w:rsidP="00A84DD4">
          <w:pPr>
            <w:pStyle w:val="TOC1"/>
            <w:rPr>
              <w:rFonts w:asciiTheme="minorHAnsi" w:eastAsiaTheme="minorEastAsia" w:hAnsiTheme="minorHAnsi" w:cstheme="minorBidi"/>
              <w:noProof/>
              <w:lang w:eastAsia="en-AU"/>
            </w:rPr>
          </w:pPr>
          <w:hyperlink w:anchor="_Toc443405190" w:history="1">
            <w:r w:rsidR="00736F65">
              <w:rPr>
                <w:rStyle w:val="Hyperlink"/>
                <w:noProof/>
              </w:rPr>
              <w:t>Chapter 5: Our Approach to Risk</w:t>
            </w:r>
            <w:r w:rsidR="00736F65">
              <w:rPr>
                <w:noProof/>
                <w:webHidden/>
              </w:rPr>
              <w:tab/>
            </w:r>
            <w:r w:rsidR="009C00F4">
              <w:rPr>
                <w:noProof/>
                <w:webHidden/>
              </w:rPr>
              <w:fldChar w:fldCharType="begin"/>
            </w:r>
            <w:r w:rsidR="00736F65">
              <w:rPr>
                <w:noProof/>
                <w:webHidden/>
              </w:rPr>
              <w:instrText xml:space="preserve"> PAGEREF _Toc443405190 \h </w:instrText>
            </w:r>
            <w:r w:rsidR="009C00F4">
              <w:rPr>
                <w:noProof/>
                <w:webHidden/>
              </w:rPr>
            </w:r>
            <w:r w:rsidR="009C00F4">
              <w:rPr>
                <w:noProof/>
                <w:webHidden/>
              </w:rPr>
              <w:fldChar w:fldCharType="separate"/>
            </w:r>
            <w:r w:rsidR="004F2B19">
              <w:rPr>
                <w:noProof/>
                <w:webHidden/>
              </w:rPr>
              <w:t>79</w:t>
            </w:r>
            <w:r w:rsidR="009C00F4">
              <w:rPr>
                <w:noProof/>
                <w:webHidden/>
              </w:rPr>
              <w:fldChar w:fldCharType="end"/>
            </w:r>
          </w:hyperlink>
        </w:p>
        <w:p w:rsidR="00736F65" w:rsidRDefault="00811931" w:rsidP="00A84DD4">
          <w:pPr>
            <w:pStyle w:val="TOC1"/>
            <w:rPr>
              <w:rFonts w:asciiTheme="minorHAnsi" w:eastAsiaTheme="minorEastAsia" w:hAnsiTheme="minorHAnsi" w:cstheme="minorBidi"/>
              <w:noProof/>
              <w:lang w:eastAsia="en-AU"/>
            </w:rPr>
          </w:pPr>
          <w:hyperlink w:anchor="_Toc443405197" w:history="1">
            <w:r w:rsidR="00736F65">
              <w:rPr>
                <w:rStyle w:val="Hyperlink"/>
                <w:noProof/>
              </w:rPr>
              <w:t>Chapter 6: How We Engage</w:t>
            </w:r>
            <w:r w:rsidR="00736F65">
              <w:rPr>
                <w:noProof/>
                <w:webHidden/>
              </w:rPr>
              <w:tab/>
            </w:r>
            <w:r w:rsidR="009C00F4">
              <w:rPr>
                <w:noProof/>
                <w:webHidden/>
              </w:rPr>
              <w:fldChar w:fldCharType="begin"/>
            </w:r>
            <w:r w:rsidR="00736F65">
              <w:rPr>
                <w:noProof/>
                <w:webHidden/>
              </w:rPr>
              <w:instrText xml:space="preserve"> PAGEREF _Toc443405197 \h </w:instrText>
            </w:r>
            <w:r w:rsidR="009C00F4">
              <w:rPr>
                <w:noProof/>
                <w:webHidden/>
              </w:rPr>
            </w:r>
            <w:r w:rsidR="009C00F4">
              <w:rPr>
                <w:noProof/>
                <w:webHidden/>
              </w:rPr>
              <w:fldChar w:fldCharType="separate"/>
            </w:r>
            <w:r w:rsidR="004F2B19">
              <w:rPr>
                <w:noProof/>
                <w:webHidden/>
              </w:rPr>
              <w:t>85</w:t>
            </w:r>
            <w:r w:rsidR="009C00F4">
              <w:rPr>
                <w:noProof/>
                <w:webHidden/>
              </w:rPr>
              <w:fldChar w:fldCharType="end"/>
            </w:r>
          </w:hyperlink>
        </w:p>
        <w:p w:rsidR="00736F65" w:rsidRDefault="00811931" w:rsidP="00A84DD4">
          <w:pPr>
            <w:pStyle w:val="TOC1"/>
            <w:rPr>
              <w:rFonts w:asciiTheme="minorHAnsi" w:eastAsiaTheme="minorEastAsia" w:hAnsiTheme="minorHAnsi" w:cstheme="minorBidi"/>
              <w:noProof/>
              <w:lang w:eastAsia="en-AU"/>
            </w:rPr>
          </w:pPr>
          <w:hyperlink w:anchor="_Toc443405206" w:history="1">
            <w:r w:rsidR="00736F65" w:rsidRPr="00C338FC">
              <w:rPr>
                <w:rStyle w:val="Hyperlink"/>
                <w:noProof/>
              </w:rPr>
              <w:t>Appendix 1: Terms of Reference</w:t>
            </w:r>
            <w:r w:rsidR="00736F65">
              <w:rPr>
                <w:noProof/>
                <w:webHidden/>
              </w:rPr>
              <w:tab/>
            </w:r>
            <w:r w:rsidR="009C00F4">
              <w:rPr>
                <w:noProof/>
                <w:webHidden/>
              </w:rPr>
              <w:fldChar w:fldCharType="begin"/>
            </w:r>
            <w:r w:rsidR="00736F65">
              <w:rPr>
                <w:noProof/>
                <w:webHidden/>
              </w:rPr>
              <w:instrText xml:space="preserve"> PAGEREF _Toc443405206 \h </w:instrText>
            </w:r>
            <w:r w:rsidR="009C00F4">
              <w:rPr>
                <w:noProof/>
                <w:webHidden/>
              </w:rPr>
            </w:r>
            <w:r w:rsidR="009C00F4">
              <w:rPr>
                <w:noProof/>
                <w:webHidden/>
              </w:rPr>
              <w:fldChar w:fldCharType="separate"/>
            </w:r>
            <w:r w:rsidR="004F2B19">
              <w:rPr>
                <w:noProof/>
                <w:webHidden/>
              </w:rPr>
              <w:t>93</w:t>
            </w:r>
            <w:r w:rsidR="009C00F4">
              <w:rPr>
                <w:noProof/>
                <w:webHidden/>
              </w:rPr>
              <w:fldChar w:fldCharType="end"/>
            </w:r>
          </w:hyperlink>
        </w:p>
        <w:p w:rsidR="00736F65" w:rsidRDefault="00811931" w:rsidP="00A84DD4">
          <w:pPr>
            <w:pStyle w:val="TOC1"/>
            <w:rPr>
              <w:rFonts w:asciiTheme="minorHAnsi" w:eastAsiaTheme="minorEastAsia" w:hAnsiTheme="minorHAnsi" w:cstheme="minorBidi"/>
              <w:noProof/>
              <w:lang w:eastAsia="en-AU"/>
            </w:rPr>
          </w:pPr>
          <w:hyperlink w:anchor="_Toc443405207" w:history="1">
            <w:r w:rsidR="00736F65" w:rsidRPr="00C338FC">
              <w:rPr>
                <w:rStyle w:val="Hyperlink"/>
                <w:noProof/>
              </w:rPr>
              <w:t>Appendix 2: Bibliography</w:t>
            </w:r>
            <w:r w:rsidR="00736F65">
              <w:rPr>
                <w:noProof/>
                <w:webHidden/>
              </w:rPr>
              <w:tab/>
            </w:r>
            <w:r w:rsidR="009C00F4">
              <w:rPr>
                <w:noProof/>
                <w:webHidden/>
              </w:rPr>
              <w:fldChar w:fldCharType="begin"/>
            </w:r>
            <w:r w:rsidR="00736F65">
              <w:rPr>
                <w:noProof/>
                <w:webHidden/>
              </w:rPr>
              <w:instrText xml:space="preserve"> PAGEREF _Toc443405207 \h </w:instrText>
            </w:r>
            <w:r w:rsidR="009C00F4">
              <w:rPr>
                <w:noProof/>
                <w:webHidden/>
              </w:rPr>
            </w:r>
            <w:r w:rsidR="009C00F4">
              <w:rPr>
                <w:noProof/>
                <w:webHidden/>
              </w:rPr>
              <w:fldChar w:fldCharType="separate"/>
            </w:r>
            <w:r w:rsidR="004F2B19">
              <w:rPr>
                <w:noProof/>
                <w:webHidden/>
              </w:rPr>
              <w:t>96</w:t>
            </w:r>
            <w:r w:rsidR="009C00F4">
              <w:rPr>
                <w:noProof/>
                <w:webHidden/>
              </w:rPr>
              <w:fldChar w:fldCharType="end"/>
            </w:r>
          </w:hyperlink>
        </w:p>
        <w:p w:rsidR="00736F65" w:rsidRDefault="00811931" w:rsidP="00A84DD4">
          <w:pPr>
            <w:pStyle w:val="TOC1"/>
            <w:rPr>
              <w:rFonts w:asciiTheme="minorHAnsi" w:eastAsiaTheme="minorEastAsia" w:hAnsiTheme="minorHAnsi" w:cstheme="minorBidi"/>
              <w:noProof/>
              <w:lang w:eastAsia="en-AU"/>
            </w:rPr>
          </w:pPr>
          <w:hyperlink w:anchor="_Toc443405208" w:history="1">
            <w:r w:rsidR="00736F65" w:rsidRPr="00C338FC">
              <w:rPr>
                <w:rStyle w:val="Hyperlink"/>
                <w:noProof/>
              </w:rPr>
              <w:t>Appendix 3: Principles of Best Practice</w:t>
            </w:r>
            <w:r w:rsidR="00736F65">
              <w:rPr>
                <w:noProof/>
                <w:webHidden/>
              </w:rPr>
              <w:tab/>
            </w:r>
            <w:r w:rsidR="009C00F4">
              <w:rPr>
                <w:noProof/>
                <w:webHidden/>
              </w:rPr>
              <w:fldChar w:fldCharType="begin"/>
            </w:r>
            <w:r w:rsidR="00736F65">
              <w:rPr>
                <w:noProof/>
                <w:webHidden/>
              </w:rPr>
              <w:instrText xml:space="preserve"> PAGEREF _Toc443405208 \h </w:instrText>
            </w:r>
            <w:r w:rsidR="009C00F4">
              <w:rPr>
                <w:noProof/>
                <w:webHidden/>
              </w:rPr>
            </w:r>
            <w:r w:rsidR="009C00F4">
              <w:rPr>
                <w:noProof/>
                <w:webHidden/>
              </w:rPr>
              <w:fldChar w:fldCharType="separate"/>
            </w:r>
            <w:r w:rsidR="004F2B19">
              <w:rPr>
                <w:noProof/>
                <w:webHidden/>
              </w:rPr>
              <w:t>97</w:t>
            </w:r>
            <w:r w:rsidR="009C00F4">
              <w:rPr>
                <w:noProof/>
                <w:webHidden/>
              </w:rPr>
              <w:fldChar w:fldCharType="end"/>
            </w:r>
          </w:hyperlink>
        </w:p>
        <w:p w:rsidR="00736F65" w:rsidRDefault="00811931" w:rsidP="00A84DD4">
          <w:pPr>
            <w:pStyle w:val="TOC1"/>
            <w:rPr>
              <w:rFonts w:asciiTheme="minorHAnsi" w:eastAsiaTheme="minorEastAsia" w:hAnsiTheme="minorHAnsi" w:cstheme="minorBidi"/>
              <w:noProof/>
              <w:lang w:eastAsia="en-AU"/>
            </w:rPr>
          </w:pPr>
          <w:hyperlink w:anchor="_Toc443405209" w:history="1">
            <w:r w:rsidR="00736F65" w:rsidRPr="00C338FC">
              <w:rPr>
                <w:rStyle w:val="Hyperlink"/>
                <w:noProof/>
              </w:rPr>
              <w:t>Appendix 4: List of Regulatory Tools</w:t>
            </w:r>
            <w:r w:rsidR="00736F65">
              <w:rPr>
                <w:noProof/>
                <w:webHidden/>
              </w:rPr>
              <w:tab/>
            </w:r>
            <w:r w:rsidR="009C00F4">
              <w:rPr>
                <w:noProof/>
                <w:webHidden/>
              </w:rPr>
              <w:fldChar w:fldCharType="begin"/>
            </w:r>
            <w:r w:rsidR="00736F65">
              <w:rPr>
                <w:noProof/>
                <w:webHidden/>
              </w:rPr>
              <w:instrText xml:space="preserve"> PAGEREF _Toc443405209 \h </w:instrText>
            </w:r>
            <w:r w:rsidR="009C00F4">
              <w:rPr>
                <w:noProof/>
                <w:webHidden/>
              </w:rPr>
            </w:r>
            <w:r w:rsidR="009C00F4">
              <w:rPr>
                <w:noProof/>
                <w:webHidden/>
              </w:rPr>
              <w:fldChar w:fldCharType="separate"/>
            </w:r>
            <w:r w:rsidR="004F2B19">
              <w:rPr>
                <w:noProof/>
                <w:webHidden/>
              </w:rPr>
              <w:t>99</w:t>
            </w:r>
            <w:r w:rsidR="009C00F4">
              <w:rPr>
                <w:noProof/>
                <w:webHidden/>
              </w:rPr>
              <w:fldChar w:fldCharType="end"/>
            </w:r>
          </w:hyperlink>
        </w:p>
        <w:p w:rsidR="00736F65" w:rsidRDefault="00811931" w:rsidP="00A84DD4">
          <w:pPr>
            <w:pStyle w:val="TOC1"/>
            <w:rPr>
              <w:rFonts w:asciiTheme="minorHAnsi" w:eastAsiaTheme="minorEastAsia" w:hAnsiTheme="minorHAnsi" w:cstheme="minorBidi"/>
              <w:noProof/>
              <w:lang w:eastAsia="en-AU"/>
            </w:rPr>
          </w:pPr>
          <w:hyperlink w:anchor="_Toc443405210" w:history="1">
            <w:r w:rsidR="00736F65" w:rsidRPr="00C338FC">
              <w:rPr>
                <w:rStyle w:val="Hyperlink"/>
                <w:noProof/>
              </w:rPr>
              <w:t>Appendix 5: Recent &amp; Planned Work on Regulatory IT Systems</w:t>
            </w:r>
            <w:r w:rsidR="00736F65">
              <w:rPr>
                <w:noProof/>
                <w:webHidden/>
              </w:rPr>
              <w:tab/>
            </w:r>
            <w:r w:rsidR="009C00F4">
              <w:rPr>
                <w:noProof/>
                <w:webHidden/>
              </w:rPr>
              <w:fldChar w:fldCharType="begin"/>
            </w:r>
            <w:r w:rsidR="00736F65">
              <w:rPr>
                <w:noProof/>
                <w:webHidden/>
              </w:rPr>
              <w:instrText xml:space="preserve"> PAGEREF _Toc443405210 \h </w:instrText>
            </w:r>
            <w:r w:rsidR="009C00F4">
              <w:rPr>
                <w:noProof/>
                <w:webHidden/>
              </w:rPr>
            </w:r>
            <w:r w:rsidR="009C00F4">
              <w:rPr>
                <w:noProof/>
                <w:webHidden/>
              </w:rPr>
              <w:fldChar w:fldCharType="separate"/>
            </w:r>
            <w:r w:rsidR="004F2B19">
              <w:rPr>
                <w:noProof/>
                <w:webHidden/>
              </w:rPr>
              <w:t>101</w:t>
            </w:r>
            <w:r w:rsidR="009C00F4">
              <w:rPr>
                <w:noProof/>
                <w:webHidden/>
              </w:rPr>
              <w:fldChar w:fldCharType="end"/>
            </w:r>
          </w:hyperlink>
        </w:p>
        <w:p w:rsidR="00376D47" w:rsidRPr="00246F20" w:rsidRDefault="009C00F4" w:rsidP="00A84DD4">
          <w:pPr>
            <w:pStyle w:val="TOC1"/>
          </w:pPr>
          <w:r>
            <w:fldChar w:fldCharType="end"/>
          </w:r>
        </w:p>
      </w:sdtContent>
    </w:sdt>
    <w:p w:rsidR="00442781" w:rsidRDefault="00DC1408">
      <w:pPr>
        <w:spacing w:after="0" w:line="240" w:lineRule="auto"/>
        <w:rPr>
          <w:b/>
          <w:color w:val="0B5294" w:themeColor="accent1" w:themeShade="BF"/>
          <w:sz w:val="44"/>
          <w:szCs w:val="44"/>
        </w:rPr>
      </w:pPr>
      <w:r>
        <w:rPr>
          <w:b/>
          <w:color w:val="0B5294" w:themeColor="accent1" w:themeShade="BF"/>
          <w:sz w:val="44"/>
          <w:szCs w:val="44"/>
        </w:rPr>
        <w:br w:type="page"/>
      </w:r>
    </w:p>
    <w:p w:rsidR="00442781" w:rsidRPr="00C95E78" w:rsidRDefault="00442781" w:rsidP="00C95E78">
      <w:pPr>
        <w:pStyle w:val="Heading1"/>
        <w:spacing w:after="120"/>
        <w:jc w:val="center"/>
        <w:rPr>
          <w:color w:val="0B5294" w:themeColor="accent1" w:themeShade="BF"/>
          <w:sz w:val="36"/>
          <w:szCs w:val="36"/>
        </w:rPr>
      </w:pPr>
      <w:bookmarkStart w:id="1" w:name="_Toc443405136"/>
      <w:r w:rsidRPr="00C95E78">
        <w:rPr>
          <w:color w:val="0B5294" w:themeColor="accent1" w:themeShade="BF"/>
          <w:sz w:val="36"/>
          <w:szCs w:val="36"/>
        </w:rPr>
        <w:lastRenderedPageBreak/>
        <w:t>Glossary</w:t>
      </w:r>
      <w:r w:rsidR="002367BF" w:rsidRPr="00C95E78">
        <w:rPr>
          <w:color w:val="0B5294" w:themeColor="accent1" w:themeShade="BF"/>
          <w:sz w:val="36"/>
          <w:szCs w:val="36"/>
        </w:rPr>
        <w:t xml:space="preserve"> of Commonly-Used Terms</w:t>
      </w:r>
      <w:bookmarkEnd w:id="1"/>
    </w:p>
    <w:p w:rsidR="00442781" w:rsidRDefault="00442781" w:rsidP="00442781">
      <w:pPr>
        <w:spacing w:after="0" w:line="240" w:lineRule="auto"/>
        <w:rPr>
          <w:b/>
          <w:color w:val="0B5294" w:themeColor="accent1" w:themeShade="BF"/>
          <w:sz w:val="44"/>
          <w:szCs w:val="44"/>
        </w:rPr>
      </w:pPr>
    </w:p>
    <w:tbl>
      <w:tblPr>
        <w:tblStyle w:val="TableGrid"/>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951"/>
        <w:gridCol w:w="7655"/>
      </w:tblGrid>
      <w:tr w:rsidR="002367BF" w:rsidTr="00DF27AE">
        <w:trPr>
          <w:cnfStyle w:val="100000000000" w:firstRow="1" w:lastRow="0" w:firstColumn="0" w:lastColumn="0" w:oddVBand="0" w:evenVBand="0" w:oddHBand="0" w:evenHBand="0" w:firstRowFirstColumn="0" w:firstRowLastColumn="0" w:lastRowFirstColumn="0" w:lastRowLastColumn="0"/>
        </w:trPr>
        <w:tc>
          <w:tcPr>
            <w:tcW w:w="1951" w:type="dxa"/>
          </w:tcPr>
          <w:p w:rsidR="002367BF" w:rsidRPr="00442781" w:rsidRDefault="002367BF" w:rsidP="00442781">
            <w:pPr>
              <w:rPr>
                <w:b/>
              </w:rPr>
            </w:pPr>
            <w:r>
              <w:rPr>
                <w:b/>
              </w:rPr>
              <w:t>ANAO</w:t>
            </w:r>
          </w:p>
        </w:tc>
        <w:tc>
          <w:tcPr>
            <w:tcW w:w="7655" w:type="dxa"/>
          </w:tcPr>
          <w:p w:rsidR="002367BF" w:rsidRDefault="00574964" w:rsidP="00442781">
            <w:r>
              <w:t xml:space="preserve">The </w:t>
            </w:r>
            <w:r w:rsidR="002367BF">
              <w:t>Australian National Audit Office</w:t>
            </w:r>
          </w:p>
        </w:tc>
      </w:tr>
      <w:tr w:rsidR="002367BF" w:rsidTr="00DF27AE">
        <w:trPr>
          <w:cnfStyle w:val="000000100000" w:firstRow="0" w:lastRow="0" w:firstColumn="0" w:lastColumn="0" w:oddVBand="0" w:evenVBand="0" w:oddHBand="1" w:evenHBand="0" w:firstRowFirstColumn="0" w:firstRowLastColumn="0" w:lastRowFirstColumn="0" w:lastRowLastColumn="0"/>
        </w:trPr>
        <w:tc>
          <w:tcPr>
            <w:tcW w:w="1951" w:type="dxa"/>
          </w:tcPr>
          <w:p w:rsidR="002367BF" w:rsidRDefault="002367BF" w:rsidP="00442781">
            <w:pPr>
              <w:rPr>
                <w:b/>
              </w:rPr>
            </w:pPr>
            <w:r>
              <w:rPr>
                <w:b/>
              </w:rPr>
              <w:t>ATO</w:t>
            </w:r>
          </w:p>
        </w:tc>
        <w:tc>
          <w:tcPr>
            <w:tcW w:w="7655" w:type="dxa"/>
          </w:tcPr>
          <w:p w:rsidR="002367BF" w:rsidRDefault="00574964" w:rsidP="00442781">
            <w:r>
              <w:t xml:space="preserve">The </w:t>
            </w:r>
            <w:r w:rsidR="002367BF">
              <w:t>Australian Tax</w:t>
            </w:r>
            <w:r>
              <w:t>ation</w:t>
            </w:r>
            <w:r w:rsidR="002367BF">
              <w:t xml:space="preserve"> Office</w:t>
            </w:r>
          </w:p>
        </w:tc>
      </w:tr>
      <w:tr w:rsidR="00442781" w:rsidTr="00DF27AE">
        <w:trPr>
          <w:cnfStyle w:val="000000010000" w:firstRow="0" w:lastRow="0" w:firstColumn="0" w:lastColumn="0" w:oddVBand="0" w:evenVBand="0" w:oddHBand="0" w:evenHBand="1" w:firstRowFirstColumn="0" w:firstRowLastColumn="0" w:lastRowFirstColumn="0" w:lastRowLastColumn="0"/>
        </w:trPr>
        <w:tc>
          <w:tcPr>
            <w:tcW w:w="1951" w:type="dxa"/>
          </w:tcPr>
          <w:p w:rsidR="00442781" w:rsidRPr="00442781" w:rsidRDefault="00442781" w:rsidP="00442781">
            <w:pPr>
              <w:rPr>
                <w:b/>
              </w:rPr>
            </w:pPr>
            <w:r w:rsidRPr="00442781">
              <w:rPr>
                <w:b/>
              </w:rPr>
              <w:t>The Department</w:t>
            </w:r>
          </w:p>
        </w:tc>
        <w:tc>
          <w:tcPr>
            <w:tcW w:w="7655" w:type="dxa"/>
          </w:tcPr>
          <w:p w:rsidR="00442781" w:rsidRDefault="00442781" w:rsidP="00442781">
            <w:r>
              <w:t>The Australian Government Department of the Environment</w:t>
            </w:r>
          </w:p>
        </w:tc>
      </w:tr>
      <w:tr w:rsidR="002367BF" w:rsidTr="00DF27AE">
        <w:trPr>
          <w:cnfStyle w:val="000000100000" w:firstRow="0" w:lastRow="0" w:firstColumn="0" w:lastColumn="0" w:oddVBand="0" w:evenVBand="0" w:oddHBand="1" w:evenHBand="0" w:firstRowFirstColumn="0" w:firstRowLastColumn="0" w:lastRowFirstColumn="0" w:lastRowLastColumn="0"/>
        </w:trPr>
        <w:tc>
          <w:tcPr>
            <w:tcW w:w="1951" w:type="dxa"/>
          </w:tcPr>
          <w:p w:rsidR="002367BF" w:rsidRPr="00442781" w:rsidRDefault="002367BF" w:rsidP="00442781">
            <w:pPr>
              <w:rPr>
                <w:b/>
              </w:rPr>
            </w:pPr>
            <w:r>
              <w:rPr>
                <w:b/>
              </w:rPr>
              <w:t>EPBC</w:t>
            </w:r>
            <w:r w:rsidR="003E103A">
              <w:rPr>
                <w:b/>
              </w:rPr>
              <w:t xml:space="preserve"> Act</w:t>
            </w:r>
          </w:p>
        </w:tc>
        <w:tc>
          <w:tcPr>
            <w:tcW w:w="7655" w:type="dxa"/>
          </w:tcPr>
          <w:p w:rsidR="002367BF" w:rsidRPr="003E103A" w:rsidRDefault="002367BF" w:rsidP="00442781">
            <w:r>
              <w:t xml:space="preserve">The </w:t>
            </w:r>
            <w:r w:rsidRPr="003E103A">
              <w:rPr>
                <w:i/>
              </w:rPr>
              <w:t>Environment Protection and Biodiversity Conservation Act 1999</w:t>
            </w:r>
            <w:r w:rsidR="003E103A">
              <w:rPr>
                <w:i/>
              </w:rPr>
              <w:t xml:space="preserve"> </w:t>
            </w:r>
            <w:r w:rsidR="003E103A">
              <w:t>(Cth)</w:t>
            </w:r>
          </w:p>
        </w:tc>
      </w:tr>
      <w:tr w:rsidR="00442781" w:rsidTr="00DF27AE">
        <w:trPr>
          <w:cnfStyle w:val="000000010000" w:firstRow="0" w:lastRow="0" w:firstColumn="0" w:lastColumn="0" w:oddVBand="0" w:evenVBand="0" w:oddHBand="0" w:evenHBand="1" w:firstRowFirstColumn="0" w:firstRowLastColumn="0" w:lastRowFirstColumn="0" w:lastRowLastColumn="0"/>
        </w:trPr>
        <w:tc>
          <w:tcPr>
            <w:tcW w:w="1951" w:type="dxa"/>
          </w:tcPr>
          <w:p w:rsidR="00442781" w:rsidRPr="00073018" w:rsidRDefault="00D238E0" w:rsidP="00442781">
            <w:pPr>
              <w:rPr>
                <w:b/>
              </w:rPr>
            </w:pPr>
            <w:r w:rsidRPr="00073018">
              <w:rPr>
                <w:b/>
              </w:rPr>
              <w:t>EPG</w:t>
            </w:r>
          </w:p>
        </w:tc>
        <w:tc>
          <w:tcPr>
            <w:tcW w:w="7655" w:type="dxa"/>
          </w:tcPr>
          <w:p w:rsidR="00442781" w:rsidRPr="00073018" w:rsidRDefault="00073018" w:rsidP="00AB0F0B">
            <w:r w:rsidRPr="00073018">
              <w:t>The</w:t>
            </w:r>
            <w:r w:rsidR="00AB0F0B" w:rsidRPr="00073018">
              <w:t xml:space="preserve"> Environment Standards Division and the Wildlife Heritage and Marine Divisions in t</w:t>
            </w:r>
            <w:r w:rsidR="00D238E0" w:rsidRPr="00073018">
              <w:t>he Environment Protection Group</w:t>
            </w:r>
          </w:p>
        </w:tc>
      </w:tr>
      <w:tr w:rsidR="00442781" w:rsidTr="00DF27AE">
        <w:trPr>
          <w:cnfStyle w:val="000000100000" w:firstRow="0" w:lastRow="0" w:firstColumn="0" w:lastColumn="0" w:oddVBand="0" w:evenVBand="0" w:oddHBand="1" w:evenHBand="0" w:firstRowFirstColumn="0" w:firstRowLastColumn="0" w:lastRowFirstColumn="0" w:lastRowLastColumn="0"/>
        </w:trPr>
        <w:tc>
          <w:tcPr>
            <w:tcW w:w="1951" w:type="dxa"/>
          </w:tcPr>
          <w:p w:rsidR="00442781" w:rsidRPr="00442781" w:rsidRDefault="00442781" w:rsidP="00442781">
            <w:pPr>
              <w:rPr>
                <w:b/>
              </w:rPr>
            </w:pPr>
            <w:r w:rsidRPr="00442781">
              <w:rPr>
                <w:b/>
              </w:rPr>
              <w:t>ESD</w:t>
            </w:r>
          </w:p>
        </w:tc>
        <w:tc>
          <w:tcPr>
            <w:tcW w:w="7655" w:type="dxa"/>
          </w:tcPr>
          <w:p w:rsidR="00442781" w:rsidRDefault="00442781" w:rsidP="00442781">
            <w:r>
              <w:t>The Environment Standards Division</w:t>
            </w:r>
          </w:p>
        </w:tc>
      </w:tr>
      <w:tr w:rsidR="002367BF" w:rsidTr="00DF27AE">
        <w:trPr>
          <w:cnfStyle w:val="000000010000" w:firstRow="0" w:lastRow="0" w:firstColumn="0" w:lastColumn="0" w:oddVBand="0" w:evenVBand="0" w:oddHBand="0" w:evenHBand="1" w:firstRowFirstColumn="0" w:firstRowLastColumn="0" w:lastRowFirstColumn="0" w:lastRowLastColumn="0"/>
        </w:trPr>
        <w:tc>
          <w:tcPr>
            <w:tcW w:w="1951" w:type="dxa"/>
          </w:tcPr>
          <w:p w:rsidR="002367BF" w:rsidRPr="00442781" w:rsidRDefault="002367BF" w:rsidP="00442781">
            <w:pPr>
              <w:rPr>
                <w:b/>
              </w:rPr>
            </w:pPr>
            <w:r>
              <w:rPr>
                <w:b/>
              </w:rPr>
              <w:t>FAS</w:t>
            </w:r>
          </w:p>
        </w:tc>
        <w:tc>
          <w:tcPr>
            <w:tcW w:w="7655" w:type="dxa"/>
          </w:tcPr>
          <w:p w:rsidR="002367BF" w:rsidRDefault="002367BF" w:rsidP="00442781">
            <w:r>
              <w:t xml:space="preserve">First Assistant Secretary </w:t>
            </w:r>
          </w:p>
        </w:tc>
      </w:tr>
      <w:tr w:rsidR="002367BF" w:rsidTr="00DF27AE">
        <w:trPr>
          <w:cnfStyle w:val="000000100000" w:firstRow="0" w:lastRow="0" w:firstColumn="0" w:lastColumn="0" w:oddVBand="0" w:evenVBand="0" w:oddHBand="1" w:evenHBand="0" w:firstRowFirstColumn="0" w:firstRowLastColumn="0" w:lastRowFirstColumn="0" w:lastRowLastColumn="0"/>
        </w:trPr>
        <w:tc>
          <w:tcPr>
            <w:tcW w:w="1951" w:type="dxa"/>
          </w:tcPr>
          <w:p w:rsidR="002367BF" w:rsidRPr="00442781" w:rsidRDefault="002367BF" w:rsidP="00442781">
            <w:pPr>
              <w:rPr>
                <w:b/>
              </w:rPr>
            </w:pPr>
            <w:r>
              <w:rPr>
                <w:b/>
              </w:rPr>
              <w:t>ICT</w:t>
            </w:r>
          </w:p>
        </w:tc>
        <w:tc>
          <w:tcPr>
            <w:tcW w:w="7655" w:type="dxa"/>
          </w:tcPr>
          <w:p w:rsidR="002367BF" w:rsidRDefault="002367BF" w:rsidP="00442781">
            <w:r>
              <w:t>Information and Communications Technology</w:t>
            </w:r>
          </w:p>
        </w:tc>
      </w:tr>
      <w:tr w:rsidR="00DF27AE" w:rsidTr="00DF27AE">
        <w:trPr>
          <w:cnfStyle w:val="000000010000" w:firstRow="0" w:lastRow="0" w:firstColumn="0" w:lastColumn="0" w:oddVBand="0" w:evenVBand="0" w:oddHBand="0" w:evenHBand="1" w:firstRowFirstColumn="0" w:firstRowLastColumn="0" w:lastRowFirstColumn="0" w:lastRowLastColumn="0"/>
        </w:trPr>
        <w:tc>
          <w:tcPr>
            <w:tcW w:w="1951" w:type="dxa"/>
          </w:tcPr>
          <w:p w:rsidR="00DF27AE" w:rsidRDefault="00DF27AE" w:rsidP="00442781">
            <w:pPr>
              <w:rPr>
                <w:b/>
              </w:rPr>
            </w:pPr>
            <w:r>
              <w:rPr>
                <w:b/>
              </w:rPr>
              <w:t>NESTRA</w:t>
            </w:r>
          </w:p>
        </w:tc>
        <w:tc>
          <w:tcPr>
            <w:tcW w:w="7655" w:type="dxa"/>
          </w:tcPr>
          <w:p w:rsidR="00DF27AE" w:rsidRDefault="00DF27AE" w:rsidP="00442781">
            <w:r>
              <w:t>National Environmental Significance Threat and Risk Assessment Tool</w:t>
            </w:r>
          </w:p>
        </w:tc>
      </w:tr>
      <w:tr w:rsidR="0042187C" w:rsidTr="00DF27AE">
        <w:trPr>
          <w:cnfStyle w:val="000000100000" w:firstRow="0" w:lastRow="0" w:firstColumn="0" w:lastColumn="0" w:oddVBand="0" w:evenVBand="0" w:oddHBand="1" w:evenHBand="0" w:firstRowFirstColumn="0" w:firstRowLastColumn="0" w:lastRowFirstColumn="0" w:lastRowLastColumn="0"/>
        </w:trPr>
        <w:tc>
          <w:tcPr>
            <w:tcW w:w="1951" w:type="dxa"/>
          </w:tcPr>
          <w:p w:rsidR="0042187C" w:rsidRPr="0042187C" w:rsidRDefault="0042187C" w:rsidP="00442781">
            <w:r w:rsidRPr="0042187C">
              <w:rPr>
                <w:rFonts w:cs="Arial"/>
                <w:b/>
              </w:rPr>
              <w:t>NGOs</w:t>
            </w:r>
          </w:p>
        </w:tc>
        <w:tc>
          <w:tcPr>
            <w:tcW w:w="7655" w:type="dxa"/>
          </w:tcPr>
          <w:p w:rsidR="0042187C" w:rsidRDefault="0042187C" w:rsidP="00574964">
            <w:r>
              <w:t>Non-</w:t>
            </w:r>
            <w:r w:rsidR="00574964">
              <w:t>G</w:t>
            </w:r>
            <w:r>
              <w:t xml:space="preserve">overnment </w:t>
            </w:r>
            <w:r w:rsidR="00574964">
              <w:t>O</w:t>
            </w:r>
            <w:r>
              <w:t xml:space="preserve">rganisations </w:t>
            </w:r>
          </w:p>
        </w:tc>
      </w:tr>
      <w:tr w:rsidR="00442781" w:rsidTr="00DF27AE">
        <w:trPr>
          <w:cnfStyle w:val="000000010000" w:firstRow="0" w:lastRow="0" w:firstColumn="0" w:lastColumn="0" w:oddVBand="0" w:evenVBand="0" w:oddHBand="0" w:evenHBand="1" w:firstRowFirstColumn="0" w:firstRowLastColumn="0" w:lastRowFirstColumn="0" w:lastRowLastColumn="0"/>
        </w:trPr>
        <w:tc>
          <w:tcPr>
            <w:tcW w:w="1951" w:type="dxa"/>
          </w:tcPr>
          <w:p w:rsidR="00442781" w:rsidRPr="00442781" w:rsidRDefault="00442781" w:rsidP="00442781">
            <w:pPr>
              <w:rPr>
                <w:b/>
              </w:rPr>
            </w:pPr>
            <w:r w:rsidRPr="00442781">
              <w:rPr>
                <w:b/>
              </w:rPr>
              <w:t>NSW EPA</w:t>
            </w:r>
          </w:p>
        </w:tc>
        <w:tc>
          <w:tcPr>
            <w:tcW w:w="7655" w:type="dxa"/>
          </w:tcPr>
          <w:p w:rsidR="00442781" w:rsidRDefault="00442781" w:rsidP="00C961C2">
            <w:r>
              <w:t xml:space="preserve">The New South Wales Environment Protection </w:t>
            </w:r>
            <w:r w:rsidR="00C961C2">
              <w:t>Authority</w:t>
            </w:r>
          </w:p>
        </w:tc>
      </w:tr>
      <w:tr w:rsidR="00D73C48" w:rsidTr="00DF27AE">
        <w:trPr>
          <w:cnfStyle w:val="000000100000" w:firstRow="0" w:lastRow="0" w:firstColumn="0" w:lastColumn="0" w:oddVBand="0" w:evenVBand="0" w:oddHBand="1" w:evenHBand="0" w:firstRowFirstColumn="0" w:firstRowLastColumn="0" w:lastRowFirstColumn="0" w:lastRowLastColumn="0"/>
        </w:trPr>
        <w:tc>
          <w:tcPr>
            <w:tcW w:w="1951" w:type="dxa"/>
          </w:tcPr>
          <w:p w:rsidR="00D73C48" w:rsidRPr="00442781" w:rsidRDefault="00D73C48" w:rsidP="00442781">
            <w:pPr>
              <w:rPr>
                <w:b/>
              </w:rPr>
            </w:pPr>
            <w:r>
              <w:rPr>
                <w:b/>
              </w:rPr>
              <w:t>OECD</w:t>
            </w:r>
          </w:p>
        </w:tc>
        <w:tc>
          <w:tcPr>
            <w:tcW w:w="7655" w:type="dxa"/>
          </w:tcPr>
          <w:p w:rsidR="00D73C48" w:rsidRDefault="00D73C48" w:rsidP="00C961C2">
            <w:r>
              <w:t>The Organisation for Economic Co-operation and Development</w:t>
            </w:r>
          </w:p>
        </w:tc>
      </w:tr>
      <w:tr w:rsidR="00C961C2" w:rsidTr="00DF27AE">
        <w:trPr>
          <w:cnfStyle w:val="000000010000" w:firstRow="0" w:lastRow="0" w:firstColumn="0" w:lastColumn="0" w:oddVBand="0" w:evenVBand="0" w:oddHBand="0" w:evenHBand="1" w:firstRowFirstColumn="0" w:firstRowLastColumn="0" w:lastRowFirstColumn="0" w:lastRowLastColumn="0"/>
        </w:trPr>
        <w:tc>
          <w:tcPr>
            <w:tcW w:w="1951" w:type="dxa"/>
          </w:tcPr>
          <w:p w:rsidR="00C961C2" w:rsidRPr="00C961C2" w:rsidRDefault="00C961C2" w:rsidP="00442781">
            <w:pPr>
              <w:rPr>
                <w:b/>
              </w:rPr>
            </w:pPr>
            <w:r>
              <w:rPr>
                <w:b/>
              </w:rPr>
              <w:t>PAID</w:t>
            </w:r>
          </w:p>
        </w:tc>
        <w:tc>
          <w:tcPr>
            <w:tcW w:w="7655" w:type="dxa"/>
          </w:tcPr>
          <w:p w:rsidR="00C961C2" w:rsidRDefault="00D73C48" w:rsidP="00C961C2">
            <w:r>
              <w:t xml:space="preserve">The </w:t>
            </w:r>
            <w:r w:rsidR="00C961C2">
              <w:t>Policy Analysis &amp; Implementation Division</w:t>
            </w:r>
          </w:p>
        </w:tc>
      </w:tr>
      <w:tr w:rsidR="00D73C48" w:rsidTr="00DF27AE">
        <w:trPr>
          <w:cnfStyle w:val="000000100000" w:firstRow="0" w:lastRow="0" w:firstColumn="0" w:lastColumn="0" w:oddVBand="0" w:evenVBand="0" w:oddHBand="1" w:evenHBand="0" w:firstRowFirstColumn="0" w:firstRowLastColumn="0" w:lastRowFirstColumn="0" w:lastRowLastColumn="0"/>
        </w:trPr>
        <w:tc>
          <w:tcPr>
            <w:tcW w:w="1951" w:type="dxa"/>
          </w:tcPr>
          <w:p w:rsidR="00D73C48" w:rsidRDefault="00D73C48" w:rsidP="00442781">
            <w:pPr>
              <w:rPr>
                <w:b/>
              </w:rPr>
            </w:pPr>
            <w:r>
              <w:rPr>
                <w:b/>
              </w:rPr>
              <w:t>The Project</w:t>
            </w:r>
          </w:p>
        </w:tc>
        <w:tc>
          <w:tcPr>
            <w:tcW w:w="7655" w:type="dxa"/>
          </w:tcPr>
          <w:p w:rsidR="00D73C48" w:rsidRDefault="00D73C48" w:rsidP="00C961C2">
            <w:r>
              <w:t>The Regulatory Maturity Project</w:t>
            </w:r>
          </w:p>
        </w:tc>
      </w:tr>
      <w:tr w:rsidR="00442781" w:rsidTr="00DF27AE">
        <w:trPr>
          <w:cnfStyle w:val="000000010000" w:firstRow="0" w:lastRow="0" w:firstColumn="0" w:lastColumn="0" w:oddVBand="0" w:evenVBand="0" w:oddHBand="0" w:evenHBand="1" w:firstRowFirstColumn="0" w:firstRowLastColumn="0" w:lastRowFirstColumn="0" w:lastRowLastColumn="0"/>
        </w:trPr>
        <w:tc>
          <w:tcPr>
            <w:tcW w:w="1951" w:type="dxa"/>
          </w:tcPr>
          <w:p w:rsidR="00442781" w:rsidRPr="00C961C2" w:rsidRDefault="00C961C2" w:rsidP="00442781">
            <w:pPr>
              <w:rPr>
                <w:b/>
              </w:rPr>
            </w:pPr>
            <w:r w:rsidRPr="00C961C2">
              <w:rPr>
                <w:b/>
              </w:rPr>
              <w:t>SES</w:t>
            </w:r>
          </w:p>
        </w:tc>
        <w:tc>
          <w:tcPr>
            <w:tcW w:w="7655" w:type="dxa"/>
          </w:tcPr>
          <w:p w:rsidR="00442781" w:rsidRDefault="00C961C2" w:rsidP="00442781">
            <w:r>
              <w:t>Senior Executive Service</w:t>
            </w:r>
          </w:p>
        </w:tc>
      </w:tr>
      <w:tr w:rsidR="00442781" w:rsidTr="00DF27AE">
        <w:trPr>
          <w:cnfStyle w:val="000000100000" w:firstRow="0" w:lastRow="0" w:firstColumn="0" w:lastColumn="0" w:oddVBand="0" w:evenVBand="0" w:oddHBand="1" w:evenHBand="0" w:firstRowFirstColumn="0" w:firstRowLastColumn="0" w:lastRowFirstColumn="0" w:lastRowLastColumn="0"/>
        </w:trPr>
        <w:tc>
          <w:tcPr>
            <w:tcW w:w="1951" w:type="dxa"/>
          </w:tcPr>
          <w:p w:rsidR="00442781" w:rsidRPr="00442781" w:rsidRDefault="00442781" w:rsidP="00442781">
            <w:pPr>
              <w:rPr>
                <w:b/>
              </w:rPr>
            </w:pPr>
            <w:r w:rsidRPr="00442781">
              <w:rPr>
                <w:b/>
              </w:rPr>
              <w:t>Vic EPA</w:t>
            </w:r>
          </w:p>
        </w:tc>
        <w:tc>
          <w:tcPr>
            <w:tcW w:w="7655" w:type="dxa"/>
          </w:tcPr>
          <w:p w:rsidR="00442781" w:rsidRDefault="00442781" w:rsidP="00C961C2">
            <w:pPr>
              <w:tabs>
                <w:tab w:val="left" w:pos="5438"/>
              </w:tabs>
            </w:pPr>
            <w:r>
              <w:t xml:space="preserve">The Victorian Environment Protection </w:t>
            </w:r>
            <w:r w:rsidR="00C961C2">
              <w:t>Authority</w:t>
            </w:r>
            <w:r w:rsidR="00C961C2">
              <w:tab/>
            </w:r>
          </w:p>
        </w:tc>
      </w:tr>
      <w:tr w:rsidR="00442781" w:rsidTr="00DF27AE">
        <w:trPr>
          <w:cnfStyle w:val="000000010000" w:firstRow="0" w:lastRow="0" w:firstColumn="0" w:lastColumn="0" w:oddVBand="0" w:evenVBand="0" w:oddHBand="0" w:evenHBand="1" w:firstRowFirstColumn="0" w:firstRowLastColumn="0" w:lastRowFirstColumn="0" w:lastRowLastColumn="0"/>
        </w:trPr>
        <w:tc>
          <w:tcPr>
            <w:tcW w:w="1951" w:type="dxa"/>
          </w:tcPr>
          <w:p w:rsidR="00442781" w:rsidRPr="00442781" w:rsidRDefault="00442781" w:rsidP="00442781">
            <w:pPr>
              <w:rPr>
                <w:b/>
              </w:rPr>
            </w:pPr>
            <w:r w:rsidRPr="00442781">
              <w:rPr>
                <w:b/>
              </w:rPr>
              <w:t>WHaM</w:t>
            </w:r>
          </w:p>
        </w:tc>
        <w:tc>
          <w:tcPr>
            <w:tcW w:w="7655" w:type="dxa"/>
          </w:tcPr>
          <w:p w:rsidR="00442781" w:rsidRDefault="00442781" w:rsidP="00574964">
            <w:r>
              <w:t xml:space="preserve">The Wildlife, Heritage </w:t>
            </w:r>
            <w:r w:rsidR="00574964">
              <w:t>and</w:t>
            </w:r>
            <w:r>
              <w:t xml:space="preserve"> Marine Division</w:t>
            </w:r>
          </w:p>
        </w:tc>
      </w:tr>
      <w:tr w:rsidR="00DF27AE" w:rsidTr="00DF27AE">
        <w:trPr>
          <w:cnfStyle w:val="000000100000" w:firstRow="0" w:lastRow="0" w:firstColumn="0" w:lastColumn="0" w:oddVBand="0" w:evenVBand="0" w:oddHBand="1" w:evenHBand="0" w:firstRowFirstColumn="0" w:firstRowLastColumn="0" w:lastRowFirstColumn="0" w:lastRowLastColumn="0"/>
        </w:trPr>
        <w:tc>
          <w:tcPr>
            <w:tcW w:w="1951" w:type="dxa"/>
          </w:tcPr>
          <w:p w:rsidR="00DF27AE" w:rsidRPr="00442781" w:rsidRDefault="00DF27AE" w:rsidP="00442781">
            <w:pPr>
              <w:rPr>
                <w:b/>
              </w:rPr>
            </w:pPr>
            <w:r>
              <w:rPr>
                <w:b/>
              </w:rPr>
              <w:t>WiSTRA</w:t>
            </w:r>
          </w:p>
        </w:tc>
        <w:tc>
          <w:tcPr>
            <w:tcW w:w="7655" w:type="dxa"/>
          </w:tcPr>
          <w:p w:rsidR="00DF27AE" w:rsidRDefault="00DF27AE" w:rsidP="00442781">
            <w:r>
              <w:t>Wildlife Strategic Threat and Risk Assessment Tool</w:t>
            </w:r>
          </w:p>
        </w:tc>
      </w:tr>
    </w:tbl>
    <w:p w:rsidR="00442781" w:rsidRDefault="00442781" w:rsidP="00442781"/>
    <w:p w:rsidR="00442781" w:rsidRDefault="00442781">
      <w:pPr>
        <w:spacing w:after="0" w:line="240" w:lineRule="auto"/>
        <w:rPr>
          <w:b/>
          <w:color w:val="0B5294" w:themeColor="accent1" w:themeShade="BF"/>
          <w:sz w:val="44"/>
          <w:szCs w:val="44"/>
        </w:rPr>
      </w:pPr>
      <w:r>
        <w:rPr>
          <w:b/>
          <w:color w:val="0B5294" w:themeColor="accent1" w:themeShade="BF"/>
          <w:sz w:val="44"/>
          <w:szCs w:val="44"/>
        </w:rPr>
        <w:br w:type="page"/>
      </w:r>
    </w:p>
    <w:p w:rsidR="006B14DB" w:rsidRPr="00C95E78" w:rsidRDefault="00097DA8" w:rsidP="00C95E78">
      <w:pPr>
        <w:pStyle w:val="Heading1"/>
        <w:spacing w:after="120"/>
        <w:jc w:val="center"/>
        <w:rPr>
          <w:b w:val="0"/>
          <w:color w:val="0B5294" w:themeColor="accent1" w:themeShade="BF"/>
          <w:sz w:val="36"/>
          <w:szCs w:val="36"/>
        </w:rPr>
      </w:pPr>
      <w:bookmarkStart w:id="2" w:name="_Toc443405137"/>
      <w:r w:rsidRPr="00C95E78">
        <w:rPr>
          <w:color w:val="0B5294" w:themeColor="accent1" w:themeShade="BF"/>
          <w:sz w:val="36"/>
          <w:szCs w:val="36"/>
        </w:rPr>
        <w:lastRenderedPageBreak/>
        <w:t>Executive</w:t>
      </w:r>
      <w:r w:rsidRPr="00C95E78">
        <w:rPr>
          <w:b w:val="0"/>
          <w:color w:val="0B5294" w:themeColor="accent1" w:themeShade="BF"/>
          <w:sz w:val="36"/>
          <w:szCs w:val="36"/>
        </w:rPr>
        <w:t xml:space="preserve"> </w:t>
      </w:r>
      <w:r w:rsidRPr="00C95E78">
        <w:rPr>
          <w:color w:val="0B5294" w:themeColor="accent1" w:themeShade="BF"/>
          <w:sz w:val="36"/>
          <w:szCs w:val="36"/>
        </w:rPr>
        <w:t>Summary</w:t>
      </w:r>
      <w:bookmarkEnd w:id="2"/>
    </w:p>
    <w:p w:rsidR="00E824F7" w:rsidRDefault="00E824F7" w:rsidP="00E824F7">
      <w:pPr>
        <w:pStyle w:val="Heading1"/>
        <w:spacing w:after="120"/>
      </w:pPr>
      <w:r>
        <w:rPr>
          <w:color w:val="0B5294" w:themeColor="accent1" w:themeShade="BF"/>
          <w:sz w:val="28"/>
          <w:szCs w:val="28"/>
        </w:rPr>
        <w:t>SCOPE</w:t>
      </w:r>
    </w:p>
    <w:p w:rsidR="00E824F7" w:rsidRPr="00993799" w:rsidRDefault="00E824F7" w:rsidP="00E824F7">
      <w:pPr>
        <w:rPr>
          <w:rFonts w:cs="Arial"/>
        </w:rPr>
      </w:pPr>
      <w:r w:rsidRPr="009D31BF">
        <w:rPr>
          <w:rFonts w:cs="Arial"/>
        </w:rPr>
        <w:t xml:space="preserve">The Regulatory Maturity Project, led by Joe Woodward, assessed the maturity, capability and capacity of </w:t>
      </w:r>
      <w:r>
        <w:rPr>
          <w:rFonts w:cs="Arial"/>
        </w:rPr>
        <w:t>the Environment Protection Group (</w:t>
      </w:r>
      <w:r>
        <w:rPr>
          <w:rFonts w:cs="Arial"/>
          <w:b/>
        </w:rPr>
        <w:t>EPG</w:t>
      </w:r>
      <w:r>
        <w:rPr>
          <w:rFonts w:cs="Arial"/>
        </w:rPr>
        <w:t>) to fulfil its regulatory functions. The Project focused on the regulatory functions of the Environment Standards Division (</w:t>
      </w:r>
      <w:r>
        <w:rPr>
          <w:rFonts w:cs="Arial"/>
          <w:b/>
        </w:rPr>
        <w:t>ESD</w:t>
      </w:r>
      <w:r>
        <w:rPr>
          <w:rFonts w:cs="Arial"/>
        </w:rPr>
        <w:t>) and the Wildlife, Heritage and Marine Division (</w:t>
      </w:r>
      <w:r>
        <w:rPr>
          <w:rFonts w:cs="Arial"/>
          <w:b/>
        </w:rPr>
        <w:t>WHaM</w:t>
      </w:r>
      <w:r>
        <w:rPr>
          <w:rFonts w:cs="Arial"/>
        </w:rPr>
        <w:t xml:space="preserve">) (this Report uses ‘EPG’ to refer collectively to the two Divisions). The Project makes recommendations about how EPG can establish and maintain a position as a contemporary, mature and trusted regulator. </w:t>
      </w:r>
    </w:p>
    <w:p w:rsidR="00E824F7" w:rsidRDefault="00E824F7" w:rsidP="00E824F7">
      <w:r>
        <w:t>The Project was asked to address:</w:t>
      </w:r>
    </w:p>
    <w:p w:rsidR="00E824F7" w:rsidRDefault="00E824F7" w:rsidP="00E824F7">
      <w:pPr>
        <w:pStyle w:val="ListBullet"/>
      </w:pPr>
      <w:r>
        <w:t xml:space="preserve">The attributes of a ‘best practice regulatory agency’, taking into account experience and practice in like regulatory agencies at the Commonwealth and state levels and, if appropriate, internationally. </w:t>
      </w:r>
    </w:p>
    <w:p w:rsidR="00E824F7" w:rsidRDefault="00E824F7" w:rsidP="00E824F7">
      <w:pPr>
        <w:pStyle w:val="ListBullet"/>
      </w:pPr>
      <w:r>
        <w:t xml:space="preserve">Any changes required to ensure EPG’s regulatory functions reflect those attributes. </w:t>
      </w:r>
    </w:p>
    <w:p w:rsidR="00E824F7" w:rsidRDefault="00E824F7" w:rsidP="00E824F7">
      <w:pPr>
        <w:pStyle w:val="ListBullet"/>
        <w:numPr>
          <w:ilvl w:val="0"/>
          <w:numId w:val="0"/>
        </w:numPr>
        <w:ind w:left="369" w:hanging="369"/>
      </w:pPr>
      <w:r>
        <w:t>In addressing these matters, the Project was asked to consider:</w:t>
      </w:r>
    </w:p>
    <w:p w:rsidR="00E824F7" w:rsidRDefault="00E824F7" w:rsidP="00E824F7">
      <w:pPr>
        <w:pStyle w:val="ListBullet"/>
      </w:pPr>
      <w:r>
        <w:t xml:space="preserve">The most appropriate institutional arrangements for a ‘best practice regulatory agency’, including organisational design and structure, designation of responsibilities, resourcing and opportunities for efficiencies. </w:t>
      </w:r>
    </w:p>
    <w:p w:rsidR="00E824F7" w:rsidRDefault="00E824F7" w:rsidP="00E824F7">
      <w:pPr>
        <w:pStyle w:val="ListBullet"/>
      </w:pPr>
      <w:r>
        <w:t>Organisational processes for identifying and managing regulatory risks.</w:t>
      </w:r>
    </w:p>
    <w:p w:rsidR="00E824F7" w:rsidRDefault="00E824F7" w:rsidP="00E824F7">
      <w:pPr>
        <w:pStyle w:val="ListBullet"/>
      </w:pPr>
      <w:r>
        <w:t>Staff capability, including regulatory knowledge and capacity.</w:t>
      </w:r>
    </w:p>
    <w:p w:rsidR="00E824F7" w:rsidRDefault="00E824F7" w:rsidP="00E824F7">
      <w:pPr>
        <w:pStyle w:val="ListBullet"/>
      </w:pPr>
      <w:r>
        <w:t xml:space="preserve">The adequacy of, and potential improvements to, business systems. </w:t>
      </w:r>
    </w:p>
    <w:p w:rsidR="00E824F7" w:rsidRDefault="00E824F7" w:rsidP="00E824F7">
      <w:pPr>
        <w:pStyle w:val="ListBullet"/>
        <w:numPr>
          <w:ilvl w:val="0"/>
          <w:numId w:val="0"/>
        </w:numPr>
        <w:ind w:left="369" w:hanging="369"/>
      </w:pPr>
      <w:r>
        <w:t xml:space="preserve">The full Terms of Reference for the Project are at </w:t>
      </w:r>
      <w:r w:rsidRPr="00D42842">
        <w:rPr>
          <w:b/>
          <w:u w:val="single"/>
        </w:rPr>
        <w:t>Appendix 1</w:t>
      </w:r>
      <w:r>
        <w:t>.</w:t>
      </w:r>
    </w:p>
    <w:p w:rsidR="00E824F7" w:rsidRPr="0042419C" w:rsidRDefault="00E824F7" w:rsidP="00E824F7">
      <w:pPr>
        <w:pStyle w:val="Heading1"/>
        <w:spacing w:after="120"/>
        <w:rPr>
          <w:color w:val="0B5294" w:themeColor="accent1" w:themeShade="BF"/>
          <w:sz w:val="28"/>
          <w:szCs w:val="28"/>
        </w:rPr>
      </w:pPr>
      <w:r w:rsidRPr="0042419C">
        <w:rPr>
          <w:color w:val="0B5294" w:themeColor="accent1" w:themeShade="BF"/>
          <w:sz w:val="28"/>
          <w:szCs w:val="28"/>
        </w:rPr>
        <w:t>APPROACH AND CONSULTATION</w:t>
      </w:r>
    </w:p>
    <w:p w:rsidR="00E824F7" w:rsidRPr="009D31BF" w:rsidRDefault="00E824F7" w:rsidP="00E824F7">
      <w:pPr>
        <w:tabs>
          <w:tab w:val="left" w:pos="3990"/>
        </w:tabs>
        <w:rPr>
          <w:rFonts w:cs="Arial"/>
        </w:rPr>
      </w:pPr>
      <w:r w:rsidRPr="009D31BF">
        <w:rPr>
          <w:rFonts w:cs="Arial"/>
        </w:rPr>
        <w:t xml:space="preserve">The Project included a literature review of best practice principles, experiences and lessons from a variety </w:t>
      </w:r>
      <w:r>
        <w:rPr>
          <w:rFonts w:cs="Arial"/>
        </w:rPr>
        <w:t xml:space="preserve">of </w:t>
      </w:r>
      <w:r w:rsidRPr="009D31BF">
        <w:rPr>
          <w:rFonts w:cs="Arial"/>
        </w:rPr>
        <w:t>national, state and international organisations and agencies. Key documents included reviews</w:t>
      </w:r>
      <w:r w:rsidR="00A6701B">
        <w:rPr>
          <w:rFonts w:cs="Arial"/>
        </w:rPr>
        <w:t xml:space="preserve">, </w:t>
      </w:r>
      <w:r>
        <w:rPr>
          <w:rFonts w:cs="Arial"/>
        </w:rPr>
        <w:t>audits</w:t>
      </w:r>
      <w:r w:rsidRPr="009D31BF">
        <w:rPr>
          <w:rFonts w:cs="Arial"/>
        </w:rPr>
        <w:t>, policies</w:t>
      </w:r>
      <w:r>
        <w:rPr>
          <w:rFonts w:cs="Arial"/>
        </w:rPr>
        <w:t>,</w:t>
      </w:r>
      <w:r w:rsidRPr="009D31BF">
        <w:rPr>
          <w:rFonts w:cs="Arial"/>
        </w:rPr>
        <w:t xml:space="preserve"> and studies produced by the Department of Prime Minister and Cabinet, the Australian National Audit Office</w:t>
      </w:r>
      <w:r>
        <w:rPr>
          <w:rFonts w:cs="Arial"/>
        </w:rPr>
        <w:t xml:space="preserve"> (</w:t>
      </w:r>
      <w:r w:rsidRPr="007A2AAE">
        <w:rPr>
          <w:rFonts w:cs="Arial"/>
          <w:b/>
        </w:rPr>
        <w:t>ANAO</w:t>
      </w:r>
      <w:r>
        <w:rPr>
          <w:rFonts w:cs="Arial"/>
        </w:rPr>
        <w:t>)</w:t>
      </w:r>
      <w:r w:rsidRPr="009D31BF">
        <w:rPr>
          <w:rFonts w:cs="Arial"/>
        </w:rPr>
        <w:t xml:space="preserve">, the Productivity Commission, </w:t>
      </w:r>
      <w:r>
        <w:rPr>
          <w:rFonts w:cs="Arial"/>
        </w:rPr>
        <w:t>the Organisation for Economic Co-operation and Development (</w:t>
      </w:r>
      <w:r w:rsidRPr="007A2AAE">
        <w:rPr>
          <w:rFonts w:cs="Arial"/>
          <w:b/>
        </w:rPr>
        <w:t>OECD</w:t>
      </w:r>
      <w:r>
        <w:rPr>
          <w:rFonts w:cs="Arial"/>
        </w:rPr>
        <w:t>)</w:t>
      </w:r>
      <w:r w:rsidRPr="009D31BF">
        <w:rPr>
          <w:rFonts w:cs="Arial"/>
        </w:rPr>
        <w:t xml:space="preserve">, the Australasian Environmental Law Enforcement and Regulators </w:t>
      </w:r>
      <w:r>
        <w:rPr>
          <w:rFonts w:cs="Arial"/>
        </w:rPr>
        <w:t>neTwork (</w:t>
      </w:r>
      <w:r w:rsidRPr="007A2AAE">
        <w:rPr>
          <w:rFonts w:cs="Arial"/>
          <w:b/>
        </w:rPr>
        <w:t>AELERT</w:t>
      </w:r>
      <w:r>
        <w:rPr>
          <w:rFonts w:cs="Arial"/>
        </w:rPr>
        <w:t>)</w:t>
      </w:r>
      <w:r w:rsidRPr="009D31BF">
        <w:rPr>
          <w:rFonts w:cs="Arial"/>
        </w:rPr>
        <w:t xml:space="preserve">, and a number of </w:t>
      </w:r>
      <w:r>
        <w:rPr>
          <w:rFonts w:cs="Arial"/>
        </w:rPr>
        <w:t xml:space="preserve">other state, national and </w:t>
      </w:r>
      <w:r w:rsidRPr="009D31BF">
        <w:rPr>
          <w:rFonts w:cs="Arial"/>
        </w:rPr>
        <w:t xml:space="preserve">international regulatory agencies. A bibliography of material considered by the </w:t>
      </w:r>
      <w:r>
        <w:rPr>
          <w:rFonts w:cs="Arial"/>
        </w:rPr>
        <w:t>Project</w:t>
      </w:r>
      <w:r w:rsidRPr="009D31BF">
        <w:rPr>
          <w:rFonts w:cs="Arial"/>
        </w:rPr>
        <w:t xml:space="preserve"> is at </w:t>
      </w:r>
      <w:r w:rsidRPr="007A2AAE">
        <w:rPr>
          <w:rFonts w:cs="Arial"/>
          <w:b/>
          <w:u w:val="single"/>
        </w:rPr>
        <w:t>Appendix 2</w:t>
      </w:r>
      <w:r w:rsidRPr="007A2AAE">
        <w:rPr>
          <w:rFonts w:cs="Arial"/>
        </w:rPr>
        <w:t>.</w:t>
      </w:r>
      <w:r w:rsidRPr="009D31BF">
        <w:rPr>
          <w:rFonts w:cs="Arial"/>
        </w:rPr>
        <w:t xml:space="preserve"> </w:t>
      </w:r>
    </w:p>
    <w:p w:rsidR="00E824F7" w:rsidRPr="009D31BF" w:rsidRDefault="00E824F7" w:rsidP="00E824F7">
      <w:pPr>
        <w:tabs>
          <w:tab w:val="left" w:pos="3990"/>
        </w:tabs>
        <w:rPr>
          <w:rFonts w:cs="Arial"/>
        </w:rPr>
      </w:pPr>
      <w:r w:rsidRPr="009D31BF">
        <w:rPr>
          <w:rFonts w:cs="Arial"/>
        </w:rPr>
        <w:t xml:space="preserve">The Project also </w:t>
      </w:r>
      <w:r>
        <w:rPr>
          <w:rFonts w:cs="Arial"/>
        </w:rPr>
        <w:t>consulted</w:t>
      </w:r>
      <w:r w:rsidRPr="009D31BF">
        <w:rPr>
          <w:rFonts w:cs="Arial"/>
        </w:rPr>
        <w:t xml:space="preserve"> with a range of stakeholders</w:t>
      </w:r>
      <w:r>
        <w:rPr>
          <w:rFonts w:cs="Arial"/>
        </w:rPr>
        <w:t>,</w:t>
      </w:r>
      <w:r w:rsidRPr="009D31BF">
        <w:rPr>
          <w:rFonts w:cs="Arial"/>
        </w:rPr>
        <w:t xml:space="preserve"> both internal and external to the Department. </w:t>
      </w:r>
    </w:p>
    <w:p w:rsidR="00E824F7" w:rsidRPr="009D31BF" w:rsidRDefault="00E824F7" w:rsidP="00E824F7">
      <w:pPr>
        <w:tabs>
          <w:tab w:val="left" w:pos="3990"/>
        </w:tabs>
        <w:rPr>
          <w:rFonts w:cs="Arial"/>
        </w:rPr>
      </w:pPr>
      <w:r>
        <w:rPr>
          <w:rFonts w:cs="Arial"/>
        </w:rPr>
        <w:t>I</w:t>
      </w:r>
      <w:r w:rsidRPr="009D31BF">
        <w:rPr>
          <w:rFonts w:cs="Arial"/>
        </w:rPr>
        <w:t xml:space="preserve">nternal consultation focused on staff within </w:t>
      </w:r>
      <w:r>
        <w:rPr>
          <w:rFonts w:cs="Arial"/>
        </w:rPr>
        <w:t>ESD and WHaM. S</w:t>
      </w:r>
      <w:r w:rsidRPr="009D31BF">
        <w:rPr>
          <w:rFonts w:cs="Arial"/>
        </w:rPr>
        <w:t xml:space="preserve">taff at all levels of each </w:t>
      </w:r>
      <w:r>
        <w:rPr>
          <w:rFonts w:cs="Arial"/>
        </w:rPr>
        <w:t>D</w:t>
      </w:r>
      <w:r w:rsidRPr="009D31BF">
        <w:rPr>
          <w:rFonts w:cs="Arial"/>
        </w:rPr>
        <w:t xml:space="preserve">ivision were invited to interactive and collaborative workshops which sought direct feedback on </w:t>
      </w:r>
      <w:r>
        <w:rPr>
          <w:rFonts w:cs="Arial"/>
        </w:rPr>
        <w:t>EPG</w:t>
      </w:r>
      <w:r w:rsidRPr="009D31BF">
        <w:rPr>
          <w:rFonts w:cs="Arial"/>
        </w:rPr>
        <w:t xml:space="preserve">’s regulatory performance and discussed the </w:t>
      </w:r>
      <w:r>
        <w:rPr>
          <w:rFonts w:cs="Arial"/>
        </w:rPr>
        <w:t>attributes</w:t>
      </w:r>
      <w:r w:rsidRPr="009D31BF">
        <w:rPr>
          <w:rFonts w:cs="Arial"/>
        </w:rPr>
        <w:t xml:space="preserve"> of a mature, conte</w:t>
      </w:r>
      <w:r>
        <w:rPr>
          <w:rFonts w:cs="Arial"/>
        </w:rPr>
        <w:t xml:space="preserve">mporary and trusted regulator. </w:t>
      </w:r>
      <w:r w:rsidRPr="009D31BF">
        <w:rPr>
          <w:rFonts w:cs="Arial"/>
        </w:rPr>
        <w:t>Further group and individual consultation</w:t>
      </w:r>
      <w:r>
        <w:rPr>
          <w:rFonts w:cs="Arial"/>
        </w:rPr>
        <w:t>s</w:t>
      </w:r>
      <w:r w:rsidRPr="009D31BF">
        <w:rPr>
          <w:rFonts w:cs="Arial"/>
        </w:rPr>
        <w:t xml:space="preserve"> w</w:t>
      </w:r>
      <w:r>
        <w:rPr>
          <w:rFonts w:cs="Arial"/>
        </w:rPr>
        <w:t>ere</w:t>
      </w:r>
      <w:r w:rsidRPr="009D31BF">
        <w:rPr>
          <w:rFonts w:cs="Arial"/>
        </w:rPr>
        <w:t xml:space="preserve"> held with members of the ESD and WH</w:t>
      </w:r>
      <w:r>
        <w:rPr>
          <w:rFonts w:cs="Arial"/>
        </w:rPr>
        <w:t>a</w:t>
      </w:r>
      <w:r w:rsidRPr="009D31BF">
        <w:rPr>
          <w:rFonts w:cs="Arial"/>
        </w:rPr>
        <w:t xml:space="preserve">M Senior Executive Service, </w:t>
      </w:r>
      <w:r>
        <w:rPr>
          <w:rFonts w:cs="Arial"/>
        </w:rPr>
        <w:t xml:space="preserve">and </w:t>
      </w:r>
      <w:r w:rsidRPr="009D31BF">
        <w:rPr>
          <w:rFonts w:cs="Arial"/>
        </w:rPr>
        <w:t xml:space="preserve">Executive-level and APS-level staff </w:t>
      </w:r>
      <w:r>
        <w:rPr>
          <w:rFonts w:cs="Arial"/>
        </w:rPr>
        <w:t>on specific themes relevant to the Project.</w:t>
      </w:r>
      <w:r w:rsidRPr="009D31BF">
        <w:rPr>
          <w:rFonts w:cs="Arial"/>
        </w:rPr>
        <w:t xml:space="preserve"> </w:t>
      </w:r>
    </w:p>
    <w:p w:rsidR="00E824F7" w:rsidRDefault="00E824F7" w:rsidP="00E824F7">
      <w:pPr>
        <w:tabs>
          <w:tab w:val="left" w:pos="3990"/>
        </w:tabs>
        <w:rPr>
          <w:rFonts w:cs="Arial"/>
        </w:rPr>
      </w:pPr>
      <w:r>
        <w:rPr>
          <w:rFonts w:cs="Arial"/>
        </w:rPr>
        <w:lastRenderedPageBreak/>
        <w:t>The Project</w:t>
      </w:r>
      <w:r w:rsidRPr="009D31BF">
        <w:rPr>
          <w:rFonts w:cs="Arial"/>
        </w:rPr>
        <w:t xml:space="preserve"> also m</w:t>
      </w:r>
      <w:r>
        <w:rPr>
          <w:rFonts w:cs="Arial"/>
        </w:rPr>
        <w:t xml:space="preserve">et with staff from various lines </w:t>
      </w:r>
      <w:r w:rsidRPr="009D31BF">
        <w:rPr>
          <w:rFonts w:cs="Arial"/>
        </w:rPr>
        <w:t>areas outside of ESD and WH</w:t>
      </w:r>
      <w:r>
        <w:rPr>
          <w:rFonts w:cs="Arial"/>
        </w:rPr>
        <w:t>a</w:t>
      </w:r>
      <w:r w:rsidRPr="009D31BF">
        <w:rPr>
          <w:rFonts w:cs="Arial"/>
        </w:rPr>
        <w:t xml:space="preserve">M who have significant on-going linkages with these Divisions. These included the members of the Department’s Executive Board, General Counsel, the Information Technology Branch, the Policy </w:t>
      </w:r>
      <w:r>
        <w:rPr>
          <w:rFonts w:cs="Arial"/>
        </w:rPr>
        <w:t>Analysis and Implementation</w:t>
      </w:r>
      <w:r w:rsidRPr="009D31BF">
        <w:rPr>
          <w:rFonts w:cs="Arial"/>
        </w:rPr>
        <w:t xml:space="preserve"> Division and the</w:t>
      </w:r>
      <w:r>
        <w:rPr>
          <w:rFonts w:cs="Arial"/>
        </w:rPr>
        <w:t xml:space="preserve"> then</w:t>
      </w:r>
      <w:r w:rsidRPr="009D31BF">
        <w:rPr>
          <w:rFonts w:cs="Arial"/>
        </w:rPr>
        <w:t xml:space="preserve"> Engagement and Evaluation Branch</w:t>
      </w:r>
      <w:r>
        <w:rPr>
          <w:rFonts w:cs="Arial"/>
        </w:rPr>
        <w:t>.</w:t>
      </w:r>
    </w:p>
    <w:p w:rsidR="00E824F7" w:rsidRDefault="00E824F7" w:rsidP="00E824F7">
      <w:pPr>
        <w:tabs>
          <w:tab w:val="left" w:pos="3990"/>
        </w:tabs>
        <w:rPr>
          <w:rFonts w:cs="Arial"/>
        </w:rPr>
      </w:pPr>
      <w:r>
        <w:rPr>
          <w:rFonts w:cs="Arial"/>
        </w:rPr>
        <w:t>The Project</w:t>
      </w:r>
      <w:r w:rsidRPr="009D31BF">
        <w:rPr>
          <w:rFonts w:cs="Arial"/>
        </w:rPr>
        <w:t xml:space="preserve"> also met and liaised with the Functional and Efficiency Review team who were conducting a review with overlapping issues. </w:t>
      </w:r>
    </w:p>
    <w:p w:rsidR="00E824F7" w:rsidRPr="009D31BF" w:rsidRDefault="00E824F7" w:rsidP="00E824F7">
      <w:pPr>
        <w:tabs>
          <w:tab w:val="left" w:pos="3990"/>
        </w:tabs>
        <w:rPr>
          <w:rFonts w:cs="Arial"/>
        </w:rPr>
      </w:pPr>
      <w:r>
        <w:rPr>
          <w:rFonts w:cs="Arial"/>
        </w:rPr>
        <w:t>External to the Department, t</w:t>
      </w:r>
      <w:r w:rsidRPr="009D31BF">
        <w:rPr>
          <w:rFonts w:cs="Arial"/>
        </w:rPr>
        <w:t xml:space="preserve">he </w:t>
      </w:r>
      <w:r>
        <w:rPr>
          <w:rFonts w:cs="Arial"/>
        </w:rPr>
        <w:t>Project</w:t>
      </w:r>
      <w:r w:rsidRPr="009D31BF">
        <w:rPr>
          <w:rFonts w:cs="Arial"/>
        </w:rPr>
        <w:t xml:space="preserve"> met with a number of other </w:t>
      </w:r>
      <w:r>
        <w:rPr>
          <w:rFonts w:cs="Arial"/>
        </w:rPr>
        <w:t>regulatory agencies</w:t>
      </w:r>
      <w:r w:rsidRPr="009D31BF">
        <w:rPr>
          <w:rFonts w:cs="Arial"/>
        </w:rPr>
        <w:t xml:space="preserve"> to draw upon their ex</w:t>
      </w:r>
      <w:r>
        <w:rPr>
          <w:rFonts w:cs="Arial"/>
        </w:rPr>
        <w:t xml:space="preserve">perience and insights. </w:t>
      </w:r>
      <w:r w:rsidRPr="009D31BF">
        <w:rPr>
          <w:rFonts w:cs="Arial"/>
        </w:rPr>
        <w:t xml:space="preserve">These included the </w:t>
      </w:r>
      <w:r>
        <w:rPr>
          <w:rFonts w:cs="Arial"/>
        </w:rPr>
        <w:t>Australian Taxation Office</w:t>
      </w:r>
      <w:r w:rsidRPr="009D31BF">
        <w:rPr>
          <w:rFonts w:cs="Arial"/>
        </w:rPr>
        <w:t xml:space="preserve">, the Clean Energy Regulator, the Department of Agriculture and Water Resources, the National Offshore Petroleum Safety and Environmental Management Authority, the NSW Department of Planning and Environment, the NSW Environment Protection Authority and the Victorian Environment Protection Authority.  </w:t>
      </w:r>
    </w:p>
    <w:p w:rsidR="00E824F7" w:rsidRDefault="00E824F7" w:rsidP="00E824F7">
      <w:pPr>
        <w:tabs>
          <w:tab w:val="left" w:pos="3990"/>
        </w:tabs>
        <w:rPr>
          <w:rFonts w:cs="Arial"/>
        </w:rPr>
      </w:pPr>
      <w:r w:rsidRPr="009D31BF">
        <w:rPr>
          <w:rFonts w:cs="Arial"/>
        </w:rPr>
        <w:t xml:space="preserve">The </w:t>
      </w:r>
      <w:r>
        <w:rPr>
          <w:rFonts w:cs="Arial"/>
        </w:rPr>
        <w:t>Project</w:t>
      </w:r>
      <w:r w:rsidRPr="009D31BF">
        <w:rPr>
          <w:rFonts w:cs="Arial"/>
        </w:rPr>
        <w:t xml:space="preserve"> also met with peak industry bodies and NGOs with an interest in environmental regulation. These included the Waste Management Association of Australia, the Minerals Council of Australia</w:t>
      </w:r>
      <w:r>
        <w:rPr>
          <w:rFonts w:cs="Arial"/>
        </w:rPr>
        <w:t>, the</w:t>
      </w:r>
      <w:r w:rsidRPr="009D31BF">
        <w:rPr>
          <w:rFonts w:cs="Arial"/>
        </w:rPr>
        <w:t xml:space="preserve"> Business Council of Australia, the NSW Environment</w:t>
      </w:r>
      <w:r>
        <w:rPr>
          <w:rFonts w:cs="Arial"/>
        </w:rPr>
        <w:t>al</w:t>
      </w:r>
      <w:r w:rsidRPr="009D31BF">
        <w:rPr>
          <w:rFonts w:cs="Arial"/>
        </w:rPr>
        <w:t xml:space="preserve"> Defenders Office, </w:t>
      </w:r>
      <w:r>
        <w:rPr>
          <w:rFonts w:cs="Arial"/>
        </w:rPr>
        <w:t xml:space="preserve">and </w:t>
      </w:r>
      <w:r w:rsidRPr="009D31BF">
        <w:rPr>
          <w:rFonts w:cs="Arial"/>
        </w:rPr>
        <w:t>the Aus</w:t>
      </w:r>
      <w:r>
        <w:rPr>
          <w:rFonts w:cs="Arial"/>
        </w:rPr>
        <w:t>tralian Conservation Foundation.</w:t>
      </w:r>
    </w:p>
    <w:p w:rsidR="00E824F7" w:rsidRPr="0042419C" w:rsidRDefault="00E824F7" w:rsidP="00E824F7">
      <w:pPr>
        <w:pStyle w:val="Heading1"/>
        <w:spacing w:after="120"/>
        <w:rPr>
          <w:color w:val="0B5294" w:themeColor="accent1" w:themeShade="BF"/>
          <w:sz w:val="28"/>
          <w:szCs w:val="28"/>
        </w:rPr>
      </w:pPr>
      <w:r w:rsidRPr="0042419C">
        <w:rPr>
          <w:color w:val="0B5294" w:themeColor="accent1" w:themeShade="BF"/>
          <w:sz w:val="28"/>
          <w:szCs w:val="28"/>
        </w:rPr>
        <w:t>CONTEXT FOR THE PROJECT</w:t>
      </w:r>
    </w:p>
    <w:p w:rsidR="00E824F7" w:rsidRPr="009D31BF" w:rsidRDefault="00E824F7" w:rsidP="00E824F7">
      <w:pPr>
        <w:tabs>
          <w:tab w:val="left" w:pos="3990"/>
        </w:tabs>
        <w:rPr>
          <w:rFonts w:cs="Arial"/>
        </w:rPr>
      </w:pPr>
      <w:r>
        <w:rPr>
          <w:rFonts w:cs="Arial"/>
        </w:rPr>
        <w:t xml:space="preserve">A number of recent reviews and audits </w:t>
      </w:r>
      <w:r w:rsidRPr="009D31BF">
        <w:rPr>
          <w:rFonts w:cs="Arial"/>
        </w:rPr>
        <w:t>identified the need for the Department to build its capacity and maturity as a regulator. These reviews</w:t>
      </w:r>
      <w:r>
        <w:rPr>
          <w:rFonts w:cs="Arial"/>
        </w:rPr>
        <w:t xml:space="preserve"> and audits</w:t>
      </w:r>
      <w:r w:rsidRPr="009D31BF">
        <w:rPr>
          <w:rFonts w:cs="Arial"/>
        </w:rPr>
        <w:t xml:space="preserve"> include:</w:t>
      </w:r>
    </w:p>
    <w:p w:rsidR="00E824F7" w:rsidRPr="0054243C" w:rsidRDefault="00E824F7" w:rsidP="00E824F7">
      <w:pPr>
        <w:pStyle w:val="ListParagraph"/>
        <w:numPr>
          <w:ilvl w:val="0"/>
          <w:numId w:val="7"/>
        </w:numPr>
        <w:spacing w:after="0"/>
        <w:ind w:left="360"/>
        <w:contextualSpacing/>
        <w:rPr>
          <w:rFonts w:cs="Arial"/>
        </w:rPr>
      </w:pPr>
      <w:r w:rsidRPr="0054243C">
        <w:rPr>
          <w:rFonts w:cs="Arial"/>
        </w:rPr>
        <w:t>The 2015 ANAO audit report on ‘Managing Compliance with the Wildlife Trade Provisions (Part 13A) of the Environment Protection and Biodiversity Conservation Act 1999’.</w:t>
      </w:r>
    </w:p>
    <w:p w:rsidR="00E824F7" w:rsidRPr="00AD5A35" w:rsidRDefault="00E824F7" w:rsidP="00E824F7">
      <w:pPr>
        <w:pStyle w:val="ListParagraph"/>
        <w:numPr>
          <w:ilvl w:val="0"/>
          <w:numId w:val="7"/>
        </w:numPr>
        <w:spacing w:after="0"/>
        <w:ind w:left="360"/>
        <w:contextualSpacing/>
        <w:rPr>
          <w:rFonts w:cs="Arial"/>
        </w:rPr>
      </w:pPr>
      <w:r w:rsidRPr="00AD5A35">
        <w:rPr>
          <w:rFonts w:cs="Arial"/>
        </w:rPr>
        <w:t xml:space="preserve">The 2015 House of Representatives Standing Committee on the Environment Inquiry into environmental regulation, green tape and one stop shops. </w:t>
      </w:r>
    </w:p>
    <w:p w:rsidR="00E824F7" w:rsidRPr="00AD5A35" w:rsidRDefault="00E824F7" w:rsidP="00E824F7">
      <w:pPr>
        <w:pStyle w:val="ListParagraph"/>
        <w:numPr>
          <w:ilvl w:val="0"/>
          <w:numId w:val="7"/>
        </w:numPr>
        <w:spacing w:after="0"/>
        <w:ind w:left="360"/>
        <w:contextualSpacing/>
        <w:rPr>
          <w:rFonts w:cs="Arial"/>
        </w:rPr>
      </w:pPr>
      <w:r w:rsidRPr="00AD5A35">
        <w:rPr>
          <w:rFonts w:cs="Arial"/>
        </w:rPr>
        <w:t>The 2014 ANAO audit report on ‘Managing Compliance with Environment Protection and Biodiversity Conservation Act 1999 Conditions of Approval.’</w:t>
      </w:r>
    </w:p>
    <w:p w:rsidR="00E824F7" w:rsidRPr="00AD5A35" w:rsidRDefault="00E824F7" w:rsidP="00E824F7">
      <w:pPr>
        <w:pStyle w:val="ListParagraph"/>
        <w:numPr>
          <w:ilvl w:val="0"/>
          <w:numId w:val="7"/>
        </w:numPr>
        <w:spacing w:after="0"/>
        <w:ind w:left="360"/>
        <w:contextualSpacing/>
        <w:rPr>
          <w:rFonts w:cs="Arial"/>
        </w:rPr>
      </w:pPr>
      <w:r w:rsidRPr="00AD5A35">
        <w:rPr>
          <w:rFonts w:cs="Arial"/>
        </w:rPr>
        <w:t xml:space="preserve">The 2014 Senate Standing Committee on the Environment and Communications Inquiry into the history, appropriateness and effectiveness of the use of environmental offsets in Federal environmental approvals in Australia. </w:t>
      </w:r>
    </w:p>
    <w:p w:rsidR="00E824F7" w:rsidRPr="00AD5A35" w:rsidRDefault="00E824F7" w:rsidP="00E824F7">
      <w:pPr>
        <w:pStyle w:val="ListParagraph"/>
        <w:numPr>
          <w:ilvl w:val="0"/>
          <w:numId w:val="7"/>
        </w:numPr>
        <w:spacing w:after="0"/>
        <w:ind w:left="360"/>
        <w:contextualSpacing/>
        <w:rPr>
          <w:rFonts w:cs="Arial"/>
        </w:rPr>
      </w:pPr>
      <w:r w:rsidRPr="00AD5A35">
        <w:rPr>
          <w:rFonts w:cs="Arial"/>
        </w:rPr>
        <w:t xml:space="preserve">The </w:t>
      </w:r>
      <w:r>
        <w:rPr>
          <w:rFonts w:cs="Arial"/>
        </w:rPr>
        <w:t xml:space="preserve">2013 </w:t>
      </w:r>
      <w:r w:rsidRPr="00AD5A35">
        <w:rPr>
          <w:rFonts w:cs="Arial"/>
        </w:rPr>
        <w:t>‘Internal Audit – Final Report Review of Compliance and Enforcement Program Management</w:t>
      </w:r>
      <w:r>
        <w:rPr>
          <w:rFonts w:cs="Arial"/>
        </w:rPr>
        <w:t>.</w:t>
      </w:r>
      <w:r w:rsidRPr="00AD5A35">
        <w:rPr>
          <w:rFonts w:cs="Arial"/>
        </w:rPr>
        <w:t xml:space="preserve">’ </w:t>
      </w:r>
    </w:p>
    <w:p w:rsidR="00E824F7" w:rsidRPr="0080085F" w:rsidRDefault="00E824F7" w:rsidP="00E824F7">
      <w:pPr>
        <w:spacing w:after="60" w:line="240" w:lineRule="auto"/>
        <w:ind w:left="720"/>
        <w:rPr>
          <w:rFonts w:cs="Arial"/>
          <w:iCs/>
        </w:rPr>
      </w:pPr>
    </w:p>
    <w:p w:rsidR="00E824F7" w:rsidRDefault="00E824F7" w:rsidP="00E824F7">
      <w:pPr>
        <w:tabs>
          <w:tab w:val="left" w:pos="3990"/>
        </w:tabs>
        <w:rPr>
          <w:rFonts w:cs="Arial"/>
        </w:rPr>
      </w:pPr>
      <w:r w:rsidRPr="009D31BF">
        <w:rPr>
          <w:rFonts w:cs="Arial"/>
        </w:rPr>
        <w:t xml:space="preserve">The </w:t>
      </w:r>
      <w:r>
        <w:rPr>
          <w:rFonts w:cs="Arial"/>
        </w:rPr>
        <w:t>setting aside of the approval for the</w:t>
      </w:r>
      <w:r w:rsidRPr="009D31BF">
        <w:rPr>
          <w:rFonts w:cs="Arial"/>
        </w:rPr>
        <w:t xml:space="preserve"> Carmichael Coal</w:t>
      </w:r>
      <w:r>
        <w:rPr>
          <w:rFonts w:cs="Arial"/>
        </w:rPr>
        <w:t xml:space="preserve"> and Rail</w:t>
      </w:r>
      <w:r w:rsidRPr="009D31BF">
        <w:rPr>
          <w:rFonts w:cs="Arial"/>
        </w:rPr>
        <w:t xml:space="preserve"> project</w:t>
      </w:r>
      <w:r>
        <w:rPr>
          <w:rFonts w:cs="Arial"/>
        </w:rPr>
        <w:t xml:space="preserve"> by the Federal Court in mid-2015</w:t>
      </w:r>
      <w:r w:rsidRPr="009D31BF">
        <w:rPr>
          <w:rFonts w:cs="Arial"/>
        </w:rPr>
        <w:t xml:space="preserve"> </w:t>
      </w:r>
      <w:r>
        <w:rPr>
          <w:rFonts w:cs="Arial"/>
        </w:rPr>
        <w:t xml:space="preserve">identified shortfalls in the Department’s regulatory systems and </w:t>
      </w:r>
      <w:r w:rsidRPr="009D31BF">
        <w:rPr>
          <w:rFonts w:cs="Arial"/>
        </w:rPr>
        <w:t xml:space="preserve">was also a </w:t>
      </w:r>
      <w:r>
        <w:rPr>
          <w:rFonts w:cs="Arial"/>
        </w:rPr>
        <w:t>catalyst</w:t>
      </w:r>
      <w:r w:rsidRPr="009D31BF">
        <w:rPr>
          <w:rFonts w:cs="Arial"/>
        </w:rPr>
        <w:t xml:space="preserve"> for the Project.</w:t>
      </w:r>
    </w:p>
    <w:p w:rsidR="00E824F7" w:rsidRDefault="00E824F7" w:rsidP="00E824F7">
      <w:pPr>
        <w:pStyle w:val="Heading1"/>
        <w:spacing w:after="120"/>
        <w:rPr>
          <w:color w:val="0B5294" w:themeColor="accent1" w:themeShade="BF"/>
          <w:sz w:val="28"/>
          <w:szCs w:val="28"/>
        </w:rPr>
      </w:pPr>
      <w:r w:rsidRPr="0042419C">
        <w:rPr>
          <w:color w:val="0B5294" w:themeColor="accent1" w:themeShade="BF"/>
          <w:sz w:val="28"/>
          <w:szCs w:val="28"/>
        </w:rPr>
        <w:t>Introduction</w:t>
      </w:r>
    </w:p>
    <w:p w:rsidR="00E824F7" w:rsidRDefault="00E824F7" w:rsidP="00E824F7">
      <w:pPr>
        <w:tabs>
          <w:tab w:val="left" w:pos="3990"/>
        </w:tabs>
        <w:rPr>
          <w:rFonts w:cs="Arial"/>
        </w:rPr>
      </w:pPr>
      <w:r>
        <w:rPr>
          <w:rFonts w:cs="Arial"/>
        </w:rPr>
        <w:t xml:space="preserve">There is no simple recipe for a best practice regulator, and all modern regulators face challenges in pursing regulatory maturity. Regulatory maturity is an ongoing objective that is reliant on a complex mix of knowledge, experience, human resources, business and IT systems, new information, feedback loops, risk management, good judgement, and continuous improvement. Balancing these elements with reduced budgets, increasing complexity, and Government and community expectations is a difficult task. As such, regulatory maturity should be seen as an ongoing pursuit that involves continuous evolution and improvement, rather than a specific end-point. </w:t>
      </w:r>
    </w:p>
    <w:p w:rsidR="00E824F7" w:rsidRDefault="00E824F7" w:rsidP="00E824F7">
      <w:pPr>
        <w:tabs>
          <w:tab w:val="left" w:pos="3990"/>
        </w:tabs>
        <w:rPr>
          <w:rFonts w:cs="Arial"/>
        </w:rPr>
      </w:pPr>
      <w:r>
        <w:rPr>
          <w:rFonts w:cs="Arial"/>
        </w:rPr>
        <w:lastRenderedPageBreak/>
        <w:t xml:space="preserve">The Department’s regulatory maturity must also be considered in the context of the current legislative regime, and the Project notes that best practice may not always be achievable where operational practices are dictated by prescriptive legislation. EPG actively administers 11 pieces of legislation with regulatory provisions. The majority of this legislation was passed by the Parliament prior to the year 2000. As such, the legislation may not reflect modern approaches to regulatory design. </w:t>
      </w:r>
    </w:p>
    <w:p w:rsidR="00E824F7" w:rsidRDefault="00E824F7" w:rsidP="00E824F7">
      <w:pPr>
        <w:tabs>
          <w:tab w:val="left" w:pos="3990"/>
        </w:tabs>
        <w:rPr>
          <w:rFonts w:cs="Arial"/>
        </w:rPr>
      </w:pPr>
      <w:r>
        <w:rPr>
          <w:rFonts w:cs="Arial"/>
        </w:rPr>
        <w:t>The Australian Government is committed to improving the effectiveness and efficiency of its environmental regulation based on the advice of the Department. A number of Bills have been introduced into the Parliament in recent years to give effect to this. However, these reforms have generally not been supported by both Houses of Parliament. Nevertheless, by fostering a culture of innovation, EPG and the Department can continue moving towards best practice within the limitations of the current legislative framework</w:t>
      </w:r>
      <w:r w:rsidR="00797C11">
        <w:rPr>
          <w:rFonts w:cs="Arial"/>
        </w:rPr>
        <w:t xml:space="preserve"> while pursuing opportunities for legislative change when they arise.</w:t>
      </w:r>
    </w:p>
    <w:p w:rsidR="00D80C49" w:rsidRDefault="00D80C49" w:rsidP="00D80C49">
      <w:pPr>
        <w:tabs>
          <w:tab w:val="left" w:pos="3990"/>
        </w:tabs>
        <w:rPr>
          <w:rFonts w:cs="Arial"/>
        </w:rPr>
      </w:pPr>
      <w:r>
        <w:rPr>
          <w:rFonts w:cs="Arial"/>
        </w:rPr>
        <w:t xml:space="preserve">The Project found that EPG and the Department’s approach to regulation is sound, and consistent with many other regulators. However, </w:t>
      </w:r>
      <w:r w:rsidR="006A2B3C">
        <w:rPr>
          <w:rFonts w:cs="Arial"/>
        </w:rPr>
        <w:t xml:space="preserve">within Australia and around the world, </w:t>
      </w:r>
      <w:r>
        <w:rPr>
          <w:rFonts w:cs="Arial"/>
        </w:rPr>
        <w:t xml:space="preserve">the regulatory craft has evolved over recent years to explore and utilise more innovative and flexible regulatory tools to achieve desired outcomes at least cost to all stakeholders (including </w:t>
      </w:r>
      <w:r w:rsidR="00A17AFA">
        <w:rPr>
          <w:rFonts w:cs="Arial"/>
        </w:rPr>
        <w:t>to regulators</w:t>
      </w:r>
      <w:r>
        <w:rPr>
          <w:rFonts w:cs="Arial"/>
        </w:rPr>
        <w:t xml:space="preserve">). Some Commonwealth and State agencies, such as the Australian Taxation Office, the Clean Energy Regulator, and the NSW EPA have been following these developments closely and attempting to build them into their regulatory practice. </w:t>
      </w:r>
    </w:p>
    <w:p w:rsidR="00A17AFA" w:rsidRDefault="00D80C49" w:rsidP="00E824F7">
      <w:pPr>
        <w:tabs>
          <w:tab w:val="left" w:pos="3990"/>
        </w:tabs>
        <w:rPr>
          <w:rFonts w:cs="Arial"/>
        </w:rPr>
      </w:pPr>
      <w:r>
        <w:rPr>
          <w:rFonts w:cs="Arial"/>
        </w:rPr>
        <w:t xml:space="preserve">The Department has adopted some good new approaches, such as developing and using the National Environmental Significance Threat and Risk Assessment tool to embed risk management into planning and decision-making processes; and establishing a Regulatory Advisory Panel to provide greater consistency in regulatory activities. </w:t>
      </w:r>
      <w:r w:rsidR="00A17AFA">
        <w:rPr>
          <w:rFonts w:cs="Arial"/>
        </w:rPr>
        <w:t xml:space="preserve">However, while the Senior Executive has a strong desire to continue to move the Department towards being a  modern best practice regulator, it is fair to say that the Department is on the road to best practice but has not yet reached that goal. As discussed above, best practice is an ongoing journey of continual improvement, and the Project has identified several opportunities for further improvement. </w:t>
      </w:r>
    </w:p>
    <w:p w:rsidR="00E824F7" w:rsidRPr="00B41353" w:rsidRDefault="00E824F7" w:rsidP="00E824F7">
      <w:pPr>
        <w:tabs>
          <w:tab w:val="left" w:pos="3990"/>
        </w:tabs>
        <w:rPr>
          <w:rFonts w:cs="Arial"/>
        </w:rPr>
      </w:pPr>
      <w:r>
        <w:rPr>
          <w:rFonts w:cs="Arial"/>
        </w:rPr>
        <w:t>In line with the terms of reference, t</w:t>
      </w:r>
      <w:r w:rsidRPr="00B41353">
        <w:rPr>
          <w:rFonts w:cs="Arial"/>
        </w:rPr>
        <w:t>he Project prepared a summary of the attributes of a best practice regulator that can be used as a reference document by the Department</w:t>
      </w:r>
      <w:r>
        <w:rPr>
          <w:rFonts w:cs="Arial"/>
        </w:rPr>
        <w:t xml:space="preserve"> (at </w:t>
      </w:r>
      <w:r w:rsidRPr="007A2AAE">
        <w:rPr>
          <w:rFonts w:cs="Arial"/>
          <w:b/>
          <w:u w:val="single"/>
        </w:rPr>
        <w:t>Appendix</w:t>
      </w:r>
      <w:r>
        <w:rPr>
          <w:rFonts w:cs="Arial"/>
          <w:b/>
          <w:u w:val="single"/>
        </w:rPr>
        <w:t> 3</w:t>
      </w:r>
      <w:r>
        <w:rPr>
          <w:rFonts w:cs="Arial"/>
        </w:rPr>
        <w:t>)</w:t>
      </w:r>
      <w:r w:rsidRPr="00B41353">
        <w:rPr>
          <w:rFonts w:cs="Arial"/>
        </w:rPr>
        <w:t xml:space="preserve">. This summary covers all aspects of regulation - including those where the Department does well, and others where improvements could be made. </w:t>
      </w:r>
    </w:p>
    <w:p w:rsidR="00E824F7" w:rsidRPr="009D31BF" w:rsidRDefault="00E824F7" w:rsidP="00E824F7">
      <w:pPr>
        <w:tabs>
          <w:tab w:val="left" w:pos="3990"/>
        </w:tabs>
        <w:rPr>
          <w:rFonts w:cs="Arial"/>
        </w:rPr>
      </w:pPr>
      <w:r w:rsidRPr="009D31BF">
        <w:rPr>
          <w:rFonts w:cs="Arial"/>
        </w:rPr>
        <w:t xml:space="preserve">The Project has also prepared a list of </w:t>
      </w:r>
      <w:r>
        <w:rPr>
          <w:rFonts w:cs="Arial"/>
        </w:rPr>
        <w:t xml:space="preserve">regulatory principles that relate to the </w:t>
      </w:r>
      <w:r w:rsidRPr="009D31BF">
        <w:rPr>
          <w:rFonts w:cs="Arial"/>
        </w:rPr>
        <w:t>areas where the Department should concentrate its efforts</w:t>
      </w:r>
      <w:r>
        <w:rPr>
          <w:rFonts w:cs="Arial"/>
        </w:rPr>
        <w:t xml:space="preserve"> (</w:t>
      </w:r>
      <w:r w:rsidRPr="007571BD">
        <w:rPr>
          <w:rFonts w:cs="Arial"/>
        </w:rPr>
        <w:t xml:space="preserve">refer to page </w:t>
      </w:r>
      <w:r w:rsidR="007571BD">
        <w:rPr>
          <w:rFonts w:cs="Arial"/>
        </w:rPr>
        <w:t>11</w:t>
      </w:r>
      <w:r>
        <w:rPr>
          <w:rFonts w:cs="Arial"/>
        </w:rPr>
        <w:t>)</w:t>
      </w:r>
      <w:r w:rsidRPr="009D31BF">
        <w:rPr>
          <w:rFonts w:cs="Arial"/>
        </w:rPr>
        <w:t xml:space="preserve">. These principles do not include every desired attribute of a best practice regulator, but attempt to draw together the most important areas for the Department to concentrate on. </w:t>
      </w:r>
      <w:r>
        <w:rPr>
          <w:rFonts w:cs="Arial"/>
        </w:rPr>
        <w:t>As the Department evolves, t</w:t>
      </w:r>
      <w:r w:rsidRPr="009D31BF">
        <w:rPr>
          <w:rFonts w:cs="Arial"/>
        </w:rPr>
        <w:t>he</w:t>
      </w:r>
      <w:r>
        <w:rPr>
          <w:rFonts w:cs="Arial"/>
        </w:rPr>
        <w:t>se</w:t>
      </w:r>
      <w:r w:rsidRPr="009D31BF">
        <w:rPr>
          <w:rFonts w:cs="Arial"/>
        </w:rPr>
        <w:t xml:space="preserve"> </w:t>
      </w:r>
      <w:r>
        <w:rPr>
          <w:rFonts w:cs="Arial"/>
        </w:rPr>
        <w:t xml:space="preserve">focus areas </w:t>
      </w:r>
      <w:r w:rsidRPr="009D31BF">
        <w:rPr>
          <w:rFonts w:cs="Arial"/>
        </w:rPr>
        <w:t>may change over time.</w:t>
      </w:r>
    </w:p>
    <w:p w:rsidR="00E824F7" w:rsidRDefault="00E824F7" w:rsidP="00E824F7">
      <w:pPr>
        <w:tabs>
          <w:tab w:val="left" w:pos="3990"/>
        </w:tabs>
        <w:rPr>
          <w:rFonts w:cs="Arial"/>
        </w:rPr>
      </w:pPr>
      <w:r w:rsidRPr="009D31BF">
        <w:rPr>
          <w:rFonts w:cs="Arial"/>
        </w:rPr>
        <w:t xml:space="preserve">The </w:t>
      </w:r>
      <w:r>
        <w:rPr>
          <w:rFonts w:cs="Arial"/>
        </w:rPr>
        <w:t xml:space="preserve">Department-specific </w:t>
      </w:r>
      <w:r w:rsidRPr="009D31BF">
        <w:rPr>
          <w:rFonts w:cs="Arial"/>
        </w:rPr>
        <w:t xml:space="preserve">principles relate to the following areas: </w:t>
      </w:r>
    </w:p>
    <w:p w:rsidR="00E824F7" w:rsidRPr="009D31BF" w:rsidRDefault="00E824F7" w:rsidP="00E824F7">
      <w:pPr>
        <w:pStyle w:val="ListParagraph"/>
        <w:numPr>
          <w:ilvl w:val="0"/>
          <w:numId w:val="7"/>
        </w:numPr>
        <w:spacing w:after="0"/>
        <w:contextualSpacing/>
        <w:rPr>
          <w:rFonts w:cs="Arial"/>
        </w:rPr>
      </w:pPr>
      <w:r w:rsidRPr="009D31BF">
        <w:rPr>
          <w:rFonts w:cs="Arial"/>
        </w:rPr>
        <w:t xml:space="preserve">objectives and </w:t>
      </w:r>
      <w:r>
        <w:rPr>
          <w:rFonts w:cs="Arial"/>
        </w:rPr>
        <w:t>p</w:t>
      </w:r>
      <w:r w:rsidRPr="009D31BF">
        <w:rPr>
          <w:rFonts w:cs="Arial"/>
        </w:rPr>
        <w:t>erformance;</w:t>
      </w:r>
    </w:p>
    <w:p w:rsidR="00B70AA8" w:rsidRPr="009D31BF" w:rsidRDefault="00B70AA8" w:rsidP="00B70AA8">
      <w:pPr>
        <w:pStyle w:val="ListParagraph"/>
        <w:numPr>
          <w:ilvl w:val="0"/>
          <w:numId w:val="7"/>
        </w:numPr>
        <w:spacing w:after="0"/>
        <w:contextualSpacing/>
        <w:rPr>
          <w:rFonts w:cs="Arial"/>
        </w:rPr>
      </w:pPr>
      <w:r w:rsidRPr="009D31BF">
        <w:rPr>
          <w:rFonts w:cs="Arial"/>
        </w:rPr>
        <w:t>approach to regulation;</w:t>
      </w:r>
    </w:p>
    <w:p w:rsidR="00E824F7" w:rsidRPr="009D31BF" w:rsidRDefault="00E824F7" w:rsidP="00E824F7">
      <w:pPr>
        <w:pStyle w:val="ListParagraph"/>
        <w:numPr>
          <w:ilvl w:val="0"/>
          <w:numId w:val="7"/>
        </w:numPr>
        <w:spacing w:after="0"/>
        <w:contextualSpacing/>
        <w:rPr>
          <w:rFonts w:cs="Arial"/>
        </w:rPr>
      </w:pPr>
      <w:r w:rsidRPr="009D31BF">
        <w:rPr>
          <w:rFonts w:cs="Arial"/>
        </w:rPr>
        <w:t>approach to risk;</w:t>
      </w:r>
    </w:p>
    <w:p w:rsidR="00E824F7" w:rsidRPr="009D31BF" w:rsidRDefault="00E824F7" w:rsidP="00E824F7">
      <w:pPr>
        <w:pStyle w:val="ListParagraph"/>
        <w:numPr>
          <w:ilvl w:val="0"/>
          <w:numId w:val="7"/>
        </w:numPr>
        <w:spacing w:after="0"/>
        <w:contextualSpacing/>
        <w:rPr>
          <w:rFonts w:cs="Arial"/>
        </w:rPr>
      </w:pPr>
      <w:r w:rsidRPr="009D31BF">
        <w:rPr>
          <w:rFonts w:cs="Arial"/>
        </w:rPr>
        <w:t>people;</w:t>
      </w:r>
    </w:p>
    <w:p w:rsidR="00E824F7" w:rsidRPr="009D31BF" w:rsidRDefault="00E824F7" w:rsidP="00E824F7">
      <w:pPr>
        <w:pStyle w:val="ListParagraph"/>
        <w:numPr>
          <w:ilvl w:val="0"/>
          <w:numId w:val="7"/>
        </w:numPr>
        <w:spacing w:after="0"/>
        <w:contextualSpacing/>
        <w:rPr>
          <w:rFonts w:cs="Arial"/>
        </w:rPr>
      </w:pPr>
      <w:r w:rsidRPr="009D31BF">
        <w:rPr>
          <w:rFonts w:cs="Arial"/>
        </w:rPr>
        <w:t>engagement with stakeholders;</w:t>
      </w:r>
    </w:p>
    <w:p w:rsidR="00E824F7" w:rsidRPr="009D31BF" w:rsidRDefault="00E824F7" w:rsidP="00E824F7">
      <w:pPr>
        <w:pStyle w:val="ListParagraph"/>
        <w:numPr>
          <w:ilvl w:val="0"/>
          <w:numId w:val="7"/>
        </w:numPr>
        <w:spacing w:after="0"/>
        <w:contextualSpacing/>
        <w:rPr>
          <w:rFonts w:cs="Arial"/>
        </w:rPr>
      </w:pPr>
      <w:r w:rsidRPr="009D31BF">
        <w:rPr>
          <w:rFonts w:cs="Arial"/>
        </w:rPr>
        <w:t>systems and tools; and</w:t>
      </w:r>
    </w:p>
    <w:p w:rsidR="00E824F7" w:rsidRPr="009D31BF" w:rsidRDefault="00E824F7" w:rsidP="00E824F7">
      <w:pPr>
        <w:pStyle w:val="ListParagraph"/>
        <w:numPr>
          <w:ilvl w:val="0"/>
          <w:numId w:val="7"/>
        </w:numPr>
        <w:spacing w:after="0"/>
        <w:contextualSpacing/>
        <w:rPr>
          <w:rFonts w:cs="Arial"/>
        </w:rPr>
      </w:pPr>
      <w:r w:rsidRPr="009D31BF">
        <w:rPr>
          <w:rFonts w:cs="Arial"/>
        </w:rPr>
        <w:lastRenderedPageBreak/>
        <w:t>approach to determinations, compliance and enforcement.</w:t>
      </w:r>
    </w:p>
    <w:p w:rsidR="00E824F7" w:rsidRPr="009D31BF" w:rsidRDefault="00E824F7" w:rsidP="00E824F7">
      <w:pPr>
        <w:pStyle w:val="ListParagraph"/>
        <w:numPr>
          <w:ilvl w:val="0"/>
          <w:numId w:val="0"/>
        </w:numPr>
        <w:spacing w:after="0" w:line="240" w:lineRule="auto"/>
        <w:ind w:left="1080"/>
        <w:contextualSpacing/>
        <w:rPr>
          <w:rFonts w:cs="Arial"/>
        </w:rPr>
      </w:pPr>
    </w:p>
    <w:p w:rsidR="00E824F7" w:rsidRPr="004E1478" w:rsidRDefault="00E824F7" w:rsidP="00E824F7">
      <w:pPr>
        <w:tabs>
          <w:tab w:val="left" w:pos="3990"/>
        </w:tabs>
        <w:rPr>
          <w:rFonts w:cs="Arial"/>
        </w:rPr>
      </w:pPr>
      <w:r w:rsidRPr="00B41353">
        <w:rPr>
          <w:rFonts w:cs="Arial"/>
        </w:rPr>
        <w:t xml:space="preserve">This list of principles </w:t>
      </w:r>
      <w:r w:rsidR="00797C11">
        <w:rPr>
          <w:rFonts w:cs="Arial"/>
        </w:rPr>
        <w:t xml:space="preserve">should be adopted by the </w:t>
      </w:r>
      <w:r w:rsidRPr="00B41353">
        <w:rPr>
          <w:rFonts w:cs="Arial"/>
        </w:rPr>
        <w:t>Department</w:t>
      </w:r>
      <w:r w:rsidR="00797C11">
        <w:rPr>
          <w:rFonts w:cs="Arial"/>
        </w:rPr>
        <w:t xml:space="preserve"> and promoted by the Senior Executive</w:t>
      </w:r>
      <w:r w:rsidRPr="00B41353">
        <w:rPr>
          <w:rFonts w:cs="Arial"/>
        </w:rPr>
        <w:t xml:space="preserve"> </w:t>
      </w:r>
      <w:r w:rsidR="00E812B0">
        <w:rPr>
          <w:rFonts w:cs="Arial"/>
        </w:rPr>
        <w:t xml:space="preserve">as </w:t>
      </w:r>
      <w:r w:rsidR="00797C11">
        <w:rPr>
          <w:rFonts w:cs="Arial"/>
        </w:rPr>
        <w:t xml:space="preserve">its </w:t>
      </w:r>
      <w:r w:rsidRPr="00B41353">
        <w:rPr>
          <w:rFonts w:cs="Arial"/>
        </w:rPr>
        <w:t>expectations in relation to how the Department</w:t>
      </w:r>
      <w:r w:rsidR="00797C11">
        <w:rPr>
          <w:rFonts w:cs="Arial"/>
        </w:rPr>
        <w:t xml:space="preserve"> should</w:t>
      </w:r>
      <w:r w:rsidRPr="00B41353">
        <w:rPr>
          <w:rFonts w:cs="Arial"/>
        </w:rPr>
        <w:t xml:space="preserve"> regulate. While the list is </w:t>
      </w:r>
      <w:r w:rsidRPr="004E1478">
        <w:rPr>
          <w:rFonts w:cs="Arial"/>
        </w:rPr>
        <w:t xml:space="preserve">primarily for use by internal staff, it should also be publicly available. </w:t>
      </w:r>
    </w:p>
    <w:p w:rsidR="00E824F7" w:rsidRDefault="00E824F7" w:rsidP="00E824F7">
      <w:pPr>
        <w:tabs>
          <w:tab w:val="left" w:pos="3990"/>
        </w:tabs>
        <w:rPr>
          <w:rFonts w:cs="Arial"/>
        </w:rPr>
      </w:pPr>
      <w:r w:rsidRPr="004E1478">
        <w:rPr>
          <w:rFonts w:cs="Arial"/>
        </w:rPr>
        <w:t>For each of the above areas, this Report includes findings in relation to the current performance of EPG, and recommendations to improve performance.</w:t>
      </w:r>
    </w:p>
    <w:p w:rsidR="00E824F7" w:rsidRDefault="00E824F7" w:rsidP="00225216">
      <w:pPr>
        <w:pStyle w:val="Heading1"/>
        <w:spacing w:before="120" w:after="120"/>
        <w:jc w:val="center"/>
        <w:rPr>
          <w:color w:val="0B5294" w:themeColor="accent1" w:themeShade="BF"/>
          <w:sz w:val="36"/>
          <w:szCs w:val="36"/>
        </w:rPr>
      </w:pPr>
      <w:r>
        <w:rPr>
          <w:color w:val="0B5294" w:themeColor="accent1" w:themeShade="BF"/>
          <w:sz w:val="36"/>
          <w:szCs w:val="36"/>
        </w:rPr>
        <w:t>KEY FINDINGS AND RECOMMENDATIONS BY CHAPTER</w:t>
      </w:r>
    </w:p>
    <w:p w:rsidR="00E824F7" w:rsidRDefault="00E824F7" w:rsidP="00225216">
      <w:pPr>
        <w:pStyle w:val="Heading1"/>
        <w:spacing w:before="120" w:after="120"/>
        <w:rPr>
          <w:color w:val="0B5294" w:themeColor="accent1" w:themeShade="BF"/>
          <w:sz w:val="28"/>
          <w:szCs w:val="28"/>
        </w:rPr>
      </w:pPr>
      <w:r>
        <w:rPr>
          <w:color w:val="0B5294" w:themeColor="accent1" w:themeShade="BF"/>
          <w:sz w:val="28"/>
          <w:szCs w:val="28"/>
        </w:rPr>
        <w:t>chapter 1: our objectives and performance</w:t>
      </w:r>
    </w:p>
    <w:p w:rsidR="00E824F7" w:rsidRDefault="00E824F7" w:rsidP="00225216">
      <w:pPr>
        <w:rPr>
          <w:rFonts w:cs="Arial"/>
        </w:rPr>
      </w:pPr>
      <w:r>
        <w:rPr>
          <w:rFonts w:cs="Arial"/>
        </w:rPr>
        <w:t>A mature regulator has a clear understanding of the objectives of the regulatory regime in which it operates. A mature regulator articulates how it proposes to meet those objectives, the Government’s expectations, and the way in which its performance will be evaluated and reported. This helps to determine internal priorities and processes, and improves transparency and accountability. A mature regulator also embeds a process for reviewing and improving its activities as part of a continuous improvement strategy.</w:t>
      </w:r>
    </w:p>
    <w:p w:rsidR="00E824F7" w:rsidRPr="00225216" w:rsidRDefault="00E824F7" w:rsidP="00225216">
      <w:pPr>
        <w:rPr>
          <w:rFonts w:cs="Arial"/>
        </w:rPr>
      </w:pPr>
      <w:r w:rsidRPr="00225216">
        <w:rPr>
          <w:rFonts w:cs="Arial"/>
        </w:rPr>
        <w:t>The Project found that the Department does not have an overarching regulatory posture, which makes it difficult to ensure a consistent approach across the various regulatory activities. While both ESD and WHaM have business plans, their Key Performance Indicators could be made clearer and more measurable to allow better performance monitoring and evaluation. EPG has started to build in reviews to improve policies, but this needs to be done systematically across EPG. There are also opportunities to improve regulatory governance structures.</w:t>
      </w:r>
    </w:p>
    <w:p w:rsidR="00E824F7" w:rsidRPr="00225216" w:rsidRDefault="00E824F7" w:rsidP="00225216">
      <w:pPr>
        <w:rPr>
          <w:rFonts w:cs="Arial"/>
        </w:rPr>
      </w:pPr>
      <w:r w:rsidRPr="00225216">
        <w:rPr>
          <w:rFonts w:cs="Arial"/>
        </w:rPr>
        <w:t xml:space="preserve">Chapter 1 makes a range of recommendations relating to EPG and the Department’s objectives and performance management, including: </w:t>
      </w:r>
    </w:p>
    <w:p w:rsidR="00E824F7" w:rsidRPr="00225216" w:rsidRDefault="00E824F7" w:rsidP="00E65120">
      <w:pPr>
        <w:pStyle w:val="ListParagraph"/>
        <w:numPr>
          <w:ilvl w:val="0"/>
          <w:numId w:val="39"/>
        </w:numPr>
        <w:spacing w:before="120" w:after="120"/>
      </w:pPr>
      <w:r w:rsidRPr="00225216">
        <w:t xml:space="preserve">development of a new Regulatory Framework; </w:t>
      </w:r>
    </w:p>
    <w:p w:rsidR="00E824F7" w:rsidRPr="00225216" w:rsidRDefault="00E824F7" w:rsidP="00E65120">
      <w:pPr>
        <w:pStyle w:val="ListParagraph"/>
        <w:numPr>
          <w:ilvl w:val="0"/>
          <w:numId w:val="39"/>
        </w:numPr>
        <w:spacing w:before="120" w:after="120"/>
      </w:pPr>
      <w:r w:rsidRPr="00225216">
        <w:t>designing robust and measurable objectives and KPIs relating to regulatory activities;</w:t>
      </w:r>
    </w:p>
    <w:p w:rsidR="00E824F7" w:rsidRPr="00225216" w:rsidRDefault="00E824F7" w:rsidP="00E65120">
      <w:pPr>
        <w:pStyle w:val="ListParagraph"/>
        <w:numPr>
          <w:ilvl w:val="0"/>
          <w:numId w:val="39"/>
        </w:numPr>
        <w:spacing w:before="120" w:after="120"/>
      </w:pPr>
      <w:r w:rsidRPr="00225216">
        <w:t>the establishment of an oversight body to consider the Department’s regulatory policies and posture; and</w:t>
      </w:r>
    </w:p>
    <w:p w:rsidR="00E824F7" w:rsidRPr="00225216" w:rsidRDefault="00E824F7" w:rsidP="00E65120">
      <w:pPr>
        <w:pStyle w:val="ListParagraph"/>
        <w:numPr>
          <w:ilvl w:val="0"/>
          <w:numId w:val="39"/>
        </w:numPr>
        <w:spacing w:before="120" w:after="120"/>
      </w:pPr>
      <w:r w:rsidRPr="00225216">
        <w:t>committing resources for systematic monitoring, analysis and improvement.</w:t>
      </w:r>
    </w:p>
    <w:p w:rsidR="00E824F7" w:rsidRDefault="00E824F7" w:rsidP="00225216">
      <w:pPr>
        <w:pStyle w:val="Heading1"/>
        <w:spacing w:before="240" w:after="120"/>
        <w:rPr>
          <w:color w:val="0B5294" w:themeColor="accent1" w:themeShade="BF"/>
          <w:sz w:val="28"/>
          <w:szCs w:val="28"/>
        </w:rPr>
      </w:pPr>
      <w:r>
        <w:rPr>
          <w:color w:val="0B5294" w:themeColor="accent1" w:themeShade="BF"/>
          <w:sz w:val="28"/>
          <w:szCs w:val="28"/>
        </w:rPr>
        <w:t>chapter 2: our APPROACH TO REGULATION</w:t>
      </w:r>
    </w:p>
    <w:p w:rsidR="00E824F7" w:rsidRDefault="00E824F7" w:rsidP="00225216">
      <w:pPr>
        <w:spacing w:before="120" w:after="120"/>
      </w:pPr>
      <w:r>
        <w:t xml:space="preserve">A mature regulator builds a large regulatory toolbox and uses the most cost effective regulatory tools, makes it simple for regulated entities to comply, has sophisticated mechanisms for problem-solving, is transparent, and uses intelligence to guide its activities. </w:t>
      </w:r>
    </w:p>
    <w:p w:rsidR="00E824F7" w:rsidRDefault="00E824F7" w:rsidP="00225216">
      <w:pPr>
        <w:spacing w:before="120" w:after="120"/>
      </w:pPr>
      <w:r>
        <w:t xml:space="preserve">The Project found that EPG recognises the need for innovation in its approach to regulation and some initiatives are already underway. However, there are currently a number of barriers limiting EPG’s regulatory capability, including culture, resourcing and legislative limitations, and inconsistency across EPG in the way regulatory activities are undertaken.   </w:t>
      </w:r>
    </w:p>
    <w:p w:rsidR="002C4D84" w:rsidRDefault="002C4D84" w:rsidP="00225216">
      <w:pPr>
        <w:spacing w:before="120" w:after="120"/>
      </w:pPr>
    </w:p>
    <w:p w:rsidR="002C4D84" w:rsidRDefault="002C4D84" w:rsidP="00225216">
      <w:pPr>
        <w:spacing w:before="120" w:after="120"/>
      </w:pPr>
    </w:p>
    <w:p w:rsidR="00E824F7" w:rsidRDefault="00E824F7" w:rsidP="00225216">
      <w:pPr>
        <w:spacing w:before="120" w:after="120"/>
      </w:pPr>
      <w:r>
        <w:lastRenderedPageBreak/>
        <w:t xml:space="preserve">Chapter 2 makes a range of recommendations for aspects of EPG’s assessment, conditioning, compliance and enforcement activities, including: </w:t>
      </w:r>
    </w:p>
    <w:p w:rsidR="00E824F7" w:rsidRDefault="00E824F7" w:rsidP="00E65120">
      <w:pPr>
        <w:pStyle w:val="ListParagraph"/>
        <w:numPr>
          <w:ilvl w:val="0"/>
          <w:numId w:val="39"/>
        </w:numPr>
        <w:spacing w:before="120" w:after="120"/>
      </w:pPr>
      <w:r>
        <w:t>enhancing problem solving and broadening the regulatory and compliance tools used by ESD;</w:t>
      </w:r>
    </w:p>
    <w:p w:rsidR="00E824F7" w:rsidRDefault="00E824F7" w:rsidP="00E65120">
      <w:pPr>
        <w:pStyle w:val="ListParagraph"/>
        <w:numPr>
          <w:ilvl w:val="0"/>
          <w:numId w:val="39"/>
        </w:numPr>
        <w:spacing w:before="120" w:after="120"/>
      </w:pPr>
      <w:r>
        <w:t>reducing reliance on management plans;</w:t>
      </w:r>
    </w:p>
    <w:p w:rsidR="00E824F7" w:rsidRDefault="00E824F7" w:rsidP="00E65120">
      <w:pPr>
        <w:pStyle w:val="ListParagraph"/>
        <w:numPr>
          <w:ilvl w:val="0"/>
          <w:numId w:val="39"/>
        </w:numPr>
        <w:spacing w:before="120" w:after="120"/>
      </w:pPr>
      <w:r>
        <w:t xml:space="preserve">helping regulated entities to comply with obligations; </w:t>
      </w:r>
    </w:p>
    <w:p w:rsidR="00E824F7" w:rsidRDefault="00E824F7" w:rsidP="00E65120">
      <w:pPr>
        <w:pStyle w:val="ListParagraph"/>
        <w:numPr>
          <w:ilvl w:val="0"/>
          <w:numId w:val="39"/>
        </w:numPr>
        <w:spacing w:before="120" w:after="120"/>
      </w:pPr>
      <w:r>
        <w:t>providing all stakeholders with more information about policies and decisions; and</w:t>
      </w:r>
    </w:p>
    <w:p w:rsidR="002C4D84" w:rsidRDefault="00E824F7" w:rsidP="002C4D84">
      <w:pPr>
        <w:pStyle w:val="ListParagraph"/>
        <w:numPr>
          <w:ilvl w:val="0"/>
          <w:numId w:val="39"/>
        </w:numPr>
        <w:spacing w:before="120" w:after="120"/>
      </w:pPr>
      <w:r>
        <w:t xml:space="preserve">further developing its intelligence capability.  </w:t>
      </w:r>
    </w:p>
    <w:p w:rsidR="004E3028" w:rsidRDefault="00E824F7">
      <w:pPr>
        <w:pStyle w:val="Heading1"/>
        <w:spacing w:before="240" w:after="120"/>
        <w:rPr>
          <w:color w:val="0B5294" w:themeColor="accent1" w:themeShade="BF"/>
          <w:sz w:val="28"/>
          <w:szCs w:val="28"/>
        </w:rPr>
      </w:pPr>
      <w:r>
        <w:rPr>
          <w:color w:val="0B5294" w:themeColor="accent1" w:themeShade="BF"/>
          <w:sz w:val="28"/>
          <w:szCs w:val="28"/>
        </w:rPr>
        <w:t>chapter 3: our PEOPLE</w:t>
      </w:r>
    </w:p>
    <w:p w:rsidR="00E824F7" w:rsidRPr="00395A4F" w:rsidRDefault="00E824F7" w:rsidP="00225216">
      <w:pPr>
        <w:pStyle w:val="Heading1"/>
        <w:spacing w:before="120" w:after="120"/>
        <w:rPr>
          <w:color w:val="0B5294" w:themeColor="accent1" w:themeShade="BF"/>
          <w:u w:val="single"/>
        </w:rPr>
      </w:pPr>
      <w:r>
        <w:rPr>
          <w:color w:val="0B5294" w:themeColor="accent1" w:themeShade="BF"/>
          <w:u w:val="single"/>
        </w:rPr>
        <w:t>Regulatory skills and capabilities</w:t>
      </w:r>
    </w:p>
    <w:p w:rsidR="00E824F7" w:rsidRDefault="00E824F7" w:rsidP="00225216">
      <w:pPr>
        <w:pStyle w:val="ListBullet"/>
        <w:numPr>
          <w:ilvl w:val="0"/>
          <w:numId w:val="0"/>
        </w:numPr>
        <w:spacing w:before="120" w:after="120"/>
        <w:rPr>
          <w:rFonts w:cs="Arial"/>
        </w:rPr>
      </w:pPr>
      <w:r>
        <w:rPr>
          <w:rFonts w:cs="Arial"/>
        </w:rPr>
        <w:t>A mature regulator ensures that its staff are well trained and supported by integrated business systems and tools, so that officers are proficient in regulatory processes and have a clear understanding of the judgement and analysis required at each step.</w:t>
      </w:r>
      <w:r w:rsidRPr="000E5920">
        <w:rPr>
          <w:rFonts w:cs="Arial"/>
        </w:rPr>
        <w:t xml:space="preserve"> </w:t>
      </w:r>
    </w:p>
    <w:p w:rsidR="00E824F7" w:rsidRDefault="00E824F7" w:rsidP="00225216">
      <w:pPr>
        <w:pStyle w:val="ListBullet"/>
        <w:numPr>
          <w:ilvl w:val="0"/>
          <w:numId w:val="0"/>
        </w:numPr>
        <w:spacing w:before="120" w:after="120"/>
        <w:rPr>
          <w:rFonts w:cs="Arial"/>
        </w:rPr>
      </w:pPr>
      <w:r>
        <w:rPr>
          <w:rFonts w:cs="Arial"/>
        </w:rPr>
        <w:t xml:space="preserve">A mature regulator also recognises the importance of internal linkages. A mature regulator is concerned less about formal structures and more about identifying the most important problems and mobilising all relevant areas to work together to manage issues from an end-to-end perspective. </w:t>
      </w:r>
    </w:p>
    <w:p w:rsidR="00E824F7" w:rsidRDefault="00E824F7" w:rsidP="00225216">
      <w:pPr>
        <w:spacing w:before="120" w:after="120"/>
        <w:rPr>
          <w:rFonts w:cs="Arial"/>
        </w:rPr>
      </w:pPr>
      <w:r>
        <w:t xml:space="preserve">The Project notes that EPG is committed to transforming into a best practice regulatory agency, and staff are committed and capable. However, </w:t>
      </w:r>
      <w:r w:rsidRPr="009D31BF">
        <w:rPr>
          <w:rFonts w:cs="Arial"/>
        </w:rPr>
        <w:t>the transition to best practice is</w:t>
      </w:r>
      <w:r>
        <w:rPr>
          <w:rFonts w:cs="Arial"/>
        </w:rPr>
        <w:t xml:space="preserve"> somewhat</w:t>
      </w:r>
      <w:r w:rsidRPr="009D31BF">
        <w:rPr>
          <w:rFonts w:cs="Arial"/>
        </w:rPr>
        <w:t xml:space="preserve"> impeded by </w:t>
      </w:r>
      <w:r>
        <w:rPr>
          <w:rFonts w:cs="Arial"/>
        </w:rPr>
        <w:t>a</w:t>
      </w:r>
      <w:r w:rsidRPr="009D31BF">
        <w:rPr>
          <w:rFonts w:cs="Arial"/>
        </w:rPr>
        <w:t xml:space="preserve"> lack of regulatory </w:t>
      </w:r>
      <w:r>
        <w:rPr>
          <w:rFonts w:cs="Arial"/>
        </w:rPr>
        <w:t xml:space="preserve">experience and expertise in EPG and the </w:t>
      </w:r>
      <w:r w:rsidRPr="009D31BF">
        <w:rPr>
          <w:rFonts w:cs="Arial"/>
        </w:rPr>
        <w:t xml:space="preserve">Department, including in the </w:t>
      </w:r>
      <w:r w:rsidR="00C22CBC">
        <w:rPr>
          <w:rFonts w:cs="Arial"/>
        </w:rPr>
        <w:t>Senior Executive</w:t>
      </w:r>
      <w:r w:rsidRPr="009D31BF">
        <w:rPr>
          <w:rFonts w:cs="Arial"/>
        </w:rPr>
        <w:t xml:space="preserve">. </w:t>
      </w:r>
    </w:p>
    <w:p w:rsidR="00E824F7" w:rsidRDefault="00E824F7" w:rsidP="00225216">
      <w:pPr>
        <w:spacing w:before="120" w:after="120"/>
      </w:pPr>
      <w:r w:rsidRPr="00031DF9">
        <w:t>The Project</w:t>
      </w:r>
      <w:r>
        <w:t xml:space="preserve"> </w:t>
      </w:r>
      <w:r w:rsidRPr="00031DF9">
        <w:t xml:space="preserve">found </w:t>
      </w:r>
      <w:r>
        <w:t xml:space="preserve">that recruitment and training has historically focused on subject matter expertise or generic government skills, rather than a good understanding of regulation and best practice.  EPG lacks an integrated capability framework or training program to develop regulatory skills in relevant staff. There </w:t>
      </w:r>
      <w:r w:rsidRPr="00031DF9">
        <w:t>are</w:t>
      </w:r>
      <w:r>
        <w:t xml:space="preserve"> also</w:t>
      </w:r>
      <w:r w:rsidRPr="00031DF9">
        <w:t xml:space="preserve"> gaps in responsibility for the coordination of regulatory policy, guidance material, processes, IT, and training across EPG. </w:t>
      </w:r>
    </w:p>
    <w:p w:rsidR="00E824F7" w:rsidRDefault="00E824F7" w:rsidP="00225216">
      <w:pPr>
        <w:spacing w:before="120" w:after="120"/>
        <w:ind w:left="369" w:hanging="369"/>
      </w:pPr>
      <w:r>
        <w:t>Chapter 3 also includes recommendations on:</w:t>
      </w:r>
    </w:p>
    <w:p w:rsidR="00E824F7" w:rsidRDefault="00E824F7" w:rsidP="00E65120">
      <w:pPr>
        <w:pStyle w:val="ListParagraph"/>
        <w:numPr>
          <w:ilvl w:val="0"/>
          <w:numId w:val="39"/>
        </w:numPr>
        <w:spacing w:before="120" w:after="120"/>
      </w:pPr>
      <w:r>
        <w:t>development of a Capability Framework for regulatory officers;</w:t>
      </w:r>
    </w:p>
    <w:p w:rsidR="00E824F7" w:rsidRDefault="00E824F7" w:rsidP="00E65120">
      <w:pPr>
        <w:pStyle w:val="ListParagraph"/>
        <w:numPr>
          <w:ilvl w:val="0"/>
          <w:numId w:val="39"/>
        </w:numPr>
        <w:spacing w:before="120" w:after="120"/>
      </w:pPr>
      <w:r>
        <w:t>establishment of formal and informal training and induction programs;</w:t>
      </w:r>
    </w:p>
    <w:p w:rsidR="00E824F7" w:rsidRDefault="00E824F7" w:rsidP="00E65120">
      <w:pPr>
        <w:pStyle w:val="ListParagraph"/>
        <w:numPr>
          <w:ilvl w:val="0"/>
          <w:numId w:val="39"/>
        </w:numPr>
        <w:spacing w:before="120" w:after="120"/>
      </w:pPr>
      <w:r>
        <w:t xml:space="preserve">adoption of a consistent approach with staff in times of change; and </w:t>
      </w:r>
    </w:p>
    <w:p w:rsidR="00E824F7" w:rsidRDefault="00E824F7" w:rsidP="00E65120">
      <w:pPr>
        <w:pStyle w:val="ListParagraph"/>
        <w:numPr>
          <w:ilvl w:val="0"/>
          <w:numId w:val="39"/>
        </w:numPr>
        <w:spacing w:before="120" w:after="120"/>
      </w:pPr>
      <w:r>
        <w:t xml:space="preserve">maintaining and enhancing support for innovation. </w:t>
      </w:r>
    </w:p>
    <w:p w:rsidR="00E824F7" w:rsidRPr="00395A4F" w:rsidRDefault="00E824F7" w:rsidP="00225216">
      <w:pPr>
        <w:pStyle w:val="Heading1"/>
        <w:spacing w:before="120" w:after="120"/>
        <w:rPr>
          <w:color w:val="0B5294" w:themeColor="accent1" w:themeShade="BF"/>
          <w:u w:val="single"/>
        </w:rPr>
      </w:pPr>
      <w:r>
        <w:rPr>
          <w:color w:val="0B5294" w:themeColor="accent1" w:themeShade="BF"/>
          <w:u w:val="single"/>
        </w:rPr>
        <w:t>Structures and linkages</w:t>
      </w:r>
    </w:p>
    <w:p w:rsidR="00E824F7" w:rsidRDefault="00E824F7" w:rsidP="00225216">
      <w:pPr>
        <w:pStyle w:val="ListParagraph"/>
        <w:numPr>
          <w:ilvl w:val="0"/>
          <w:numId w:val="0"/>
        </w:numPr>
        <w:spacing w:before="120" w:after="120"/>
        <w:contextualSpacing/>
        <w:rPr>
          <w:rFonts w:cs="Arial"/>
        </w:rPr>
      </w:pPr>
      <w:r>
        <w:rPr>
          <w:rFonts w:cs="Arial"/>
        </w:rPr>
        <w:t>There is no perfect structure for a regulator, and t</w:t>
      </w:r>
      <w:r w:rsidRPr="009D31BF">
        <w:rPr>
          <w:rFonts w:cs="Arial"/>
        </w:rPr>
        <w:t>he Project does not recommend major structural change. Nonetheless, there are some areas where changes to responsibilities and reporting arrangements would be beneficia</w:t>
      </w:r>
      <w:r>
        <w:rPr>
          <w:rFonts w:cs="Arial"/>
        </w:rPr>
        <w:t>l without significant downside, including:</w:t>
      </w:r>
    </w:p>
    <w:p w:rsidR="00E824F7" w:rsidRDefault="00E824F7" w:rsidP="00225216">
      <w:pPr>
        <w:pStyle w:val="ListParagraph"/>
        <w:numPr>
          <w:ilvl w:val="0"/>
          <w:numId w:val="0"/>
        </w:numPr>
        <w:spacing w:before="120" w:after="120"/>
        <w:contextualSpacing/>
        <w:rPr>
          <w:rFonts w:cs="Arial"/>
        </w:rPr>
      </w:pPr>
    </w:p>
    <w:p w:rsidR="00E824F7" w:rsidRDefault="00E824F7" w:rsidP="00E65120">
      <w:pPr>
        <w:pStyle w:val="ListParagraph"/>
        <w:numPr>
          <w:ilvl w:val="0"/>
          <w:numId w:val="39"/>
        </w:numPr>
        <w:spacing w:before="120" w:after="120"/>
      </w:pPr>
      <w:r>
        <w:t>centralising within EPG the responsibility for managing regulatory support activities;</w:t>
      </w:r>
    </w:p>
    <w:p w:rsidR="00E824F7" w:rsidRDefault="00E824F7" w:rsidP="00E65120">
      <w:pPr>
        <w:pStyle w:val="ListParagraph"/>
        <w:numPr>
          <w:ilvl w:val="0"/>
          <w:numId w:val="39"/>
        </w:numPr>
        <w:spacing w:before="120" w:after="120"/>
      </w:pPr>
      <w:r>
        <w:t>broadening the responsibilities of the Compliance and Enforcement Branch to include all compliance and enforcement functions from WHaM and ESD; and</w:t>
      </w:r>
    </w:p>
    <w:p w:rsidR="00E824F7" w:rsidRDefault="00E824F7" w:rsidP="00E65120">
      <w:pPr>
        <w:pStyle w:val="ListParagraph"/>
        <w:numPr>
          <w:ilvl w:val="0"/>
          <w:numId w:val="39"/>
        </w:numPr>
        <w:spacing w:before="120" w:after="120"/>
      </w:pPr>
      <w:r>
        <w:t>moving responsibility for review and approval of EPBC management plans from the Compliance and Enforcement Branch to the relevant EPBC assessment Branches.</w:t>
      </w:r>
    </w:p>
    <w:p w:rsidR="00E824F7" w:rsidRDefault="00E824F7" w:rsidP="00225216">
      <w:pPr>
        <w:pStyle w:val="Heading1"/>
        <w:spacing w:before="120" w:after="120"/>
        <w:rPr>
          <w:color w:val="0B5294" w:themeColor="accent1" w:themeShade="BF"/>
          <w:sz w:val="28"/>
          <w:szCs w:val="28"/>
        </w:rPr>
      </w:pPr>
      <w:r>
        <w:rPr>
          <w:color w:val="0B5294" w:themeColor="accent1" w:themeShade="BF"/>
          <w:sz w:val="28"/>
          <w:szCs w:val="28"/>
        </w:rPr>
        <w:lastRenderedPageBreak/>
        <w:t>chapter 4: our SYSTEMS AND TOOLS</w:t>
      </w:r>
    </w:p>
    <w:p w:rsidR="00E824F7" w:rsidRDefault="00E824F7" w:rsidP="00225216">
      <w:pPr>
        <w:spacing w:before="120" w:after="120"/>
      </w:pPr>
      <w:r>
        <w:t xml:space="preserve">A mature regulator has well developed and maintained business systems and supporting tools that increase staff capacity and provide a high degree of confidence that decision making is legal, robust and predictable. </w:t>
      </w:r>
    </w:p>
    <w:p w:rsidR="00E824F7" w:rsidRDefault="00E824F7" w:rsidP="00225216">
      <w:pPr>
        <w:spacing w:before="120" w:after="120"/>
      </w:pPr>
      <w:r>
        <w:t>The Project notes that t</w:t>
      </w:r>
      <w:r w:rsidRPr="00096333">
        <w:t>he regulatory activities managed by EPG are variable and complex, and require detailed knowledge about both environmental matters and statutory requirements.</w:t>
      </w:r>
      <w:r>
        <w:t xml:space="preserve"> </w:t>
      </w:r>
    </w:p>
    <w:p w:rsidR="00E824F7" w:rsidRPr="00096333" w:rsidRDefault="00E824F7" w:rsidP="00225216">
      <w:pPr>
        <w:spacing w:before="120" w:after="120"/>
      </w:pPr>
      <w:r w:rsidRPr="00096333">
        <w:t>The Project found that there is a vast number of policies and guidance material available</w:t>
      </w:r>
      <w:r>
        <w:t xml:space="preserve"> to support the work of regulatory officers</w:t>
      </w:r>
      <w:r w:rsidRPr="00096333">
        <w:t>, but staff are overwhelmed by the volume</w:t>
      </w:r>
      <w:r>
        <w:t xml:space="preserve"> of documents</w:t>
      </w:r>
      <w:r w:rsidRPr="00096333">
        <w:t>, the lack of appropriate linkages in these documents</w:t>
      </w:r>
      <w:r>
        <w:t>,</w:t>
      </w:r>
      <w:r w:rsidRPr="00096333">
        <w:t xml:space="preserve"> and the disparate nature of their availability. Staff also indicated that many policies</w:t>
      </w:r>
      <w:r>
        <w:t xml:space="preserve"> and guidance documents</w:t>
      </w:r>
      <w:r w:rsidRPr="00096333">
        <w:t xml:space="preserve"> were out of date and difficult to understand or</w:t>
      </w:r>
      <w:r>
        <w:t xml:space="preserve"> apply.</w:t>
      </w:r>
      <w:r w:rsidRPr="00096333">
        <w:t xml:space="preserve"> As a result there is a low degree of confidence that policies</w:t>
      </w:r>
      <w:r>
        <w:t xml:space="preserve"> and guidance documents are being applied consistently.</w:t>
      </w:r>
    </w:p>
    <w:p w:rsidR="00E824F7" w:rsidRPr="00096333" w:rsidRDefault="00E824F7" w:rsidP="00225216">
      <w:pPr>
        <w:spacing w:before="120" w:after="120"/>
      </w:pPr>
      <w:r w:rsidRPr="00096333">
        <w:t xml:space="preserve">It is generally accepted within the Department that the current business and IT systems are inadequate to meet the Department’s </w:t>
      </w:r>
      <w:r>
        <w:t xml:space="preserve">requirements.  A key factor contributing to the </w:t>
      </w:r>
      <w:r w:rsidRPr="00096333">
        <w:t>error in the Carmichael case was a breakdown in the flow of information across different areas. Better</w:t>
      </w:r>
      <w:r>
        <w:t xml:space="preserve"> business processes, including better</w:t>
      </w:r>
      <w:r w:rsidRPr="00096333">
        <w:t xml:space="preserve"> coordination and a more mature IT system across the various work areas would have reduced the likelihood of the circumstances occurring that underpinned the Carmichael case. </w:t>
      </w:r>
    </w:p>
    <w:p w:rsidR="00E824F7" w:rsidRDefault="00E824F7" w:rsidP="00225216">
      <w:pPr>
        <w:spacing w:before="120" w:after="120"/>
      </w:pPr>
      <w:r w:rsidRPr="00096333">
        <w:t>The Department’s IT systems are being enhanced, with some recent improvements implemented and more in development or in planning</w:t>
      </w:r>
      <w:r>
        <w:t xml:space="preserve">. </w:t>
      </w:r>
    </w:p>
    <w:p w:rsidR="00E824F7" w:rsidRDefault="00E824F7" w:rsidP="00225216">
      <w:pPr>
        <w:spacing w:before="120" w:after="120"/>
      </w:pPr>
      <w:r>
        <w:t>Chapter 4 makes recommendations for EPG regarding IT and business tools, including:</w:t>
      </w:r>
    </w:p>
    <w:p w:rsidR="00E824F7" w:rsidRDefault="00E824F7" w:rsidP="00E65120">
      <w:pPr>
        <w:pStyle w:val="ListParagraph"/>
        <w:numPr>
          <w:ilvl w:val="0"/>
          <w:numId w:val="39"/>
        </w:numPr>
        <w:spacing w:before="120" w:after="120"/>
      </w:pPr>
      <w:r>
        <w:t>developing an end-to-end IT system that manages projects from pre-referral through to compliance;</w:t>
      </w:r>
    </w:p>
    <w:p w:rsidR="00E824F7" w:rsidRDefault="00E824F7" w:rsidP="00E65120">
      <w:pPr>
        <w:pStyle w:val="ListParagraph"/>
        <w:numPr>
          <w:ilvl w:val="0"/>
          <w:numId w:val="39"/>
        </w:numPr>
        <w:spacing w:before="120" w:after="120"/>
      </w:pPr>
      <w:r>
        <w:t xml:space="preserve">creating a central support team to assist with the development and maintenance of business tools across EPG; </w:t>
      </w:r>
    </w:p>
    <w:p w:rsidR="00E824F7" w:rsidRDefault="00E824F7" w:rsidP="00E65120">
      <w:pPr>
        <w:pStyle w:val="ListParagraph"/>
        <w:numPr>
          <w:ilvl w:val="0"/>
          <w:numId w:val="39"/>
        </w:numPr>
        <w:spacing w:before="120" w:after="120"/>
      </w:pPr>
      <w:r>
        <w:t xml:space="preserve">increasing investment in IT systems as a high priority; and </w:t>
      </w:r>
    </w:p>
    <w:p w:rsidR="00E824F7" w:rsidRDefault="00E824F7" w:rsidP="00E65120">
      <w:pPr>
        <w:pStyle w:val="ListParagraph"/>
        <w:numPr>
          <w:ilvl w:val="0"/>
          <w:numId w:val="39"/>
        </w:numPr>
        <w:spacing w:before="120" w:after="120"/>
      </w:pPr>
      <w:r>
        <w:t xml:space="preserve">enhancing governance arrangements for the development and implementation of IT systems.  </w:t>
      </w:r>
    </w:p>
    <w:p w:rsidR="00E824F7" w:rsidRDefault="00E824F7" w:rsidP="00225216">
      <w:pPr>
        <w:pStyle w:val="Heading1"/>
        <w:spacing w:before="120" w:after="120"/>
        <w:rPr>
          <w:color w:val="0B5294" w:themeColor="accent1" w:themeShade="BF"/>
          <w:sz w:val="28"/>
          <w:szCs w:val="28"/>
        </w:rPr>
      </w:pPr>
      <w:r>
        <w:rPr>
          <w:color w:val="0B5294" w:themeColor="accent1" w:themeShade="BF"/>
          <w:sz w:val="28"/>
          <w:szCs w:val="28"/>
        </w:rPr>
        <w:t>chapter 5: our APPROACH TO RISK</w:t>
      </w:r>
    </w:p>
    <w:p w:rsidR="00E824F7" w:rsidRDefault="00E824F7" w:rsidP="00225216">
      <w:pPr>
        <w:pStyle w:val="ListBullet"/>
        <w:numPr>
          <w:ilvl w:val="0"/>
          <w:numId w:val="0"/>
        </w:numPr>
        <w:spacing w:before="120" w:after="120"/>
        <w:rPr>
          <w:rFonts w:cs="Arial"/>
        </w:rPr>
      </w:pPr>
      <w:r>
        <w:rPr>
          <w:rFonts w:cs="Arial"/>
        </w:rPr>
        <w:t>A mature regulator has a well established and well understood risk framework which:</w:t>
      </w:r>
    </w:p>
    <w:p w:rsidR="00E824F7" w:rsidRDefault="00E824F7" w:rsidP="00E65120">
      <w:pPr>
        <w:pStyle w:val="ListParagraph"/>
        <w:numPr>
          <w:ilvl w:val="0"/>
          <w:numId w:val="39"/>
        </w:numPr>
        <w:spacing w:before="120" w:after="120"/>
      </w:pPr>
      <w:r>
        <w:t>articulates the regulator’s risk culture and risk appetite;</w:t>
      </w:r>
    </w:p>
    <w:p w:rsidR="00E824F7" w:rsidRDefault="00E824F7" w:rsidP="00E65120">
      <w:pPr>
        <w:pStyle w:val="ListParagraph"/>
        <w:numPr>
          <w:ilvl w:val="0"/>
          <w:numId w:val="39"/>
        </w:numPr>
        <w:spacing w:before="120" w:after="120"/>
      </w:pPr>
      <w:r>
        <w:t>identifies the roles and responsibilities of staff, boards and committees in identifying and managing risks; and</w:t>
      </w:r>
    </w:p>
    <w:p w:rsidR="00E824F7" w:rsidRDefault="00E824F7" w:rsidP="00E65120">
      <w:pPr>
        <w:pStyle w:val="ListParagraph"/>
        <w:numPr>
          <w:ilvl w:val="0"/>
          <w:numId w:val="39"/>
        </w:numPr>
        <w:spacing w:before="120" w:after="120"/>
      </w:pPr>
      <w:r>
        <w:t xml:space="preserve">provides guidance and policies for risk management, including risk identification, analysis, prioritisation and treatment. </w:t>
      </w:r>
    </w:p>
    <w:p w:rsidR="00E824F7" w:rsidRDefault="00E824F7" w:rsidP="00225216">
      <w:pPr>
        <w:pStyle w:val="ListBullet"/>
        <w:numPr>
          <w:ilvl w:val="0"/>
          <w:numId w:val="0"/>
        </w:numPr>
        <w:spacing w:before="120" w:after="120"/>
        <w:rPr>
          <w:rFonts w:cs="Arial"/>
        </w:rPr>
      </w:pPr>
      <w:r>
        <w:rPr>
          <w:rFonts w:cs="Arial"/>
        </w:rPr>
        <w:t xml:space="preserve">The Project notes that </w:t>
      </w:r>
      <w:r w:rsidRPr="00B2287B">
        <w:rPr>
          <w:rFonts w:cs="Arial"/>
        </w:rPr>
        <w:t xml:space="preserve">the Department has a range of tools for identifying and managing risks, </w:t>
      </w:r>
      <w:r>
        <w:rPr>
          <w:rFonts w:cs="Arial"/>
        </w:rPr>
        <w:t xml:space="preserve">but </w:t>
      </w:r>
      <w:r w:rsidRPr="00B2287B">
        <w:rPr>
          <w:rFonts w:cs="Arial"/>
        </w:rPr>
        <w:t xml:space="preserve">these are primarily applied to specific projects. There does not appear to be a systematic approach </w:t>
      </w:r>
      <w:r>
        <w:rPr>
          <w:rFonts w:cs="Arial"/>
        </w:rPr>
        <w:t>for</w:t>
      </w:r>
      <w:r w:rsidRPr="00B2287B">
        <w:rPr>
          <w:rFonts w:cs="Arial"/>
        </w:rPr>
        <w:t xml:space="preserve"> identifying and managing risk across EPG’s regulatory functions or across the </w:t>
      </w:r>
      <w:r>
        <w:rPr>
          <w:rFonts w:cs="Arial"/>
        </w:rPr>
        <w:t>D</w:t>
      </w:r>
      <w:r w:rsidRPr="00B2287B">
        <w:rPr>
          <w:rFonts w:cs="Arial"/>
        </w:rPr>
        <w:t xml:space="preserve">epartment. </w:t>
      </w:r>
    </w:p>
    <w:p w:rsidR="00E824F7" w:rsidRPr="009D31BF" w:rsidRDefault="00E824F7" w:rsidP="00225216">
      <w:pPr>
        <w:pStyle w:val="ListBullet"/>
        <w:numPr>
          <w:ilvl w:val="0"/>
          <w:numId w:val="0"/>
        </w:numPr>
        <w:spacing w:before="120" w:after="120"/>
        <w:rPr>
          <w:rFonts w:cs="Arial"/>
        </w:rPr>
      </w:pPr>
      <w:r w:rsidRPr="009D31BF">
        <w:rPr>
          <w:rFonts w:cs="Arial"/>
        </w:rPr>
        <w:t xml:space="preserve">The Department has </w:t>
      </w:r>
      <w:r>
        <w:rPr>
          <w:rFonts w:cs="Arial"/>
        </w:rPr>
        <w:t>recently appointed</w:t>
      </w:r>
      <w:r w:rsidRPr="009D31BF">
        <w:rPr>
          <w:rFonts w:cs="Arial"/>
        </w:rPr>
        <w:t xml:space="preserve"> a Chief Risk Officer, which is a very positive initiative</w:t>
      </w:r>
      <w:r>
        <w:rPr>
          <w:rFonts w:cs="Arial"/>
        </w:rPr>
        <w:t>, to deepen the Department’s understanding and engagement with risk and to assist Divisions with their management of risks</w:t>
      </w:r>
      <w:r w:rsidRPr="009D31BF">
        <w:rPr>
          <w:rFonts w:cs="Arial"/>
        </w:rPr>
        <w:t>.</w:t>
      </w:r>
      <w:r>
        <w:rPr>
          <w:rFonts w:cs="Arial"/>
        </w:rPr>
        <w:t xml:space="preserve"> </w:t>
      </w:r>
    </w:p>
    <w:p w:rsidR="00E824F7" w:rsidRDefault="00E824F7" w:rsidP="00225216">
      <w:pPr>
        <w:pStyle w:val="ListBullet"/>
        <w:numPr>
          <w:ilvl w:val="0"/>
          <w:numId w:val="0"/>
        </w:numPr>
        <w:spacing w:before="120" w:after="120"/>
        <w:rPr>
          <w:rFonts w:cs="Arial"/>
        </w:rPr>
      </w:pPr>
      <w:r>
        <w:rPr>
          <w:rFonts w:cs="Arial"/>
        </w:rPr>
        <w:lastRenderedPageBreak/>
        <w:t xml:space="preserve">Chapter 5 makes recommendations </w:t>
      </w:r>
      <w:r w:rsidR="00A40743">
        <w:rPr>
          <w:rFonts w:cs="Arial"/>
        </w:rPr>
        <w:t xml:space="preserve">about </w:t>
      </w:r>
      <w:r>
        <w:rPr>
          <w:rFonts w:cs="Arial"/>
        </w:rPr>
        <w:t>EPG</w:t>
      </w:r>
      <w:r w:rsidR="00A40743">
        <w:rPr>
          <w:rFonts w:cs="Arial"/>
        </w:rPr>
        <w:t>’s</w:t>
      </w:r>
      <w:r>
        <w:rPr>
          <w:rFonts w:cs="Arial"/>
        </w:rPr>
        <w:t xml:space="preserve"> approach to risk, including:</w:t>
      </w:r>
    </w:p>
    <w:p w:rsidR="00E824F7" w:rsidRPr="008E6E6D" w:rsidRDefault="00E824F7" w:rsidP="00E65120">
      <w:pPr>
        <w:pStyle w:val="ListParagraph"/>
        <w:numPr>
          <w:ilvl w:val="0"/>
          <w:numId w:val="39"/>
        </w:numPr>
        <w:spacing w:before="120" w:after="120"/>
      </w:pPr>
      <w:r w:rsidRPr="008E6E6D">
        <w:t xml:space="preserve">reviewing the Risk Management Framework; </w:t>
      </w:r>
    </w:p>
    <w:p w:rsidR="00E824F7" w:rsidRPr="008E6E6D" w:rsidRDefault="00E824F7" w:rsidP="00E65120">
      <w:pPr>
        <w:pStyle w:val="ListParagraph"/>
        <w:numPr>
          <w:ilvl w:val="0"/>
          <w:numId w:val="39"/>
        </w:numPr>
        <w:spacing w:before="120" w:after="120"/>
      </w:pPr>
      <w:r w:rsidRPr="008E6E6D">
        <w:t>analysing risk across the EPG’s regulatory activities;</w:t>
      </w:r>
    </w:p>
    <w:p w:rsidR="00E824F7" w:rsidRPr="008E6E6D" w:rsidRDefault="00E824F7" w:rsidP="00E65120">
      <w:pPr>
        <w:pStyle w:val="ListParagraph"/>
        <w:numPr>
          <w:ilvl w:val="0"/>
          <w:numId w:val="39"/>
        </w:numPr>
        <w:spacing w:before="120" w:after="120"/>
      </w:pPr>
      <w:r w:rsidRPr="008E6E6D">
        <w:t xml:space="preserve">systematically allocating resources proportionate to risk; </w:t>
      </w:r>
    </w:p>
    <w:p w:rsidR="00E824F7" w:rsidRPr="008E6E6D" w:rsidRDefault="00E824F7" w:rsidP="00E65120">
      <w:pPr>
        <w:pStyle w:val="ListParagraph"/>
        <w:numPr>
          <w:ilvl w:val="0"/>
          <w:numId w:val="39"/>
        </w:numPr>
        <w:spacing w:before="120" w:after="120"/>
      </w:pPr>
      <w:r w:rsidRPr="008E6E6D">
        <w:t xml:space="preserve">utilising intelligence for gathering data and analysing risks; and </w:t>
      </w:r>
    </w:p>
    <w:p w:rsidR="00E824F7" w:rsidRDefault="00E824F7" w:rsidP="00E65120">
      <w:pPr>
        <w:pStyle w:val="ListParagraph"/>
        <w:numPr>
          <w:ilvl w:val="0"/>
          <w:numId w:val="39"/>
        </w:numPr>
        <w:spacing w:before="120" w:after="120"/>
      </w:pPr>
      <w:r w:rsidRPr="008E6E6D">
        <w:t>improving external communication of ris</w:t>
      </w:r>
      <w:r>
        <w:t>k</w:t>
      </w:r>
      <w:r w:rsidRPr="008E6E6D">
        <w:t>.</w:t>
      </w:r>
    </w:p>
    <w:p w:rsidR="00E824F7" w:rsidRDefault="00E824F7" w:rsidP="00225216">
      <w:pPr>
        <w:pStyle w:val="Heading1"/>
        <w:spacing w:before="120" w:after="120"/>
        <w:rPr>
          <w:color w:val="0B5294" w:themeColor="accent1" w:themeShade="BF"/>
          <w:sz w:val="28"/>
          <w:szCs w:val="28"/>
        </w:rPr>
      </w:pPr>
      <w:r>
        <w:rPr>
          <w:color w:val="0B5294" w:themeColor="accent1" w:themeShade="BF"/>
          <w:sz w:val="28"/>
          <w:szCs w:val="28"/>
        </w:rPr>
        <w:t>chapter 6: HOW WE ENGAGE</w:t>
      </w:r>
    </w:p>
    <w:p w:rsidR="00E824F7" w:rsidRDefault="00E824F7" w:rsidP="00225216">
      <w:pPr>
        <w:spacing w:before="120" w:after="120"/>
        <w:rPr>
          <w:rFonts w:cs="Arial"/>
        </w:rPr>
      </w:pPr>
      <w:r>
        <w:t xml:space="preserve">Best practice regulators adopt </w:t>
      </w:r>
      <w:r w:rsidRPr="00FA0F2A">
        <w:rPr>
          <w:rFonts w:cs="Arial"/>
        </w:rPr>
        <w:t xml:space="preserve">a strategic approach to engagement with their stakeholders, including regulated entities, other regulators and the broader community. Good engagement can improve regulatory design and implementation, build trust and increase compliance. </w:t>
      </w:r>
    </w:p>
    <w:p w:rsidR="00E824F7" w:rsidRPr="00AA785E" w:rsidRDefault="00E824F7" w:rsidP="00225216">
      <w:pPr>
        <w:spacing w:before="120" w:after="120"/>
      </w:pPr>
      <w:r>
        <w:rPr>
          <w:rFonts w:cs="Arial"/>
        </w:rPr>
        <w:t xml:space="preserve">The Project consulted </w:t>
      </w:r>
      <w:r w:rsidRPr="00FA0F2A">
        <w:rPr>
          <w:rFonts w:cs="Arial"/>
        </w:rPr>
        <w:t>external stakeholders</w:t>
      </w:r>
      <w:r>
        <w:rPr>
          <w:rFonts w:cs="Arial"/>
        </w:rPr>
        <w:t>.</w:t>
      </w:r>
      <w:r w:rsidRPr="00FA0F2A">
        <w:rPr>
          <w:rFonts w:cs="Arial"/>
        </w:rPr>
        <w:t xml:space="preserve"> </w:t>
      </w:r>
      <w:r>
        <w:rPr>
          <w:rFonts w:cs="Arial"/>
        </w:rPr>
        <w:t xml:space="preserve">Some stakeholders (particularly) requested more proactive engagement by the Department, particularly in relation to the development and implementation of new policies or other Departmental priorities or changes. Feedback from some stakeholders also suggested that some staff in EPG do not have a strong understanding of the operating environment of relevant regulated entities and the full range of factors that influence their behaviours.   </w:t>
      </w:r>
    </w:p>
    <w:p w:rsidR="00E824F7" w:rsidRDefault="00E824F7" w:rsidP="00225216">
      <w:pPr>
        <w:spacing w:before="120" w:after="120"/>
      </w:pPr>
      <w:r>
        <w:t xml:space="preserve">Chapter 6 makes recommendations for improving EPG’s maturity, including: </w:t>
      </w:r>
    </w:p>
    <w:p w:rsidR="00E824F7" w:rsidRDefault="00E824F7" w:rsidP="00E65120">
      <w:pPr>
        <w:pStyle w:val="ListParagraph"/>
        <w:numPr>
          <w:ilvl w:val="0"/>
          <w:numId w:val="39"/>
        </w:numPr>
        <w:spacing w:before="120" w:after="120"/>
      </w:pPr>
      <w:r>
        <w:t>increasing knowledge of regulated industries;</w:t>
      </w:r>
    </w:p>
    <w:p w:rsidR="00E824F7" w:rsidRDefault="00E824F7" w:rsidP="00E65120">
      <w:pPr>
        <w:pStyle w:val="ListParagraph"/>
        <w:numPr>
          <w:ilvl w:val="0"/>
          <w:numId w:val="39"/>
        </w:numPr>
        <w:spacing w:before="120" w:after="120"/>
      </w:pPr>
      <w:r>
        <w:t>reducing the burden of information requests;</w:t>
      </w:r>
    </w:p>
    <w:p w:rsidR="00E824F7" w:rsidRDefault="00E824F7" w:rsidP="00E65120">
      <w:pPr>
        <w:pStyle w:val="ListParagraph"/>
        <w:numPr>
          <w:ilvl w:val="0"/>
          <w:numId w:val="39"/>
        </w:numPr>
        <w:spacing w:before="120" w:after="120"/>
      </w:pPr>
      <w:r>
        <w:t>establishing and maintaining a single point of contact;</w:t>
      </w:r>
    </w:p>
    <w:p w:rsidR="00E824F7" w:rsidRDefault="00E824F7" w:rsidP="00E65120">
      <w:pPr>
        <w:pStyle w:val="ListParagraph"/>
        <w:numPr>
          <w:ilvl w:val="0"/>
          <w:numId w:val="39"/>
        </w:numPr>
        <w:spacing w:before="120" w:after="120"/>
      </w:pPr>
      <w:r>
        <w:t>speaking with a single voice; and</w:t>
      </w:r>
    </w:p>
    <w:p w:rsidR="00E824F7" w:rsidRDefault="00E824F7" w:rsidP="00E65120">
      <w:pPr>
        <w:pStyle w:val="ListParagraph"/>
        <w:numPr>
          <w:ilvl w:val="0"/>
          <w:numId w:val="39"/>
        </w:numPr>
        <w:spacing w:before="120" w:after="120"/>
      </w:pPr>
      <w:r>
        <w:t xml:space="preserve">improving engagement with community groups, co-regulators and communities of practice.  </w:t>
      </w:r>
    </w:p>
    <w:p w:rsidR="00E824F7" w:rsidRDefault="00E824F7" w:rsidP="00225216">
      <w:pPr>
        <w:pStyle w:val="Heading1"/>
        <w:spacing w:before="120" w:after="120"/>
      </w:pPr>
      <w:r>
        <w:rPr>
          <w:color w:val="0B5294" w:themeColor="accent1" w:themeShade="BF"/>
          <w:sz w:val="28"/>
          <w:szCs w:val="28"/>
        </w:rPr>
        <w:t>Conclusion</w:t>
      </w:r>
    </w:p>
    <w:p w:rsidR="009551C2" w:rsidRDefault="00E824F7" w:rsidP="00225216">
      <w:pPr>
        <w:tabs>
          <w:tab w:val="left" w:pos="3990"/>
        </w:tabs>
        <w:spacing w:before="120" w:after="120"/>
        <w:rPr>
          <w:b/>
          <w:sz w:val="36"/>
          <w:szCs w:val="36"/>
        </w:rPr>
      </w:pPr>
      <w:r>
        <w:rPr>
          <w:rFonts w:cs="Arial"/>
        </w:rPr>
        <w:t xml:space="preserve">The Project found that EPG has committed and skilled staff with a desire to be a best practice regulator. EPG is making demonstrable progress towards this goal. However, there needs to be further investment in regulatory design and implementation. This Report identifies a number of opportunities for improvement. Some of these improvements will be achievable within existing resources; some may be offset by further efficiency gains; and others will rely on additional commitment of resources. Any further reduction in regulatory resourcing will significantly impede EPG and the Department’s progression to best practice regulatory status. </w:t>
      </w:r>
    </w:p>
    <w:p w:rsidR="009551C2" w:rsidRDefault="009551C2" w:rsidP="00225216">
      <w:pPr>
        <w:tabs>
          <w:tab w:val="left" w:pos="3990"/>
        </w:tabs>
        <w:spacing w:before="120" w:after="120"/>
        <w:rPr>
          <w:b/>
          <w:sz w:val="36"/>
          <w:szCs w:val="36"/>
        </w:rPr>
      </w:pPr>
    </w:p>
    <w:p w:rsidR="009551C2" w:rsidRDefault="009551C2" w:rsidP="00225216">
      <w:pPr>
        <w:tabs>
          <w:tab w:val="left" w:pos="3990"/>
        </w:tabs>
        <w:spacing w:before="120" w:after="120"/>
        <w:rPr>
          <w:b/>
          <w:sz w:val="36"/>
          <w:szCs w:val="36"/>
        </w:rPr>
      </w:pPr>
    </w:p>
    <w:p w:rsidR="009551C2" w:rsidRDefault="009551C2" w:rsidP="00225216">
      <w:pPr>
        <w:tabs>
          <w:tab w:val="left" w:pos="3990"/>
        </w:tabs>
        <w:spacing w:before="120" w:after="120"/>
        <w:rPr>
          <w:rFonts w:cs="Arial"/>
        </w:rPr>
      </w:pPr>
    </w:p>
    <w:p w:rsidR="00DA3E7D" w:rsidRDefault="00DA3E7D">
      <w:pPr>
        <w:spacing w:after="0" w:line="240" w:lineRule="auto"/>
        <w:rPr>
          <w:b/>
          <w:sz w:val="36"/>
          <w:szCs w:val="36"/>
        </w:rPr>
      </w:pPr>
      <w:r>
        <w:rPr>
          <w:b/>
          <w:sz w:val="36"/>
          <w:szCs w:val="36"/>
        </w:rPr>
        <w:br w:type="page"/>
      </w:r>
    </w:p>
    <w:p w:rsidR="00E824F7" w:rsidRPr="00CD27F0" w:rsidRDefault="00E824F7" w:rsidP="00CF0341">
      <w:pPr>
        <w:spacing w:after="120"/>
        <w:jc w:val="center"/>
        <w:rPr>
          <w:b/>
          <w:color w:val="0B5294" w:themeColor="accent1" w:themeShade="BF"/>
          <w:sz w:val="28"/>
          <w:szCs w:val="28"/>
        </w:rPr>
      </w:pPr>
      <w:r w:rsidRPr="00CD27F0">
        <w:rPr>
          <w:b/>
          <w:color w:val="0B5294" w:themeColor="accent1" w:themeShade="BF"/>
          <w:sz w:val="28"/>
          <w:szCs w:val="28"/>
        </w:rPr>
        <w:lastRenderedPageBreak/>
        <w:t xml:space="preserve">EXPECTATIONS ABOUT </w:t>
      </w:r>
      <w:sdt>
        <w:sdtPr>
          <w:rPr>
            <w:b/>
            <w:color w:val="0B5294" w:themeColor="accent1" w:themeShade="BF"/>
            <w:sz w:val="28"/>
            <w:szCs w:val="28"/>
          </w:rPr>
          <w:id w:val="20249329"/>
          <w:docPartObj>
            <w:docPartGallery w:val="Watermarks"/>
            <w:docPartUnique/>
          </w:docPartObj>
        </w:sdtPr>
        <w:sdtEndPr/>
        <w:sdtContent/>
      </w:sdt>
      <w:r w:rsidRPr="00CD27F0">
        <w:rPr>
          <w:b/>
          <w:color w:val="0B5294" w:themeColor="accent1" w:themeShade="BF"/>
          <w:sz w:val="28"/>
          <w:szCs w:val="28"/>
        </w:rPr>
        <w:t>HOW WE REGULATE</w:t>
      </w:r>
    </w:p>
    <w:tbl>
      <w:tblPr>
        <w:tblStyle w:val="TableGrid"/>
        <w:tblW w:w="0" w:type="auto"/>
        <w:tblLook w:val="04A0" w:firstRow="1" w:lastRow="0" w:firstColumn="1" w:lastColumn="0" w:noHBand="0" w:noVBand="1"/>
      </w:tblPr>
      <w:tblGrid>
        <w:gridCol w:w="1948"/>
        <w:gridCol w:w="7254"/>
      </w:tblGrid>
      <w:tr w:rsidR="00E824F7" w:rsidRPr="009D31BF" w:rsidTr="00CF0341">
        <w:trPr>
          <w:cnfStyle w:val="100000000000" w:firstRow="1" w:lastRow="0" w:firstColumn="0" w:lastColumn="0" w:oddVBand="0" w:evenVBand="0" w:oddHBand="0" w:evenHBand="0" w:firstRowFirstColumn="0" w:firstRowLastColumn="0" w:lastRowFirstColumn="0" w:lastRowLastColumn="0"/>
        </w:trPr>
        <w:tc>
          <w:tcPr>
            <w:tcW w:w="1951" w:type="dxa"/>
          </w:tcPr>
          <w:p w:rsidR="00E824F7" w:rsidRPr="00CD27F0" w:rsidRDefault="00E824F7" w:rsidP="00E824F7">
            <w:pPr>
              <w:rPr>
                <w:rFonts w:cs="Arial"/>
                <w:b/>
                <w:color w:val="0B5294" w:themeColor="accent1" w:themeShade="BF"/>
              </w:rPr>
            </w:pPr>
            <w:r w:rsidRPr="00CD27F0">
              <w:rPr>
                <w:rFonts w:cs="Arial"/>
                <w:b/>
                <w:color w:val="0B5294" w:themeColor="accent1" w:themeShade="BF"/>
              </w:rPr>
              <w:t>Our objectives and performance</w:t>
            </w:r>
          </w:p>
          <w:p w:rsidR="00E824F7" w:rsidRPr="00CD27F0" w:rsidRDefault="00E824F7" w:rsidP="00E824F7">
            <w:pPr>
              <w:rPr>
                <w:rFonts w:cs="Arial"/>
                <w:b/>
                <w:color w:val="0B5294" w:themeColor="accent1" w:themeShade="BF"/>
              </w:rPr>
            </w:pPr>
          </w:p>
        </w:tc>
        <w:tc>
          <w:tcPr>
            <w:tcW w:w="7291" w:type="dxa"/>
          </w:tcPr>
          <w:p w:rsidR="00750C12" w:rsidRDefault="00750C12" w:rsidP="00E65120">
            <w:pPr>
              <w:pStyle w:val="ListParagraph"/>
              <w:numPr>
                <w:ilvl w:val="0"/>
                <w:numId w:val="8"/>
              </w:numPr>
              <w:spacing w:after="0" w:line="240" w:lineRule="auto"/>
              <w:ind w:left="307" w:hanging="284"/>
              <w:contextualSpacing/>
              <w:rPr>
                <w:rFonts w:cs="Arial"/>
              </w:rPr>
            </w:pPr>
            <w:r>
              <w:rPr>
                <w:rFonts w:cs="Arial"/>
              </w:rPr>
              <w:t xml:space="preserve">We use regulation as a tool for achieving environmental, economic and social outcomes. We work within the legislative framework </w:t>
            </w:r>
            <w:r w:rsidR="00E75F7C">
              <w:rPr>
                <w:rFonts w:cs="Arial"/>
              </w:rPr>
              <w:t>and have regard to Government policy and priorities.</w:t>
            </w:r>
          </w:p>
          <w:p w:rsidR="00E824F7" w:rsidRDefault="00E824F7" w:rsidP="00E65120">
            <w:pPr>
              <w:pStyle w:val="ListParagraph"/>
              <w:numPr>
                <w:ilvl w:val="0"/>
                <w:numId w:val="8"/>
              </w:numPr>
              <w:spacing w:after="0" w:line="240" w:lineRule="auto"/>
              <w:ind w:left="307" w:hanging="284"/>
              <w:contextualSpacing/>
              <w:rPr>
                <w:rFonts w:cs="Arial"/>
              </w:rPr>
            </w:pPr>
            <w:r w:rsidRPr="009D31BF">
              <w:rPr>
                <w:rFonts w:cs="Arial"/>
              </w:rPr>
              <w:t>We communicate our objectives and priorities clearly and often, internally and externally.</w:t>
            </w:r>
          </w:p>
          <w:p w:rsidR="00E824F7" w:rsidRDefault="00E824F7" w:rsidP="00E65120">
            <w:pPr>
              <w:pStyle w:val="ListParagraph"/>
              <w:numPr>
                <w:ilvl w:val="0"/>
                <w:numId w:val="8"/>
              </w:numPr>
              <w:spacing w:after="0" w:line="240" w:lineRule="auto"/>
              <w:ind w:left="307" w:hanging="284"/>
              <w:contextualSpacing/>
              <w:rPr>
                <w:rFonts w:cs="Arial"/>
              </w:rPr>
            </w:pPr>
            <w:r w:rsidRPr="009D31BF">
              <w:rPr>
                <w:rFonts w:cs="Arial"/>
              </w:rPr>
              <w:t>We monitor our performance in meeting our objectives, communicate the results, and learn from the past.</w:t>
            </w:r>
          </w:p>
        </w:tc>
      </w:tr>
      <w:tr w:rsidR="00E824F7" w:rsidRPr="009D31BF" w:rsidTr="00CF0341">
        <w:trPr>
          <w:cnfStyle w:val="000000100000" w:firstRow="0" w:lastRow="0" w:firstColumn="0" w:lastColumn="0" w:oddVBand="0" w:evenVBand="0" w:oddHBand="1" w:evenHBand="0" w:firstRowFirstColumn="0" w:firstRowLastColumn="0" w:lastRowFirstColumn="0" w:lastRowLastColumn="0"/>
        </w:trPr>
        <w:tc>
          <w:tcPr>
            <w:tcW w:w="1951" w:type="dxa"/>
          </w:tcPr>
          <w:p w:rsidR="00E824F7" w:rsidRPr="00CD27F0" w:rsidRDefault="00E824F7" w:rsidP="00E824F7">
            <w:pPr>
              <w:rPr>
                <w:rFonts w:cs="Arial"/>
                <w:b/>
                <w:color w:val="0B5294" w:themeColor="accent1" w:themeShade="BF"/>
              </w:rPr>
            </w:pPr>
            <w:r w:rsidRPr="00CD27F0">
              <w:rPr>
                <w:rFonts w:cs="Arial"/>
                <w:b/>
                <w:color w:val="0B5294" w:themeColor="accent1" w:themeShade="BF"/>
              </w:rPr>
              <w:t>Our approach to regulation</w:t>
            </w:r>
          </w:p>
          <w:p w:rsidR="00E824F7" w:rsidRPr="00CD27F0" w:rsidRDefault="00E824F7" w:rsidP="00E824F7">
            <w:pPr>
              <w:rPr>
                <w:rFonts w:cs="Arial"/>
                <w:b/>
                <w:color w:val="0B5294" w:themeColor="accent1" w:themeShade="BF"/>
              </w:rPr>
            </w:pPr>
          </w:p>
        </w:tc>
        <w:tc>
          <w:tcPr>
            <w:tcW w:w="7291" w:type="dxa"/>
          </w:tcPr>
          <w:p w:rsidR="00E824F7" w:rsidRDefault="00E824F7" w:rsidP="00E65120">
            <w:pPr>
              <w:pStyle w:val="ListParagraph"/>
              <w:numPr>
                <w:ilvl w:val="0"/>
                <w:numId w:val="8"/>
              </w:numPr>
              <w:spacing w:after="0" w:line="240" w:lineRule="auto"/>
              <w:ind w:left="307" w:hanging="284"/>
              <w:contextualSpacing/>
              <w:rPr>
                <w:rFonts w:cs="Arial"/>
              </w:rPr>
            </w:pPr>
            <w:r w:rsidRPr="009D31BF">
              <w:rPr>
                <w:rFonts w:cs="Arial"/>
              </w:rPr>
              <w:t xml:space="preserve">We believe good regulation is valued because it protects the environment while providing a level playing field for industry and certainty for the regulated community and broader public. </w:t>
            </w:r>
          </w:p>
          <w:p w:rsidR="00E824F7" w:rsidRDefault="00E824F7" w:rsidP="00E65120">
            <w:pPr>
              <w:pStyle w:val="ListParagraph"/>
              <w:numPr>
                <w:ilvl w:val="0"/>
                <w:numId w:val="8"/>
              </w:numPr>
              <w:spacing w:after="0" w:line="240" w:lineRule="auto"/>
              <w:ind w:left="307" w:hanging="284"/>
              <w:contextualSpacing/>
              <w:rPr>
                <w:rFonts w:cs="Arial"/>
              </w:rPr>
            </w:pPr>
            <w:r w:rsidRPr="009D31BF">
              <w:rPr>
                <w:rFonts w:cs="Arial"/>
              </w:rPr>
              <w:t>We define regulation broadly as how we achieve the objectives of our legislation, in the context of government policy.  We understand the interdependence of policy and regulation.</w:t>
            </w:r>
          </w:p>
          <w:p w:rsidR="00E824F7" w:rsidRDefault="00E824F7" w:rsidP="00E65120">
            <w:pPr>
              <w:pStyle w:val="ListParagraph"/>
              <w:numPr>
                <w:ilvl w:val="0"/>
                <w:numId w:val="8"/>
              </w:numPr>
              <w:spacing w:after="0" w:line="240" w:lineRule="auto"/>
              <w:ind w:left="307" w:hanging="284"/>
              <w:contextualSpacing/>
              <w:rPr>
                <w:rFonts w:cs="Arial"/>
              </w:rPr>
            </w:pPr>
            <w:r w:rsidRPr="009D31BF">
              <w:rPr>
                <w:rFonts w:cs="Arial"/>
              </w:rPr>
              <w:t>We aim to use the best mix of all the available regulatory tools to achieve the desired outcomes with least cost for everyone.</w:t>
            </w:r>
            <w:r w:rsidRPr="00FE1230">
              <w:rPr>
                <w:rFonts w:cs="Arial"/>
              </w:rPr>
              <w:t xml:space="preserve"> </w:t>
            </w:r>
          </w:p>
          <w:p w:rsidR="00E824F7" w:rsidRDefault="00E824F7" w:rsidP="00E65120">
            <w:pPr>
              <w:pStyle w:val="ListParagraph"/>
              <w:numPr>
                <w:ilvl w:val="0"/>
                <w:numId w:val="8"/>
              </w:numPr>
              <w:spacing w:after="0" w:line="240" w:lineRule="auto"/>
              <w:ind w:left="307" w:hanging="284"/>
              <w:contextualSpacing/>
              <w:rPr>
                <w:rFonts w:cs="Arial"/>
              </w:rPr>
            </w:pPr>
            <w:r w:rsidRPr="009D31BF">
              <w:rPr>
                <w:rFonts w:cs="Arial"/>
              </w:rPr>
              <w:t>Our decisions are evidence based, transparent and predictable.</w:t>
            </w:r>
          </w:p>
          <w:p w:rsidR="00E824F7" w:rsidRDefault="00E824F7" w:rsidP="00E65120">
            <w:pPr>
              <w:pStyle w:val="ListParagraph"/>
              <w:numPr>
                <w:ilvl w:val="0"/>
                <w:numId w:val="8"/>
              </w:numPr>
              <w:spacing w:after="0" w:line="240" w:lineRule="auto"/>
              <w:ind w:left="307" w:hanging="284"/>
              <w:contextualSpacing/>
              <w:rPr>
                <w:rFonts w:cs="Arial"/>
              </w:rPr>
            </w:pPr>
            <w:r w:rsidRPr="009D31BF">
              <w:rPr>
                <w:rFonts w:cs="Arial"/>
              </w:rPr>
              <w:t>We focus on desired outcomes and we only increase our intervention when there are good reasons.</w:t>
            </w:r>
          </w:p>
          <w:p w:rsidR="00E824F7" w:rsidRDefault="00E824F7" w:rsidP="00E65120">
            <w:pPr>
              <w:pStyle w:val="ListParagraph"/>
              <w:numPr>
                <w:ilvl w:val="0"/>
                <w:numId w:val="8"/>
              </w:numPr>
              <w:spacing w:after="0" w:line="240" w:lineRule="auto"/>
              <w:ind w:left="307" w:hanging="284"/>
              <w:contextualSpacing/>
              <w:rPr>
                <w:rFonts w:cs="Arial"/>
              </w:rPr>
            </w:pPr>
            <w:r w:rsidRPr="009D31BF">
              <w:rPr>
                <w:rFonts w:cs="Arial"/>
              </w:rPr>
              <w:t xml:space="preserve">We assume that most people are compliant and we aim to avoid breaches and make it easy to comply. </w:t>
            </w:r>
          </w:p>
          <w:p w:rsidR="00E824F7" w:rsidRDefault="00E824F7" w:rsidP="00E65120">
            <w:pPr>
              <w:pStyle w:val="ListParagraph"/>
              <w:numPr>
                <w:ilvl w:val="0"/>
                <w:numId w:val="8"/>
              </w:numPr>
              <w:spacing w:after="0" w:line="240" w:lineRule="auto"/>
              <w:ind w:left="307" w:hanging="284"/>
              <w:contextualSpacing/>
              <w:rPr>
                <w:rFonts w:cs="Arial"/>
              </w:rPr>
            </w:pPr>
            <w:r w:rsidRPr="009D31BF">
              <w:rPr>
                <w:rFonts w:cs="Arial"/>
              </w:rPr>
              <w:t>We utilise intelligence to enhance our risk approach to compliance.</w:t>
            </w:r>
          </w:p>
          <w:p w:rsidR="00E824F7" w:rsidRDefault="00E824F7" w:rsidP="00E65120">
            <w:pPr>
              <w:pStyle w:val="ListParagraph"/>
              <w:numPr>
                <w:ilvl w:val="0"/>
                <w:numId w:val="8"/>
              </w:numPr>
              <w:spacing w:after="0" w:line="240" w:lineRule="auto"/>
              <w:ind w:left="307" w:hanging="284"/>
              <w:contextualSpacing/>
              <w:rPr>
                <w:rFonts w:cs="Arial"/>
              </w:rPr>
            </w:pPr>
            <w:r w:rsidRPr="009D31BF">
              <w:rPr>
                <w:rFonts w:cs="Arial"/>
              </w:rPr>
              <w:t>We take a proportional approach to enforcement with a focus on deterrence.</w:t>
            </w:r>
          </w:p>
          <w:p w:rsidR="00E824F7" w:rsidRDefault="00E824F7" w:rsidP="00E65120">
            <w:pPr>
              <w:pStyle w:val="ListParagraph"/>
              <w:numPr>
                <w:ilvl w:val="0"/>
                <w:numId w:val="8"/>
              </w:numPr>
              <w:spacing w:after="0" w:line="240" w:lineRule="auto"/>
              <w:ind w:left="307" w:hanging="284"/>
              <w:contextualSpacing/>
              <w:rPr>
                <w:rFonts w:cs="Arial"/>
                <w:b/>
              </w:rPr>
            </w:pPr>
            <w:r w:rsidRPr="009D31BF">
              <w:rPr>
                <w:rFonts w:cs="Arial"/>
              </w:rPr>
              <w:t>We communicate our compliance and enforcement approach and activities publicly, with a particular emphasis on our regulated communities.</w:t>
            </w:r>
          </w:p>
        </w:tc>
      </w:tr>
      <w:tr w:rsidR="00E824F7" w:rsidRPr="009D31BF" w:rsidTr="00CF0341">
        <w:trPr>
          <w:cnfStyle w:val="000000010000" w:firstRow="0" w:lastRow="0" w:firstColumn="0" w:lastColumn="0" w:oddVBand="0" w:evenVBand="0" w:oddHBand="0" w:evenHBand="1" w:firstRowFirstColumn="0" w:firstRowLastColumn="0" w:lastRowFirstColumn="0" w:lastRowLastColumn="0"/>
        </w:trPr>
        <w:tc>
          <w:tcPr>
            <w:tcW w:w="1951" w:type="dxa"/>
          </w:tcPr>
          <w:p w:rsidR="00E824F7" w:rsidRPr="00CD27F0" w:rsidRDefault="00E824F7" w:rsidP="00E824F7">
            <w:pPr>
              <w:rPr>
                <w:rFonts w:cs="Arial"/>
                <w:b/>
                <w:color w:val="0B5294" w:themeColor="accent1" w:themeShade="BF"/>
              </w:rPr>
            </w:pPr>
            <w:r w:rsidRPr="00CD27F0">
              <w:rPr>
                <w:rFonts w:cs="Arial"/>
                <w:b/>
                <w:color w:val="0B5294" w:themeColor="accent1" w:themeShade="BF"/>
              </w:rPr>
              <w:t>Our approach to risk</w:t>
            </w:r>
          </w:p>
          <w:p w:rsidR="00E824F7" w:rsidRPr="00CD27F0" w:rsidRDefault="00E824F7" w:rsidP="00E824F7">
            <w:pPr>
              <w:rPr>
                <w:rFonts w:cs="Arial"/>
                <w:b/>
                <w:color w:val="0B5294" w:themeColor="accent1" w:themeShade="BF"/>
              </w:rPr>
            </w:pPr>
          </w:p>
        </w:tc>
        <w:tc>
          <w:tcPr>
            <w:tcW w:w="7291" w:type="dxa"/>
          </w:tcPr>
          <w:p w:rsidR="00E824F7" w:rsidRDefault="00E824F7" w:rsidP="00E65120">
            <w:pPr>
              <w:pStyle w:val="ListParagraph"/>
              <w:numPr>
                <w:ilvl w:val="0"/>
                <w:numId w:val="8"/>
              </w:numPr>
              <w:spacing w:after="0" w:line="240" w:lineRule="auto"/>
              <w:ind w:left="307" w:hanging="284"/>
              <w:contextualSpacing/>
              <w:rPr>
                <w:rFonts w:cs="Arial"/>
              </w:rPr>
            </w:pPr>
            <w:r w:rsidRPr="009D31BF">
              <w:rPr>
                <w:rFonts w:cs="Arial"/>
              </w:rPr>
              <w:t>We analyse risks taking into account likelihood of failure and possible environmental, legal, economic, social and reputational consequences.</w:t>
            </w:r>
          </w:p>
          <w:p w:rsidR="00E824F7" w:rsidRDefault="00E824F7" w:rsidP="00E65120">
            <w:pPr>
              <w:pStyle w:val="ListParagraph"/>
              <w:numPr>
                <w:ilvl w:val="0"/>
                <w:numId w:val="8"/>
              </w:numPr>
              <w:spacing w:after="0" w:line="240" w:lineRule="auto"/>
              <w:ind w:left="307" w:hanging="284"/>
              <w:contextualSpacing/>
              <w:rPr>
                <w:rFonts w:cs="Arial"/>
              </w:rPr>
            </w:pPr>
            <w:r w:rsidRPr="009D31BF">
              <w:rPr>
                <w:rFonts w:cs="Arial"/>
              </w:rPr>
              <w:t>We risk manage so we can target our available resources to the most important issues.</w:t>
            </w:r>
          </w:p>
          <w:p w:rsidR="00E824F7" w:rsidRDefault="00E824F7" w:rsidP="00E65120">
            <w:pPr>
              <w:pStyle w:val="ListParagraph"/>
              <w:numPr>
                <w:ilvl w:val="0"/>
                <w:numId w:val="8"/>
              </w:numPr>
              <w:spacing w:after="0" w:line="240" w:lineRule="auto"/>
              <w:ind w:left="307" w:hanging="284"/>
              <w:contextualSpacing/>
              <w:rPr>
                <w:rFonts w:cs="Arial"/>
              </w:rPr>
            </w:pPr>
            <w:r w:rsidRPr="009D31BF">
              <w:rPr>
                <w:rFonts w:cs="Arial"/>
              </w:rPr>
              <w:t xml:space="preserve">We communicate our risk approach both internally and externally. </w:t>
            </w:r>
          </w:p>
        </w:tc>
      </w:tr>
      <w:tr w:rsidR="00E824F7" w:rsidRPr="009D31BF" w:rsidTr="00CF0341">
        <w:trPr>
          <w:cnfStyle w:val="000000100000" w:firstRow="0" w:lastRow="0" w:firstColumn="0" w:lastColumn="0" w:oddVBand="0" w:evenVBand="0" w:oddHBand="1" w:evenHBand="0" w:firstRowFirstColumn="0" w:firstRowLastColumn="0" w:lastRowFirstColumn="0" w:lastRowLastColumn="0"/>
        </w:trPr>
        <w:tc>
          <w:tcPr>
            <w:tcW w:w="1951" w:type="dxa"/>
          </w:tcPr>
          <w:p w:rsidR="00E824F7" w:rsidRPr="00CD27F0" w:rsidRDefault="00E824F7" w:rsidP="00E824F7">
            <w:pPr>
              <w:rPr>
                <w:rFonts w:cs="Arial"/>
                <w:b/>
                <w:color w:val="0B5294" w:themeColor="accent1" w:themeShade="BF"/>
              </w:rPr>
            </w:pPr>
            <w:r w:rsidRPr="00CD27F0">
              <w:rPr>
                <w:rFonts w:cs="Arial"/>
                <w:b/>
                <w:color w:val="0B5294" w:themeColor="accent1" w:themeShade="BF"/>
              </w:rPr>
              <w:t>Our people</w:t>
            </w:r>
          </w:p>
          <w:p w:rsidR="00E824F7" w:rsidRPr="00CD27F0" w:rsidRDefault="00E824F7" w:rsidP="00E824F7">
            <w:pPr>
              <w:rPr>
                <w:rFonts w:cs="Arial"/>
                <w:b/>
                <w:color w:val="0B5294" w:themeColor="accent1" w:themeShade="BF"/>
              </w:rPr>
            </w:pPr>
          </w:p>
        </w:tc>
        <w:tc>
          <w:tcPr>
            <w:tcW w:w="7291" w:type="dxa"/>
          </w:tcPr>
          <w:p w:rsidR="00E824F7" w:rsidRDefault="00E824F7" w:rsidP="00E65120">
            <w:pPr>
              <w:pStyle w:val="ListParagraph"/>
              <w:numPr>
                <w:ilvl w:val="0"/>
                <w:numId w:val="8"/>
              </w:numPr>
              <w:spacing w:after="0" w:line="240" w:lineRule="auto"/>
              <w:ind w:left="307" w:hanging="284"/>
              <w:contextualSpacing/>
              <w:rPr>
                <w:rFonts w:cs="Arial"/>
              </w:rPr>
            </w:pPr>
            <w:r w:rsidRPr="009D31BF">
              <w:rPr>
                <w:rFonts w:cs="Arial"/>
              </w:rPr>
              <w:t>We have knowledgeable and committed staff.  We value both corporate knowledge and innovation.</w:t>
            </w:r>
          </w:p>
          <w:p w:rsidR="00E824F7" w:rsidRDefault="00E824F7" w:rsidP="00E65120">
            <w:pPr>
              <w:pStyle w:val="ListParagraph"/>
              <w:numPr>
                <w:ilvl w:val="0"/>
                <w:numId w:val="8"/>
              </w:numPr>
              <w:spacing w:after="0" w:line="240" w:lineRule="auto"/>
              <w:ind w:left="307" w:hanging="284"/>
              <w:contextualSpacing/>
              <w:rPr>
                <w:rFonts w:cs="Arial"/>
              </w:rPr>
            </w:pPr>
            <w:r w:rsidRPr="009D31BF">
              <w:rPr>
                <w:rFonts w:cs="Arial"/>
              </w:rPr>
              <w:t xml:space="preserve">We invest in our staff through ongoing training and support to help meet both corporate and personal goals. </w:t>
            </w:r>
          </w:p>
          <w:p w:rsidR="00E824F7" w:rsidRDefault="00E824F7" w:rsidP="00E65120">
            <w:pPr>
              <w:pStyle w:val="ListParagraph"/>
              <w:numPr>
                <w:ilvl w:val="0"/>
                <w:numId w:val="8"/>
              </w:numPr>
              <w:spacing w:after="0" w:line="240" w:lineRule="auto"/>
              <w:ind w:left="307" w:hanging="284"/>
              <w:contextualSpacing/>
              <w:rPr>
                <w:rFonts w:cs="Arial"/>
              </w:rPr>
            </w:pPr>
            <w:r w:rsidRPr="009D31BF">
              <w:rPr>
                <w:rFonts w:cs="Arial"/>
              </w:rPr>
              <w:t xml:space="preserve">We acknowledge community and government priorities and we embrace change while balancing speed of implementation, available resources and risk of failure. Importantly we also value the importance of our core business. </w:t>
            </w:r>
          </w:p>
          <w:p w:rsidR="00E824F7" w:rsidRDefault="00E824F7" w:rsidP="00E65120">
            <w:pPr>
              <w:pStyle w:val="ListParagraph"/>
              <w:numPr>
                <w:ilvl w:val="0"/>
                <w:numId w:val="8"/>
              </w:numPr>
              <w:spacing w:after="0" w:line="240" w:lineRule="auto"/>
              <w:ind w:left="307" w:hanging="284"/>
              <w:contextualSpacing/>
              <w:rPr>
                <w:rFonts w:cs="Arial"/>
              </w:rPr>
            </w:pPr>
            <w:r w:rsidRPr="009D31BF">
              <w:rPr>
                <w:rFonts w:cs="Arial"/>
              </w:rPr>
              <w:t>We work seamlessly across our formal structures because our work is multidisciplinary.</w:t>
            </w:r>
          </w:p>
        </w:tc>
      </w:tr>
      <w:tr w:rsidR="00E824F7" w:rsidRPr="009D31BF" w:rsidTr="00CF0341">
        <w:trPr>
          <w:cnfStyle w:val="000000010000" w:firstRow="0" w:lastRow="0" w:firstColumn="0" w:lastColumn="0" w:oddVBand="0" w:evenVBand="0" w:oddHBand="0" w:evenHBand="1" w:firstRowFirstColumn="0" w:firstRowLastColumn="0" w:lastRowFirstColumn="0" w:lastRowLastColumn="0"/>
        </w:trPr>
        <w:tc>
          <w:tcPr>
            <w:tcW w:w="1951" w:type="dxa"/>
          </w:tcPr>
          <w:p w:rsidR="00E824F7" w:rsidRPr="00CD27F0" w:rsidRDefault="00E824F7" w:rsidP="00E824F7">
            <w:pPr>
              <w:rPr>
                <w:rFonts w:cs="Arial"/>
                <w:b/>
                <w:color w:val="0B5294" w:themeColor="accent1" w:themeShade="BF"/>
              </w:rPr>
            </w:pPr>
            <w:r w:rsidRPr="00CD27F0">
              <w:rPr>
                <w:rFonts w:cs="Arial"/>
                <w:b/>
                <w:color w:val="0B5294" w:themeColor="accent1" w:themeShade="BF"/>
              </w:rPr>
              <w:t>How we engage</w:t>
            </w:r>
          </w:p>
          <w:p w:rsidR="00E824F7" w:rsidRPr="00CD27F0" w:rsidRDefault="00E824F7" w:rsidP="00E824F7">
            <w:pPr>
              <w:rPr>
                <w:rFonts w:cs="Arial"/>
                <w:b/>
                <w:color w:val="0B5294" w:themeColor="accent1" w:themeShade="BF"/>
              </w:rPr>
            </w:pPr>
          </w:p>
        </w:tc>
        <w:tc>
          <w:tcPr>
            <w:tcW w:w="7291" w:type="dxa"/>
          </w:tcPr>
          <w:p w:rsidR="00E824F7" w:rsidRDefault="00E824F7" w:rsidP="00E65120">
            <w:pPr>
              <w:pStyle w:val="ListParagraph"/>
              <w:numPr>
                <w:ilvl w:val="0"/>
                <w:numId w:val="8"/>
              </w:numPr>
              <w:spacing w:after="0" w:line="240" w:lineRule="auto"/>
              <w:ind w:left="307" w:hanging="284"/>
              <w:contextualSpacing/>
              <w:rPr>
                <w:rFonts w:cs="Arial"/>
              </w:rPr>
            </w:pPr>
            <w:r w:rsidRPr="009D31BF">
              <w:rPr>
                <w:rFonts w:cs="Arial"/>
              </w:rPr>
              <w:t>We try to understand the operating environment of our regulated communities so we can help them comply with our requirements.</w:t>
            </w:r>
          </w:p>
          <w:p w:rsidR="00E824F7" w:rsidRDefault="00E824F7" w:rsidP="00E65120">
            <w:pPr>
              <w:pStyle w:val="ListParagraph"/>
              <w:numPr>
                <w:ilvl w:val="0"/>
                <w:numId w:val="8"/>
              </w:numPr>
              <w:spacing w:after="0" w:line="240" w:lineRule="auto"/>
              <w:ind w:left="307" w:hanging="284"/>
              <w:contextualSpacing/>
              <w:rPr>
                <w:rFonts w:cs="Arial"/>
              </w:rPr>
            </w:pPr>
            <w:r w:rsidRPr="009D31BF">
              <w:rPr>
                <w:rFonts w:cs="Arial"/>
              </w:rPr>
              <w:t>We engage with all our stakeholders proactively and we are responsive to their feedback and views.</w:t>
            </w:r>
          </w:p>
          <w:p w:rsidR="00E824F7" w:rsidRDefault="00E824F7" w:rsidP="00E65120">
            <w:pPr>
              <w:pStyle w:val="ListParagraph"/>
              <w:numPr>
                <w:ilvl w:val="0"/>
                <w:numId w:val="8"/>
              </w:numPr>
              <w:spacing w:after="0" w:line="240" w:lineRule="auto"/>
              <w:ind w:left="307" w:hanging="284"/>
              <w:contextualSpacing/>
              <w:rPr>
                <w:rFonts w:cs="Arial"/>
              </w:rPr>
            </w:pPr>
            <w:r w:rsidRPr="009D31BF">
              <w:rPr>
                <w:rFonts w:cs="Arial"/>
              </w:rPr>
              <w:t xml:space="preserve">We provide a single point of contact and we speak with a single Departmental voice.  </w:t>
            </w:r>
          </w:p>
        </w:tc>
      </w:tr>
      <w:tr w:rsidR="00E824F7" w:rsidRPr="009D31BF" w:rsidTr="00CF0341">
        <w:trPr>
          <w:cnfStyle w:val="000000100000" w:firstRow="0" w:lastRow="0" w:firstColumn="0" w:lastColumn="0" w:oddVBand="0" w:evenVBand="0" w:oddHBand="1" w:evenHBand="0" w:firstRowFirstColumn="0" w:firstRowLastColumn="0" w:lastRowFirstColumn="0" w:lastRowLastColumn="0"/>
        </w:trPr>
        <w:tc>
          <w:tcPr>
            <w:tcW w:w="1951" w:type="dxa"/>
          </w:tcPr>
          <w:p w:rsidR="00E824F7" w:rsidRPr="00CD27F0" w:rsidRDefault="00E824F7" w:rsidP="00E824F7">
            <w:pPr>
              <w:rPr>
                <w:rFonts w:cs="Arial"/>
                <w:b/>
                <w:color w:val="0B5294" w:themeColor="accent1" w:themeShade="BF"/>
              </w:rPr>
            </w:pPr>
            <w:r w:rsidRPr="00CD27F0">
              <w:rPr>
                <w:rFonts w:cs="Arial"/>
                <w:b/>
                <w:color w:val="0B5294" w:themeColor="accent1" w:themeShade="BF"/>
              </w:rPr>
              <w:t>Our systems and tools</w:t>
            </w:r>
          </w:p>
          <w:p w:rsidR="00E824F7" w:rsidRPr="00CD27F0" w:rsidRDefault="00E824F7" w:rsidP="00E824F7">
            <w:pPr>
              <w:rPr>
                <w:rFonts w:cs="Arial"/>
                <w:b/>
                <w:color w:val="0B5294" w:themeColor="accent1" w:themeShade="BF"/>
              </w:rPr>
            </w:pPr>
          </w:p>
        </w:tc>
        <w:tc>
          <w:tcPr>
            <w:tcW w:w="7291" w:type="dxa"/>
          </w:tcPr>
          <w:p w:rsidR="00E824F7" w:rsidRDefault="00E824F7" w:rsidP="00E65120">
            <w:pPr>
              <w:pStyle w:val="ListParagraph"/>
              <w:numPr>
                <w:ilvl w:val="0"/>
                <w:numId w:val="8"/>
              </w:numPr>
              <w:spacing w:after="0" w:line="240" w:lineRule="auto"/>
              <w:ind w:left="307" w:hanging="284"/>
              <w:contextualSpacing/>
              <w:rPr>
                <w:rFonts w:cs="Arial"/>
              </w:rPr>
            </w:pPr>
            <w:r w:rsidRPr="009D31BF">
              <w:rPr>
                <w:rFonts w:cs="Arial"/>
              </w:rPr>
              <w:t>We are working to modernise and integrate our IT systems and databases to streamline and track our work, so staff can focus on their core work.</w:t>
            </w:r>
          </w:p>
          <w:p w:rsidR="00E824F7" w:rsidRDefault="00E824F7" w:rsidP="00E65120">
            <w:pPr>
              <w:pStyle w:val="ListParagraph"/>
              <w:numPr>
                <w:ilvl w:val="0"/>
                <w:numId w:val="8"/>
              </w:numPr>
              <w:spacing w:after="0" w:line="240" w:lineRule="auto"/>
              <w:ind w:left="307" w:hanging="284"/>
              <w:contextualSpacing/>
              <w:rPr>
                <w:rFonts w:cs="Arial"/>
              </w:rPr>
            </w:pPr>
            <w:r w:rsidRPr="009D31BF">
              <w:rPr>
                <w:rFonts w:cs="Arial"/>
              </w:rPr>
              <w:t>Our policies and guidance material are current and easy to find and understand.</w:t>
            </w:r>
          </w:p>
        </w:tc>
      </w:tr>
    </w:tbl>
    <w:p w:rsidR="00D67910" w:rsidRDefault="00D67910" w:rsidP="00097DA8">
      <w:pPr>
        <w:rPr>
          <w:b/>
          <w:sz w:val="36"/>
          <w:szCs w:val="36"/>
        </w:rPr>
        <w:sectPr w:rsidR="00D67910" w:rsidSect="00CD6C7A">
          <w:headerReference w:type="even" r:id="rId7"/>
          <w:headerReference w:type="default" r:id="rId8"/>
          <w:footerReference w:type="even" r:id="rId9"/>
          <w:footerReference w:type="default" r:id="rId10"/>
          <w:headerReference w:type="first" r:id="rId11"/>
          <w:footerReference w:type="first" r:id="rId12"/>
          <w:pgSz w:w="11906" w:h="16838" w:code="9"/>
          <w:pgMar w:top="1418" w:right="1276" w:bottom="567" w:left="1418" w:header="425" w:footer="425" w:gutter="0"/>
          <w:pgNumType w:start="1"/>
          <w:cols w:space="708"/>
          <w:titlePg/>
          <w:docGrid w:linePitch="360"/>
        </w:sectPr>
      </w:pPr>
    </w:p>
    <w:p w:rsidR="00D67910" w:rsidRPr="00736F65" w:rsidRDefault="00D67910" w:rsidP="00736F65">
      <w:pPr>
        <w:pStyle w:val="Heading1"/>
        <w:spacing w:after="120"/>
        <w:jc w:val="center"/>
        <w:rPr>
          <w:color w:val="0B5294" w:themeColor="accent1" w:themeShade="BF"/>
          <w:sz w:val="44"/>
          <w:szCs w:val="44"/>
        </w:rPr>
      </w:pPr>
      <w:bookmarkStart w:id="3" w:name="_Toc443405140"/>
      <w:r w:rsidRPr="00736F65">
        <w:rPr>
          <w:color w:val="0B5294" w:themeColor="accent1" w:themeShade="BF"/>
          <w:sz w:val="44"/>
          <w:szCs w:val="44"/>
        </w:rPr>
        <w:lastRenderedPageBreak/>
        <w:t>S</w:t>
      </w:r>
      <w:r w:rsidR="00736F65">
        <w:rPr>
          <w:color w:val="0B5294" w:themeColor="accent1" w:themeShade="BF"/>
          <w:sz w:val="44"/>
          <w:szCs w:val="44"/>
        </w:rPr>
        <w:t>ummary</w:t>
      </w:r>
      <w:r w:rsidRPr="00736F65">
        <w:rPr>
          <w:color w:val="0B5294" w:themeColor="accent1" w:themeShade="BF"/>
          <w:sz w:val="44"/>
          <w:szCs w:val="44"/>
        </w:rPr>
        <w:t xml:space="preserve"> of Recommendations</w:t>
      </w:r>
      <w:bookmarkEnd w:id="3"/>
    </w:p>
    <w:tbl>
      <w:tblPr>
        <w:tblStyle w:val="TableGrid"/>
        <w:tblW w:w="0" w:type="auto"/>
        <w:tblLook w:val="04A0" w:firstRow="1" w:lastRow="0" w:firstColumn="1" w:lastColumn="0" w:noHBand="0" w:noVBand="1"/>
      </w:tblPr>
      <w:tblGrid>
        <w:gridCol w:w="2173"/>
        <w:gridCol w:w="8748"/>
        <w:gridCol w:w="2157"/>
        <w:gridCol w:w="1765"/>
      </w:tblGrid>
      <w:tr w:rsidR="00D67910" w:rsidRPr="000A075B" w:rsidTr="002C4D84">
        <w:trPr>
          <w:cnfStyle w:val="100000000000" w:firstRow="1" w:lastRow="0" w:firstColumn="0" w:lastColumn="0" w:oddVBand="0" w:evenVBand="0" w:oddHBand="0" w:evenHBand="0" w:firstRowFirstColumn="0" w:firstRowLastColumn="0" w:lastRowFirstColumn="0" w:lastRowLastColumn="0"/>
        </w:trPr>
        <w:tc>
          <w:tcPr>
            <w:tcW w:w="2184" w:type="dxa"/>
          </w:tcPr>
          <w:p w:rsidR="00D67910" w:rsidRPr="000A075B" w:rsidRDefault="00D67910" w:rsidP="00524907">
            <w:pPr>
              <w:rPr>
                <w:b/>
                <w:sz w:val="40"/>
                <w:szCs w:val="40"/>
              </w:rPr>
            </w:pPr>
          </w:p>
        </w:tc>
        <w:tc>
          <w:tcPr>
            <w:tcW w:w="8950" w:type="dxa"/>
          </w:tcPr>
          <w:p w:rsidR="00D67910" w:rsidRPr="002C4D84" w:rsidRDefault="005B0487" w:rsidP="00524907">
            <w:pPr>
              <w:rPr>
                <w:b/>
                <w:sz w:val="36"/>
                <w:szCs w:val="36"/>
              </w:rPr>
            </w:pPr>
            <w:r w:rsidRPr="005B0487">
              <w:rPr>
                <w:b/>
                <w:sz w:val="36"/>
                <w:szCs w:val="36"/>
              </w:rPr>
              <w:t>Recommendation</w:t>
            </w:r>
          </w:p>
        </w:tc>
        <w:tc>
          <w:tcPr>
            <w:tcW w:w="2157" w:type="dxa"/>
            <w:vAlign w:val="center"/>
          </w:tcPr>
          <w:p w:rsidR="004E3028" w:rsidRDefault="005B0487">
            <w:pPr>
              <w:rPr>
                <w:b/>
                <w:sz w:val="36"/>
                <w:szCs w:val="36"/>
              </w:rPr>
            </w:pPr>
            <w:r w:rsidRPr="005B0487">
              <w:rPr>
                <w:b/>
                <w:sz w:val="36"/>
                <w:szCs w:val="36"/>
              </w:rPr>
              <w:t>Importance</w:t>
            </w:r>
          </w:p>
        </w:tc>
        <w:tc>
          <w:tcPr>
            <w:tcW w:w="1778" w:type="dxa"/>
            <w:vAlign w:val="center"/>
          </w:tcPr>
          <w:p w:rsidR="004E3028" w:rsidRDefault="005B0487">
            <w:pPr>
              <w:rPr>
                <w:b/>
                <w:sz w:val="36"/>
                <w:szCs w:val="36"/>
              </w:rPr>
            </w:pPr>
            <w:r w:rsidRPr="005B0487">
              <w:rPr>
                <w:b/>
                <w:sz w:val="36"/>
                <w:szCs w:val="36"/>
              </w:rPr>
              <w:t>Timing</w:t>
            </w:r>
          </w:p>
        </w:tc>
      </w:tr>
      <w:tr w:rsidR="00D67910" w:rsidRPr="00381AA1" w:rsidTr="00E25CCF">
        <w:trPr>
          <w:cnfStyle w:val="000000100000" w:firstRow="0" w:lastRow="0" w:firstColumn="0" w:lastColumn="0" w:oddVBand="0" w:evenVBand="0" w:oddHBand="1" w:evenHBand="0" w:firstRowFirstColumn="0" w:firstRowLastColumn="0" w:lastRowFirstColumn="0" w:lastRowLastColumn="0"/>
        </w:trPr>
        <w:tc>
          <w:tcPr>
            <w:tcW w:w="15069" w:type="dxa"/>
            <w:gridSpan w:val="4"/>
          </w:tcPr>
          <w:p w:rsidR="00D67910" w:rsidRPr="00381AA1" w:rsidRDefault="00D67910" w:rsidP="002C4D84">
            <w:pPr>
              <w:jc w:val="center"/>
              <w:rPr>
                <w:b/>
              </w:rPr>
            </w:pPr>
            <w:r>
              <w:rPr>
                <w:rFonts w:cs="Arial"/>
                <w:b/>
                <w:color w:val="0B5294" w:themeColor="accent1" w:themeShade="BF"/>
                <w:sz w:val="36"/>
                <w:szCs w:val="36"/>
              </w:rPr>
              <w:t xml:space="preserve">Chapter 1: Our </w:t>
            </w:r>
            <w:r w:rsidRPr="0067259B">
              <w:rPr>
                <w:rFonts w:cs="Arial"/>
                <w:b/>
                <w:color w:val="0B5294" w:themeColor="accent1" w:themeShade="BF"/>
                <w:sz w:val="36"/>
                <w:szCs w:val="36"/>
              </w:rPr>
              <w:t>Objectives and Performance</w:t>
            </w:r>
          </w:p>
        </w:tc>
      </w:tr>
      <w:tr w:rsidR="00D67910" w:rsidTr="002C4D84">
        <w:trPr>
          <w:cnfStyle w:val="000000010000" w:firstRow="0" w:lastRow="0" w:firstColumn="0" w:lastColumn="0" w:oddVBand="0" w:evenVBand="0" w:oddHBand="0" w:evenHBand="1" w:firstRowFirstColumn="0" w:firstRowLastColumn="0" w:lastRowFirstColumn="0" w:lastRowLastColumn="0"/>
        </w:trPr>
        <w:tc>
          <w:tcPr>
            <w:tcW w:w="2184" w:type="dxa"/>
          </w:tcPr>
          <w:p w:rsidR="00D67910" w:rsidRPr="00AE2A58" w:rsidRDefault="00D67910" w:rsidP="00524907">
            <w:pPr>
              <w:pStyle w:val="ListBullet"/>
              <w:numPr>
                <w:ilvl w:val="0"/>
                <w:numId w:val="0"/>
              </w:numPr>
              <w:rPr>
                <w:rFonts w:cs="Arial"/>
                <w:b/>
              </w:rPr>
            </w:pPr>
            <w:r>
              <w:rPr>
                <w:rFonts w:cs="Arial"/>
                <w:b/>
              </w:rPr>
              <w:t>1</w:t>
            </w:r>
            <w:r w:rsidRPr="00AE2A58">
              <w:rPr>
                <w:rFonts w:cs="Arial"/>
                <w:b/>
              </w:rPr>
              <w:t xml:space="preserve">.1 </w:t>
            </w:r>
            <w:r>
              <w:rPr>
                <w:rFonts w:cs="Arial"/>
                <w:b/>
              </w:rPr>
              <w:t xml:space="preserve"> </w:t>
            </w:r>
            <w:r w:rsidRPr="00AE2A58">
              <w:rPr>
                <w:rFonts w:cs="Arial"/>
                <w:b/>
              </w:rPr>
              <w:t>Regulatory Framework</w:t>
            </w:r>
          </w:p>
        </w:tc>
        <w:tc>
          <w:tcPr>
            <w:tcW w:w="8950" w:type="dxa"/>
          </w:tcPr>
          <w:p w:rsidR="00D67910" w:rsidRDefault="00D67910" w:rsidP="00524907">
            <w:pPr>
              <w:pStyle w:val="ListBullet"/>
              <w:numPr>
                <w:ilvl w:val="0"/>
                <w:numId w:val="0"/>
              </w:numPr>
              <w:rPr>
                <w:rFonts w:cs="Arial"/>
                <w:color w:val="000000" w:themeColor="text1"/>
              </w:rPr>
            </w:pPr>
            <w:r w:rsidRPr="004302C3">
              <w:rPr>
                <w:rFonts w:cs="Arial"/>
                <w:color w:val="000000" w:themeColor="text1"/>
              </w:rPr>
              <w:t xml:space="preserve">The Department should develop a new Regulatory Framework. In developing the Framework, the Department should have regard to contemporary Australian Government and international best practice regulatory frameworks, principles and policies. The </w:t>
            </w:r>
            <w:r w:rsidR="00BA40F7">
              <w:rPr>
                <w:rFonts w:cs="Arial"/>
                <w:color w:val="000000" w:themeColor="text1"/>
              </w:rPr>
              <w:t xml:space="preserve">new </w:t>
            </w:r>
            <w:r w:rsidRPr="004302C3">
              <w:rPr>
                <w:rFonts w:cs="Arial"/>
                <w:color w:val="000000" w:themeColor="text1"/>
              </w:rPr>
              <w:t xml:space="preserve">Regulatory Framework should: </w:t>
            </w:r>
          </w:p>
          <w:p w:rsidR="00D67910" w:rsidRPr="004302C3" w:rsidRDefault="00D67910" w:rsidP="00E65120">
            <w:pPr>
              <w:pStyle w:val="ListBullet"/>
              <w:numPr>
                <w:ilvl w:val="0"/>
                <w:numId w:val="9"/>
              </w:numPr>
              <w:spacing w:after="0" w:line="240" w:lineRule="auto"/>
              <w:rPr>
                <w:rFonts w:cs="Arial"/>
                <w:color w:val="000000" w:themeColor="text1"/>
              </w:rPr>
            </w:pPr>
            <w:r w:rsidRPr="004302C3">
              <w:rPr>
                <w:rFonts w:cs="Arial"/>
                <w:color w:val="000000" w:themeColor="text1"/>
              </w:rPr>
              <w:t>outline a concise, contemporary regulatory posture;</w:t>
            </w:r>
          </w:p>
          <w:p w:rsidR="00D67910" w:rsidRPr="004302C3" w:rsidRDefault="00D67910" w:rsidP="00E65120">
            <w:pPr>
              <w:pStyle w:val="ListBullet"/>
              <w:numPr>
                <w:ilvl w:val="0"/>
                <w:numId w:val="9"/>
              </w:numPr>
              <w:spacing w:after="0" w:line="240" w:lineRule="auto"/>
              <w:rPr>
                <w:rFonts w:cs="Arial"/>
                <w:color w:val="000000" w:themeColor="text1"/>
              </w:rPr>
            </w:pPr>
            <w:r w:rsidRPr="004302C3">
              <w:rPr>
                <w:rFonts w:cs="Arial"/>
                <w:color w:val="000000" w:themeColor="text1"/>
              </w:rPr>
              <w:t>define the Department’s principles of best practice and indicators for performance evaluation;</w:t>
            </w:r>
          </w:p>
          <w:p w:rsidR="00D67910" w:rsidRPr="004302C3" w:rsidRDefault="00D67910" w:rsidP="00E65120">
            <w:pPr>
              <w:pStyle w:val="ListBullet"/>
              <w:numPr>
                <w:ilvl w:val="0"/>
                <w:numId w:val="9"/>
              </w:numPr>
              <w:spacing w:after="0" w:line="240" w:lineRule="auto"/>
              <w:rPr>
                <w:rFonts w:cs="Arial"/>
                <w:color w:val="000000" w:themeColor="text1"/>
              </w:rPr>
            </w:pPr>
            <w:r w:rsidRPr="004302C3">
              <w:rPr>
                <w:rFonts w:cs="Arial"/>
                <w:color w:val="000000" w:themeColor="text1"/>
              </w:rPr>
              <w:t>articulate regulatory and legislative objectives and the framework for measuring and tracking performance.;</w:t>
            </w:r>
          </w:p>
          <w:p w:rsidR="00D67910" w:rsidRPr="004302C3" w:rsidRDefault="00D67910" w:rsidP="00E65120">
            <w:pPr>
              <w:pStyle w:val="ListBullet"/>
              <w:numPr>
                <w:ilvl w:val="0"/>
                <w:numId w:val="9"/>
              </w:numPr>
              <w:spacing w:after="0" w:line="240" w:lineRule="auto"/>
              <w:rPr>
                <w:rFonts w:cs="Arial"/>
                <w:color w:val="000000" w:themeColor="text1"/>
              </w:rPr>
            </w:pPr>
            <w:r w:rsidRPr="004302C3">
              <w:rPr>
                <w:rFonts w:cs="Arial"/>
                <w:color w:val="000000" w:themeColor="text1"/>
              </w:rPr>
              <w:t>articulate relevant risk appetites;</w:t>
            </w:r>
          </w:p>
          <w:p w:rsidR="00D67910" w:rsidRPr="004302C3" w:rsidRDefault="00D67910" w:rsidP="00E65120">
            <w:pPr>
              <w:pStyle w:val="ListBullet"/>
              <w:numPr>
                <w:ilvl w:val="0"/>
                <w:numId w:val="9"/>
              </w:numPr>
              <w:spacing w:after="0" w:line="240" w:lineRule="auto"/>
              <w:rPr>
                <w:rFonts w:cs="Arial"/>
                <w:color w:val="000000" w:themeColor="text1"/>
              </w:rPr>
            </w:pPr>
            <w:r w:rsidRPr="004302C3">
              <w:rPr>
                <w:rFonts w:cs="Arial"/>
                <w:color w:val="000000" w:themeColor="text1"/>
              </w:rPr>
              <w:t>include regular review and improvement timeframes;</w:t>
            </w:r>
          </w:p>
          <w:p w:rsidR="00D67910" w:rsidRPr="004302C3" w:rsidRDefault="00D67910" w:rsidP="00E65120">
            <w:pPr>
              <w:pStyle w:val="ListBullet"/>
              <w:numPr>
                <w:ilvl w:val="0"/>
                <w:numId w:val="9"/>
              </w:numPr>
              <w:spacing w:after="0" w:line="240" w:lineRule="auto"/>
              <w:rPr>
                <w:rFonts w:cs="Arial"/>
                <w:color w:val="000000" w:themeColor="text1"/>
              </w:rPr>
            </w:pPr>
            <w:r w:rsidRPr="004302C3">
              <w:rPr>
                <w:rFonts w:cs="Arial"/>
                <w:color w:val="000000" w:themeColor="text1"/>
              </w:rPr>
              <w:t xml:space="preserve">be published and promoted internally and externally; and </w:t>
            </w:r>
          </w:p>
          <w:p w:rsidR="00D67910" w:rsidRPr="00563C02" w:rsidRDefault="00D67910" w:rsidP="00E65120">
            <w:pPr>
              <w:pStyle w:val="ListBullet"/>
              <w:numPr>
                <w:ilvl w:val="0"/>
                <w:numId w:val="9"/>
              </w:numPr>
              <w:spacing w:after="0" w:line="240" w:lineRule="auto"/>
            </w:pPr>
            <w:r w:rsidRPr="004302C3">
              <w:rPr>
                <w:rFonts w:cs="Arial"/>
                <w:color w:val="000000" w:themeColor="text1"/>
              </w:rPr>
              <w:t>inform the development and maintenance of all plans and strategies relating to regulatory activities within the Department.</w:t>
            </w:r>
          </w:p>
          <w:p w:rsidR="00563C02" w:rsidRDefault="00563C02" w:rsidP="00563C02">
            <w:pPr>
              <w:pStyle w:val="ListBullet"/>
              <w:numPr>
                <w:ilvl w:val="0"/>
                <w:numId w:val="0"/>
              </w:numPr>
              <w:spacing w:after="0" w:line="240" w:lineRule="auto"/>
              <w:ind w:left="720"/>
            </w:pPr>
          </w:p>
        </w:tc>
        <w:tc>
          <w:tcPr>
            <w:tcW w:w="2157" w:type="dxa"/>
            <w:vAlign w:val="center"/>
          </w:tcPr>
          <w:p w:rsidR="00D67910" w:rsidRDefault="00D67910" w:rsidP="00524907">
            <w:pPr>
              <w:jc w:val="center"/>
            </w:pPr>
            <w:r>
              <w:t>1</w:t>
            </w:r>
          </w:p>
        </w:tc>
        <w:tc>
          <w:tcPr>
            <w:tcW w:w="1778" w:type="dxa"/>
            <w:vAlign w:val="center"/>
          </w:tcPr>
          <w:p w:rsidR="00D67910" w:rsidRDefault="00D67910" w:rsidP="00524907">
            <w:pPr>
              <w:jc w:val="center"/>
            </w:pPr>
            <w:r>
              <w:t>1</w:t>
            </w:r>
          </w:p>
        </w:tc>
      </w:tr>
      <w:tr w:rsidR="00D67910" w:rsidTr="002C4D84">
        <w:trPr>
          <w:cnfStyle w:val="000000100000" w:firstRow="0" w:lastRow="0" w:firstColumn="0" w:lastColumn="0" w:oddVBand="0" w:evenVBand="0" w:oddHBand="1" w:evenHBand="0" w:firstRowFirstColumn="0" w:firstRowLastColumn="0" w:lastRowFirstColumn="0" w:lastRowLastColumn="0"/>
        </w:trPr>
        <w:tc>
          <w:tcPr>
            <w:tcW w:w="2184" w:type="dxa"/>
          </w:tcPr>
          <w:p w:rsidR="00D67910" w:rsidRDefault="00D67910" w:rsidP="00524907">
            <w:r>
              <w:rPr>
                <w:rFonts w:cs="Arial"/>
                <w:b/>
              </w:rPr>
              <w:t>1.2  Performance monitoring and communication</w:t>
            </w:r>
          </w:p>
        </w:tc>
        <w:tc>
          <w:tcPr>
            <w:tcW w:w="8950" w:type="dxa"/>
          </w:tcPr>
          <w:p w:rsidR="00563C02" w:rsidRDefault="00D67910" w:rsidP="00524907">
            <w:pPr>
              <w:rPr>
                <w:rFonts w:cs="Arial"/>
              </w:rPr>
            </w:pPr>
            <w:r w:rsidRPr="004302C3">
              <w:rPr>
                <w:rFonts w:cs="Arial"/>
              </w:rPr>
              <w:t xml:space="preserve">The Department and EPG should develop robust and measurable objectives and KPIs relating to its regulatory activities. These should be developed, published and monitored and included in performance agreements for relevant staff. The Department should communicate </w:t>
            </w:r>
            <w:r w:rsidR="00BA40F7">
              <w:rPr>
                <w:rFonts w:cs="Arial"/>
              </w:rPr>
              <w:t xml:space="preserve">the </w:t>
            </w:r>
            <w:r w:rsidRPr="004302C3">
              <w:rPr>
                <w:rFonts w:cs="Arial"/>
              </w:rPr>
              <w:t>results</w:t>
            </w:r>
            <w:r w:rsidR="00BA40F7">
              <w:rPr>
                <w:rFonts w:cs="Arial"/>
              </w:rPr>
              <w:t xml:space="preserve"> of monitoring</w:t>
            </w:r>
            <w:r w:rsidRPr="004302C3">
              <w:rPr>
                <w:rFonts w:cs="Arial"/>
              </w:rPr>
              <w:t xml:space="preserve"> to staff, with open discussion about lessons learned and opportunities for improvements. </w:t>
            </w:r>
          </w:p>
          <w:p w:rsidR="00D67910" w:rsidRPr="004302C3" w:rsidRDefault="00D67910" w:rsidP="00524907">
            <w:pPr>
              <w:rPr>
                <w:rFonts w:cs="Arial"/>
              </w:rPr>
            </w:pPr>
            <w:r w:rsidRPr="004302C3">
              <w:rPr>
                <w:rFonts w:cs="Arial"/>
              </w:rPr>
              <w:t>KPIs should be developed having regard to:</w:t>
            </w:r>
          </w:p>
          <w:p w:rsidR="00D67910" w:rsidRPr="004302C3" w:rsidRDefault="00D67910" w:rsidP="00E65120">
            <w:pPr>
              <w:numPr>
                <w:ilvl w:val="0"/>
                <w:numId w:val="10"/>
              </w:numPr>
              <w:spacing w:after="0" w:line="240" w:lineRule="auto"/>
              <w:rPr>
                <w:rFonts w:cs="Arial"/>
              </w:rPr>
            </w:pPr>
            <w:r w:rsidRPr="004302C3">
              <w:rPr>
                <w:rFonts w:cs="Arial"/>
              </w:rPr>
              <w:t>the problem they are addressing;</w:t>
            </w:r>
          </w:p>
          <w:p w:rsidR="00D67910" w:rsidRPr="004302C3" w:rsidRDefault="00D67910" w:rsidP="00E65120">
            <w:pPr>
              <w:numPr>
                <w:ilvl w:val="0"/>
                <w:numId w:val="10"/>
              </w:numPr>
              <w:spacing w:after="0" w:line="240" w:lineRule="auto"/>
              <w:rPr>
                <w:rFonts w:cs="Arial"/>
              </w:rPr>
            </w:pPr>
            <w:r w:rsidRPr="004302C3">
              <w:rPr>
                <w:rFonts w:cs="Arial"/>
              </w:rPr>
              <w:t>the desired outcome;</w:t>
            </w:r>
          </w:p>
          <w:p w:rsidR="00D67910" w:rsidRPr="004302C3" w:rsidRDefault="00D67910" w:rsidP="00E65120">
            <w:pPr>
              <w:numPr>
                <w:ilvl w:val="0"/>
                <w:numId w:val="10"/>
              </w:numPr>
              <w:spacing w:after="0" w:line="240" w:lineRule="auto"/>
              <w:rPr>
                <w:rFonts w:cs="Arial"/>
              </w:rPr>
            </w:pPr>
            <w:r w:rsidRPr="004302C3">
              <w:rPr>
                <w:rFonts w:cs="Arial"/>
              </w:rPr>
              <w:lastRenderedPageBreak/>
              <w:t>how the Department will know when they are achieved;</w:t>
            </w:r>
          </w:p>
          <w:p w:rsidR="00D67910" w:rsidRPr="004302C3" w:rsidRDefault="00D67910" w:rsidP="00E65120">
            <w:pPr>
              <w:numPr>
                <w:ilvl w:val="0"/>
                <w:numId w:val="10"/>
              </w:numPr>
              <w:spacing w:after="0" w:line="240" w:lineRule="auto"/>
              <w:rPr>
                <w:rFonts w:cs="Arial"/>
              </w:rPr>
            </w:pPr>
            <w:r w:rsidRPr="004302C3">
              <w:rPr>
                <w:rFonts w:cs="Arial"/>
              </w:rPr>
              <w:t>how</w:t>
            </w:r>
            <w:r w:rsidR="00BA40F7">
              <w:rPr>
                <w:rFonts w:cs="Arial"/>
              </w:rPr>
              <w:t>,</w:t>
            </w:r>
            <w:r w:rsidRPr="004302C3">
              <w:rPr>
                <w:rFonts w:cs="Arial"/>
              </w:rPr>
              <w:t xml:space="preserve"> and how often</w:t>
            </w:r>
            <w:r w:rsidR="00BA40F7">
              <w:rPr>
                <w:rFonts w:cs="Arial"/>
              </w:rPr>
              <w:t>,</w:t>
            </w:r>
            <w:r w:rsidRPr="004302C3">
              <w:rPr>
                <w:rFonts w:cs="Arial"/>
              </w:rPr>
              <w:t xml:space="preserve"> they will be monitored;</w:t>
            </w:r>
          </w:p>
          <w:p w:rsidR="00D67910" w:rsidRPr="004302C3" w:rsidRDefault="00D67910" w:rsidP="00E65120">
            <w:pPr>
              <w:numPr>
                <w:ilvl w:val="0"/>
                <w:numId w:val="10"/>
              </w:numPr>
              <w:spacing w:after="0" w:line="240" w:lineRule="auto"/>
              <w:rPr>
                <w:rFonts w:cs="Arial"/>
              </w:rPr>
            </w:pPr>
            <w:r w:rsidRPr="004302C3">
              <w:rPr>
                <w:rFonts w:cs="Arial"/>
              </w:rPr>
              <w:t xml:space="preserve">what milestones need to be met to know that </w:t>
            </w:r>
            <w:r w:rsidR="00BA40F7">
              <w:rPr>
                <w:rFonts w:cs="Arial"/>
              </w:rPr>
              <w:t>the Department is</w:t>
            </w:r>
            <w:r w:rsidRPr="004302C3">
              <w:rPr>
                <w:rFonts w:cs="Arial"/>
              </w:rPr>
              <w:t xml:space="preserve"> on track; </w:t>
            </w:r>
          </w:p>
          <w:p w:rsidR="00D67910" w:rsidRPr="004302C3" w:rsidRDefault="00D67910" w:rsidP="00E65120">
            <w:pPr>
              <w:numPr>
                <w:ilvl w:val="0"/>
                <w:numId w:val="10"/>
              </w:numPr>
              <w:spacing w:after="0" w:line="240" w:lineRule="auto"/>
              <w:rPr>
                <w:rFonts w:cs="Arial"/>
              </w:rPr>
            </w:pPr>
            <w:r w:rsidRPr="004302C3">
              <w:rPr>
                <w:rFonts w:cs="Arial"/>
              </w:rPr>
              <w:t>how the Department will make corrections along the way; and</w:t>
            </w:r>
          </w:p>
          <w:p w:rsidR="00D67910" w:rsidRPr="00BA40F7" w:rsidRDefault="00D67910" w:rsidP="00E65120">
            <w:pPr>
              <w:numPr>
                <w:ilvl w:val="0"/>
                <w:numId w:val="10"/>
              </w:numPr>
              <w:spacing w:after="0" w:line="240" w:lineRule="auto"/>
              <w:rPr>
                <w:rFonts w:cs="Arial"/>
              </w:rPr>
            </w:pPr>
            <w:r w:rsidRPr="004302C3">
              <w:rPr>
                <w:rFonts w:cs="Arial"/>
              </w:rPr>
              <w:t xml:space="preserve">how, and how often, performance will be communicated internally and externally.  </w:t>
            </w:r>
          </w:p>
          <w:p w:rsidR="00D67910" w:rsidRPr="004302C3" w:rsidRDefault="00D67910" w:rsidP="00BA40F7">
            <w:pPr>
              <w:spacing w:before="120"/>
              <w:rPr>
                <w:rFonts w:cs="Arial"/>
              </w:rPr>
            </w:pPr>
            <w:r w:rsidRPr="004302C3">
              <w:rPr>
                <w:rFonts w:cs="Arial"/>
              </w:rPr>
              <w:t>The Department should clarify who has responsibility for monitoring KPIs and making any necessary adjustments.</w:t>
            </w:r>
          </w:p>
          <w:p w:rsidR="00D67910" w:rsidRDefault="00D67910" w:rsidP="00BA40F7">
            <w:r w:rsidRPr="004302C3">
              <w:rPr>
                <w:rFonts w:cs="Arial"/>
              </w:rPr>
              <w:t>The Department</w:t>
            </w:r>
            <w:r w:rsidR="00BA40F7">
              <w:rPr>
                <w:rFonts w:cs="Arial"/>
              </w:rPr>
              <w:t xml:space="preserve"> and EPG</w:t>
            </w:r>
            <w:r w:rsidRPr="004302C3">
              <w:rPr>
                <w:rFonts w:cs="Arial"/>
              </w:rPr>
              <w:t xml:space="preserve"> should seek feedback from stakeholders on its performance</w:t>
            </w:r>
            <w:r w:rsidR="00BA40F7">
              <w:rPr>
                <w:rFonts w:cs="Arial"/>
              </w:rPr>
              <w:t>,</w:t>
            </w:r>
            <w:r w:rsidRPr="004302C3">
              <w:rPr>
                <w:rFonts w:cs="Arial"/>
              </w:rPr>
              <w:t xml:space="preserve"> and use this</w:t>
            </w:r>
            <w:r w:rsidR="00BA40F7">
              <w:rPr>
                <w:rFonts w:cs="Arial"/>
              </w:rPr>
              <w:t xml:space="preserve"> feedback</w:t>
            </w:r>
            <w:r w:rsidRPr="004302C3">
              <w:rPr>
                <w:rFonts w:cs="Arial"/>
              </w:rPr>
              <w:t xml:space="preserve"> to make improvements. The Department should publicly report on its performance to address stakeholder concerns (see also the </w:t>
            </w:r>
            <w:r w:rsidRPr="004302C3">
              <w:rPr>
                <w:rFonts w:cs="Arial"/>
                <w:i/>
              </w:rPr>
              <w:t xml:space="preserve">Transparency and disclosure of information </w:t>
            </w:r>
            <w:r w:rsidRPr="004302C3">
              <w:rPr>
                <w:rFonts w:cs="Arial"/>
              </w:rPr>
              <w:t xml:space="preserve">section in Chapter 2, and the </w:t>
            </w:r>
            <w:r w:rsidRPr="004302C3">
              <w:rPr>
                <w:rFonts w:cs="Arial"/>
                <w:i/>
              </w:rPr>
              <w:t xml:space="preserve">Proactive engagement with community stakeholders </w:t>
            </w:r>
            <w:r w:rsidRPr="004302C3">
              <w:rPr>
                <w:rFonts w:cs="Arial"/>
              </w:rPr>
              <w:t>section in Chapter 6).</w:t>
            </w:r>
          </w:p>
        </w:tc>
        <w:tc>
          <w:tcPr>
            <w:tcW w:w="2157" w:type="dxa"/>
            <w:vAlign w:val="center"/>
          </w:tcPr>
          <w:p w:rsidR="00D67910" w:rsidRDefault="007571BD" w:rsidP="00524907">
            <w:pPr>
              <w:jc w:val="center"/>
            </w:pPr>
            <w:r>
              <w:lastRenderedPageBreak/>
              <w:t>2</w:t>
            </w:r>
          </w:p>
        </w:tc>
        <w:tc>
          <w:tcPr>
            <w:tcW w:w="1778" w:type="dxa"/>
            <w:vAlign w:val="center"/>
          </w:tcPr>
          <w:p w:rsidR="00D67910" w:rsidRDefault="007571BD" w:rsidP="00524907">
            <w:pPr>
              <w:jc w:val="center"/>
            </w:pPr>
            <w:r>
              <w:t>3</w:t>
            </w:r>
          </w:p>
        </w:tc>
      </w:tr>
      <w:tr w:rsidR="002C4D84" w:rsidTr="002C4D84">
        <w:trPr>
          <w:cnfStyle w:val="000000010000" w:firstRow="0" w:lastRow="0" w:firstColumn="0" w:lastColumn="0" w:oddVBand="0" w:evenVBand="0" w:oddHBand="0" w:evenHBand="1" w:firstRowFirstColumn="0" w:firstRowLastColumn="0" w:lastRowFirstColumn="0" w:lastRowLastColumn="0"/>
        </w:trPr>
        <w:tc>
          <w:tcPr>
            <w:tcW w:w="2184" w:type="dxa"/>
            <w:vMerge w:val="restart"/>
          </w:tcPr>
          <w:p w:rsidR="002C4D84" w:rsidRDefault="002C4D84" w:rsidP="00524907">
            <w:r>
              <w:rPr>
                <w:rFonts w:cs="Arial"/>
                <w:b/>
              </w:rPr>
              <w:t>1</w:t>
            </w:r>
            <w:r w:rsidRPr="00095650">
              <w:rPr>
                <w:rFonts w:cs="Arial"/>
                <w:b/>
              </w:rPr>
              <w:t>.</w:t>
            </w:r>
            <w:r>
              <w:rPr>
                <w:rFonts w:cs="Arial"/>
                <w:b/>
              </w:rPr>
              <w:t xml:space="preserve">3 </w:t>
            </w:r>
            <w:r w:rsidRPr="00095650">
              <w:rPr>
                <w:rFonts w:cs="Arial"/>
                <w:b/>
              </w:rPr>
              <w:t xml:space="preserve"> Governance</w:t>
            </w:r>
          </w:p>
        </w:tc>
        <w:tc>
          <w:tcPr>
            <w:tcW w:w="8950" w:type="dxa"/>
          </w:tcPr>
          <w:p w:rsidR="002C4D84" w:rsidRPr="00095650" w:rsidRDefault="002C4D84" w:rsidP="00BA40F7">
            <w:pPr>
              <w:rPr>
                <w:rFonts w:cs="Arial"/>
              </w:rPr>
            </w:pPr>
            <w:r w:rsidRPr="004302C3">
              <w:rPr>
                <w:rFonts w:cs="Arial"/>
              </w:rPr>
              <w:t xml:space="preserve">The Department should establish an oversight body to consider the Department’s regulatory policies and posture; and </w:t>
            </w:r>
            <w:r>
              <w:rPr>
                <w:rFonts w:cs="Arial"/>
              </w:rPr>
              <w:t xml:space="preserve">to have </w:t>
            </w:r>
            <w:r w:rsidRPr="004302C3">
              <w:rPr>
                <w:rFonts w:cs="Arial"/>
              </w:rPr>
              <w:t>oversight of regulatory</w:t>
            </w:r>
            <w:r>
              <w:rPr>
                <w:rFonts w:cs="Arial"/>
              </w:rPr>
              <w:t xml:space="preserve"> issues,</w:t>
            </w:r>
            <w:r w:rsidRPr="004302C3">
              <w:rPr>
                <w:rFonts w:cs="Arial"/>
              </w:rPr>
              <w:t xml:space="preserve"> policies</w:t>
            </w:r>
            <w:r>
              <w:rPr>
                <w:rFonts w:cs="Arial"/>
              </w:rPr>
              <w:t xml:space="preserve">, </w:t>
            </w:r>
            <w:r w:rsidRPr="004302C3">
              <w:rPr>
                <w:rFonts w:cs="Arial"/>
              </w:rPr>
              <w:t>and major pieces of public guidance. This body could be referred to as the Regulatory Steering Committee</w:t>
            </w:r>
            <w:r>
              <w:rPr>
                <w:rFonts w:cs="Arial"/>
              </w:rPr>
              <w:t>,</w:t>
            </w:r>
            <w:r w:rsidRPr="004302C3">
              <w:rPr>
                <w:rFonts w:cs="Arial"/>
              </w:rPr>
              <w:t xml:space="preserve"> and should be chaired by the Deputy Secretary of EPG, and</w:t>
            </w:r>
            <w:r>
              <w:rPr>
                <w:rFonts w:cs="Arial"/>
              </w:rPr>
              <w:t xml:space="preserve"> include</w:t>
            </w:r>
            <w:r w:rsidRPr="004302C3">
              <w:rPr>
                <w:rFonts w:cs="Arial"/>
              </w:rPr>
              <w:t xml:space="preserve"> First Assistant Secretaries from ESD and WHaM, and appropriate representation from other regulatory </w:t>
            </w:r>
            <w:r>
              <w:rPr>
                <w:rFonts w:cs="Arial"/>
              </w:rPr>
              <w:t>areas</w:t>
            </w:r>
            <w:r w:rsidRPr="004302C3">
              <w:rPr>
                <w:rFonts w:cs="Arial"/>
              </w:rPr>
              <w:t xml:space="preserve"> such as Parks</w:t>
            </w:r>
            <w:r>
              <w:rPr>
                <w:rFonts w:cs="Arial"/>
              </w:rPr>
              <w:t xml:space="preserve"> Australia and</w:t>
            </w:r>
            <w:r w:rsidRPr="004302C3">
              <w:rPr>
                <w:rFonts w:cs="Arial"/>
              </w:rPr>
              <w:t xml:space="preserve"> the Australian Antarctic Division. Heads of the General Counsel Branch and the Compliance and Enforcement Branch, as well as the Chief Risk Officer, should also be involved in an advisory capacity. The Department should consider whether other portfolio regulators should be involved in the Committee.</w:t>
            </w:r>
          </w:p>
        </w:tc>
        <w:tc>
          <w:tcPr>
            <w:tcW w:w="2157" w:type="dxa"/>
            <w:vAlign w:val="center"/>
          </w:tcPr>
          <w:p w:rsidR="002C4D84" w:rsidRDefault="002C4D84" w:rsidP="00524907">
            <w:pPr>
              <w:jc w:val="center"/>
            </w:pPr>
            <w:r>
              <w:t>1</w:t>
            </w:r>
          </w:p>
        </w:tc>
        <w:tc>
          <w:tcPr>
            <w:tcW w:w="1778" w:type="dxa"/>
            <w:vAlign w:val="center"/>
          </w:tcPr>
          <w:p w:rsidR="002C4D84" w:rsidRDefault="002C4D84" w:rsidP="00524907">
            <w:pPr>
              <w:jc w:val="center"/>
            </w:pPr>
            <w:r>
              <w:t>1</w:t>
            </w:r>
          </w:p>
        </w:tc>
      </w:tr>
      <w:tr w:rsidR="002C4D84" w:rsidTr="002C4D84">
        <w:trPr>
          <w:cnfStyle w:val="000000100000" w:firstRow="0" w:lastRow="0" w:firstColumn="0" w:lastColumn="0" w:oddVBand="0" w:evenVBand="0" w:oddHBand="1" w:evenHBand="0" w:firstRowFirstColumn="0" w:firstRowLastColumn="0" w:lastRowFirstColumn="0" w:lastRowLastColumn="0"/>
        </w:trPr>
        <w:tc>
          <w:tcPr>
            <w:tcW w:w="2184" w:type="dxa"/>
            <w:vMerge/>
          </w:tcPr>
          <w:p w:rsidR="002C4D84" w:rsidRDefault="002C4D84" w:rsidP="00524907"/>
        </w:tc>
        <w:tc>
          <w:tcPr>
            <w:tcW w:w="8950" w:type="dxa"/>
          </w:tcPr>
          <w:p w:rsidR="002C4D84" w:rsidRDefault="002C4D84" w:rsidP="00524907">
            <w:pPr>
              <w:rPr>
                <w:rFonts w:cs="Arial"/>
              </w:rPr>
            </w:pPr>
            <w:r w:rsidRPr="004302C3">
              <w:rPr>
                <w:rFonts w:cs="Arial"/>
              </w:rPr>
              <w:t>The Regulatory Advisory Panel should continue to operate as a sub-committee of the Regulatory Steering Committee with particular focus on specific compliance and enforcement matters.</w:t>
            </w:r>
          </w:p>
          <w:p w:rsidR="002C4D84" w:rsidRDefault="002C4D84" w:rsidP="002C4D84">
            <w:r w:rsidRPr="004302C3">
              <w:rPr>
                <w:rFonts w:cs="Arial"/>
              </w:rPr>
              <w:lastRenderedPageBreak/>
              <w:t>Consideration should be given to formalising the matters that should be brought to the Regulatory Advisory Panel</w:t>
            </w:r>
            <w:r>
              <w:rPr>
                <w:rFonts w:cs="Arial"/>
              </w:rPr>
              <w:t xml:space="preserve"> and the Regulatory Steering Committee</w:t>
            </w:r>
            <w:r w:rsidRPr="004302C3">
              <w:rPr>
                <w:rFonts w:cs="Arial"/>
              </w:rPr>
              <w:t xml:space="preserve">, and reflecting this in ‘trigger points’ in </w:t>
            </w:r>
            <w:r>
              <w:rPr>
                <w:rFonts w:cs="Arial"/>
              </w:rPr>
              <w:t xml:space="preserve">Standard Operating Procedures </w:t>
            </w:r>
            <w:r w:rsidRPr="004302C3">
              <w:rPr>
                <w:rFonts w:cs="Arial"/>
              </w:rPr>
              <w:t>and guidelines.</w:t>
            </w:r>
          </w:p>
        </w:tc>
        <w:tc>
          <w:tcPr>
            <w:tcW w:w="2157" w:type="dxa"/>
            <w:vAlign w:val="center"/>
          </w:tcPr>
          <w:p w:rsidR="002C4D84" w:rsidRDefault="002C4D84" w:rsidP="00524907">
            <w:pPr>
              <w:jc w:val="center"/>
            </w:pPr>
            <w:r>
              <w:lastRenderedPageBreak/>
              <w:t>2</w:t>
            </w:r>
          </w:p>
        </w:tc>
        <w:tc>
          <w:tcPr>
            <w:tcW w:w="1778" w:type="dxa"/>
            <w:vAlign w:val="center"/>
          </w:tcPr>
          <w:p w:rsidR="002C4D84" w:rsidRDefault="002C4D84" w:rsidP="00524907">
            <w:pPr>
              <w:jc w:val="center"/>
            </w:pPr>
            <w:r>
              <w:t>1</w:t>
            </w:r>
          </w:p>
        </w:tc>
      </w:tr>
      <w:tr w:rsidR="00D67910" w:rsidTr="002C4D84">
        <w:trPr>
          <w:cnfStyle w:val="000000010000" w:firstRow="0" w:lastRow="0" w:firstColumn="0" w:lastColumn="0" w:oddVBand="0" w:evenVBand="0" w:oddHBand="0" w:evenHBand="1" w:firstRowFirstColumn="0" w:firstRowLastColumn="0" w:lastRowFirstColumn="0" w:lastRowLastColumn="0"/>
        </w:trPr>
        <w:tc>
          <w:tcPr>
            <w:tcW w:w="2184" w:type="dxa"/>
          </w:tcPr>
          <w:p w:rsidR="00D67910" w:rsidRPr="003540B9" w:rsidRDefault="00D67910" w:rsidP="00524907">
            <w:pPr>
              <w:pStyle w:val="ListBullet"/>
              <w:numPr>
                <w:ilvl w:val="0"/>
                <w:numId w:val="0"/>
              </w:numPr>
              <w:rPr>
                <w:rFonts w:cs="Arial"/>
                <w:b/>
              </w:rPr>
            </w:pPr>
            <w:r>
              <w:rPr>
                <w:rFonts w:cs="Arial"/>
                <w:b/>
              </w:rPr>
              <w:t>1.4  Continuous improvement</w:t>
            </w:r>
          </w:p>
          <w:p w:rsidR="00D67910" w:rsidRDefault="00D67910" w:rsidP="00524907"/>
        </w:tc>
        <w:tc>
          <w:tcPr>
            <w:tcW w:w="8950" w:type="dxa"/>
          </w:tcPr>
          <w:p w:rsidR="00D67910" w:rsidRDefault="00D67910" w:rsidP="00524907">
            <w:pPr>
              <w:rPr>
                <w:rFonts w:cs="Arial"/>
              </w:rPr>
            </w:pPr>
            <w:r w:rsidRPr="004302C3">
              <w:rPr>
                <w:rFonts w:cs="Arial"/>
              </w:rPr>
              <w:t xml:space="preserve">EPG should continue to develop and promote a culture of continuous improvement (see also </w:t>
            </w:r>
            <w:r w:rsidRPr="004302C3">
              <w:rPr>
                <w:rFonts w:cs="Arial"/>
                <w:i/>
              </w:rPr>
              <w:t>Recommendation 3.7 (Innovation)</w:t>
            </w:r>
            <w:r w:rsidRPr="004302C3">
              <w:rPr>
                <w:rFonts w:cs="Arial"/>
              </w:rPr>
              <w:t>).</w:t>
            </w:r>
          </w:p>
          <w:p w:rsidR="00D67910" w:rsidRDefault="00D67910" w:rsidP="00524907">
            <w:pPr>
              <w:rPr>
                <w:rFonts w:cs="Arial"/>
              </w:rPr>
            </w:pPr>
            <w:r w:rsidRPr="004302C3">
              <w:rPr>
                <w:rFonts w:cs="Arial"/>
              </w:rPr>
              <w:t xml:space="preserve">EPG should plan and allocate resources for systematic monitoring, analysis and improvement (where necessary) of all regulatory policies and initiatives in consultation with relevant specialist areas. </w:t>
            </w:r>
          </w:p>
          <w:p w:rsidR="00D67910" w:rsidRDefault="00D67910" w:rsidP="00BA40F7">
            <w:r w:rsidRPr="004302C3">
              <w:rPr>
                <w:rFonts w:cs="Arial"/>
              </w:rPr>
              <w:t xml:space="preserve">EPG and the Department should support ongoing business improvement activities and performance assessments, including testing of changes to business systems (see also </w:t>
            </w:r>
            <w:r w:rsidRPr="004302C3">
              <w:rPr>
                <w:rFonts w:cs="Arial"/>
                <w:i/>
              </w:rPr>
              <w:t>Recommendation 3.6 (Change management)</w:t>
            </w:r>
            <w:r w:rsidRPr="004302C3">
              <w:rPr>
                <w:rFonts w:cs="Arial"/>
              </w:rPr>
              <w:t>).</w:t>
            </w:r>
          </w:p>
        </w:tc>
        <w:tc>
          <w:tcPr>
            <w:tcW w:w="2157" w:type="dxa"/>
            <w:vAlign w:val="center"/>
          </w:tcPr>
          <w:p w:rsidR="00D67910" w:rsidRDefault="00D67910" w:rsidP="00524907">
            <w:pPr>
              <w:jc w:val="center"/>
            </w:pPr>
            <w:r>
              <w:t>2</w:t>
            </w:r>
          </w:p>
        </w:tc>
        <w:tc>
          <w:tcPr>
            <w:tcW w:w="1778" w:type="dxa"/>
            <w:vAlign w:val="center"/>
          </w:tcPr>
          <w:p w:rsidR="00D67910" w:rsidRDefault="00D67910" w:rsidP="00524907">
            <w:pPr>
              <w:jc w:val="center"/>
            </w:pPr>
            <w:r>
              <w:t>ongoing</w:t>
            </w:r>
          </w:p>
        </w:tc>
      </w:tr>
      <w:tr w:rsidR="00D67910" w:rsidTr="00E25CCF">
        <w:trPr>
          <w:cnfStyle w:val="000000100000" w:firstRow="0" w:lastRow="0" w:firstColumn="0" w:lastColumn="0" w:oddVBand="0" w:evenVBand="0" w:oddHBand="1" w:evenHBand="0" w:firstRowFirstColumn="0" w:firstRowLastColumn="0" w:lastRowFirstColumn="0" w:lastRowLastColumn="0"/>
        </w:trPr>
        <w:tc>
          <w:tcPr>
            <w:tcW w:w="15069" w:type="dxa"/>
            <w:gridSpan w:val="4"/>
          </w:tcPr>
          <w:p w:rsidR="00D67910" w:rsidRDefault="00D67910" w:rsidP="002C4D84">
            <w:pPr>
              <w:jc w:val="center"/>
            </w:pPr>
            <w:r>
              <w:rPr>
                <w:rFonts w:cs="Arial"/>
                <w:b/>
                <w:color w:val="0B5294" w:themeColor="accent1" w:themeShade="BF"/>
                <w:sz w:val="36"/>
                <w:szCs w:val="36"/>
              </w:rPr>
              <w:t>Chapter 2</w:t>
            </w:r>
            <w:r w:rsidRPr="00DD04D0">
              <w:rPr>
                <w:rFonts w:cs="Arial"/>
                <w:b/>
                <w:color w:val="0B5294" w:themeColor="accent1" w:themeShade="BF"/>
                <w:sz w:val="36"/>
                <w:szCs w:val="36"/>
              </w:rPr>
              <w:t xml:space="preserve">: Our </w:t>
            </w:r>
            <w:r>
              <w:rPr>
                <w:rFonts w:cs="Arial"/>
                <w:b/>
                <w:color w:val="0B5294" w:themeColor="accent1" w:themeShade="BF"/>
                <w:sz w:val="36"/>
                <w:szCs w:val="36"/>
              </w:rPr>
              <w:t xml:space="preserve">Approach to Regulation </w:t>
            </w:r>
          </w:p>
        </w:tc>
      </w:tr>
      <w:tr w:rsidR="00D67910" w:rsidTr="002C4D84">
        <w:trPr>
          <w:cnfStyle w:val="000000010000" w:firstRow="0" w:lastRow="0" w:firstColumn="0" w:lastColumn="0" w:oddVBand="0" w:evenVBand="0" w:oddHBand="0" w:evenHBand="1" w:firstRowFirstColumn="0" w:firstRowLastColumn="0" w:lastRowFirstColumn="0" w:lastRowLastColumn="0"/>
        </w:trPr>
        <w:tc>
          <w:tcPr>
            <w:tcW w:w="2184" w:type="dxa"/>
          </w:tcPr>
          <w:p w:rsidR="004E3028" w:rsidRDefault="00D67910">
            <w:pPr>
              <w:pStyle w:val="ListBullet"/>
              <w:numPr>
                <w:ilvl w:val="0"/>
                <w:numId w:val="0"/>
              </w:numPr>
            </w:pPr>
            <w:r>
              <w:rPr>
                <w:rFonts w:cs="Arial"/>
                <w:b/>
              </w:rPr>
              <w:t>2.1  The value of good regulation</w:t>
            </w:r>
          </w:p>
        </w:tc>
        <w:tc>
          <w:tcPr>
            <w:tcW w:w="8950" w:type="dxa"/>
          </w:tcPr>
          <w:p w:rsidR="002C4D84" w:rsidRPr="002C4D84" w:rsidRDefault="00D67910" w:rsidP="005D3483">
            <w:pPr>
              <w:pStyle w:val="ListBullet"/>
              <w:numPr>
                <w:ilvl w:val="0"/>
                <w:numId w:val="0"/>
              </w:numPr>
              <w:tabs>
                <w:tab w:val="left" w:pos="1966"/>
              </w:tabs>
              <w:rPr>
                <w:rFonts w:cs="Arial"/>
              </w:rPr>
            </w:pPr>
            <w:r w:rsidRPr="00193755">
              <w:rPr>
                <w:rFonts w:cs="Arial"/>
              </w:rPr>
              <w:t xml:space="preserve">The Department and EPG should regularly communicate and emphasise the importance of good </w:t>
            </w:r>
            <w:r w:rsidR="005D3483">
              <w:rPr>
                <w:rFonts w:cs="Arial"/>
              </w:rPr>
              <w:t xml:space="preserve">environmental </w:t>
            </w:r>
            <w:r w:rsidRPr="00193755">
              <w:rPr>
                <w:rFonts w:cs="Arial"/>
              </w:rPr>
              <w:t>regulation</w:t>
            </w:r>
            <w:r w:rsidR="005D3483">
              <w:rPr>
                <w:rFonts w:cs="Arial"/>
              </w:rPr>
              <w:t xml:space="preserve">, </w:t>
            </w:r>
            <w:r w:rsidRPr="00193755">
              <w:rPr>
                <w:rFonts w:cs="Arial"/>
              </w:rPr>
              <w:t xml:space="preserve">both internally and externally (see also the </w:t>
            </w:r>
            <w:r w:rsidRPr="00193755">
              <w:rPr>
                <w:rFonts w:cs="Arial"/>
                <w:i/>
              </w:rPr>
              <w:t>Value of Environmental Reregulation</w:t>
            </w:r>
            <w:r w:rsidRPr="00193755">
              <w:rPr>
                <w:rFonts w:cs="Arial"/>
              </w:rPr>
              <w:t xml:space="preserve"> section in the Introduction).</w:t>
            </w:r>
          </w:p>
        </w:tc>
        <w:tc>
          <w:tcPr>
            <w:tcW w:w="2157" w:type="dxa"/>
            <w:vAlign w:val="center"/>
          </w:tcPr>
          <w:p w:rsidR="00D67910" w:rsidRDefault="005D3483" w:rsidP="00524907">
            <w:pPr>
              <w:jc w:val="center"/>
            </w:pPr>
            <w:r>
              <w:t>2</w:t>
            </w:r>
          </w:p>
        </w:tc>
        <w:tc>
          <w:tcPr>
            <w:tcW w:w="1778" w:type="dxa"/>
            <w:vAlign w:val="center"/>
          </w:tcPr>
          <w:p w:rsidR="00D67910" w:rsidRDefault="00D67910" w:rsidP="00524907">
            <w:pPr>
              <w:jc w:val="center"/>
            </w:pPr>
            <w:r>
              <w:t>2</w:t>
            </w:r>
          </w:p>
          <w:p w:rsidR="00D67910" w:rsidRDefault="00D67910" w:rsidP="00524907">
            <w:pPr>
              <w:jc w:val="center"/>
            </w:pPr>
            <w:r>
              <w:t>ongoing</w:t>
            </w:r>
          </w:p>
        </w:tc>
      </w:tr>
      <w:tr w:rsidR="00D67910" w:rsidTr="002C4D84">
        <w:trPr>
          <w:cnfStyle w:val="000000100000" w:firstRow="0" w:lastRow="0" w:firstColumn="0" w:lastColumn="0" w:oddVBand="0" w:evenVBand="0" w:oddHBand="1" w:evenHBand="0" w:firstRowFirstColumn="0" w:firstRowLastColumn="0" w:lastRowFirstColumn="0" w:lastRowLastColumn="0"/>
        </w:trPr>
        <w:tc>
          <w:tcPr>
            <w:tcW w:w="2184" w:type="dxa"/>
          </w:tcPr>
          <w:p w:rsidR="00D67910" w:rsidRDefault="00D67910" w:rsidP="00524907">
            <w:pPr>
              <w:pStyle w:val="ListBullet"/>
              <w:numPr>
                <w:ilvl w:val="0"/>
                <w:numId w:val="0"/>
              </w:numPr>
              <w:rPr>
                <w:rFonts w:cs="Arial"/>
                <w:b/>
              </w:rPr>
            </w:pPr>
            <w:r>
              <w:rPr>
                <w:rFonts w:cs="Arial"/>
                <w:b/>
              </w:rPr>
              <w:t>2</w:t>
            </w:r>
            <w:r w:rsidRPr="007D71B7">
              <w:rPr>
                <w:rFonts w:cs="Arial"/>
                <w:b/>
              </w:rPr>
              <w:t xml:space="preserve">.2 </w:t>
            </w:r>
            <w:r>
              <w:rPr>
                <w:rFonts w:cs="Arial"/>
                <w:b/>
              </w:rPr>
              <w:t xml:space="preserve"> Understanding regulation and using the right tools</w:t>
            </w:r>
          </w:p>
        </w:tc>
        <w:tc>
          <w:tcPr>
            <w:tcW w:w="8950" w:type="dxa"/>
          </w:tcPr>
          <w:p w:rsidR="00D67910" w:rsidRDefault="00D67910" w:rsidP="00524907">
            <w:pPr>
              <w:rPr>
                <w:rFonts w:cs="Arial"/>
              </w:rPr>
            </w:pPr>
            <w:r w:rsidRPr="002E110E">
              <w:rPr>
                <w:rFonts w:cs="Arial"/>
              </w:rPr>
              <w:t>EPG should</w:t>
            </w:r>
            <w:r w:rsidR="00645BC7">
              <w:rPr>
                <w:rFonts w:cs="Arial"/>
              </w:rPr>
              <w:t xml:space="preserve"> use </w:t>
            </w:r>
            <w:r w:rsidRPr="002E110E">
              <w:rPr>
                <w:rFonts w:cs="Arial"/>
              </w:rPr>
              <w:t>objectives, strategies and training</w:t>
            </w:r>
            <w:r w:rsidR="00645BC7">
              <w:rPr>
                <w:rFonts w:cs="Arial"/>
              </w:rPr>
              <w:t xml:space="preserve"> to</w:t>
            </w:r>
            <w:r w:rsidRPr="002E110E">
              <w:rPr>
                <w:rFonts w:cs="Arial"/>
              </w:rPr>
              <w:t xml:space="preserve"> articulate that regulation is a broad suite of measures </w:t>
            </w:r>
            <w:r w:rsidR="005D3483">
              <w:rPr>
                <w:rFonts w:cs="Arial"/>
              </w:rPr>
              <w:t xml:space="preserve">that should be </w:t>
            </w:r>
            <w:r w:rsidRPr="002E110E">
              <w:rPr>
                <w:rFonts w:cs="Arial"/>
              </w:rPr>
              <w:t xml:space="preserve">used flexibly to achieve the objectives of the legislation.  EPG should also acknowledge the continuum between policy and regulation, with constant two way communication between those developing policy and those implementing it. </w:t>
            </w:r>
          </w:p>
          <w:p w:rsidR="009551C2" w:rsidRPr="002E110E" w:rsidRDefault="009551C2" w:rsidP="00524907">
            <w:pPr>
              <w:rPr>
                <w:rFonts w:cs="Arial"/>
              </w:rPr>
            </w:pPr>
            <w:r>
              <w:rPr>
                <w:rFonts w:cs="Arial"/>
              </w:rPr>
              <w:t xml:space="preserve">The Department should build and maintain a regulatory toolbox of legislative, policy, economic, informative, public reporting and other incentives or disincentives to achieve desired outcomes. </w:t>
            </w:r>
          </w:p>
          <w:p w:rsidR="00674066" w:rsidRDefault="00D67910" w:rsidP="00674066">
            <w:pPr>
              <w:contextualSpacing/>
              <w:rPr>
                <w:rFonts w:cs="Arial"/>
              </w:rPr>
            </w:pPr>
            <w:r w:rsidRPr="002E110E">
              <w:rPr>
                <w:rFonts w:cs="Arial"/>
              </w:rPr>
              <w:t>The Department should look for opportunities</w:t>
            </w:r>
            <w:r w:rsidR="005D3483">
              <w:rPr>
                <w:rFonts w:cs="Arial"/>
              </w:rPr>
              <w:t>,</w:t>
            </w:r>
            <w:r w:rsidRPr="002E110E">
              <w:rPr>
                <w:rFonts w:cs="Arial"/>
              </w:rPr>
              <w:t xml:space="preserve"> both within the current legislative framework and through future legislative amendments</w:t>
            </w:r>
            <w:r w:rsidR="005D3483">
              <w:rPr>
                <w:rFonts w:cs="Arial"/>
              </w:rPr>
              <w:t>,</w:t>
            </w:r>
            <w:r w:rsidRPr="002E110E">
              <w:rPr>
                <w:rFonts w:cs="Arial"/>
              </w:rPr>
              <w:t xml:space="preserve"> to use innovative approaches to </w:t>
            </w:r>
            <w:r w:rsidRPr="002E110E">
              <w:rPr>
                <w:rFonts w:cs="Arial"/>
              </w:rPr>
              <w:lastRenderedPageBreak/>
              <w:t xml:space="preserve">achieve the relevant objectives, such as self-certification, third party certification and co-regulation. The Department should however be cautious of relying on full self-regulation as this is often not accepted by the community and there are many examples of serious failures across regulatory agencies where this has been adopted. </w:t>
            </w:r>
            <w:r w:rsidR="00674066">
              <w:rPr>
                <w:rFonts w:cs="Arial"/>
              </w:rPr>
              <w:t>The Department should ensure that relevant staff are aware of all regulatory tools available to them, and the circumstances in which they should be considered.</w:t>
            </w:r>
          </w:p>
          <w:p w:rsidR="00674066" w:rsidRDefault="00674066" w:rsidP="005D3483">
            <w:pPr>
              <w:spacing w:after="240"/>
              <w:contextualSpacing/>
              <w:rPr>
                <w:rFonts w:cs="Arial"/>
              </w:rPr>
            </w:pPr>
          </w:p>
          <w:p w:rsidR="00D67910" w:rsidRDefault="00D67910" w:rsidP="005D3483">
            <w:pPr>
              <w:spacing w:before="120"/>
              <w:rPr>
                <w:rFonts w:cs="Arial"/>
              </w:rPr>
            </w:pPr>
            <w:r w:rsidRPr="002E110E">
              <w:rPr>
                <w:rFonts w:cs="Arial"/>
              </w:rPr>
              <w:t>Any future review of legislation should:</w:t>
            </w:r>
          </w:p>
          <w:p w:rsidR="00D67910" w:rsidRPr="002E110E" w:rsidRDefault="00D67910" w:rsidP="00E65120">
            <w:pPr>
              <w:numPr>
                <w:ilvl w:val="0"/>
                <w:numId w:val="12"/>
              </w:numPr>
              <w:spacing w:after="0" w:line="240" w:lineRule="auto"/>
              <w:rPr>
                <w:rFonts w:cs="Arial"/>
              </w:rPr>
            </w:pPr>
            <w:r w:rsidRPr="002E110E">
              <w:rPr>
                <w:rFonts w:cs="Arial"/>
              </w:rPr>
              <w:t xml:space="preserve">include an analysis of all potentially available incentives and disincentives to achieve desired policy outcomes;  </w:t>
            </w:r>
          </w:p>
          <w:p w:rsidR="00D67910" w:rsidRPr="002E110E" w:rsidRDefault="00D67910" w:rsidP="00E65120">
            <w:pPr>
              <w:numPr>
                <w:ilvl w:val="0"/>
                <w:numId w:val="12"/>
              </w:numPr>
              <w:spacing w:after="0" w:line="240" w:lineRule="auto"/>
              <w:rPr>
                <w:rFonts w:cs="Arial"/>
              </w:rPr>
            </w:pPr>
            <w:r w:rsidRPr="002E110E">
              <w:rPr>
                <w:rFonts w:cs="Arial"/>
              </w:rPr>
              <w:t>provide flexibility in the legislation for the Department to adopt the most cost effective regulatory approach in each case;</w:t>
            </w:r>
          </w:p>
          <w:p w:rsidR="004E3028" w:rsidRDefault="00D67910">
            <w:pPr>
              <w:numPr>
                <w:ilvl w:val="0"/>
                <w:numId w:val="12"/>
              </w:numPr>
              <w:spacing w:after="0" w:line="240" w:lineRule="auto"/>
              <w:rPr>
                <w:rFonts w:cs="Arial"/>
              </w:rPr>
            </w:pPr>
            <w:r w:rsidRPr="002E110E">
              <w:rPr>
                <w:rFonts w:cs="Arial"/>
              </w:rPr>
              <w:t>make greater use of regulations and other subordinate instruments to set out the detailed requirements.  This can provide more flexibility of approaches to solve problems as it can be amended more readily to respond to new technology or information and changes in Government policy and priorities.</w:t>
            </w:r>
          </w:p>
          <w:p w:rsidR="00D67910" w:rsidRPr="00563C02" w:rsidRDefault="00D67910" w:rsidP="00563C02">
            <w:pPr>
              <w:spacing w:after="0" w:line="240" w:lineRule="auto"/>
              <w:ind w:left="765"/>
              <w:rPr>
                <w:rFonts w:cs="Arial"/>
              </w:rPr>
            </w:pPr>
          </w:p>
          <w:p w:rsidR="00D67910" w:rsidRPr="002E110E" w:rsidRDefault="00D67910" w:rsidP="00524907">
            <w:pPr>
              <w:spacing w:after="120"/>
              <w:rPr>
                <w:rFonts w:cs="Arial"/>
              </w:rPr>
            </w:pPr>
            <w:r w:rsidRPr="002E110E">
              <w:rPr>
                <w:rFonts w:cs="Arial"/>
              </w:rPr>
              <w:t xml:space="preserve">The Department should expand the problem-solving working groups established in ESD to cross-divisional working groups, </w:t>
            </w:r>
            <w:r w:rsidR="005D3483">
              <w:rPr>
                <w:rFonts w:cs="Arial"/>
              </w:rPr>
              <w:t>coordinated</w:t>
            </w:r>
            <w:r w:rsidR="005D3483" w:rsidRPr="002E110E">
              <w:rPr>
                <w:rFonts w:cs="Arial"/>
              </w:rPr>
              <w:t xml:space="preserve"> </w:t>
            </w:r>
            <w:r w:rsidRPr="002E110E">
              <w:rPr>
                <w:rFonts w:cs="Arial"/>
              </w:rPr>
              <w:t>by an SES officer, to explore innovative approaches to achieve desired legislative outcomes. These working groups should be multi-disciplinary and strive to analyse problems and devise creative and effective solutions. These groups should:</w:t>
            </w:r>
          </w:p>
          <w:p w:rsidR="00D67910" w:rsidRPr="002E110E" w:rsidRDefault="00D67910" w:rsidP="00E65120">
            <w:pPr>
              <w:numPr>
                <w:ilvl w:val="0"/>
                <w:numId w:val="11"/>
              </w:numPr>
              <w:spacing w:after="0" w:line="240" w:lineRule="auto"/>
              <w:rPr>
                <w:rFonts w:cs="Arial"/>
              </w:rPr>
            </w:pPr>
            <w:r w:rsidRPr="002E110E">
              <w:rPr>
                <w:rFonts w:cs="Arial"/>
              </w:rPr>
              <w:t>be limited to the scope of the current legislation; and</w:t>
            </w:r>
          </w:p>
          <w:p w:rsidR="00D67910" w:rsidRPr="002E110E" w:rsidRDefault="00D67910" w:rsidP="00E65120">
            <w:pPr>
              <w:numPr>
                <w:ilvl w:val="0"/>
                <w:numId w:val="11"/>
              </w:numPr>
              <w:spacing w:after="0" w:line="240" w:lineRule="auto"/>
              <w:rPr>
                <w:rFonts w:cs="Arial"/>
              </w:rPr>
            </w:pPr>
            <w:r w:rsidRPr="002E110E">
              <w:rPr>
                <w:rFonts w:cs="Arial"/>
              </w:rPr>
              <w:t xml:space="preserve">not be limited to compliance and enforcement, but include upfront incentives and disincentives.  </w:t>
            </w:r>
          </w:p>
          <w:p w:rsidR="00D67910" w:rsidRPr="002E110E" w:rsidRDefault="00D67910" w:rsidP="00524907">
            <w:pPr>
              <w:contextualSpacing/>
              <w:rPr>
                <w:rFonts w:cs="Arial"/>
              </w:rPr>
            </w:pPr>
          </w:p>
          <w:p w:rsidR="00D67910" w:rsidRPr="007D71B7" w:rsidRDefault="00D67910" w:rsidP="00524907">
            <w:pPr>
              <w:rPr>
                <w:rFonts w:cs="Arial"/>
              </w:rPr>
            </w:pPr>
            <w:r w:rsidRPr="002E110E">
              <w:rPr>
                <w:rFonts w:cs="Arial"/>
              </w:rPr>
              <w:t>The Senior Executive should build-in resources and time to properly analyse regulatory problems and explore innovative cost-effective responses.</w:t>
            </w:r>
          </w:p>
        </w:tc>
        <w:tc>
          <w:tcPr>
            <w:tcW w:w="2157" w:type="dxa"/>
            <w:vAlign w:val="center"/>
          </w:tcPr>
          <w:p w:rsidR="00D67910" w:rsidRDefault="00D67910" w:rsidP="00524907">
            <w:pPr>
              <w:jc w:val="center"/>
            </w:pPr>
            <w:r>
              <w:lastRenderedPageBreak/>
              <w:t>1</w:t>
            </w:r>
          </w:p>
        </w:tc>
        <w:tc>
          <w:tcPr>
            <w:tcW w:w="1778" w:type="dxa"/>
            <w:vAlign w:val="center"/>
          </w:tcPr>
          <w:p w:rsidR="00D67910" w:rsidRDefault="00D67910" w:rsidP="00524907">
            <w:pPr>
              <w:jc w:val="center"/>
            </w:pPr>
            <w:r>
              <w:t>2</w:t>
            </w:r>
          </w:p>
          <w:p w:rsidR="00D67910" w:rsidRDefault="00D67910" w:rsidP="00524907">
            <w:pPr>
              <w:jc w:val="center"/>
            </w:pPr>
            <w:r>
              <w:t>ongoing</w:t>
            </w:r>
          </w:p>
        </w:tc>
      </w:tr>
      <w:tr w:rsidR="00D67910" w:rsidTr="002C4D84">
        <w:trPr>
          <w:cnfStyle w:val="000000010000" w:firstRow="0" w:lastRow="0" w:firstColumn="0" w:lastColumn="0" w:oddVBand="0" w:evenVBand="0" w:oddHBand="0" w:evenHBand="1" w:firstRowFirstColumn="0" w:firstRowLastColumn="0" w:lastRowFirstColumn="0" w:lastRowLastColumn="0"/>
        </w:trPr>
        <w:tc>
          <w:tcPr>
            <w:tcW w:w="2184" w:type="dxa"/>
          </w:tcPr>
          <w:p w:rsidR="00D67910" w:rsidRDefault="00D67910" w:rsidP="00524907">
            <w:pPr>
              <w:pStyle w:val="ListBullet"/>
              <w:numPr>
                <w:ilvl w:val="0"/>
                <w:numId w:val="0"/>
              </w:numPr>
              <w:rPr>
                <w:rFonts w:cs="Arial"/>
                <w:b/>
              </w:rPr>
            </w:pPr>
            <w:r>
              <w:rPr>
                <w:rFonts w:cs="Arial"/>
                <w:b/>
              </w:rPr>
              <w:lastRenderedPageBreak/>
              <w:t>2.3  Compliance and enforcement</w:t>
            </w:r>
          </w:p>
        </w:tc>
        <w:tc>
          <w:tcPr>
            <w:tcW w:w="8950" w:type="dxa"/>
          </w:tcPr>
          <w:p w:rsidR="00D67910" w:rsidRDefault="00B73A73" w:rsidP="00524907">
            <w:pPr>
              <w:rPr>
                <w:rFonts w:cs="Arial"/>
              </w:rPr>
            </w:pPr>
            <w:r>
              <w:rPr>
                <w:rFonts w:cs="Arial"/>
              </w:rPr>
              <w:t>The Department</w:t>
            </w:r>
            <w:r w:rsidRPr="002E110E">
              <w:rPr>
                <w:rFonts w:cs="Arial"/>
              </w:rPr>
              <w:t xml:space="preserve"> </w:t>
            </w:r>
            <w:r w:rsidR="00D67910" w:rsidRPr="002E110E">
              <w:rPr>
                <w:rFonts w:cs="Arial"/>
              </w:rPr>
              <w:t>should develop, maintain</w:t>
            </w:r>
            <w:r>
              <w:rPr>
                <w:rFonts w:cs="Arial"/>
              </w:rPr>
              <w:t>,</w:t>
            </w:r>
            <w:r w:rsidR="00645BC7">
              <w:rPr>
                <w:rFonts w:cs="Arial"/>
              </w:rPr>
              <w:t xml:space="preserve"> </w:t>
            </w:r>
            <w:r>
              <w:rPr>
                <w:rFonts w:cs="Arial"/>
              </w:rPr>
              <w:t>and communicate</w:t>
            </w:r>
            <w:r w:rsidR="00D67910" w:rsidRPr="002E110E">
              <w:rPr>
                <w:rFonts w:cs="Arial"/>
              </w:rPr>
              <w:t xml:space="preserve"> a </w:t>
            </w:r>
            <w:r w:rsidR="00645BC7">
              <w:rPr>
                <w:rFonts w:cs="Arial"/>
              </w:rPr>
              <w:t xml:space="preserve">renewed </w:t>
            </w:r>
            <w:r w:rsidR="00D67910" w:rsidRPr="002E110E">
              <w:rPr>
                <w:rFonts w:cs="Arial"/>
              </w:rPr>
              <w:t>Compliance</w:t>
            </w:r>
            <w:r w:rsidR="00645BC7">
              <w:rPr>
                <w:rFonts w:cs="Arial"/>
              </w:rPr>
              <w:t xml:space="preserve"> and Enforcement</w:t>
            </w:r>
            <w:r w:rsidR="00D67910" w:rsidRPr="002E110E">
              <w:rPr>
                <w:rFonts w:cs="Arial"/>
              </w:rPr>
              <w:t xml:space="preserve"> Strategy as part of the Regulatory Framework (see </w:t>
            </w:r>
            <w:r w:rsidR="00D67910" w:rsidRPr="002E110E">
              <w:rPr>
                <w:rFonts w:cs="Arial"/>
                <w:i/>
              </w:rPr>
              <w:t>Recommendation 1.1 (Regulatory Framework)</w:t>
            </w:r>
            <w:r w:rsidR="00D67910" w:rsidRPr="002E110E">
              <w:rPr>
                <w:rFonts w:cs="Arial"/>
              </w:rPr>
              <w:t>). The strategy should:</w:t>
            </w:r>
          </w:p>
          <w:p w:rsidR="00D67910" w:rsidRDefault="00D67910" w:rsidP="00E65120">
            <w:pPr>
              <w:numPr>
                <w:ilvl w:val="0"/>
                <w:numId w:val="13"/>
              </w:numPr>
              <w:spacing w:after="0" w:line="240" w:lineRule="auto"/>
              <w:rPr>
                <w:rFonts w:cs="Arial"/>
              </w:rPr>
            </w:pPr>
            <w:r w:rsidRPr="002E110E">
              <w:rPr>
                <w:rFonts w:cs="Arial"/>
              </w:rPr>
              <w:t>use a risk-approach to allocation of resources (including consideration of proponent history and risks to the environment and the Department’s reputation from non-compliance);</w:t>
            </w:r>
          </w:p>
          <w:p w:rsidR="00D67910" w:rsidRPr="002E110E" w:rsidRDefault="00D67910" w:rsidP="00E65120">
            <w:pPr>
              <w:numPr>
                <w:ilvl w:val="0"/>
                <w:numId w:val="13"/>
              </w:numPr>
              <w:spacing w:after="0" w:line="240" w:lineRule="auto"/>
              <w:rPr>
                <w:rFonts w:cs="Arial"/>
              </w:rPr>
            </w:pPr>
            <w:r w:rsidRPr="002E110E">
              <w:rPr>
                <w:rFonts w:cs="Arial"/>
              </w:rPr>
              <w:t xml:space="preserve">identify all </w:t>
            </w:r>
            <w:r w:rsidR="00B73A73">
              <w:rPr>
                <w:rFonts w:cs="Arial"/>
              </w:rPr>
              <w:t xml:space="preserve">available </w:t>
            </w:r>
            <w:r w:rsidRPr="002E110E">
              <w:rPr>
                <w:rFonts w:cs="Arial"/>
              </w:rPr>
              <w:t>legislative and non legislative compliance tools and provide guidance on their requirements and appropriate use;</w:t>
            </w:r>
          </w:p>
          <w:p w:rsidR="00D67910" w:rsidRDefault="00D67910" w:rsidP="00E65120">
            <w:pPr>
              <w:numPr>
                <w:ilvl w:val="0"/>
                <w:numId w:val="13"/>
              </w:numPr>
              <w:spacing w:after="0" w:line="240" w:lineRule="auto"/>
              <w:rPr>
                <w:rFonts w:cs="Arial"/>
              </w:rPr>
            </w:pPr>
            <w:r w:rsidRPr="002E110E">
              <w:rPr>
                <w:rFonts w:cs="Arial"/>
              </w:rPr>
              <w:t>have graduated</w:t>
            </w:r>
            <w:r w:rsidR="00B73A73">
              <w:rPr>
                <w:rFonts w:cs="Arial"/>
              </w:rPr>
              <w:t>,</w:t>
            </w:r>
            <w:r w:rsidRPr="002E110E">
              <w:rPr>
                <w:rFonts w:cs="Arial"/>
              </w:rPr>
              <w:t xml:space="preserve"> proportionate responses to non-compliance;</w:t>
            </w:r>
          </w:p>
          <w:p w:rsidR="004E3028" w:rsidRDefault="004E3028">
            <w:pPr>
              <w:spacing w:after="0" w:line="240" w:lineRule="auto"/>
              <w:ind w:left="720"/>
              <w:rPr>
                <w:rFonts w:cs="Arial"/>
              </w:rPr>
            </w:pPr>
          </w:p>
          <w:p w:rsidR="00D67910" w:rsidRPr="002E110E" w:rsidRDefault="00D67910" w:rsidP="00E65120">
            <w:pPr>
              <w:numPr>
                <w:ilvl w:val="0"/>
                <w:numId w:val="13"/>
              </w:numPr>
              <w:spacing w:after="0" w:line="240" w:lineRule="auto"/>
              <w:rPr>
                <w:rFonts w:cs="Arial"/>
              </w:rPr>
            </w:pPr>
            <w:r w:rsidRPr="002E110E">
              <w:rPr>
                <w:rFonts w:cs="Arial"/>
              </w:rPr>
              <w:t>have clear criteria for using and escalating compliance responses up to and including prosecutions;</w:t>
            </w:r>
          </w:p>
          <w:p w:rsidR="00D67910" w:rsidRPr="002E110E" w:rsidRDefault="00D67910" w:rsidP="00E65120">
            <w:pPr>
              <w:numPr>
                <w:ilvl w:val="0"/>
                <w:numId w:val="13"/>
              </w:numPr>
              <w:spacing w:after="0" w:line="240" w:lineRule="auto"/>
              <w:rPr>
                <w:rFonts w:cs="Arial"/>
              </w:rPr>
            </w:pPr>
            <w:r w:rsidRPr="002E110E">
              <w:rPr>
                <w:rFonts w:cs="Arial"/>
              </w:rPr>
              <w:t>potentially include an objective for the success rate for prosecutions (for example some regulatory agencies aim to achieve a 90% success rate) and</w:t>
            </w:r>
          </w:p>
          <w:p w:rsidR="00563C02" w:rsidRPr="002E110E" w:rsidRDefault="00D67910" w:rsidP="00563C02">
            <w:pPr>
              <w:spacing w:after="0" w:line="240" w:lineRule="auto"/>
              <w:ind w:left="720"/>
              <w:rPr>
                <w:rFonts w:cs="Arial"/>
              </w:rPr>
            </w:pPr>
            <w:r w:rsidRPr="002E110E">
              <w:rPr>
                <w:rFonts w:cs="Arial"/>
              </w:rPr>
              <w:t xml:space="preserve">articulate the circumstances in which the Department could reasonably not take compliance action. </w:t>
            </w:r>
          </w:p>
          <w:p w:rsidR="00D67910" w:rsidRPr="00563C02" w:rsidRDefault="00D67910" w:rsidP="00563C02">
            <w:pPr>
              <w:spacing w:after="0" w:line="240" w:lineRule="auto"/>
              <w:ind w:left="720"/>
              <w:rPr>
                <w:rFonts w:cs="Arial"/>
              </w:rPr>
            </w:pPr>
          </w:p>
          <w:p w:rsidR="00D67910" w:rsidRDefault="00D67910" w:rsidP="00524907">
            <w:pPr>
              <w:rPr>
                <w:rFonts w:cs="Arial"/>
              </w:rPr>
            </w:pPr>
            <w:r w:rsidRPr="002E110E">
              <w:rPr>
                <w:rFonts w:cs="Arial"/>
              </w:rPr>
              <w:t>This approach can then be tailored to each regulatory scheme</w:t>
            </w:r>
            <w:r w:rsidR="00B73A73">
              <w:rPr>
                <w:rFonts w:cs="Arial"/>
              </w:rPr>
              <w:t>, including those in EPG,</w:t>
            </w:r>
            <w:r w:rsidRPr="002E110E">
              <w:rPr>
                <w:rFonts w:cs="Arial"/>
              </w:rPr>
              <w:t xml:space="preserve"> reflecting their relative risks and available tools.</w:t>
            </w:r>
          </w:p>
          <w:p w:rsidR="00D67910" w:rsidRDefault="00D67910" w:rsidP="00524907">
            <w:pPr>
              <w:rPr>
                <w:rFonts w:cs="Arial"/>
              </w:rPr>
            </w:pPr>
            <w:r w:rsidRPr="002E110E">
              <w:rPr>
                <w:rFonts w:cs="Arial"/>
              </w:rPr>
              <w:t xml:space="preserve">The Department should ensure that all relevant staff understand the strategy and the objective target and the reasons behind it. This will help staff to prioritise efforts </w:t>
            </w:r>
            <w:r w:rsidR="00B73A73">
              <w:rPr>
                <w:rFonts w:cs="Arial"/>
              </w:rPr>
              <w:t xml:space="preserve">and </w:t>
            </w:r>
            <w:r w:rsidRPr="002E110E">
              <w:rPr>
                <w:rFonts w:cs="Arial"/>
              </w:rPr>
              <w:t xml:space="preserve">choose the </w:t>
            </w:r>
            <w:r w:rsidR="00B73A73">
              <w:rPr>
                <w:rFonts w:cs="Arial"/>
              </w:rPr>
              <w:t xml:space="preserve">most </w:t>
            </w:r>
            <w:r w:rsidRPr="002E110E">
              <w:rPr>
                <w:rFonts w:cs="Arial"/>
              </w:rPr>
              <w:t>appropriate responses</w:t>
            </w:r>
            <w:r w:rsidR="00B73A73">
              <w:rPr>
                <w:rFonts w:cs="Arial"/>
              </w:rPr>
              <w:t>.</w:t>
            </w:r>
          </w:p>
          <w:p w:rsidR="00D67910" w:rsidRDefault="00D67910" w:rsidP="00524907">
            <w:pPr>
              <w:rPr>
                <w:rFonts w:cs="Arial"/>
              </w:rPr>
            </w:pPr>
            <w:r w:rsidRPr="002E110E">
              <w:rPr>
                <w:rFonts w:cs="Arial"/>
              </w:rPr>
              <w:t xml:space="preserve">While it is appropriate to target the majority of compliance resources to the highest risk projects, EPG should continue to develop and communicate a regulatory response to low-risk activities so that they do not fall out of the system.  </w:t>
            </w:r>
          </w:p>
          <w:p w:rsidR="00CD6C7A" w:rsidRDefault="00D67910" w:rsidP="00524907">
            <w:pPr>
              <w:rPr>
                <w:rFonts w:cs="Arial"/>
              </w:rPr>
            </w:pPr>
            <w:r w:rsidRPr="002E110E">
              <w:rPr>
                <w:rFonts w:cs="Arial"/>
              </w:rPr>
              <w:t>In developing the strategy</w:t>
            </w:r>
            <w:r w:rsidR="00B73A73">
              <w:rPr>
                <w:rFonts w:cs="Arial"/>
              </w:rPr>
              <w:t>,</w:t>
            </w:r>
            <w:r w:rsidRPr="002E110E">
              <w:rPr>
                <w:rFonts w:cs="Arial"/>
              </w:rPr>
              <w:t xml:space="preserve"> the Department should consult with the Clean Energy Regulator and the Australian Taxation Office, who have both developed tailored risk management approaches to</w:t>
            </w:r>
            <w:r w:rsidR="00B73A73">
              <w:rPr>
                <w:rFonts w:cs="Arial"/>
              </w:rPr>
              <w:t xml:space="preserve"> compliance</w:t>
            </w:r>
            <w:r w:rsidRPr="002E110E">
              <w:rPr>
                <w:rFonts w:cs="Arial"/>
              </w:rPr>
              <w:t xml:space="preserve"> and communicated their approaches internally and externally.</w:t>
            </w:r>
          </w:p>
          <w:p w:rsidR="00B73A73" w:rsidRDefault="00D67910" w:rsidP="00B73A73">
            <w:pPr>
              <w:rPr>
                <w:rFonts w:cs="Arial"/>
              </w:rPr>
            </w:pPr>
            <w:r w:rsidRPr="002E110E">
              <w:rPr>
                <w:rFonts w:cs="Arial"/>
              </w:rPr>
              <w:lastRenderedPageBreak/>
              <w:t xml:space="preserve">The Department should continue work in relation to the </w:t>
            </w:r>
            <w:r w:rsidRPr="002E110E">
              <w:rPr>
                <w:rFonts w:cs="Arial"/>
                <w:i/>
              </w:rPr>
              <w:t>Regulatory Powers (Standard Provisions) Act 2014</w:t>
            </w:r>
            <w:r w:rsidRPr="002E110E">
              <w:rPr>
                <w:rFonts w:cs="Arial"/>
              </w:rPr>
              <w:t>, and consider on a case-by-case basis whether it should be triggered under EPG legislation.</w:t>
            </w:r>
          </w:p>
          <w:p w:rsidR="009551C2" w:rsidRDefault="009551C2" w:rsidP="00B73A73">
            <w:pPr>
              <w:rPr>
                <w:rFonts w:cs="Arial"/>
              </w:rPr>
            </w:pPr>
          </w:p>
        </w:tc>
        <w:tc>
          <w:tcPr>
            <w:tcW w:w="2157" w:type="dxa"/>
            <w:vAlign w:val="center"/>
          </w:tcPr>
          <w:p w:rsidR="00D67910" w:rsidRDefault="00D67910" w:rsidP="00524907">
            <w:pPr>
              <w:jc w:val="center"/>
            </w:pPr>
            <w:r>
              <w:lastRenderedPageBreak/>
              <w:t>2</w:t>
            </w:r>
          </w:p>
        </w:tc>
        <w:tc>
          <w:tcPr>
            <w:tcW w:w="1778" w:type="dxa"/>
            <w:vAlign w:val="center"/>
          </w:tcPr>
          <w:p w:rsidR="002C4D84" w:rsidRDefault="00D67910" w:rsidP="00B73A73">
            <w:pPr>
              <w:jc w:val="center"/>
            </w:pPr>
            <w:r>
              <w:t xml:space="preserve">2 </w:t>
            </w:r>
          </w:p>
          <w:p w:rsidR="00D67910" w:rsidRDefault="00D67910" w:rsidP="00B73A73">
            <w:pPr>
              <w:jc w:val="center"/>
            </w:pPr>
            <w:r>
              <w:t xml:space="preserve">(after regulatory </w:t>
            </w:r>
            <w:r w:rsidR="00B73A73">
              <w:t>framework</w:t>
            </w:r>
            <w:r>
              <w:t>)</w:t>
            </w:r>
          </w:p>
        </w:tc>
      </w:tr>
      <w:tr w:rsidR="00D67910" w:rsidTr="002C4D84">
        <w:trPr>
          <w:cnfStyle w:val="000000100000" w:firstRow="0" w:lastRow="0" w:firstColumn="0" w:lastColumn="0" w:oddVBand="0" w:evenVBand="0" w:oddHBand="1" w:evenHBand="0" w:firstRowFirstColumn="0" w:firstRowLastColumn="0" w:lastRowFirstColumn="0" w:lastRowLastColumn="0"/>
        </w:trPr>
        <w:tc>
          <w:tcPr>
            <w:tcW w:w="2184" w:type="dxa"/>
            <w:tcBorders>
              <w:bottom w:val="single" w:sz="4" w:space="0" w:color="auto"/>
            </w:tcBorders>
          </w:tcPr>
          <w:p w:rsidR="00D67910" w:rsidRDefault="00D67910" w:rsidP="00524907">
            <w:pPr>
              <w:pStyle w:val="ListBullet"/>
              <w:numPr>
                <w:ilvl w:val="0"/>
                <w:numId w:val="0"/>
              </w:numPr>
              <w:rPr>
                <w:rFonts w:cs="Arial"/>
                <w:b/>
              </w:rPr>
            </w:pPr>
            <w:r>
              <w:rPr>
                <w:rFonts w:cs="Arial"/>
                <w:b/>
              </w:rPr>
              <w:t>2</w:t>
            </w:r>
            <w:r w:rsidRPr="0052493E">
              <w:rPr>
                <w:rFonts w:cs="Arial"/>
                <w:b/>
              </w:rPr>
              <w:t>.</w:t>
            </w:r>
            <w:r>
              <w:rPr>
                <w:rFonts w:cs="Arial"/>
                <w:b/>
              </w:rPr>
              <w:t>4</w:t>
            </w:r>
            <w:r w:rsidRPr="0052493E">
              <w:rPr>
                <w:rFonts w:cs="Arial"/>
                <w:b/>
              </w:rPr>
              <w:t xml:space="preserve"> </w:t>
            </w:r>
            <w:r>
              <w:rPr>
                <w:rFonts w:cs="Arial"/>
                <w:b/>
              </w:rPr>
              <w:t xml:space="preserve"> Communicating compliance</w:t>
            </w:r>
          </w:p>
          <w:p w:rsidR="00D67910" w:rsidRDefault="00D67910" w:rsidP="00524907">
            <w:pPr>
              <w:pStyle w:val="ListBullet"/>
              <w:numPr>
                <w:ilvl w:val="0"/>
                <w:numId w:val="0"/>
              </w:numPr>
              <w:rPr>
                <w:rFonts w:cs="Arial"/>
                <w:b/>
              </w:rPr>
            </w:pPr>
          </w:p>
        </w:tc>
        <w:tc>
          <w:tcPr>
            <w:tcW w:w="8950" w:type="dxa"/>
            <w:tcBorders>
              <w:bottom w:val="single" w:sz="4" w:space="0" w:color="auto"/>
            </w:tcBorders>
          </w:tcPr>
          <w:p w:rsidR="00D67910" w:rsidRDefault="00B73A73" w:rsidP="00524907">
            <w:pPr>
              <w:rPr>
                <w:rFonts w:cs="Arial"/>
              </w:rPr>
            </w:pPr>
            <w:r>
              <w:rPr>
                <w:rFonts w:cs="Arial"/>
              </w:rPr>
              <w:t>EPG and t</w:t>
            </w:r>
            <w:r w:rsidR="00D67910" w:rsidRPr="002E110E">
              <w:rPr>
                <w:rFonts w:cs="Arial"/>
              </w:rPr>
              <w:t xml:space="preserve">he Department should communicate the compliance strategy developed under </w:t>
            </w:r>
            <w:r w:rsidR="00D67910" w:rsidRPr="002E110E">
              <w:rPr>
                <w:rFonts w:cs="Arial"/>
                <w:i/>
              </w:rPr>
              <w:t>Recommendation 2.3 (Compliance and Enforcement)</w:t>
            </w:r>
            <w:r w:rsidR="00D67910" w:rsidRPr="002E110E">
              <w:rPr>
                <w:rFonts w:cs="Arial"/>
              </w:rPr>
              <w:t xml:space="preserve"> with its full range of stakeholders.</w:t>
            </w:r>
          </w:p>
          <w:p w:rsidR="001427B2" w:rsidRDefault="00B73A73" w:rsidP="00524907">
            <w:pPr>
              <w:rPr>
                <w:rFonts w:cs="Arial"/>
              </w:rPr>
            </w:pPr>
            <w:r>
              <w:rPr>
                <w:rFonts w:cs="Arial"/>
              </w:rPr>
              <w:t>EPG and t</w:t>
            </w:r>
            <w:r w:rsidR="00D67910" w:rsidRPr="002E110E">
              <w:rPr>
                <w:rFonts w:cs="Arial"/>
              </w:rPr>
              <w:t>he Department should provide targeted information about compliance and enforcement activities to the regulated community at key points in the process</w:t>
            </w:r>
            <w:r>
              <w:rPr>
                <w:rFonts w:cs="Arial"/>
              </w:rPr>
              <w:t>.</w:t>
            </w:r>
          </w:p>
          <w:p w:rsidR="00D67910" w:rsidRDefault="00D67910" w:rsidP="00524907">
            <w:pPr>
              <w:rPr>
                <w:rFonts w:cs="Arial"/>
              </w:rPr>
            </w:pPr>
            <w:r w:rsidRPr="002E110E">
              <w:rPr>
                <w:rFonts w:cs="Arial"/>
              </w:rPr>
              <w:t xml:space="preserve">EPG should consider mechanisms to better promote its regulatory role and compliance and enforcement activities. </w:t>
            </w:r>
            <w:r w:rsidR="00B73A73">
              <w:rPr>
                <w:rFonts w:cs="Arial"/>
              </w:rPr>
              <w:t>Potential mechanisms</w:t>
            </w:r>
            <w:r w:rsidR="00B73A73" w:rsidRPr="002E110E">
              <w:rPr>
                <w:rFonts w:cs="Arial"/>
              </w:rPr>
              <w:t xml:space="preserve"> </w:t>
            </w:r>
            <w:r w:rsidRPr="002E110E">
              <w:rPr>
                <w:rFonts w:cs="Arial"/>
              </w:rPr>
              <w:t>include:</w:t>
            </w:r>
          </w:p>
          <w:p w:rsidR="00D67910" w:rsidRDefault="00E260D9" w:rsidP="00E65120">
            <w:pPr>
              <w:numPr>
                <w:ilvl w:val="0"/>
                <w:numId w:val="14"/>
              </w:numPr>
              <w:spacing w:after="0" w:line="240" w:lineRule="auto"/>
              <w:rPr>
                <w:rFonts w:cs="Arial"/>
              </w:rPr>
            </w:pPr>
            <w:r>
              <w:rPr>
                <w:rFonts w:cs="Arial"/>
              </w:rPr>
              <w:t>providing information</w:t>
            </w:r>
            <w:r w:rsidRPr="002E110E">
              <w:rPr>
                <w:rFonts w:cs="Arial"/>
              </w:rPr>
              <w:t xml:space="preserve"> </w:t>
            </w:r>
            <w:r w:rsidR="00D67910" w:rsidRPr="002E110E">
              <w:rPr>
                <w:rFonts w:cs="Arial"/>
              </w:rPr>
              <w:t xml:space="preserve">on </w:t>
            </w:r>
            <w:r w:rsidR="00B73A73">
              <w:rPr>
                <w:rFonts w:cs="Arial"/>
              </w:rPr>
              <w:t xml:space="preserve">the </w:t>
            </w:r>
            <w:r w:rsidR="00D67910" w:rsidRPr="002E110E">
              <w:rPr>
                <w:rFonts w:cs="Arial"/>
              </w:rPr>
              <w:t>legislation EPG administers and what this means for the community</w:t>
            </w:r>
            <w:r w:rsidR="005E2DE0">
              <w:rPr>
                <w:rFonts w:cs="Arial"/>
              </w:rPr>
              <w:t>. F</w:t>
            </w:r>
            <w:r w:rsidR="00D67910" w:rsidRPr="002E110E">
              <w:rPr>
                <w:rFonts w:cs="Arial"/>
              </w:rPr>
              <w:t>or example</w:t>
            </w:r>
            <w:r w:rsidR="005E2DE0">
              <w:rPr>
                <w:rFonts w:cs="Arial"/>
              </w:rPr>
              <w:t>,</w:t>
            </w:r>
            <w:r w:rsidR="00D67910" w:rsidRPr="002E110E">
              <w:rPr>
                <w:rFonts w:cs="Arial"/>
              </w:rPr>
              <w:t xml:space="preserve"> publications developed for the launch of the EPBC Act were well received by stakeholders;</w:t>
            </w:r>
          </w:p>
          <w:p w:rsidR="00B73A73" w:rsidRDefault="00B73A73" w:rsidP="00E65120">
            <w:pPr>
              <w:numPr>
                <w:ilvl w:val="0"/>
                <w:numId w:val="14"/>
              </w:numPr>
              <w:spacing w:after="0" w:line="240" w:lineRule="auto"/>
              <w:rPr>
                <w:rFonts w:cs="Arial"/>
              </w:rPr>
            </w:pPr>
            <w:r>
              <w:rPr>
                <w:rFonts w:cs="Arial"/>
              </w:rPr>
              <w:t>guidance material (such as self-check tools) to improve transparency and the ability for entities to comply;</w:t>
            </w:r>
          </w:p>
          <w:p w:rsidR="00180FC2" w:rsidRPr="00180FC2" w:rsidRDefault="00D67910" w:rsidP="00E65120">
            <w:pPr>
              <w:numPr>
                <w:ilvl w:val="0"/>
                <w:numId w:val="14"/>
              </w:numPr>
              <w:spacing w:after="0" w:line="240" w:lineRule="auto"/>
              <w:rPr>
                <w:rFonts w:cs="Arial"/>
              </w:rPr>
            </w:pPr>
            <w:r w:rsidRPr="002E110E">
              <w:rPr>
                <w:rFonts w:cs="Arial"/>
              </w:rPr>
              <w:t xml:space="preserve">regular updates on compliance and enforcement activities through the internet, including the Department’s website and social media; </w:t>
            </w:r>
          </w:p>
          <w:p w:rsidR="00180FC2" w:rsidRDefault="00D67910" w:rsidP="00E65120">
            <w:pPr>
              <w:numPr>
                <w:ilvl w:val="0"/>
                <w:numId w:val="14"/>
              </w:numPr>
              <w:spacing w:after="0" w:line="240" w:lineRule="auto"/>
              <w:rPr>
                <w:rFonts w:cs="Arial"/>
              </w:rPr>
            </w:pPr>
            <w:r w:rsidRPr="002E110E">
              <w:rPr>
                <w:rFonts w:cs="Arial"/>
              </w:rPr>
              <w:t>the publication of inspection reports and compliance ratings</w:t>
            </w:r>
            <w:r w:rsidR="00180FC2">
              <w:rPr>
                <w:rFonts w:cs="Arial"/>
              </w:rPr>
              <w:t>; and</w:t>
            </w:r>
          </w:p>
          <w:p w:rsidR="00563C02" w:rsidRDefault="00180FC2" w:rsidP="00E65120">
            <w:pPr>
              <w:numPr>
                <w:ilvl w:val="0"/>
                <w:numId w:val="14"/>
              </w:numPr>
              <w:spacing w:after="0" w:line="240" w:lineRule="auto"/>
              <w:rPr>
                <w:rFonts w:cs="Arial"/>
              </w:rPr>
            </w:pPr>
            <w:r>
              <w:rPr>
                <w:rFonts w:cs="Arial"/>
              </w:rPr>
              <w:t>‘good news’ stories about regulatory activities (the US EPA’s social media websites are a good example of this).</w:t>
            </w:r>
          </w:p>
          <w:p w:rsidR="00D67910" w:rsidRPr="00A6494E" w:rsidRDefault="00D67910" w:rsidP="00563C02">
            <w:pPr>
              <w:spacing w:after="0" w:line="240" w:lineRule="auto"/>
              <w:ind w:left="720"/>
              <w:rPr>
                <w:rFonts w:cs="Arial"/>
              </w:rPr>
            </w:pPr>
          </w:p>
        </w:tc>
        <w:tc>
          <w:tcPr>
            <w:tcW w:w="2157" w:type="dxa"/>
            <w:tcBorders>
              <w:bottom w:val="single" w:sz="4" w:space="0" w:color="auto"/>
            </w:tcBorders>
            <w:vAlign w:val="center"/>
          </w:tcPr>
          <w:p w:rsidR="00D67910" w:rsidRDefault="00B73A73" w:rsidP="00524907">
            <w:pPr>
              <w:jc w:val="center"/>
            </w:pPr>
            <w:r>
              <w:t>3</w:t>
            </w:r>
          </w:p>
        </w:tc>
        <w:tc>
          <w:tcPr>
            <w:tcW w:w="1778" w:type="dxa"/>
            <w:tcBorders>
              <w:bottom w:val="single" w:sz="4" w:space="0" w:color="auto"/>
            </w:tcBorders>
            <w:vAlign w:val="center"/>
          </w:tcPr>
          <w:p w:rsidR="00D67910" w:rsidRDefault="00B73A73" w:rsidP="00524907">
            <w:pPr>
              <w:jc w:val="center"/>
            </w:pPr>
            <w:r>
              <w:t>3</w:t>
            </w:r>
          </w:p>
        </w:tc>
      </w:tr>
      <w:tr w:rsidR="00D67910" w:rsidTr="002C4D84">
        <w:trPr>
          <w:cnfStyle w:val="000000010000" w:firstRow="0" w:lastRow="0" w:firstColumn="0" w:lastColumn="0" w:oddVBand="0" w:evenVBand="0" w:oddHBand="0" w:evenHBand="1" w:firstRowFirstColumn="0" w:firstRowLastColumn="0" w:lastRowFirstColumn="0" w:lastRowLastColumn="0"/>
        </w:trPr>
        <w:tc>
          <w:tcPr>
            <w:tcW w:w="2184" w:type="dxa"/>
            <w:tcBorders>
              <w:bottom w:val="single" w:sz="4" w:space="0" w:color="auto"/>
            </w:tcBorders>
          </w:tcPr>
          <w:p w:rsidR="00D67910" w:rsidRDefault="00D67910" w:rsidP="00797C11">
            <w:pPr>
              <w:pStyle w:val="ListBullet"/>
              <w:numPr>
                <w:ilvl w:val="0"/>
                <w:numId w:val="0"/>
              </w:numPr>
              <w:rPr>
                <w:rFonts w:cs="Arial"/>
                <w:b/>
              </w:rPr>
            </w:pPr>
            <w:r>
              <w:rPr>
                <w:rFonts w:cs="Arial"/>
                <w:b/>
              </w:rPr>
              <w:t xml:space="preserve">2.5 </w:t>
            </w:r>
            <w:r w:rsidR="00797C11">
              <w:rPr>
                <w:rFonts w:cs="Arial"/>
                <w:b/>
              </w:rPr>
              <w:t>O</w:t>
            </w:r>
            <w:r>
              <w:rPr>
                <w:rFonts w:cs="Arial"/>
                <w:b/>
              </w:rPr>
              <w:t>utcomes focused conditions</w:t>
            </w:r>
          </w:p>
        </w:tc>
        <w:tc>
          <w:tcPr>
            <w:tcW w:w="8950" w:type="dxa"/>
            <w:tcBorders>
              <w:bottom w:val="single" w:sz="4" w:space="0" w:color="auto"/>
            </w:tcBorders>
          </w:tcPr>
          <w:p w:rsidR="00D67910" w:rsidRDefault="00180FC2" w:rsidP="00524907">
            <w:pPr>
              <w:rPr>
                <w:rFonts w:cs="Arial"/>
              </w:rPr>
            </w:pPr>
            <w:r>
              <w:rPr>
                <w:rFonts w:cs="Arial"/>
              </w:rPr>
              <w:t>EPG</w:t>
            </w:r>
            <w:r w:rsidR="00D67910" w:rsidRPr="002E110E">
              <w:rPr>
                <w:rFonts w:cs="Arial"/>
              </w:rPr>
              <w:t xml:space="preserve"> should reduce the reliance on management plans in EPBC Approvals. </w:t>
            </w:r>
            <w:r>
              <w:rPr>
                <w:rFonts w:cs="Arial"/>
              </w:rPr>
              <w:t xml:space="preserve">EPG </w:t>
            </w:r>
            <w:r w:rsidR="00D67910" w:rsidRPr="002E110E">
              <w:rPr>
                <w:rFonts w:cs="Arial"/>
              </w:rPr>
              <w:t xml:space="preserve">should </w:t>
            </w:r>
            <w:r w:rsidR="00CF1F9B">
              <w:rPr>
                <w:rFonts w:cs="Arial"/>
              </w:rPr>
              <w:t>initiate a working group</w:t>
            </w:r>
            <w:r w:rsidR="00D67910" w:rsidRPr="002E110E">
              <w:rPr>
                <w:rFonts w:cs="Arial"/>
              </w:rPr>
              <w:t xml:space="preserve"> with Commonwealth, state and territory co regulators on this project.</w:t>
            </w:r>
          </w:p>
          <w:p w:rsidR="00D67910" w:rsidRPr="002E110E" w:rsidRDefault="00D67910" w:rsidP="00524907">
            <w:pPr>
              <w:rPr>
                <w:rFonts w:cs="Arial"/>
              </w:rPr>
            </w:pPr>
            <w:r w:rsidRPr="002E110E">
              <w:rPr>
                <w:rFonts w:cs="Arial"/>
              </w:rPr>
              <w:lastRenderedPageBreak/>
              <w:t>Conditions should only require management plans where it is not practical to specify outcome</w:t>
            </w:r>
            <w:r w:rsidR="00180FC2">
              <w:rPr>
                <w:rFonts w:cs="Arial"/>
              </w:rPr>
              <w:t>s-based</w:t>
            </w:r>
            <w:r w:rsidRPr="002E110E">
              <w:rPr>
                <w:rFonts w:cs="Arial"/>
              </w:rPr>
              <w:t xml:space="preserve"> conditions that are measureable and enforceable, or where more detail is required to demonstrate that the desired outcome will be achieved.</w:t>
            </w:r>
          </w:p>
          <w:p w:rsidR="00D67910" w:rsidRDefault="00D67910" w:rsidP="00524907">
            <w:pPr>
              <w:rPr>
                <w:rFonts w:cs="Arial"/>
              </w:rPr>
            </w:pPr>
            <w:r w:rsidRPr="002E110E">
              <w:rPr>
                <w:rFonts w:cs="Arial"/>
              </w:rPr>
              <w:t xml:space="preserve">Outcomes in conditions should be time-bound, measurable and enforceable, and where an outcome cannot be specified adequately, the Department should consider specifying surrogate outcomes.  </w:t>
            </w:r>
          </w:p>
          <w:p w:rsidR="001427B2" w:rsidRPr="002E110E" w:rsidRDefault="00D67910" w:rsidP="00180FC2">
            <w:pPr>
              <w:rPr>
                <w:rFonts w:cs="Arial"/>
              </w:rPr>
            </w:pPr>
            <w:r w:rsidRPr="002E110E">
              <w:rPr>
                <w:rFonts w:cs="Arial"/>
              </w:rPr>
              <w:t xml:space="preserve">Where there is uncertainty about the proponent’s capacity or capability to achieve an outcome, </w:t>
            </w:r>
            <w:r w:rsidR="00180FC2">
              <w:rPr>
                <w:rFonts w:cs="Arial"/>
              </w:rPr>
              <w:t>EPG</w:t>
            </w:r>
            <w:r w:rsidRPr="002E110E">
              <w:rPr>
                <w:rFonts w:cs="Arial"/>
              </w:rPr>
              <w:t xml:space="preserve"> should consider using a contingent condition. For example, this could be achieved by specifying </w:t>
            </w:r>
            <w:r w:rsidR="00180FC2">
              <w:rPr>
                <w:rFonts w:cs="Arial"/>
              </w:rPr>
              <w:t xml:space="preserve">an action to achieve an outcome, but allowing the approval holder to use a different approach </w:t>
            </w:r>
            <w:r w:rsidR="006C17AD">
              <w:rPr>
                <w:rFonts w:cs="Arial"/>
              </w:rPr>
              <w:t xml:space="preserve">if they can demonstrate to the Department that the different approach will achieve the outcome. </w:t>
            </w:r>
          </w:p>
        </w:tc>
        <w:tc>
          <w:tcPr>
            <w:tcW w:w="2157" w:type="dxa"/>
            <w:tcBorders>
              <w:bottom w:val="single" w:sz="4" w:space="0" w:color="auto"/>
            </w:tcBorders>
            <w:vAlign w:val="center"/>
          </w:tcPr>
          <w:p w:rsidR="00D67910" w:rsidRDefault="00D67910" w:rsidP="00524907">
            <w:pPr>
              <w:jc w:val="center"/>
            </w:pPr>
            <w:r>
              <w:lastRenderedPageBreak/>
              <w:t>1</w:t>
            </w:r>
          </w:p>
        </w:tc>
        <w:tc>
          <w:tcPr>
            <w:tcW w:w="1778" w:type="dxa"/>
            <w:tcBorders>
              <w:bottom w:val="single" w:sz="4" w:space="0" w:color="auto"/>
            </w:tcBorders>
            <w:vAlign w:val="center"/>
          </w:tcPr>
          <w:p w:rsidR="00D67910" w:rsidRDefault="00D67910" w:rsidP="00524907">
            <w:pPr>
              <w:jc w:val="center"/>
            </w:pPr>
            <w:r>
              <w:t>1</w:t>
            </w:r>
          </w:p>
          <w:p w:rsidR="00D67910" w:rsidRDefault="00D67910" w:rsidP="00524907">
            <w:pPr>
              <w:jc w:val="center"/>
            </w:pPr>
            <w:r>
              <w:t>ongoing</w:t>
            </w:r>
          </w:p>
        </w:tc>
      </w:tr>
      <w:tr w:rsidR="00D67910" w:rsidTr="002C4D84">
        <w:trPr>
          <w:cnfStyle w:val="000000100000" w:firstRow="0" w:lastRow="0" w:firstColumn="0" w:lastColumn="0" w:oddVBand="0" w:evenVBand="0" w:oddHBand="1" w:evenHBand="0" w:firstRowFirstColumn="0" w:firstRowLastColumn="0" w:lastRowFirstColumn="0" w:lastRowLastColumn="0"/>
        </w:trPr>
        <w:tc>
          <w:tcPr>
            <w:tcW w:w="2184" w:type="dxa"/>
            <w:tcBorders>
              <w:bottom w:val="single" w:sz="4" w:space="0" w:color="auto"/>
            </w:tcBorders>
          </w:tcPr>
          <w:p w:rsidR="00D67910" w:rsidRPr="003E0E30" w:rsidRDefault="00D67910" w:rsidP="00524907">
            <w:pPr>
              <w:pStyle w:val="ListBullet"/>
              <w:numPr>
                <w:ilvl w:val="0"/>
                <w:numId w:val="0"/>
              </w:numPr>
              <w:rPr>
                <w:rFonts w:cs="Arial"/>
                <w:b/>
              </w:rPr>
            </w:pPr>
            <w:r>
              <w:rPr>
                <w:rFonts w:cs="Arial"/>
                <w:b/>
              </w:rPr>
              <w:t>2</w:t>
            </w:r>
            <w:r w:rsidRPr="003E0E30">
              <w:rPr>
                <w:rFonts w:cs="Arial"/>
                <w:b/>
              </w:rPr>
              <w:t xml:space="preserve">.6 </w:t>
            </w:r>
            <w:r>
              <w:rPr>
                <w:rFonts w:cs="Arial"/>
                <w:b/>
              </w:rPr>
              <w:t xml:space="preserve"> Consistent </w:t>
            </w:r>
            <w:r w:rsidRPr="003E0E30">
              <w:rPr>
                <w:rFonts w:cs="Arial"/>
                <w:b/>
              </w:rPr>
              <w:t>Conditions</w:t>
            </w:r>
          </w:p>
          <w:p w:rsidR="00D67910" w:rsidRDefault="00D67910" w:rsidP="00524907">
            <w:pPr>
              <w:pStyle w:val="ListBullet"/>
              <w:numPr>
                <w:ilvl w:val="0"/>
                <w:numId w:val="0"/>
              </w:numPr>
              <w:rPr>
                <w:rFonts w:cs="Arial"/>
                <w:b/>
              </w:rPr>
            </w:pPr>
          </w:p>
        </w:tc>
        <w:tc>
          <w:tcPr>
            <w:tcW w:w="8950" w:type="dxa"/>
            <w:tcBorders>
              <w:bottom w:val="single" w:sz="4" w:space="0" w:color="auto"/>
            </w:tcBorders>
          </w:tcPr>
          <w:p w:rsidR="00D67910" w:rsidRDefault="007D1152" w:rsidP="00524907">
            <w:pPr>
              <w:rPr>
                <w:rFonts w:cs="Arial"/>
              </w:rPr>
            </w:pPr>
            <w:r>
              <w:rPr>
                <w:rFonts w:cs="Arial"/>
              </w:rPr>
              <w:t xml:space="preserve">EPG </w:t>
            </w:r>
            <w:r w:rsidR="00D67910" w:rsidRPr="005465D8">
              <w:rPr>
                <w:rFonts w:cs="Arial"/>
              </w:rPr>
              <w:t>should develop model conditions (to be tailored to particular projects) for key areas of environmental regulation. Where possible</w:t>
            </w:r>
            <w:r>
              <w:rPr>
                <w:rFonts w:cs="Arial"/>
              </w:rPr>
              <w:t>,</w:t>
            </w:r>
            <w:r w:rsidR="00D67910" w:rsidRPr="005465D8">
              <w:rPr>
                <w:rFonts w:cs="Arial"/>
              </w:rPr>
              <w:t xml:space="preserve"> these conditions should be outcomes</w:t>
            </w:r>
            <w:r>
              <w:rPr>
                <w:rFonts w:cs="Arial"/>
              </w:rPr>
              <w:t>-</w:t>
            </w:r>
            <w:r w:rsidR="00D67910" w:rsidRPr="005465D8">
              <w:rPr>
                <w:rFonts w:cs="Arial"/>
              </w:rPr>
              <w:t xml:space="preserve">based (see </w:t>
            </w:r>
            <w:r w:rsidR="00D67910" w:rsidRPr="005465D8">
              <w:rPr>
                <w:rFonts w:cs="Arial"/>
                <w:i/>
              </w:rPr>
              <w:t>Recommendation 2.5 (Consistent Outcomes Focused Conditions)</w:t>
            </w:r>
            <w:r w:rsidR="00D67910" w:rsidRPr="005465D8">
              <w:rPr>
                <w:rFonts w:cs="Arial"/>
              </w:rPr>
              <w:t>).</w:t>
            </w:r>
          </w:p>
          <w:p w:rsidR="00D67910" w:rsidRPr="005465D8" w:rsidRDefault="00D67910" w:rsidP="00524907">
            <w:pPr>
              <w:rPr>
                <w:rFonts w:cs="Arial"/>
              </w:rPr>
            </w:pPr>
            <w:r w:rsidRPr="005465D8">
              <w:rPr>
                <w:rFonts w:cs="Arial"/>
              </w:rPr>
              <w:t>Model conditions should be agreed by the relevant assessment</w:t>
            </w:r>
            <w:r w:rsidR="00A6701B">
              <w:rPr>
                <w:rFonts w:cs="Arial"/>
              </w:rPr>
              <w:t xml:space="preserve"> and </w:t>
            </w:r>
            <w:r w:rsidRPr="005465D8">
              <w:rPr>
                <w:rFonts w:cs="Arial"/>
              </w:rPr>
              <w:t xml:space="preserve">approval areas, the Compliance and Enforcement Branch and the General Counsel Branch. </w:t>
            </w:r>
          </w:p>
          <w:p w:rsidR="00D67910" w:rsidRDefault="00D67910" w:rsidP="00524907">
            <w:pPr>
              <w:rPr>
                <w:rFonts w:cs="Arial"/>
              </w:rPr>
            </w:pPr>
            <w:r w:rsidRPr="005465D8">
              <w:rPr>
                <w:rFonts w:cs="Arial"/>
              </w:rPr>
              <w:t>Model conditions should be publicly available with an explanation of how and when they will be used.</w:t>
            </w:r>
          </w:p>
          <w:p w:rsidR="00D67910" w:rsidRPr="0052493E" w:rsidRDefault="00D67910" w:rsidP="007D1152">
            <w:pPr>
              <w:pStyle w:val="ListBullet"/>
              <w:numPr>
                <w:ilvl w:val="0"/>
                <w:numId w:val="0"/>
              </w:numPr>
              <w:rPr>
                <w:rFonts w:cs="Arial"/>
              </w:rPr>
            </w:pPr>
            <w:r w:rsidRPr="005465D8">
              <w:rPr>
                <w:rFonts w:cs="Arial"/>
              </w:rPr>
              <w:t>ESD should continue to develop and implement training and support for staff on the conditions policies, with clear messaging about the reasons and need for adoption. ESD should monitor the implementation of the polic</w:t>
            </w:r>
            <w:r w:rsidR="005E2DE0">
              <w:rPr>
                <w:rFonts w:cs="Arial"/>
              </w:rPr>
              <w:t>ies</w:t>
            </w:r>
            <w:r w:rsidRPr="005465D8">
              <w:rPr>
                <w:rFonts w:cs="Arial"/>
              </w:rPr>
              <w:t xml:space="preserve"> by reviewing approval decisions at regular intervals</w:t>
            </w:r>
            <w:r w:rsidR="007D1152">
              <w:rPr>
                <w:rFonts w:cs="Arial"/>
              </w:rPr>
              <w:t xml:space="preserve"> – f</w:t>
            </w:r>
            <w:r w:rsidRPr="005465D8">
              <w:rPr>
                <w:rFonts w:cs="Arial"/>
              </w:rPr>
              <w:t>or example, at six-month intervals until the Department is satisfied that policies have become common practice in the Department.</w:t>
            </w:r>
          </w:p>
        </w:tc>
        <w:tc>
          <w:tcPr>
            <w:tcW w:w="2157" w:type="dxa"/>
            <w:tcBorders>
              <w:bottom w:val="single" w:sz="4" w:space="0" w:color="auto"/>
            </w:tcBorders>
            <w:vAlign w:val="center"/>
          </w:tcPr>
          <w:p w:rsidR="00D67910" w:rsidRDefault="006C17AD" w:rsidP="00524907">
            <w:pPr>
              <w:jc w:val="center"/>
            </w:pPr>
            <w:r>
              <w:t>3</w:t>
            </w:r>
          </w:p>
        </w:tc>
        <w:tc>
          <w:tcPr>
            <w:tcW w:w="1778" w:type="dxa"/>
            <w:tcBorders>
              <w:bottom w:val="single" w:sz="4" w:space="0" w:color="auto"/>
            </w:tcBorders>
            <w:vAlign w:val="center"/>
          </w:tcPr>
          <w:p w:rsidR="00D67910" w:rsidRDefault="006C17AD" w:rsidP="00524907">
            <w:pPr>
              <w:jc w:val="center"/>
            </w:pPr>
            <w:r>
              <w:t>3</w:t>
            </w:r>
          </w:p>
        </w:tc>
      </w:tr>
      <w:tr w:rsidR="00D67910" w:rsidTr="002C4D84">
        <w:trPr>
          <w:cnfStyle w:val="000000010000" w:firstRow="0" w:lastRow="0" w:firstColumn="0" w:lastColumn="0" w:oddVBand="0" w:evenVBand="0" w:oddHBand="0" w:evenHBand="1" w:firstRowFirstColumn="0" w:firstRowLastColumn="0" w:lastRowFirstColumn="0" w:lastRowLastColumn="0"/>
        </w:trPr>
        <w:tc>
          <w:tcPr>
            <w:tcW w:w="2184" w:type="dxa"/>
          </w:tcPr>
          <w:p w:rsidR="00D67910" w:rsidRDefault="00D67910" w:rsidP="00524907">
            <w:pPr>
              <w:pStyle w:val="ListBullet"/>
              <w:numPr>
                <w:ilvl w:val="0"/>
                <w:numId w:val="0"/>
              </w:numPr>
              <w:rPr>
                <w:rFonts w:cs="Arial"/>
                <w:b/>
              </w:rPr>
            </w:pPr>
            <w:r>
              <w:rPr>
                <w:rFonts w:cs="Arial"/>
                <w:b/>
              </w:rPr>
              <w:t>2.7  Responsibility for p</w:t>
            </w:r>
            <w:r w:rsidRPr="00610B87">
              <w:rPr>
                <w:rFonts w:cs="Arial"/>
                <w:b/>
              </w:rPr>
              <w:t xml:space="preserve">ost-approvals </w:t>
            </w:r>
            <w:r w:rsidRPr="00610B87">
              <w:rPr>
                <w:rFonts w:cs="Arial"/>
                <w:b/>
              </w:rPr>
              <w:lastRenderedPageBreak/>
              <w:t>functions</w:t>
            </w:r>
            <w:r>
              <w:rPr>
                <w:rFonts w:cs="Arial"/>
                <w:b/>
              </w:rPr>
              <w:t xml:space="preserve"> for environmental impact approvals</w:t>
            </w:r>
          </w:p>
        </w:tc>
        <w:tc>
          <w:tcPr>
            <w:tcW w:w="8950" w:type="dxa"/>
          </w:tcPr>
          <w:p w:rsidR="00D67910" w:rsidRPr="005465D8" w:rsidRDefault="007D1152" w:rsidP="00524907">
            <w:pPr>
              <w:contextualSpacing/>
              <w:rPr>
                <w:rFonts w:cs="Arial"/>
              </w:rPr>
            </w:pPr>
            <w:r>
              <w:rPr>
                <w:rFonts w:cs="Arial"/>
              </w:rPr>
              <w:lastRenderedPageBreak/>
              <w:t>ESD</w:t>
            </w:r>
            <w:r w:rsidRPr="005465D8">
              <w:rPr>
                <w:rFonts w:cs="Arial"/>
              </w:rPr>
              <w:t xml:space="preserve"> </w:t>
            </w:r>
            <w:r w:rsidR="00D67910" w:rsidRPr="005465D8">
              <w:rPr>
                <w:rFonts w:cs="Arial"/>
              </w:rPr>
              <w:t xml:space="preserve">should move the responsibility for </w:t>
            </w:r>
            <w:r w:rsidR="00D67910" w:rsidRPr="007D1152">
              <w:rPr>
                <w:rFonts w:cs="Arial"/>
              </w:rPr>
              <w:t>EPBC</w:t>
            </w:r>
            <w:r w:rsidR="00D67910" w:rsidRPr="005465D8">
              <w:rPr>
                <w:rFonts w:cs="Arial"/>
              </w:rPr>
              <w:t xml:space="preserve"> post-approval work from the Compliance and Enforcement Branch to the relevant </w:t>
            </w:r>
            <w:r w:rsidR="00D67910" w:rsidRPr="007D1152">
              <w:rPr>
                <w:rFonts w:cs="Arial"/>
              </w:rPr>
              <w:t>EPBC</w:t>
            </w:r>
            <w:r w:rsidR="00D67910" w:rsidRPr="005465D8">
              <w:rPr>
                <w:rFonts w:cs="Arial"/>
              </w:rPr>
              <w:t xml:space="preserve"> assessment branches</w:t>
            </w:r>
            <w:r w:rsidR="00622415">
              <w:rPr>
                <w:rFonts w:cs="Arial"/>
              </w:rPr>
              <w:t xml:space="preserve"> (see also </w:t>
            </w:r>
            <w:r w:rsidR="00622415">
              <w:rPr>
                <w:rFonts w:cs="Arial"/>
                <w:i/>
              </w:rPr>
              <w:lastRenderedPageBreak/>
              <w:t>Recommendation 2.5 (Outcomes focused conditions)</w:t>
            </w:r>
            <w:r w:rsidR="00622415">
              <w:rPr>
                <w:rFonts w:cs="Arial"/>
              </w:rPr>
              <w:t xml:space="preserve"> on reducing EPG’s reliance on management plans in EPBC approvals</w:t>
            </w:r>
            <w:r w:rsidR="00A86C46">
              <w:rPr>
                <w:rFonts w:cs="Arial"/>
              </w:rPr>
              <w:t xml:space="preserve"> including the Commonwealth initiating a working group with State</w:t>
            </w:r>
            <w:r w:rsidR="005236CD">
              <w:rPr>
                <w:rFonts w:cs="Arial"/>
              </w:rPr>
              <w:t>s and Territories on this issue</w:t>
            </w:r>
            <w:r w:rsidR="00622415">
              <w:rPr>
                <w:rFonts w:cs="Arial"/>
              </w:rPr>
              <w:t>).</w:t>
            </w:r>
          </w:p>
          <w:p w:rsidR="00D67910" w:rsidRDefault="00D67910" w:rsidP="00524907">
            <w:pPr>
              <w:contextualSpacing/>
              <w:rPr>
                <w:rFonts w:cs="Arial"/>
              </w:rPr>
            </w:pPr>
          </w:p>
          <w:p w:rsidR="00D67910" w:rsidRPr="005465D8" w:rsidRDefault="00D67910" w:rsidP="00524907">
            <w:pPr>
              <w:contextualSpacing/>
              <w:rPr>
                <w:rFonts w:cs="Arial"/>
              </w:rPr>
            </w:pPr>
            <w:r w:rsidRPr="005465D8">
              <w:rPr>
                <w:rFonts w:cs="Arial"/>
              </w:rPr>
              <w:t xml:space="preserve">ESD should monitor the timeframes for approving management plans, and if there is a significant increase consider setting and publishing target timeframes for this process.  </w:t>
            </w:r>
          </w:p>
          <w:p w:rsidR="00797C11" w:rsidRDefault="00D67910" w:rsidP="00797C11">
            <w:pPr>
              <w:pStyle w:val="ListBullet"/>
              <w:numPr>
                <w:ilvl w:val="0"/>
                <w:numId w:val="0"/>
              </w:numPr>
              <w:tabs>
                <w:tab w:val="left" w:pos="2930"/>
              </w:tabs>
              <w:rPr>
                <w:rFonts w:cs="Arial"/>
              </w:rPr>
            </w:pPr>
            <w:r w:rsidRPr="005465D8">
              <w:rPr>
                <w:rFonts w:cs="Arial"/>
              </w:rPr>
              <w:t>The ESD executive should also note the importance of maintaining strong linkages between the assessment branches and the compliance areas to ensure gaps between these areas are not created or exacerbated</w:t>
            </w:r>
            <w:r w:rsidR="005236CD">
              <w:rPr>
                <w:rFonts w:cs="Arial"/>
              </w:rPr>
              <w:t>.</w:t>
            </w:r>
          </w:p>
          <w:p w:rsidR="009551C2" w:rsidRPr="00A6494E" w:rsidRDefault="009551C2" w:rsidP="00622415">
            <w:pPr>
              <w:pStyle w:val="ListBullet"/>
              <w:numPr>
                <w:ilvl w:val="0"/>
                <w:numId w:val="0"/>
              </w:numPr>
              <w:tabs>
                <w:tab w:val="left" w:pos="2930"/>
              </w:tabs>
              <w:rPr>
                <w:rFonts w:cs="Arial"/>
              </w:rPr>
            </w:pPr>
          </w:p>
        </w:tc>
        <w:tc>
          <w:tcPr>
            <w:tcW w:w="2157" w:type="dxa"/>
            <w:vAlign w:val="center"/>
          </w:tcPr>
          <w:p w:rsidR="00D67910" w:rsidRDefault="00D67910" w:rsidP="00524907">
            <w:pPr>
              <w:jc w:val="center"/>
            </w:pPr>
            <w:r>
              <w:lastRenderedPageBreak/>
              <w:t>2</w:t>
            </w:r>
          </w:p>
        </w:tc>
        <w:tc>
          <w:tcPr>
            <w:tcW w:w="1778" w:type="dxa"/>
            <w:vAlign w:val="center"/>
          </w:tcPr>
          <w:p w:rsidR="00D67910" w:rsidRDefault="00D67910" w:rsidP="00524907">
            <w:pPr>
              <w:jc w:val="center"/>
            </w:pPr>
            <w:r>
              <w:t>1</w:t>
            </w:r>
          </w:p>
        </w:tc>
      </w:tr>
      <w:tr w:rsidR="00D67910" w:rsidTr="002C4D84">
        <w:trPr>
          <w:cnfStyle w:val="000000100000" w:firstRow="0" w:lastRow="0" w:firstColumn="0" w:lastColumn="0" w:oddVBand="0" w:evenVBand="0" w:oddHBand="1" w:evenHBand="0" w:firstRowFirstColumn="0" w:firstRowLastColumn="0" w:lastRowFirstColumn="0" w:lastRowLastColumn="0"/>
        </w:trPr>
        <w:tc>
          <w:tcPr>
            <w:tcW w:w="2184" w:type="dxa"/>
          </w:tcPr>
          <w:p w:rsidR="00D67910" w:rsidRPr="008059C7" w:rsidRDefault="00D67910" w:rsidP="00524907">
            <w:pPr>
              <w:pStyle w:val="ListBullet"/>
              <w:numPr>
                <w:ilvl w:val="0"/>
                <w:numId w:val="0"/>
              </w:numPr>
              <w:rPr>
                <w:rFonts w:cs="Arial"/>
                <w:b/>
              </w:rPr>
            </w:pPr>
            <w:r>
              <w:rPr>
                <w:rFonts w:cs="Arial"/>
                <w:b/>
              </w:rPr>
              <w:t>2.8</w:t>
            </w:r>
            <w:r w:rsidRPr="008059C7">
              <w:rPr>
                <w:rFonts w:cs="Arial"/>
                <w:b/>
              </w:rPr>
              <w:t xml:space="preserve">  Making it easier to comply</w:t>
            </w:r>
          </w:p>
          <w:p w:rsidR="00D67910" w:rsidRDefault="00D67910" w:rsidP="00524907">
            <w:pPr>
              <w:pStyle w:val="ListBullet"/>
              <w:numPr>
                <w:ilvl w:val="0"/>
                <w:numId w:val="0"/>
              </w:numPr>
              <w:rPr>
                <w:rFonts w:cs="Arial"/>
                <w:b/>
              </w:rPr>
            </w:pPr>
          </w:p>
        </w:tc>
        <w:tc>
          <w:tcPr>
            <w:tcW w:w="8950" w:type="dxa"/>
          </w:tcPr>
          <w:p w:rsidR="00D67910" w:rsidRDefault="00D67910" w:rsidP="00524907">
            <w:pPr>
              <w:rPr>
                <w:rFonts w:cs="Arial"/>
              </w:rPr>
            </w:pPr>
            <w:r w:rsidRPr="005465D8">
              <w:rPr>
                <w:rFonts w:cs="Arial"/>
              </w:rPr>
              <w:t>EPG should assist the regulated community to comply with requirements by:</w:t>
            </w:r>
          </w:p>
          <w:p w:rsidR="00D67910" w:rsidRPr="005465D8" w:rsidRDefault="00D67910" w:rsidP="00E65120">
            <w:pPr>
              <w:numPr>
                <w:ilvl w:val="0"/>
                <w:numId w:val="15"/>
              </w:numPr>
              <w:spacing w:after="0" w:line="240" w:lineRule="auto"/>
              <w:contextualSpacing/>
              <w:rPr>
                <w:rFonts w:cs="Arial"/>
              </w:rPr>
            </w:pPr>
            <w:r w:rsidRPr="005465D8">
              <w:rPr>
                <w:rFonts w:cs="Arial"/>
              </w:rPr>
              <w:t>understanding the entity’s operating environment (e.g. through internal ‘expert’ officer knowledge);</w:t>
            </w:r>
          </w:p>
          <w:p w:rsidR="00D67910" w:rsidRPr="005465D8" w:rsidRDefault="00D67910" w:rsidP="00E65120">
            <w:pPr>
              <w:numPr>
                <w:ilvl w:val="0"/>
                <w:numId w:val="15"/>
              </w:numPr>
              <w:spacing w:after="0" w:line="240" w:lineRule="auto"/>
              <w:contextualSpacing/>
              <w:rPr>
                <w:rFonts w:cs="Arial"/>
              </w:rPr>
            </w:pPr>
            <w:r w:rsidRPr="005465D8">
              <w:rPr>
                <w:rFonts w:cs="Arial"/>
              </w:rPr>
              <w:t>making requirements clear;</w:t>
            </w:r>
          </w:p>
          <w:p w:rsidR="00D67910" w:rsidRPr="005465D8" w:rsidRDefault="00D67910" w:rsidP="00E65120">
            <w:pPr>
              <w:numPr>
                <w:ilvl w:val="0"/>
                <w:numId w:val="15"/>
              </w:numPr>
              <w:spacing w:after="0" w:line="240" w:lineRule="auto"/>
              <w:contextualSpacing/>
              <w:rPr>
                <w:rFonts w:cs="Arial"/>
              </w:rPr>
            </w:pPr>
            <w:r w:rsidRPr="005465D8">
              <w:rPr>
                <w:rFonts w:cs="Arial"/>
              </w:rPr>
              <w:t>only requesting information that is necessary;</w:t>
            </w:r>
          </w:p>
          <w:p w:rsidR="00D67910" w:rsidRPr="005465D8" w:rsidRDefault="00D67910" w:rsidP="00E65120">
            <w:pPr>
              <w:numPr>
                <w:ilvl w:val="0"/>
                <w:numId w:val="15"/>
              </w:numPr>
              <w:spacing w:after="0" w:line="240" w:lineRule="auto"/>
              <w:contextualSpacing/>
              <w:rPr>
                <w:rFonts w:cs="Arial"/>
              </w:rPr>
            </w:pPr>
            <w:r w:rsidRPr="005465D8">
              <w:rPr>
                <w:rFonts w:cs="Arial"/>
              </w:rPr>
              <w:t xml:space="preserve">clearly explaining the reasoning behind requirements; </w:t>
            </w:r>
          </w:p>
          <w:p w:rsidR="00D67910" w:rsidRPr="005465D8" w:rsidRDefault="00D67910" w:rsidP="00E65120">
            <w:pPr>
              <w:numPr>
                <w:ilvl w:val="0"/>
                <w:numId w:val="15"/>
              </w:numPr>
              <w:spacing w:after="0" w:line="240" w:lineRule="auto"/>
              <w:contextualSpacing/>
              <w:rPr>
                <w:rFonts w:cs="Arial"/>
              </w:rPr>
            </w:pPr>
            <w:r w:rsidRPr="005465D8">
              <w:rPr>
                <w:rFonts w:cs="Arial"/>
              </w:rPr>
              <w:t>maintain</w:t>
            </w:r>
            <w:r w:rsidR="007D1152">
              <w:rPr>
                <w:rFonts w:cs="Arial"/>
              </w:rPr>
              <w:t>ing</w:t>
            </w:r>
            <w:r w:rsidRPr="005465D8">
              <w:rPr>
                <w:rFonts w:cs="Arial"/>
              </w:rPr>
              <w:t xml:space="preserve"> relationships through a single point of contact during licensing</w:t>
            </w:r>
            <w:r w:rsidR="00A6701B">
              <w:rPr>
                <w:rFonts w:cs="Arial"/>
              </w:rPr>
              <w:t xml:space="preserve">, </w:t>
            </w:r>
            <w:r w:rsidRPr="005465D8">
              <w:rPr>
                <w:rFonts w:cs="Arial"/>
              </w:rPr>
              <w:t>permitting</w:t>
            </w:r>
            <w:r w:rsidR="00A6701B">
              <w:rPr>
                <w:rFonts w:cs="Arial"/>
              </w:rPr>
              <w:t xml:space="preserve">, or </w:t>
            </w:r>
            <w:r w:rsidRPr="005465D8">
              <w:rPr>
                <w:rFonts w:cs="Arial"/>
              </w:rPr>
              <w:t>assessment processes, where possible;</w:t>
            </w:r>
          </w:p>
          <w:p w:rsidR="00D67910" w:rsidRPr="005465D8" w:rsidRDefault="00D67910" w:rsidP="00E65120">
            <w:pPr>
              <w:numPr>
                <w:ilvl w:val="0"/>
                <w:numId w:val="15"/>
              </w:numPr>
              <w:spacing w:after="0" w:line="240" w:lineRule="auto"/>
              <w:contextualSpacing/>
              <w:rPr>
                <w:rFonts w:cs="Arial"/>
              </w:rPr>
            </w:pPr>
            <w:r w:rsidRPr="005465D8">
              <w:rPr>
                <w:rFonts w:cs="Arial"/>
              </w:rPr>
              <w:t xml:space="preserve">utilising behavioural insights and analysis to identify friction points and remove barriers to compliance; and </w:t>
            </w:r>
          </w:p>
          <w:p w:rsidR="00D67910" w:rsidRDefault="00D67910" w:rsidP="00E65120">
            <w:pPr>
              <w:numPr>
                <w:ilvl w:val="0"/>
                <w:numId w:val="15"/>
              </w:numPr>
              <w:spacing w:after="0" w:line="240" w:lineRule="auto"/>
              <w:contextualSpacing/>
              <w:rPr>
                <w:rFonts w:cs="Arial"/>
              </w:rPr>
            </w:pPr>
            <w:r w:rsidRPr="005465D8">
              <w:rPr>
                <w:rFonts w:cs="Arial"/>
              </w:rPr>
              <w:t>actively seeking feedback</w:t>
            </w:r>
            <w:r w:rsidR="007D1152">
              <w:rPr>
                <w:rFonts w:cs="Arial"/>
              </w:rPr>
              <w:t xml:space="preserve"> from the regulated community</w:t>
            </w:r>
            <w:r w:rsidRPr="005465D8">
              <w:rPr>
                <w:rFonts w:cs="Arial"/>
              </w:rPr>
              <w:t xml:space="preserve"> about what would make it easier to comply.</w:t>
            </w:r>
          </w:p>
          <w:p w:rsidR="00563C02" w:rsidRDefault="00563C02" w:rsidP="00563C02">
            <w:pPr>
              <w:spacing w:after="0" w:line="240" w:lineRule="auto"/>
              <w:contextualSpacing/>
              <w:rPr>
                <w:rFonts w:cs="Arial"/>
              </w:rPr>
            </w:pPr>
          </w:p>
        </w:tc>
        <w:tc>
          <w:tcPr>
            <w:tcW w:w="2157" w:type="dxa"/>
            <w:vAlign w:val="center"/>
          </w:tcPr>
          <w:p w:rsidR="00D67910" w:rsidRDefault="00D67910" w:rsidP="00524907">
            <w:pPr>
              <w:jc w:val="center"/>
            </w:pPr>
            <w:r>
              <w:t>2</w:t>
            </w:r>
          </w:p>
        </w:tc>
        <w:tc>
          <w:tcPr>
            <w:tcW w:w="1778" w:type="dxa"/>
            <w:vAlign w:val="center"/>
          </w:tcPr>
          <w:p w:rsidR="00D67910" w:rsidRDefault="007D1152" w:rsidP="00524907">
            <w:pPr>
              <w:jc w:val="center"/>
            </w:pPr>
            <w:r>
              <w:t>3</w:t>
            </w:r>
          </w:p>
        </w:tc>
      </w:tr>
      <w:tr w:rsidR="00D67910" w:rsidTr="002C4D84">
        <w:trPr>
          <w:cnfStyle w:val="000000010000" w:firstRow="0" w:lastRow="0" w:firstColumn="0" w:lastColumn="0" w:oddVBand="0" w:evenVBand="0" w:oddHBand="0" w:evenHBand="1" w:firstRowFirstColumn="0" w:firstRowLastColumn="0" w:lastRowFirstColumn="0" w:lastRowLastColumn="0"/>
        </w:trPr>
        <w:tc>
          <w:tcPr>
            <w:tcW w:w="2184" w:type="dxa"/>
          </w:tcPr>
          <w:p w:rsidR="00D67910" w:rsidRPr="003E0E30" w:rsidRDefault="00D67910" w:rsidP="00524907">
            <w:pPr>
              <w:pStyle w:val="ListBullet"/>
              <w:numPr>
                <w:ilvl w:val="0"/>
                <w:numId w:val="0"/>
              </w:numPr>
              <w:rPr>
                <w:rFonts w:cs="Arial"/>
                <w:b/>
              </w:rPr>
            </w:pPr>
            <w:r>
              <w:rPr>
                <w:rFonts w:cs="Arial"/>
                <w:b/>
              </w:rPr>
              <w:t xml:space="preserve">2.9  </w:t>
            </w:r>
            <w:r w:rsidRPr="003E0E30">
              <w:rPr>
                <w:rFonts w:cs="Arial"/>
                <w:b/>
              </w:rPr>
              <w:t>Transparency a</w:t>
            </w:r>
            <w:r>
              <w:rPr>
                <w:rFonts w:cs="Arial"/>
                <w:b/>
              </w:rPr>
              <w:t>nd disclosure of information</w:t>
            </w:r>
          </w:p>
          <w:p w:rsidR="00D67910" w:rsidRDefault="00D67910" w:rsidP="00524907">
            <w:pPr>
              <w:pStyle w:val="ListBullet"/>
              <w:numPr>
                <w:ilvl w:val="0"/>
                <w:numId w:val="0"/>
              </w:numPr>
              <w:rPr>
                <w:rFonts w:cs="Arial"/>
                <w:b/>
              </w:rPr>
            </w:pPr>
          </w:p>
        </w:tc>
        <w:tc>
          <w:tcPr>
            <w:tcW w:w="8950" w:type="dxa"/>
          </w:tcPr>
          <w:p w:rsidR="00D67910" w:rsidRDefault="00D67910" w:rsidP="00524907">
            <w:pPr>
              <w:rPr>
                <w:rFonts w:cs="Arial"/>
              </w:rPr>
            </w:pPr>
            <w:r w:rsidRPr="005465D8">
              <w:rPr>
                <w:rFonts w:cs="Arial"/>
              </w:rPr>
              <w:t xml:space="preserve">EPG should proactively provide more information about its decisions and processes. The Department should formalise and commit to this approach (see also the </w:t>
            </w:r>
            <w:r w:rsidRPr="005465D8">
              <w:rPr>
                <w:rFonts w:cs="Arial"/>
                <w:i/>
              </w:rPr>
              <w:t xml:space="preserve">Proactive Engagement with Community Stakeholders </w:t>
            </w:r>
            <w:r w:rsidRPr="005465D8">
              <w:rPr>
                <w:rFonts w:cs="Arial"/>
              </w:rPr>
              <w:t>section in Chapter 6).</w:t>
            </w:r>
          </w:p>
          <w:p w:rsidR="00D67910" w:rsidRDefault="00D67910" w:rsidP="00524907">
            <w:pPr>
              <w:rPr>
                <w:rFonts w:cs="Arial"/>
              </w:rPr>
            </w:pPr>
            <w:r w:rsidRPr="005465D8">
              <w:rPr>
                <w:rFonts w:cs="Arial"/>
              </w:rPr>
              <w:t xml:space="preserve">Subject to privacy and confidentiality requirements, EPG should routinely publish key documents used to support decisions to help stakeholders understand the reasons for those decisions (for example recommendation reports for environmental impact </w:t>
            </w:r>
            <w:r w:rsidRPr="005465D8">
              <w:rPr>
                <w:rFonts w:cs="Arial"/>
              </w:rPr>
              <w:lastRenderedPageBreak/>
              <w:t>assessments) and/or fact sheets or statements of reasons for decisions that are likely to be high profile</w:t>
            </w:r>
            <w:r w:rsidR="00540127">
              <w:rPr>
                <w:rFonts w:cs="Arial"/>
              </w:rPr>
              <w:t xml:space="preserve"> or </w:t>
            </w:r>
            <w:r w:rsidRPr="005465D8">
              <w:rPr>
                <w:rFonts w:cs="Arial"/>
              </w:rPr>
              <w:t>have a large degree of community concern.</w:t>
            </w:r>
          </w:p>
          <w:p w:rsidR="00D67910" w:rsidRDefault="00D67910" w:rsidP="007D1152">
            <w:pPr>
              <w:rPr>
                <w:rFonts w:cs="Arial"/>
              </w:rPr>
            </w:pPr>
            <w:r w:rsidRPr="005465D8">
              <w:rPr>
                <w:rFonts w:cs="Arial"/>
              </w:rPr>
              <w:t xml:space="preserve">To address community concerns about the time taken for FOI requests, a fact sheet should be prepared for communities that explain the FOI process, the types of documents that can and cannot be provided, and the likely timing for the process. This could be illustrated through a case study. </w:t>
            </w:r>
          </w:p>
        </w:tc>
        <w:tc>
          <w:tcPr>
            <w:tcW w:w="2157" w:type="dxa"/>
            <w:vAlign w:val="center"/>
          </w:tcPr>
          <w:p w:rsidR="00D67910" w:rsidRDefault="00D67910" w:rsidP="00524907">
            <w:pPr>
              <w:jc w:val="center"/>
            </w:pPr>
            <w:r>
              <w:lastRenderedPageBreak/>
              <w:t>2</w:t>
            </w:r>
          </w:p>
        </w:tc>
        <w:tc>
          <w:tcPr>
            <w:tcW w:w="1778" w:type="dxa"/>
            <w:vAlign w:val="center"/>
          </w:tcPr>
          <w:p w:rsidR="00D67910" w:rsidRDefault="00D67910" w:rsidP="00524907">
            <w:pPr>
              <w:jc w:val="center"/>
            </w:pPr>
            <w:r>
              <w:t>1</w:t>
            </w:r>
          </w:p>
        </w:tc>
      </w:tr>
      <w:tr w:rsidR="00D67910" w:rsidTr="002C4D84">
        <w:trPr>
          <w:cnfStyle w:val="000000100000" w:firstRow="0" w:lastRow="0" w:firstColumn="0" w:lastColumn="0" w:oddVBand="0" w:evenVBand="0" w:oddHBand="1" w:evenHBand="0" w:firstRowFirstColumn="0" w:firstRowLastColumn="0" w:lastRowFirstColumn="0" w:lastRowLastColumn="0"/>
        </w:trPr>
        <w:tc>
          <w:tcPr>
            <w:tcW w:w="2184" w:type="dxa"/>
          </w:tcPr>
          <w:p w:rsidR="00D67910" w:rsidRPr="003E0E30" w:rsidRDefault="00D67910" w:rsidP="00524907">
            <w:pPr>
              <w:pStyle w:val="ListBullet"/>
              <w:numPr>
                <w:ilvl w:val="0"/>
                <w:numId w:val="0"/>
              </w:numPr>
              <w:rPr>
                <w:rFonts w:cs="Arial"/>
                <w:b/>
              </w:rPr>
            </w:pPr>
            <w:r>
              <w:rPr>
                <w:rFonts w:cs="Arial"/>
                <w:b/>
              </w:rPr>
              <w:t>2</w:t>
            </w:r>
            <w:r w:rsidRPr="00AE4C79">
              <w:rPr>
                <w:rFonts w:cs="Arial"/>
                <w:b/>
              </w:rPr>
              <w:t>.</w:t>
            </w:r>
            <w:r>
              <w:rPr>
                <w:rFonts w:cs="Arial"/>
                <w:b/>
              </w:rPr>
              <w:t>10  Intelligence</w:t>
            </w:r>
          </w:p>
        </w:tc>
        <w:tc>
          <w:tcPr>
            <w:tcW w:w="8950" w:type="dxa"/>
          </w:tcPr>
          <w:p w:rsidR="00D67910" w:rsidRDefault="00D67910" w:rsidP="00524907">
            <w:pPr>
              <w:rPr>
                <w:rFonts w:cs="Arial"/>
              </w:rPr>
            </w:pPr>
            <w:r w:rsidRPr="005465D8">
              <w:rPr>
                <w:rFonts w:cs="Arial"/>
              </w:rPr>
              <w:t>The Department should work with other environmental regulators to develop an approach</w:t>
            </w:r>
            <w:r w:rsidR="0029688F">
              <w:rPr>
                <w:rFonts w:cs="Arial"/>
              </w:rPr>
              <w:t xml:space="preserve"> to</w:t>
            </w:r>
            <w:r w:rsidRPr="005465D8">
              <w:rPr>
                <w:rFonts w:cs="Arial"/>
              </w:rPr>
              <w:t xml:space="preserve"> strategic intelligence</w:t>
            </w:r>
            <w:r w:rsidR="007D1152">
              <w:rPr>
                <w:rFonts w:cs="Arial"/>
              </w:rPr>
              <w:t>.</w:t>
            </w:r>
            <w:r w:rsidRPr="005465D8">
              <w:rPr>
                <w:rFonts w:cs="Arial"/>
              </w:rPr>
              <w:t xml:space="preserve"> The Department should consider recruiting specifically for strategic intelligence skills and experience to drive this approach.</w:t>
            </w:r>
          </w:p>
          <w:p w:rsidR="00D67910" w:rsidRDefault="00D67910" w:rsidP="00524907">
            <w:pPr>
              <w:rPr>
                <w:rFonts w:cs="Arial"/>
              </w:rPr>
            </w:pPr>
            <w:r w:rsidRPr="005465D8">
              <w:rPr>
                <w:rFonts w:cs="Arial"/>
              </w:rPr>
              <w:t>The Department should invest in IT tools for gathering and analysing intelligence, including data sharing with other agencies</w:t>
            </w:r>
            <w:r w:rsidR="007D1152">
              <w:rPr>
                <w:rFonts w:cs="Arial"/>
              </w:rPr>
              <w:t xml:space="preserve"> (see also the </w:t>
            </w:r>
            <w:r w:rsidR="007D1152">
              <w:rPr>
                <w:rFonts w:cs="Arial"/>
                <w:i/>
              </w:rPr>
              <w:t xml:space="preserve">IT Systems </w:t>
            </w:r>
            <w:r w:rsidR="005A4278" w:rsidRPr="005A4278">
              <w:rPr>
                <w:rFonts w:cs="Arial"/>
              </w:rPr>
              <w:t>section in Chapter</w:t>
            </w:r>
            <w:r w:rsidR="007D1152">
              <w:rPr>
                <w:rFonts w:cs="Arial"/>
                <w:i/>
              </w:rPr>
              <w:t xml:space="preserve"> 4</w:t>
            </w:r>
            <w:r w:rsidR="007D1152">
              <w:rPr>
                <w:rFonts w:cs="Arial"/>
              </w:rPr>
              <w:t>)</w:t>
            </w:r>
            <w:r w:rsidRPr="005465D8">
              <w:rPr>
                <w:rFonts w:cs="Arial"/>
              </w:rPr>
              <w:t>.</w:t>
            </w:r>
          </w:p>
          <w:p w:rsidR="00CD6C7A" w:rsidRDefault="00D67910">
            <w:pPr>
              <w:rPr>
                <w:rFonts w:cs="Arial"/>
              </w:rPr>
            </w:pPr>
            <w:r w:rsidRPr="005465D8">
              <w:rPr>
                <w:rFonts w:cs="Arial"/>
              </w:rPr>
              <w:t xml:space="preserve">The Department should formalise its relationships with co-regulators, including in relation to routine data sharing (see also the </w:t>
            </w:r>
            <w:r w:rsidRPr="005465D8">
              <w:rPr>
                <w:rFonts w:cs="Arial"/>
                <w:i/>
              </w:rPr>
              <w:t xml:space="preserve">Working with Other Regulators </w:t>
            </w:r>
            <w:r w:rsidRPr="005465D8">
              <w:rPr>
                <w:rFonts w:cs="Arial"/>
              </w:rPr>
              <w:t>section in Chapter 6).</w:t>
            </w:r>
          </w:p>
        </w:tc>
        <w:tc>
          <w:tcPr>
            <w:tcW w:w="2157" w:type="dxa"/>
            <w:vAlign w:val="center"/>
          </w:tcPr>
          <w:p w:rsidR="00D67910" w:rsidRDefault="00D67910" w:rsidP="00524907">
            <w:pPr>
              <w:jc w:val="center"/>
            </w:pPr>
            <w:r>
              <w:t>2</w:t>
            </w:r>
          </w:p>
        </w:tc>
        <w:tc>
          <w:tcPr>
            <w:tcW w:w="1778" w:type="dxa"/>
            <w:vAlign w:val="center"/>
          </w:tcPr>
          <w:p w:rsidR="00D67910" w:rsidRDefault="00D67910" w:rsidP="00524907">
            <w:pPr>
              <w:jc w:val="center"/>
            </w:pPr>
            <w:r>
              <w:t>1</w:t>
            </w:r>
          </w:p>
        </w:tc>
      </w:tr>
      <w:tr w:rsidR="00D67910" w:rsidTr="00E25CCF">
        <w:trPr>
          <w:cnfStyle w:val="000000010000" w:firstRow="0" w:lastRow="0" w:firstColumn="0" w:lastColumn="0" w:oddVBand="0" w:evenVBand="0" w:oddHBand="0" w:evenHBand="1" w:firstRowFirstColumn="0" w:firstRowLastColumn="0" w:lastRowFirstColumn="0" w:lastRowLastColumn="0"/>
        </w:trPr>
        <w:tc>
          <w:tcPr>
            <w:tcW w:w="15069" w:type="dxa"/>
            <w:gridSpan w:val="4"/>
          </w:tcPr>
          <w:p w:rsidR="004E3028" w:rsidRDefault="00D67910">
            <w:pPr>
              <w:jc w:val="center"/>
            </w:pPr>
            <w:r>
              <w:rPr>
                <w:rFonts w:cs="Arial"/>
                <w:b/>
                <w:color w:val="0B5294" w:themeColor="accent1" w:themeShade="BF"/>
                <w:sz w:val="36"/>
                <w:szCs w:val="36"/>
              </w:rPr>
              <w:t>Chapter 3</w:t>
            </w:r>
            <w:r w:rsidRPr="00DD04D0">
              <w:rPr>
                <w:rFonts w:cs="Arial"/>
                <w:b/>
                <w:color w:val="0B5294" w:themeColor="accent1" w:themeShade="BF"/>
                <w:sz w:val="36"/>
                <w:szCs w:val="36"/>
              </w:rPr>
              <w:t xml:space="preserve">: Our </w:t>
            </w:r>
            <w:r>
              <w:rPr>
                <w:rFonts w:cs="Arial"/>
                <w:b/>
                <w:color w:val="0B5294" w:themeColor="accent1" w:themeShade="BF"/>
                <w:sz w:val="36"/>
                <w:szCs w:val="36"/>
              </w:rPr>
              <w:t>People</w:t>
            </w:r>
          </w:p>
        </w:tc>
      </w:tr>
      <w:tr w:rsidR="00D67910" w:rsidTr="001427B2">
        <w:trPr>
          <w:cnfStyle w:val="000000100000" w:firstRow="0" w:lastRow="0" w:firstColumn="0" w:lastColumn="0" w:oddVBand="0" w:evenVBand="0" w:oddHBand="1" w:evenHBand="0" w:firstRowFirstColumn="0" w:firstRowLastColumn="0" w:lastRowFirstColumn="0" w:lastRowLastColumn="0"/>
        </w:trPr>
        <w:tc>
          <w:tcPr>
            <w:tcW w:w="2184" w:type="dxa"/>
          </w:tcPr>
          <w:p w:rsidR="00D67910" w:rsidRDefault="00D67910" w:rsidP="00524907">
            <w:pPr>
              <w:pStyle w:val="ListBullet"/>
              <w:numPr>
                <w:ilvl w:val="0"/>
                <w:numId w:val="0"/>
              </w:numPr>
              <w:rPr>
                <w:rFonts w:cs="Arial"/>
                <w:b/>
              </w:rPr>
            </w:pPr>
            <w:r>
              <w:rPr>
                <w:rFonts w:cs="Arial"/>
                <w:b/>
              </w:rPr>
              <w:t>3.1 Skills and training</w:t>
            </w:r>
          </w:p>
        </w:tc>
        <w:tc>
          <w:tcPr>
            <w:tcW w:w="8950" w:type="dxa"/>
          </w:tcPr>
          <w:p w:rsidR="00D67910" w:rsidRDefault="007F3DBB" w:rsidP="00524907">
            <w:pPr>
              <w:rPr>
                <w:rFonts w:cs="Arial"/>
              </w:rPr>
            </w:pPr>
            <w:r>
              <w:rPr>
                <w:rFonts w:cs="Arial"/>
              </w:rPr>
              <w:t>EPG and t</w:t>
            </w:r>
            <w:r w:rsidR="00D67910" w:rsidRPr="00032874">
              <w:rPr>
                <w:rFonts w:cs="Arial"/>
              </w:rPr>
              <w:t xml:space="preserve">he Department should identify the specific skills and capabilities necessary for regulatory activities and incorporate these into a Capability Framework for regulatory officers. </w:t>
            </w:r>
          </w:p>
          <w:p w:rsidR="00D67910" w:rsidRPr="00032874" w:rsidRDefault="00D67910" w:rsidP="00E65120">
            <w:pPr>
              <w:numPr>
                <w:ilvl w:val="0"/>
                <w:numId w:val="19"/>
              </w:numPr>
              <w:spacing w:after="0" w:line="240" w:lineRule="auto"/>
              <w:rPr>
                <w:rFonts w:cs="Arial"/>
              </w:rPr>
            </w:pPr>
            <w:r w:rsidRPr="00032874">
              <w:rPr>
                <w:rFonts w:cs="Arial"/>
              </w:rPr>
              <w:t xml:space="preserve">Completion of the audit recommended by NOUS Group and the development of a similar process in WHaM may be an appropriate first step. </w:t>
            </w:r>
          </w:p>
          <w:p w:rsidR="00CD6C7A" w:rsidRDefault="00D67910">
            <w:pPr>
              <w:spacing w:after="0" w:line="240" w:lineRule="auto"/>
              <w:ind w:left="720"/>
              <w:rPr>
                <w:rFonts w:cs="Arial"/>
              </w:rPr>
            </w:pPr>
            <w:r w:rsidRPr="00032874">
              <w:rPr>
                <w:rFonts w:cs="Arial"/>
              </w:rPr>
              <w:t xml:space="preserve">This process should build on work done by the Clean Energy Regulator and the NSW EPA, who have previously developed systematic approaches to regulatory capability and training. </w:t>
            </w:r>
          </w:p>
          <w:p w:rsidR="00D67910" w:rsidRPr="00563C02" w:rsidRDefault="00D67910" w:rsidP="00563C02">
            <w:pPr>
              <w:spacing w:after="0" w:line="240" w:lineRule="auto"/>
              <w:ind w:left="720"/>
              <w:rPr>
                <w:rFonts w:cs="Arial"/>
              </w:rPr>
            </w:pPr>
          </w:p>
          <w:p w:rsidR="00D67910" w:rsidRDefault="00D67910" w:rsidP="00524907">
            <w:pPr>
              <w:rPr>
                <w:rFonts w:cs="Arial"/>
                <w:bCs/>
              </w:rPr>
            </w:pPr>
            <w:r w:rsidRPr="00032874">
              <w:rPr>
                <w:rFonts w:cs="Arial"/>
                <w:bCs/>
              </w:rPr>
              <w:lastRenderedPageBreak/>
              <w:t>EPG should develop a formal induction and training program for all regulatory staff, with specific content for Senior Executives and officers exercising regulatory powers.</w:t>
            </w:r>
          </w:p>
          <w:p w:rsidR="00D67910" w:rsidRDefault="00D67910" w:rsidP="00524907">
            <w:pPr>
              <w:rPr>
                <w:rFonts w:cs="Arial"/>
                <w:bCs/>
              </w:rPr>
            </w:pPr>
            <w:r w:rsidRPr="00032874">
              <w:rPr>
                <w:rFonts w:cs="Arial"/>
                <w:bCs/>
              </w:rPr>
              <w:t xml:space="preserve">All Senior Executives with regulatory responsibilities should also complete the Australian and New Zealand School of Government (ANZSOG) intensive course ‘Managing Regulation Compliance and Enforcement’ intensive program. </w:t>
            </w:r>
          </w:p>
          <w:p w:rsidR="00D67910" w:rsidRDefault="00D67910" w:rsidP="00524907">
            <w:pPr>
              <w:rPr>
                <w:rFonts w:cs="Arial"/>
                <w:bCs/>
              </w:rPr>
            </w:pPr>
            <w:r w:rsidRPr="00032874">
              <w:rPr>
                <w:rFonts w:cs="Arial"/>
                <w:bCs/>
              </w:rPr>
              <w:t>The capability and training programs should be integrated into staff performance agreements and development plans.</w:t>
            </w:r>
          </w:p>
          <w:p w:rsidR="009551C2" w:rsidRPr="009551C2" w:rsidRDefault="00D67910" w:rsidP="007F3DBB">
            <w:pPr>
              <w:rPr>
                <w:rFonts w:cs="Arial"/>
              </w:rPr>
            </w:pPr>
            <w:r w:rsidRPr="00032874">
              <w:rPr>
                <w:rFonts w:cs="Arial"/>
                <w:bCs/>
              </w:rPr>
              <w:t>In addition to formal training, EPG should explore informal development opportunities such as brown bag lunches, communities of practice, seminars, invited speakers, and establishing a mentoring progra</w:t>
            </w:r>
            <w:r w:rsidR="00607573">
              <w:rPr>
                <w:rFonts w:cs="Arial"/>
                <w:bCs/>
              </w:rPr>
              <w:t>m</w:t>
            </w:r>
            <w:r w:rsidRPr="00032874">
              <w:rPr>
                <w:rFonts w:cs="Arial"/>
                <w:bCs/>
              </w:rPr>
              <w:t xml:space="preserve">. This will facilitate the </w:t>
            </w:r>
            <w:r w:rsidRPr="00032874">
              <w:rPr>
                <w:rFonts w:cs="Arial"/>
              </w:rPr>
              <w:t>sharing of knowledge and experience and build a sense of common purpose among regulatory officers.</w:t>
            </w:r>
          </w:p>
        </w:tc>
        <w:tc>
          <w:tcPr>
            <w:tcW w:w="2157" w:type="dxa"/>
            <w:vAlign w:val="center"/>
          </w:tcPr>
          <w:p w:rsidR="00D67910" w:rsidRDefault="00D67910" w:rsidP="00524907">
            <w:pPr>
              <w:jc w:val="center"/>
            </w:pPr>
            <w:r>
              <w:lastRenderedPageBreak/>
              <w:t>1</w:t>
            </w:r>
          </w:p>
        </w:tc>
        <w:tc>
          <w:tcPr>
            <w:tcW w:w="1778" w:type="dxa"/>
            <w:vAlign w:val="center"/>
          </w:tcPr>
          <w:p w:rsidR="00D67910" w:rsidRDefault="007F3DBB" w:rsidP="00524907">
            <w:pPr>
              <w:jc w:val="center"/>
            </w:pPr>
            <w:r>
              <w:t>2</w:t>
            </w:r>
          </w:p>
        </w:tc>
      </w:tr>
      <w:tr w:rsidR="00D67910" w:rsidTr="001427B2">
        <w:trPr>
          <w:cnfStyle w:val="000000010000" w:firstRow="0" w:lastRow="0" w:firstColumn="0" w:lastColumn="0" w:oddVBand="0" w:evenVBand="0" w:oddHBand="0" w:evenHBand="1" w:firstRowFirstColumn="0" w:firstRowLastColumn="0" w:lastRowFirstColumn="0" w:lastRowLastColumn="0"/>
        </w:trPr>
        <w:tc>
          <w:tcPr>
            <w:tcW w:w="2184" w:type="dxa"/>
          </w:tcPr>
          <w:p w:rsidR="00D67910" w:rsidRDefault="00D67910" w:rsidP="00524907">
            <w:pPr>
              <w:pStyle w:val="ListBullet"/>
              <w:numPr>
                <w:ilvl w:val="0"/>
                <w:numId w:val="0"/>
              </w:numPr>
              <w:rPr>
                <w:rFonts w:cs="Arial"/>
                <w:b/>
              </w:rPr>
            </w:pPr>
            <w:r>
              <w:rPr>
                <w:rFonts w:cs="Arial"/>
                <w:b/>
              </w:rPr>
              <w:t>3.2 Consideration of economic and social impacts</w:t>
            </w:r>
          </w:p>
        </w:tc>
        <w:tc>
          <w:tcPr>
            <w:tcW w:w="8950" w:type="dxa"/>
          </w:tcPr>
          <w:p w:rsidR="00D67910" w:rsidRDefault="00D67910" w:rsidP="00524907">
            <w:pPr>
              <w:rPr>
                <w:rFonts w:cs="Arial"/>
              </w:rPr>
            </w:pPr>
            <w:r w:rsidRPr="00032874">
              <w:rPr>
                <w:rFonts w:cs="Arial"/>
              </w:rPr>
              <w:t xml:space="preserve">The Senior Executive should promote a culture within the Department of viewing all problems and proposed solutions through the prism of environmental, economic and social impacts (where this is legally allowable). </w:t>
            </w:r>
          </w:p>
          <w:p w:rsidR="00D67910" w:rsidRPr="00032874" w:rsidRDefault="007F3DBB" w:rsidP="00524907">
            <w:pPr>
              <w:rPr>
                <w:rFonts w:cs="Arial"/>
              </w:rPr>
            </w:pPr>
            <w:r>
              <w:rPr>
                <w:rFonts w:cs="Arial"/>
              </w:rPr>
              <w:t>EPG</w:t>
            </w:r>
            <w:r w:rsidR="00D67910" w:rsidRPr="00032874">
              <w:rPr>
                <w:rFonts w:cs="Arial"/>
              </w:rPr>
              <w:t xml:space="preserve"> should develop guidance materials to assist staff in identifying when economic and social impacts should be considered, and how to adequately consider them.</w:t>
            </w:r>
          </w:p>
        </w:tc>
        <w:tc>
          <w:tcPr>
            <w:tcW w:w="2157" w:type="dxa"/>
            <w:vAlign w:val="center"/>
          </w:tcPr>
          <w:p w:rsidR="00D67910" w:rsidRDefault="007F3DBB" w:rsidP="00524907">
            <w:pPr>
              <w:jc w:val="center"/>
            </w:pPr>
            <w:r>
              <w:t>2</w:t>
            </w:r>
          </w:p>
        </w:tc>
        <w:tc>
          <w:tcPr>
            <w:tcW w:w="1778" w:type="dxa"/>
            <w:vAlign w:val="center"/>
          </w:tcPr>
          <w:p w:rsidR="00D67910" w:rsidRDefault="00D67910" w:rsidP="00524907">
            <w:pPr>
              <w:jc w:val="center"/>
            </w:pPr>
            <w:r>
              <w:t>2</w:t>
            </w:r>
          </w:p>
        </w:tc>
      </w:tr>
      <w:tr w:rsidR="00D67910" w:rsidTr="001427B2">
        <w:trPr>
          <w:cnfStyle w:val="000000100000" w:firstRow="0" w:lastRow="0" w:firstColumn="0" w:lastColumn="0" w:oddVBand="0" w:evenVBand="0" w:oddHBand="1" w:evenHBand="0" w:firstRowFirstColumn="0" w:firstRowLastColumn="0" w:lastRowFirstColumn="0" w:lastRowLastColumn="0"/>
        </w:trPr>
        <w:tc>
          <w:tcPr>
            <w:tcW w:w="2184" w:type="dxa"/>
          </w:tcPr>
          <w:p w:rsidR="00D67910" w:rsidRDefault="00D67910" w:rsidP="00524907">
            <w:pPr>
              <w:pStyle w:val="ListBullet"/>
              <w:numPr>
                <w:ilvl w:val="0"/>
                <w:numId w:val="0"/>
              </w:numPr>
              <w:rPr>
                <w:rFonts w:cs="Arial"/>
                <w:b/>
              </w:rPr>
            </w:pPr>
            <w:r>
              <w:rPr>
                <w:rFonts w:cs="Arial"/>
                <w:b/>
              </w:rPr>
              <w:t>3.3 Centralised support</w:t>
            </w:r>
          </w:p>
        </w:tc>
        <w:tc>
          <w:tcPr>
            <w:tcW w:w="8950" w:type="dxa"/>
          </w:tcPr>
          <w:p w:rsidR="00D67910" w:rsidRDefault="00D67910" w:rsidP="00524907">
            <w:pPr>
              <w:rPr>
                <w:rFonts w:cs="Arial"/>
              </w:rPr>
            </w:pPr>
            <w:r w:rsidRPr="00032874">
              <w:rPr>
                <w:rFonts w:cs="Arial"/>
              </w:rPr>
              <w:t xml:space="preserve">EPG should centralise responsibility for coordination of training, regulatory policy, guidance, processes, and IT across both ESD and </w:t>
            </w:r>
            <w:r w:rsidR="007F3DBB" w:rsidRPr="00032874">
              <w:rPr>
                <w:rFonts w:cs="Arial"/>
              </w:rPr>
              <w:t>WH</w:t>
            </w:r>
            <w:r w:rsidR="007F3DBB">
              <w:rPr>
                <w:rFonts w:cs="Arial"/>
              </w:rPr>
              <w:t>a</w:t>
            </w:r>
            <w:r w:rsidR="007F3DBB" w:rsidRPr="00032874">
              <w:rPr>
                <w:rFonts w:cs="Arial"/>
              </w:rPr>
              <w:t>M</w:t>
            </w:r>
            <w:r w:rsidRPr="00032874">
              <w:rPr>
                <w:rFonts w:cs="Arial"/>
              </w:rPr>
              <w:t xml:space="preserve">, in a </w:t>
            </w:r>
            <w:r w:rsidR="007F3DBB">
              <w:rPr>
                <w:rFonts w:cs="Arial"/>
              </w:rPr>
              <w:t>Regulation Reform and</w:t>
            </w:r>
            <w:r w:rsidRPr="00032874">
              <w:rPr>
                <w:rFonts w:cs="Arial"/>
              </w:rPr>
              <w:t xml:space="preserve"> Support Branch. This </w:t>
            </w:r>
            <w:r w:rsidR="007F3DBB">
              <w:rPr>
                <w:rFonts w:cs="Arial"/>
              </w:rPr>
              <w:t>Branch</w:t>
            </w:r>
            <w:r w:rsidR="007F3DBB" w:rsidRPr="00032874">
              <w:rPr>
                <w:rFonts w:cs="Arial"/>
              </w:rPr>
              <w:t xml:space="preserve"> </w:t>
            </w:r>
            <w:r w:rsidRPr="00032874">
              <w:rPr>
                <w:rFonts w:cs="Arial"/>
              </w:rPr>
              <w:t>should work closely with the General Counsel Branch and the Department’s Governance Branch.</w:t>
            </w:r>
            <w:r w:rsidR="00CF3808">
              <w:rPr>
                <w:rFonts w:cs="Arial"/>
              </w:rPr>
              <w:t xml:space="preserve"> The </w:t>
            </w:r>
            <w:r w:rsidR="00BB4F23">
              <w:rPr>
                <w:rFonts w:cs="Arial"/>
              </w:rPr>
              <w:t>g</w:t>
            </w:r>
            <w:r w:rsidR="00CF3808">
              <w:rPr>
                <w:rFonts w:cs="Arial"/>
              </w:rPr>
              <w:t>overnance of the Branch should ensure that it reports to both FASes.</w:t>
            </w:r>
          </w:p>
          <w:p w:rsidR="00D67910" w:rsidRDefault="00D67910" w:rsidP="00524907">
            <w:pPr>
              <w:rPr>
                <w:rFonts w:cs="Arial"/>
              </w:rPr>
            </w:pPr>
            <w:r w:rsidRPr="00032874">
              <w:rPr>
                <w:rFonts w:cs="Arial"/>
              </w:rPr>
              <w:t xml:space="preserve">This </w:t>
            </w:r>
            <w:r w:rsidR="002E7E75">
              <w:rPr>
                <w:rFonts w:cs="Arial"/>
              </w:rPr>
              <w:t>Branch</w:t>
            </w:r>
            <w:r w:rsidRPr="00032874">
              <w:rPr>
                <w:rFonts w:cs="Arial"/>
              </w:rPr>
              <w:t xml:space="preserve"> should have responsibility for</w:t>
            </w:r>
            <w:r w:rsidR="00A66D2D">
              <w:rPr>
                <w:rFonts w:cs="Arial"/>
              </w:rPr>
              <w:t xml:space="preserve"> the following functions in relation to EPG</w:t>
            </w:r>
            <w:r w:rsidRPr="00032874">
              <w:rPr>
                <w:rFonts w:cs="Arial"/>
              </w:rPr>
              <w:t>:</w:t>
            </w:r>
          </w:p>
          <w:p w:rsidR="00D67910" w:rsidRPr="00032874" w:rsidRDefault="00D67910" w:rsidP="00D67910">
            <w:pPr>
              <w:pStyle w:val="ListBullet"/>
              <w:spacing w:after="0" w:line="240" w:lineRule="auto"/>
              <w:rPr>
                <w:rFonts w:cs="Arial"/>
              </w:rPr>
            </w:pPr>
            <w:r w:rsidRPr="00032874">
              <w:rPr>
                <w:rFonts w:cs="Arial"/>
                <w:b/>
              </w:rPr>
              <w:t>Coordinat</w:t>
            </w:r>
            <w:r w:rsidR="00BB4F23">
              <w:rPr>
                <w:rFonts w:cs="Arial"/>
                <w:b/>
              </w:rPr>
              <w:t>ion of</w:t>
            </w:r>
            <w:r w:rsidRPr="00032874">
              <w:rPr>
                <w:rFonts w:cs="Arial"/>
                <w:b/>
              </w:rPr>
              <w:t xml:space="preserve"> regulatory capability and training.</w:t>
            </w:r>
            <w:r w:rsidRPr="00032874">
              <w:rPr>
                <w:rFonts w:cs="Arial"/>
              </w:rPr>
              <w:t xml:space="preserve"> This </w:t>
            </w:r>
            <w:r w:rsidR="002E7E75">
              <w:rPr>
                <w:rFonts w:cs="Arial"/>
              </w:rPr>
              <w:t xml:space="preserve">Branch </w:t>
            </w:r>
            <w:r w:rsidRPr="00032874">
              <w:rPr>
                <w:rFonts w:cs="Arial"/>
              </w:rPr>
              <w:t>would not provide all the training, but would be responsible for working across EPG</w:t>
            </w:r>
            <w:r w:rsidR="008B751C">
              <w:rPr>
                <w:rFonts w:cs="Arial"/>
              </w:rPr>
              <w:t xml:space="preserve"> and with the Department’s central training areas</w:t>
            </w:r>
            <w:r w:rsidRPr="00032874">
              <w:rPr>
                <w:rFonts w:cs="Arial"/>
              </w:rPr>
              <w:t xml:space="preserve"> to:</w:t>
            </w:r>
          </w:p>
          <w:p w:rsidR="00D67910" w:rsidRPr="00032874" w:rsidRDefault="00D67910" w:rsidP="00D67910">
            <w:pPr>
              <w:pStyle w:val="ListBullet2"/>
              <w:spacing w:after="0" w:line="240" w:lineRule="auto"/>
              <w:rPr>
                <w:rFonts w:cs="Arial"/>
              </w:rPr>
            </w:pPr>
            <w:r w:rsidRPr="00032874">
              <w:rPr>
                <w:rFonts w:cs="Arial"/>
              </w:rPr>
              <w:t>articulate the necessary skills and capabilities;</w:t>
            </w:r>
          </w:p>
          <w:p w:rsidR="00D67910" w:rsidRPr="00032874" w:rsidRDefault="00D67910" w:rsidP="00D67910">
            <w:pPr>
              <w:pStyle w:val="ListBullet2"/>
              <w:spacing w:after="0" w:line="240" w:lineRule="auto"/>
              <w:rPr>
                <w:rFonts w:cs="Arial"/>
              </w:rPr>
            </w:pPr>
            <w:r w:rsidRPr="00032874">
              <w:rPr>
                <w:rFonts w:cs="Arial"/>
              </w:rPr>
              <w:lastRenderedPageBreak/>
              <w:t xml:space="preserve">identify priorities for, and gaps in training; </w:t>
            </w:r>
            <w:r w:rsidRPr="00032874">
              <w:rPr>
                <w:rFonts w:cs="Arial"/>
                <w:bCs/>
              </w:rPr>
              <w:t>and</w:t>
            </w:r>
          </w:p>
          <w:p w:rsidR="00CD6C7A" w:rsidRPr="00CD6C7A" w:rsidRDefault="00D67910" w:rsidP="00CD6C7A">
            <w:pPr>
              <w:pStyle w:val="ListBullet2"/>
              <w:numPr>
                <w:ilvl w:val="0"/>
                <w:numId w:val="0"/>
              </w:numPr>
              <w:spacing w:after="0" w:line="240" w:lineRule="auto"/>
              <w:ind w:left="737"/>
              <w:rPr>
                <w:rFonts w:cs="Arial"/>
              </w:rPr>
            </w:pPr>
            <w:r w:rsidRPr="00CD6C7A">
              <w:rPr>
                <w:rFonts w:cs="Arial"/>
                <w:bCs/>
              </w:rPr>
              <w:t>keep track of who requires</w:t>
            </w:r>
            <w:r w:rsidR="002E7E75" w:rsidRPr="00CD6C7A">
              <w:rPr>
                <w:rFonts w:cs="Arial"/>
                <w:bCs/>
              </w:rPr>
              <w:t>,</w:t>
            </w:r>
            <w:r w:rsidRPr="00CD6C7A">
              <w:rPr>
                <w:rFonts w:cs="Arial"/>
                <w:bCs/>
              </w:rPr>
              <w:t xml:space="preserve"> and who has completed</w:t>
            </w:r>
            <w:r w:rsidR="002E7E75" w:rsidRPr="00CD6C7A">
              <w:rPr>
                <w:rFonts w:cs="Arial"/>
                <w:bCs/>
              </w:rPr>
              <w:t>,</w:t>
            </w:r>
            <w:r w:rsidRPr="00CD6C7A">
              <w:rPr>
                <w:rFonts w:cs="Arial"/>
                <w:bCs/>
              </w:rPr>
              <w:t xml:space="preserve"> training.</w:t>
            </w:r>
          </w:p>
          <w:p w:rsidR="00D67910" w:rsidRPr="00563C02" w:rsidRDefault="00D67910" w:rsidP="00563C02">
            <w:pPr>
              <w:pStyle w:val="ListBullet2"/>
              <w:numPr>
                <w:ilvl w:val="0"/>
                <w:numId w:val="0"/>
              </w:numPr>
              <w:spacing w:after="0" w:line="240" w:lineRule="auto"/>
              <w:ind w:left="737"/>
              <w:rPr>
                <w:rFonts w:cs="Arial"/>
              </w:rPr>
            </w:pPr>
          </w:p>
          <w:p w:rsidR="00D67910" w:rsidRPr="00032874" w:rsidRDefault="00D67910" w:rsidP="00D67910">
            <w:pPr>
              <w:pStyle w:val="ListBullet"/>
              <w:spacing w:after="0" w:line="240" w:lineRule="auto"/>
              <w:rPr>
                <w:rFonts w:cs="Arial"/>
              </w:rPr>
            </w:pPr>
            <w:r w:rsidRPr="00032874">
              <w:rPr>
                <w:rFonts w:cs="Arial"/>
                <w:b/>
              </w:rPr>
              <w:t>Coordination of regulatory policy, guidance and processes.</w:t>
            </w:r>
            <w:r w:rsidRPr="00032874">
              <w:rPr>
                <w:rFonts w:cs="Arial"/>
              </w:rPr>
              <w:t xml:space="preserve"> This </w:t>
            </w:r>
            <w:r w:rsidR="002E7E75">
              <w:rPr>
                <w:rFonts w:cs="Arial"/>
              </w:rPr>
              <w:t>Branch would</w:t>
            </w:r>
            <w:r w:rsidRPr="00032874">
              <w:rPr>
                <w:rFonts w:cs="Arial"/>
              </w:rPr>
              <w:t>:</w:t>
            </w:r>
          </w:p>
          <w:p w:rsidR="00D67910" w:rsidRPr="00032874" w:rsidRDefault="00D67910" w:rsidP="00D67910">
            <w:pPr>
              <w:pStyle w:val="ListBullet2"/>
              <w:spacing w:after="0" w:line="240" w:lineRule="auto"/>
              <w:rPr>
                <w:rFonts w:cs="Arial"/>
              </w:rPr>
            </w:pPr>
            <w:r w:rsidRPr="00032874">
              <w:rPr>
                <w:rFonts w:cs="Arial"/>
              </w:rPr>
              <w:t>develop a cohesive structure for policies, guidance material, templates and other business tools;</w:t>
            </w:r>
          </w:p>
          <w:p w:rsidR="00D67910" w:rsidRPr="00032874" w:rsidRDefault="00D67910" w:rsidP="00D67910">
            <w:pPr>
              <w:pStyle w:val="ListBullet2"/>
              <w:spacing w:after="0" w:line="240" w:lineRule="auto"/>
              <w:rPr>
                <w:rFonts w:cs="Arial"/>
              </w:rPr>
            </w:pPr>
            <w:r w:rsidRPr="00032874">
              <w:rPr>
                <w:rFonts w:cs="Arial"/>
              </w:rPr>
              <w:t>work with line areas, the General Counsel Branch and the Governance Branch</w:t>
            </w:r>
            <w:r w:rsidR="002E7E75">
              <w:rPr>
                <w:rFonts w:cs="Arial"/>
              </w:rPr>
              <w:t>,</w:t>
            </w:r>
            <w:r w:rsidRPr="00032874">
              <w:rPr>
                <w:rFonts w:cs="Arial"/>
              </w:rPr>
              <w:t xml:space="preserve"> to prioritise the creation, maintenance and review of user-focused policies, templates, standard operating procedures and other guidance material to support staff in their regulatory activities (see </w:t>
            </w:r>
            <w:r w:rsidRPr="00032874">
              <w:rPr>
                <w:rFonts w:cs="Arial"/>
                <w:i/>
              </w:rPr>
              <w:t>Recommendation 4.1 (Policies and Guidance Material</w:t>
            </w:r>
            <w:r w:rsidRPr="00032874">
              <w:rPr>
                <w:rFonts w:cs="Arial"/>
              </w:rPr>
              <w:t>).</w:t>
            </w:r>
          </w:p>
          <w:p w:rsidR="002E7E75" w:rsidRPr="002E7E75" w:rsidRDefault="002E7E75" w:rsidP="002E7E75">
            <w:pPr>
              <w:pStyle w:val="ListBullet"/>
              <w:numPr>
                <w:ilvl w:val="0"/>
                <w:numId w:val="0"/>
              </w:numPr>
              <w:spacing w:after="0" w:line="240" w:lineRule="auto"/>
              <w:ind w:left="369"/>
              <w:rPr>
                <w:rFonts w:cs="Arial"/>
              </w:rPr>
            </w:pPr>
          </w:p>
          <w:p w:rsidR="00563C02" w:rsidRPr="00032874" w:rsidRDefault="00D67910" w:rsidP="00D67910">
            <w:pPr>
              <w:pStyle w:val="ListBullet"/>
              <w:spacing w:after="0" w:line="240" w:lineRule="auto"/>
              <w:rPr>
                <w:rFonts w:cs="Arial"/>
              </w:rPr>
            </w:pPr>
            <w:r w:rsidRPr="00032874">
              <w:rPr>
                <w:rFonts w:cs="Arial"/>
                <w:b/>
              </w:rPr>
              <w:t>Coordination of IT</w:t>
            </w:r>
            <w:r w:rsidRPr="00032874">
              <w:rPr>
                <w:rFonts w:cs="Arial"/>
              </w:rPr>
              <w:t xml:space="preserve">. This </w:t>
            </w:r>
            <w:r w:rsidR="002E7E75">
              <w:rPr>
                <w:rFonts w:cs="Arial"/>
              </w:rPr>
              <w:t>Branch</w:t>
            </w:r>
            <w:r w:rsidR="002E7E75" w:rsidRPr="00032874">
              <w:rPr>
                <w:rFonts w:cs="Arial"/>
              </w:rPr>
              <w:t xml:space="preserve"> </w:t>
            </w:r>
            <w:r w:rsidRPr="00032874">
              <w:rPr>
                <w:rFonts w:cs="Arial"/>
              </w:rPr>
              <w:t xml:space="preserve">would provide a point of contact, and coordination of IT between </w:t>
            </w:r>
            <w:r w:rsidR="002E7E75">
              <w:rPr>
                <w:rFonts w:cs="Arial"/>
              </w:rPr>
              <w:t>EPG</w:t>
            </w:r>
            <w:r w:rsidRPr="00032874">
              <w:rPr>
                <w:rFonts w:cs="Arial"/>
              </w:rPr>
              <w:t xml:space="preserve"> and the IT Branch</w:t>
            </w:r>
            <w:r w:rsidR="00CF3808">
              <w:rPr>
                <w:rFonts w:cs="Arial"/>
              </w:rPr>
              <w:t>, but would not</w:t>
            </w:r>
            <w:r w:rsidR="00CD6C7A">
              <w:rPr>
                <w:rFonts w:cs="Arial"/>
              </w:rPr>
              <w:t xml:space="preserve"> necessarily</w:t>
            </w:r>
            <w:r w:rsidR="00CF3808">
              <w:rPr>
                <w:rFonts w:cs="Arial"/>
              </w:rPr>
              <w:t xml:space="preserve"> be responsible for managing or maintaining systems or databases</w:t>
            </w:r>
            <w:r w:rsidRPr="00032874">
              <w:rPr>
                <w:rFonts w:cs="Arial"/>
              </w:rPr>
              <w:t xml:space="preserve"> (see </w:t>
            </w:r>
            <w:r w:rsidRPr="00032874">
              <w:rPr>
                <w:rFonts w:cs="Arial"/>
                <w:i/>
              </w:rPr>
              <w:t>Recommendation 4.3 (Governance for IT Systems)</w:t>
            </w:r>
            <w:r w:rsidRPr="00032874">
              <w:rPr>
                <w:rFonts w:cs="Arial"/>
              </w:rPr>
              <w:t>).</w:t>
            </w:r>
          </w:p>
          <w:p w:rsidR="00D67910" w:rsidRDefault="00D67910" w:rsidP="00563C02">
            <w:pPr>
              <w:pStyle w:val="ListBullet"/>
              <w:numPr>
                <w:ilvl w:val="0"/>
                <w:numId w:val="0"/>
              </w:numPr>
              <w:spacing w:after="0" w:line="240" w:lineRule="auto"/>
              <w:ind w:left="369"/>
              <w:rPr>
                <w:rFonts w:cs="Arial"/>
              </w:rPr>
            </w:pPr>
          </w:p>
          <w:p w:rsidR="00563C02" w:rsidRPr="00032874" w:rsidRDefault="00401573" w:rsidP="00D67910">
            <w:pPr>
              <w:pStyle w:val="ListBullet"/>
              <w:spacing w:after="0" w:line="240" w:lineRule="auto"/>
              <w:rPr>
                <w:rFonts w:cs="Arial"/>
              </w:rPr>
            </w:pPr>
            <w:r>
              <w:rPr>
                <w:rFonts w:cs="Arial"/>
                <w:b/>
              </w:rPr>
              <w:t xml:space="preserve">Coordination of </w:t>
            </w:r>
            <w:r w:rsidR="00D67910" w:rsidRPr="00032874">
              <w:rPr>
                <w:rFonts w:cs="Arial"/>
                <w:b/>
              </w:rPr>
              <w:t>delegations.</w:t>
            </w:r>
            <w:r w:rsidR="00D67910" w:rsidRPr="00032874">
              <w:rPr>
                <w:rFonts w:cs="Arial"/>
              </w:rPr>
              <w:t xml:space="preserve"> This </w:t>
            </w:r>
            <w:r w:rsidR="002E7E75">
              <w:rPr>
                <w:rFonts w:cs="Arial"/>
              </w:rPr>
              <w:t>Branch</w:t>
            </w:r>
            <w:r w:rsidR="002E7E75" w:rsidRPr="00032874">
              <w:rPr>
                <w:rFonts w:cs="Arial"/>
              </w:rPr>
              <w:t xml:space="preserve"> </w:t>
            </w:r>
            <w:r w:rsidR="00D67910" w:rsidRPr="00032874">
              <w:rPr>
                <w:rFonts w:cs="Arial"/>
              </w:rPr>
              <w:t>would also develop guidance on how and when delegations should be exercised</w:t>
            </w:r>
            <w:r>
              <w:rPr>
                <w:rFonts w:cs="Arial"/>
              </w:rPr>
              <w:t>. A central register of delegations would also be managed by PAID</w:t>
            </w:r>
            <w:r w:rsidR="00D67910" w:rsidRPr="00032874">
              <w:rPr>
                <w:rFonts w:cs="Arial"/>
              </w:rPr>
              <w:t xml:space="preserve"> (see </w:t>
            </w:r>
            <w:r w:rsidR="00D67910" w:rsidRPr="00032874">
              <w:rPr>
                <w:rFonts w:cs="Arial"/>
                <w:i/>
              </w:rPr>
              <w:t>Recommendation 3.8 (Delegations and Accountability)</w:t>
            </w:r>
            <w:r w:rsidR="00D67910" w:rsidRPr="00032874">
              <w:rPr>
                <w:rFonts w:cs="Arial"/>
              </w:rPr>
              <w:t>)</w:t>
            </w:r>
            <w:r w:rsidR="00563C02">
              <w:rPr>
                <w:rFonts w:cs="Arial"/>
              </w:rPr>
              <w:t>.</w:t>
            </w:r>
          </w:p>
          <w:p w:rsidR="00D67910" w:rsidRPr="00563C02" w:rsidRDefault="00D67910" w:rsidP="00563C02">
            <w:pPr>
              <w:pStyle w:val="ListBullet"/>
              <w:numPr>
                <w:ilvl w:val="0"/>
                <w:numId w:val="0"/>
              </w:numPr>
              <w:spacing w:after="0" w:line="240" w:lineRule="auto"/>
              <w:ind w:left="369"/>
              <w:rPr>
                <w:rFonts w:cs="Arial"/>
              </w:rPr>
            </w:pPr>
          </w:p>
          <w:p w:rsidR="004E3028" w:rsidRDefault="005A4278">
            <w:pPr>
              <w:pStyle w:val="ListBullet"/>
              <w:numPr>
                <w:ilvl w:val="0"/>
                <w:numId w:val="42"/>
              </w:numPr>
              <w:spacing w:after="0" w:line="240" w:lineRule="auto"/>
              <w:ind w:left="357" w:hanging="357"/>
              <w:rPr>
                <w:rFonts w:cs="Arial"/>
              </w:rPr>
            </w:pPr>
            <w:r w:rsidRPr="005A4278">
              <w:rPr>
                <w:rFonts w:cs="Arial"/>
                <w:b/>
              </w:rPr>
              <w:t>Coordination of risk management</w:t>
            </w:r>
            <w:r w:rsidR="00D67910" w:rsidRPr="009C3300">
              <w:rPr>
                <w:rFonts w:cs="Arial"/>
              </w:rPr>
              <w:t xml:space="preserve"> (see </w:t>
            </w:r>
            <w:r w:rsidR="00D67910" w:rsidRPr="009C3300">
              <w:rPr>
                <w:rFonts w:cs="Arial"/>
                <w:i/>
              </w:rPr>
              <w:t>Recommendation 5.1 (Risk Management Framework)</w:t>
            </w:r>
            <w:r w:rsidR="00D67910" w:rsidRPr="009C3300">
              <w:rPr>
                <w:rFonts w:cs="Arial"/>
              </w:rPr>
              <w:t>).</w:t>
            </w:r>
          </w:p>
          <w:p w:rsidR="00563C02" w:rsidRPr="009C3300" w:rsidRDefault="00D67910" w:rsidP="00D67910">
            <w:pPr>
              <w:pStyle w:val="ListBullet"/>
              <w:spacing w:after="0" w:line="240" w:lineRule="auto"/>
              <w:rPr>
                <w:rFonts w:cs="Arial"/>
              </w:rPr>
            </w:pPr>
            <w:r w:rsidRPr="002E7E75">
              <w:rPr>
                <w:rFonts w:cs="Arial"/>
                <w:b/>
              </w:rPr>
              <w:t>Coordination of engagement</w:t>
            </w:r>
            <w:r w:rsidRPr="009C3300">
              <w:rPr>
                <w:rFonts w:cs="Arial"/>
              </w:rPr>
              <w:t xml:space="preserve"> (see </w:t>
            </w:r>
            <w:r w:rsidRPr="009C3300">
              <w:rPr>
                <w:rFonts w:cs="Arial"/>
                <w:i/>
              </w:rPr>
              <w:t>Recommendation 6.6 (Speaking with a Single Voice)</w:t>
            </w:r>
            <w:r w:rsidRPr="009C3300">
              <w:rPr>
                <w:rFonts w:cs="Arial"/>
              </w:rPr>
              <w:t>).</w:t>
            </w:r>
          </w:p>
          <w:p w:rsidR="00D67910" w:rsidRPr="00563C02" w:rsidRDefault="00D67910" w:rsidP="00563C02">
            <w:pPr>
              <w:pStyle w:val="ListBullet"/>
              <w:numPr>
                <w:ilvl w:val="0"/>
                <w:numId w:val="0"/>
              </w:numPr>
              <w:spacing w:after="0" w:line="240" w:lineRule="auto"/>
              <w:ind w:left="369"/>
              <w:rPr>
                <w:rFonts w:cs="Arial"/>
              </w:rPr>
            </w:pPr>
          </w:p>
          <w:p w:rsidR="00563C02" w:rsidRPr="009C3300" w:rsidRDefault="00D67910" w:rsidP="00D67910">
            <w:pPr>
              <w:pStyle w:val="ListBullet"/>
              <w:spacing w:after="0" w:line="240" w:lineRule="auto"/>
              <w:rPr>
                <w:rFonts w:cs="Arial"/>
              </w:rPr>
            </w:pPr>
            <w:r w:rsidRPr="002E7E75">
              <w:rPr>
                <w:rFonts w:cs="Arial"/>
                <w:b/>
              </w:rPr>
              <w:t xml:space="preserve">Networking with other states and </w:t>
            </w:r>
            <w:r w:rsidRPr="00401573">
              <w:rPr>
                <w:rFonts w:cs="Arial"/>
                <w:b/>
              </w:rPr>
              <w:t xml:space="preserve">regulators </w:t>
            </w:r>
            <w:r w:rsidR="00401573" w:rsidRPr="00401573">
              <w:rPr>
                <w:rFonts w:cs="Arial"/>
                <w:b/>
              </w:rPr>
              <w:t xml:space="preserve">about regulatory practice </w:t>
            </w:r>
            <w:r w:rsidRPr="00401573">
              <w:rPr>
                <w:rFonts w:cs="Arial"/>
                <w:b/>
              </w:rPr>
              <w:t>(</w:t>
            </w:r>
            <w:r w:rsidRPr="009C3300">
              <w:rPr>
                <w:rFonts w:cs="Arial"/>
              </w:rPr>
              <w:t xml:space="preserve">see </w:t>
            </w:r>
            <w:r w:rsidRPr="009C3300">
              <w:rPr>
                <w:rFonts w:cs="Arial"/>
                <w:i/>
              </w:rPr>
              <w:t>Recommendation 6.4 (Working with Other Regulators)</w:t>
            </w:r>
            <w:r w:rsidRPr="009C3300">
              <w:rPr>
                <w:rFonts w:cs="Arial"/>
              </w:rPr>
              <w:t>).</w:t>
            </w:r>
          </w:p>
          <w:p w:rsidR="00D67910" w:rsidRPr="00563C02" w:rsidRDefault="00D67910" w:rsidP="00563C02">
            <w:pPr>
              <w:pStyle w:val="ListBullet"/>
              <w:numPr>
                <w:ilvl w:val="0"/>
                <w:numId w:val="0"/>
              </w:numPr>
              <w:spacing w:after="0" w:line="240" w:lineRule="auto"/>
              <w:ind w:left="369"/>
              <w:rPr>
                <w:rFonts w:cs="Arial"/>
              </w:rPr>
            </w:pPr>
          </w:p>
          <w:p w:rsidR="00563C02" w:rsidRPr="009C3300" w:rsidRDefault="00D67910" w:rsidP="00D67910">
            <w:pPr>
              <w:pStyle w:val="ListBullet"/>
              <w:spacing w:after="0" w:line="240" w:lineRule="auto"/>
              <w:rPr>
                <w:rFonts w:cs="Arial"/>
              </w:rPr>
            </w:pPr>
            <w:r w:rsidRPr="002E7E75">
              <w:rPr>
                <w:rFonts w:cs="Arial"/>
                <w:b/>
              </w:rPr>
              <w:t xml:space="preserve">Coordination of staff </w:t>
            </w:r>
            <w:r w:rsidR="00401573">
              <w:rPr>
                <w:rFonts w:cs="Arial"/>
                <w:b/>
              </w:rPr>
              <w:t>secondments</w:t>
            </w:r>
            <w:r w:rsidRPr="009C3300">
              <w:rPr>
                <w:rFonts w:cs="Arial"/>
              </w:rPr>
              <w:t xml:space="preserve"> (see Recommendation 3.5 (Linkages</w:t>
            </w:r>
            <w:r w:rsidRPr="009C3300">
              <w:rPr>
                <w:rFonts w:cs="Arial"/>
                <w:i/>
              </w:rPr>
              <w:t>)</w:t>
            </w:r>
            <w:r w:rsidRPr="009C3300">
              <w:rPr>
                <w:rFonts w:cs="Arial"/>
              </w:rPr>
              <w:t>).</w:t>
            </w:r>
          </w:p>
          <w:p w:rsidR="00D67910" w:rsidRPr="00563C02" w:rsidRDefault="00D67910" w:rsidP="00563C02">
            <w:pPr>
              <w:pStyle w:val="ListBullet"/>
              <w:numPr>
                <w:ilvl w:val="0"/>
                <w:numId w:val="0"/>
              </w:numPr>
              <w:spacing w:after="0" w:line="240" w:lineRule="auto"/>
              <w:ind w:left="369"/>
              <w:rPr>
                <w:rFonts w:cs="Arial"/>
              </w:rPr>
            </w:pPr>
          </w:p>
          <w:p w:rsidR="00D67910" w:rsidRPr="009C3300" w:rsidRDefault="005A4278" w:rsidP="00E65120">
            <w:pPr>
              <w:pStyle w:val="ListBullet"/>
              <w:numPr>
                <w:ilvl w:val="0"/>
                <w:numId w:val="41"/>
              </w:numPr>
              <w:spacing w:after="0" w:line="240" w:lineRule="auto"/>
              <w:ind w:left="369" w:hanging="369"/>
              <w:rPr>
                <w:rFonts w:cs="Arial"/>
              </w:rPr>
            </w:pPr>
            <w:r w:rsidRPr="005A4278">
              <w:rPr>
                <w:rFonts w:cs="Arial"/>
                <w:b/>
              </w:rPr>
              <w:t>Coordination of performance monitoring and reporting</w:t>
            </w:r>
            <w:r w:rsidR="00D67910" w:rsidRPr="009C3300">
              <w:rPr>
                <w:rFonts w:cs="Arial"/>
              </w:rPr>
              <w:t xml:space="preserve"> (see </w:t>
            </w:r>
            <w:r w:rsidR="00D67910" w:rsidRPr="009C3300">
              <w:rPr>
                <w:rFonts w:cs="Arial"/>
                <w:i/>
              </w:rPr>
              <w:t>Recommendation 1.2 (Performance Monitoring and Communication)</w:t>
            </w:r>
            <w:r w:rsidR="00D67910" w:rsidRPr="009C3300">
              <w:rPr>
                <w:rFonts w:cs="Arial"/>
              </w:rPr>
              <w:t>).</w:t>
            </w:r>
          </w:p>
          <w:p w:rsidR="002E7E75" w:rsidRPr="002E7E75" w:rsidRDefault="002E7E75" w:rsidP="002E7E75">
            <w:pPr>
              <w:pStyle w:val="ListBullet"/>
              <w:numPr>
                <w:ilvl w:val="0"/>
                <w:numId w:val="0"/>
              </w:numPr>
              <w:spacing w:after="0" w:line="240" w:lineRule="auto"/>
              <w:ind w:left="369"/>
              <w:rPr>
                <w:rFonts w:cs="Arial"/>
              </w:rPr>
            </w:pPr>
          </w:p>
          <w:p w:rsidR="00D67910" w:rsidRDefault="00D67910" w:rsidP="00E65120">
            <w:pPr>
              <w:pStyle w:val="ListBullet"/>
              <w:numPr>
                <w:ilvl w:val="0"/>
                <w:numId w:val="40"/>
              </w:numPr>
              <w:spacing w:after="0" w:line="240" w:lineRule="auto"/>
              <w:ind w:left="369" w:hanging="369"/>
              <w:rPr>
                <w:rFonts w:cs="Arial"/>
              </w:rPr>
            </w:pPr>
            <w:r w:rsidRPr="002E7E75">
              <w:rPr>
                <w:rFonts w:cs="Arial"/>
                <w:b/>
              </w:rPr>
              <w:lastRenderedPageBreak/>
              <w:t>Innovation and continuous improvement practices</w:t>
            </w:r>
            <w:r w:rsidRPr="009C3300">
              <w:rPr>
                <w:rFonts w:cs="Arial"/>
              </w:rPr>
              <w:t xml:space="preserve"> (see </w:t>
            </w:r>
            <w:r w:rsidRPr="009C3300">
              <w:rPr>
                <w:rFonts w:cs="Arial"/>
                <w:i/>
              </w:rPr>
              <w:t>Recommendation 1.4 (Continuous Improvement)</w:t>
            </w:r>
            <w:r w:rsidRPr="009C3300">
              <w:rPr>
                <w:rFonts w:cs="Arial"/>
              </w:rPr>
              <w:t xml:space="preserve"> and </w:t>
            </w:r>
            <w:r w:rsidRPr="009C3300">
              <w:rPr>
                <w:rFonts w:cs="Arial"/>
                <w:i/>
              </w:rPr>
              <w:t>Recommendation 3.7 (Innovation)</w:t>
            </w:r>
            <w:r w:rsidRPr="009C3300">
              <w:rPr>
                <w:rFonts w:cs="Arial"/>
              </w:rPr>
              <w:t>).</w:t>
            </w:r>
          </w:p>
          <w:p w:rsidR="002E7E75" w:rsidRDefault="002E7E75" w:rsidP="002E7E75">
            <w:pPr>
              <w:pStyle w:val="ListBullet"/>
              <w:numPr>
                <w:ilvl w:val="0"/>
                <w:numId w:val="0"/>
              </w:numPr>
              <w:spacing w:after="0" w:line="240" w:lineRule="auto"/>
              <w:ind w:left="369"/>
              <w:rPr>
                <w:rFonts w:cs="Arial"/>
              </w:rPr>
            </w:pPr>
          </w:p>
          <w:p w:rsidR="004E3028" w:rsidRDefault="002E7E75">
            <w:pPr>
              <w:pStyle w:val="ListBullet"/>
              <w:numPr>
                <w:ilvl w:val="0"/>
                <w:numId w:val="40"/>
              </w:numPr>
              <w:spacing w:after="0" w:line="240" w:lineRule="auto"/>
              <w:ind w:left="369" w:hanging="369"/>
              <w:rPr>
                <w:rFonts w:cs="Arial"/>
                <w:b/>
              </w:rPr>
            </w:pPr>
            <w:r>
              <w:rPr>
                <w:rFonts w:cs="Arial"/>
                <w:b/>
              </w:rPr>
              <w:t>Coordination of the implementation of the recommendations in this Report.</w:t>
            </w:r>
          </w:p>
          <w:p w:rsidR="00797C11" w:rsidRDefault="00797C11">
            <w:pPr>
              <w:pStyle w:val="ListBullet"/>
              <w:numPr>
                <w:ilvl w:val="0"/>
                <w:numId w:val="0"/>
              </w:numPr>
              <w:spacing w:after="0" w:line="240" w:lineRule="auto"/>
              <w:rPr>
                <w:rFonts w:cs="Arial"/>
              </w:rPr>
            </w:pPr>
          </w:p>
        </w:tc>
        <w:tc>
          <w:tcPr>
            <w:tcW w:w="2157" w:type="dxa"/>
            <w:vAlign w:val="center"/>
          </w:tcPr>
          <w:p w:rsidR="00D67910" w:rsidRDefault="00D67910" w:rsidP="00524907">
            <w:pPr>
              <w:jc w:val="center"/>
            </w:pPr>
            <w:r>
              <w:lastRenderedPageBreak/>
              <w:t>1</w:t>
            </w:r>
          </w:p>
        </w:tc>
        <w:tc>
          <w:tcPr>
            <w:tcW w:w="1778" w:type="dxa"/>
            <w:vAlign w:val="center"/>
          </w:tcPr>
          <w:p w:rsidR="00D67910" w:rsidRDefault="00D67910" w:rsidP="00524907">
            <w:pPr>
              <w:jc w:val="center"/>
            </w:pPr>
            <w:r>
              <w:t>1</w:t>
            </w:r>
          </w:p>
        </w:tc>
      </w:tr>
      <w:tr w:rsidR="00D67910" w:rsidTr="001427B2">
        <w:trPr>
          <w:cnfStyle w:val="000000010000" w:firstRow="0" w:lastRow="0" w:firstColumn="0" w:lastColumn="0" w:oddVBand="0" w:evenVBand="0" w:oddHBand="0" w:evenHBand="1" w:firstRowFirstColumn="0" w:firstRowLastColumn="0" w:lastRowFirstColumn="0" w:lastRowLastColumn="0"/>
        </w:trPr>
        <w:tc>
          <w:tcPr>
            <w:tcW w:w="2184" w:type="dxa"/>
          </w:tcPr>
          <w:p w:rsidR="00D67910" w:rsidRDefault="00D67910" w:rsidP="00524907">
            <w:pPr>
              <w:pStyle w:val="ListBullet"/>
              <w:numPr>
                <w:ilvl w:val="0"/>
                <w:numId w:val="0"/>
              </w:numPr>
              <w:rPr>
                <w:rFonts w:cs="Arial"/>
                <w:b/>
              </w:rPr>
            </w:pPr>
            <w:r>
              <w:rPr>
                <w:rFonts w:cs="Arial"/>
                <w:b/>
              </w:rPr>
              <w:lastRenderedPageBreak/>
              <w:t>3.4 Compliance functions</w:t>
            </w:r>
          </w:p>
        </w:tc>
        <w:tc>
          <w:tcPr>
            <w:tcW w:w="8950" w:type="dxa"/>
          </w:tcPr>
          <w:p w:rsidR="00D67910" w:rsidRDefault="00D67910" w:rsidP="00524907">
            <w:pPr>
              <w:rPr>
                <w:rFonts w:cs="Arial"/>
              </w:rPr>
            </w:pPr>
            <w:r w:rsidRPr="009C3300">
              <w:rPr>
                <w:rFonts w:cs="Arial"/>
              </w:rPr>
              <w:t xml:space="preserve">EPG should proceed with the establishment of the Office of Compliance and Enforcement, which should include all </w:t>
            </w:r>
            <w:r w:rsidR="002E7E75">
              <w:rPr>
                <w:rFonts w:cs="Arial"/>
              </w:rPr>
              <w:t>of EPG’s compliance functions</w:t>
            </w:r>
            <w:r w:rsidRPr="009C3300">
              <w:rPr>
                <w:rFonts w:cs="Arial"/>
              </w:rPr>
              <w:t xml:space="preserve">. </w:t>
            </w:r>
          </w:p>
          <w:p w:rsidR="00D67910" w:rsidRDefault="00D67910" w:rsidP="00524907">
            <w:pPr>
              <w:rPr>
                <w:rFonts w:cs="Arial"/>
              </w:rPr>
            </w:pPr>
            <w:r w:rsidRPr="009C3300">
              <w:rPr>
                <w:rFonts w:cs="Arial"/>
              </w:rPr>
              <w:t>Prior to consolidation</w:t>
            </w:r>
            <w:r w:rsidR="002E7E75">
              <w:rPr>
                <w:rFonts w:cs="Arial"/>
              </w:rPr>
              <w:t>,</w:t>
            </w:r>
            <w:r w:rsidRPr="009C3300">
              <w:rPr>
                <w:rFonts w:cs="Arial"/>
              </w:rPr>
              <w:t xml:space="preserve"> EPG should use working groups to develop a clear understanding</w:t>
            </w:r>
            <w:r w:rsidR="002E7E75">
              <w:rPr>
                <w:rFonts w:cs="Arial"/>
              </w:rPr>
              <w:t xml:space="preserve"> of</w:t>
            </w:r>
            <w:r w:rsidRPr="009C3300">
              <w:rPr>
                <w:rFonts w:cs="Arial"/>
              </w:rPr>
              <w:t xml:space="preserve"> the appropriate compliance approach for each scheme and the </w:t>
            </w:r>
            <w:r w:rsidR="002E7E75">
              <w:rPr>
                <w:rFonts w:cs="Arial"/>
              </w:rPr>
              <w:t>division</w:t>
            </w:r>
            <w:r w:rsidR="002E7E75" w:rsidRPr="009C3300">
              <w:rPr>
                <w:rFonts w:cs="Arial"/>
              </w:rPr>
              <w:t xml:space="preserve"> </w:t>
            </w:r>
            <w:r w:rsidRPr="009C3300">
              <w:rPr>
                <w:rFonts w:cs="Arial"/>
              </w:rPr>
              <w:t xml:space="preserve">of </w:t>
            </w:r>
            <w:r w:rsidR="006A5A65">
              <w:rPr>
                <w:rFonts w:cs="Arial"/>
              </w:rPr>
              <w:t>informative programs</w:t>
            </w:r>
            <w:r w:rsidR="006A5A65" w:rsidRPr="009C3300">
              <w:rPr>
                <w:rFonts w:cs="Arial"/>
              </w:rPr>
              <w:t xml:space="preserve"> </w:t>
            </w:r>
            <w:r w:rsidRPr="009C3300">
              <w:rPr>
                <w:rFonts w:cs="Arial"/>
              </w:rPr>
              <w:t xml:space="preserve">and compliance activities between the subject matter area and the </w:t>
            </w:r>
            <w:r w:rsidR="002E7E75">
              <w:rPr>
                <w:rFonts w:cs="Arial"/>
              </w:rPr>
              <w:t>Office of Compliance and Enforcement.</w:t>
            </w:r>
          </w:p>
          <w:p w:rsidR="001427B2" w:rsidRPr="00032874" w:rsidRDefault="00D67910" w:rsidP="00B14D2E">
            <w:pPr>
              <w:rPr>
                <w:rFonts w:cs="Arial"/>
              </w:rPr>
            </w:pPr>
            <w:r w:rsidRPr="009C3300">
              <w:rPr>
                <w:rFonts w:cs="Arial"/>
              </w:rPr>
              <w:t xml:space="preserve">EPG should develop formal and informal mechanisms to maintain linkages between subject matter areas (such as wildlife trade) and the </w:t>
            </w:r>
            <w:r w:rsidR="00B14D2E">
              <w:rPr>
                <w:rFonts w:cs="Arial"/>
              </w:rPr>
              <w:t>Office of Compliance and Enforcement</w:t>
            </w:r>
            <w:r w:rsidRPr="009C3300">
              <w:rPr>
                <w:rFonts w:cs="Arial"/>
              </w:rPr>
              <w:t xml:space="preserve">. This should be done prior to implementation of this structural change. For recommendations on how these linkages can be established and maintained, see </w:t>
            </w:r>
            <w:r w:rsidRPr="009C3300">
              <w:rPr>
                <w:rFonts w:cs="Arial"/>
                <w:i/>
              </w:rPr>
              <w:t>Recommendation 3.5 (Linkages)</w:t>
            </w:r>
            <w:r w:rsidRPr="009C3300">
              <w:rPr>
                <w:rFonts w:cs="Arial"/>
              </w:rPr>
              <w:t>.</w:t>
            </w:r>
          </w:p>
        </w:tc>
        <w:tc>
          <w:tcPr>
            <w:tcW w:w="2157" w:type="dxa"/>
            <w:vAlign w:val="center"/>
          </w:tcPr>
          <w:p w:rsidR="00D67910" w:rsidRDefault="00D67910" w:rsidP="00524907">
            <w:pPr>
              <w:jc w:val="center"/>
            </w:pPr>
            <w:r>
              <w:t>2</w:t>
            </w:r>
          </w:p>
        </w:tc>
        <w:tc>
          <w:tcPr>
            <w:tcW w:w="1778" w:type="dxa"/>
            <w:vAlign w:val="center"/>
          </w:tcPr>
          <w:p w:rsidR="00D67910" w:rsidRDefault="00D67910" w:rsidP="00524907">
            <w:pPr>
              <w:jc w:val="center"/>
            </w:pPr>
            <w:r>
              <w:t>1</w:t>
            </w:r>
          </w:p>
        </w:tc>
      </w:tr>
      <w:tr w:rsidR="00D67910" w:rsidTr="001427B2">
        <w:trPr>
          <w:cnfStyle w:val="000000100000" w:firstRow="0" w:lastRow="0" w:firstColumn="0" w:lastColumn="0" w:oddVBand="0" w:evenVBand="0" w:oddHBand="1" w:evenHBand="0" w:firstRowFirstColumn="0" w:firstRowLastColumn="0" w:lastRowFirstColumn="0" w:lastRowLastColumn="0"/>
        </w:trPr>
        <w:tc>
          <w:tcPr>
            <w:tcW w:w="2184" w:type="dxa"/>
          </w:tcPr>
          <w:p w:rsidR="00D67910" w:rsidRDefault="00D67910" w:rsidP="00524907">
            <w:pPr>
              <w:pStyle w:val="ListBullet"/>
              <w:numPr>
                <w:ilvl w:val="0"/>
                <w:numId w:val="0"/>
              </w:numPr>
              <w:rPr>
                <w:rFonts w:cs="Arial"/>
                <w:b/>
              </w:rPr>
            </w:pPr>
            <w:r>
              <w:rPr>
                <w:rFonts w:cs="Arial"/>
                <w:b/>
              </w:rPr>
              <w:t>3.5 Linkages</w:t>
            </w:r>
          </w:p>
        </w:tc>
        <w:tc>
          <w:tcPr>
            <w:tcW w:w="8950" w:type="dxa"/>
          </w:tcPr>
          <w:p w:rsidR="00D67910" w:rsidRDefault="00D67910" w:rsidP="00524907">
            <w:pPr>
              <w:rPr>
                <w:rFonts w:cs="Arial"/>
              </w:rPr>
            </w:pPr>
            <w:r w:rsidRPr="009C3300">
              <w:rPr>
                <w:rFonts w:cs="Arial"/>
              </w:rPr>
              <w:t xml:space="preserve">EPG should develop formal and informal mechanisms to increase collaboration and understanding across the </w:t>
            </w:r>
            <w:r w:rsidR="00B14D2E">
              <w:rPr>
                <w:rFonts w:cs="Arial"/>
              </w:rPr>
              <w:t xml:space="preserve">two </w:t>
            </w:r>
            <w:r w:rsidRPr="009C3300">
              <w:rPr>
                <w:rFonts w:cs="Arial"/>
              </w:rPr>
              <w:t xml:space="preserve">Divisions. For example, EPG could: </w:t>
            </w:r>
          </w:p>
          <w:p w:rsidR="00D67910" w:rsidRPr="009C3300" w:rsidRDefault="00D67910" w:rsidP="00E65120">
            <w:pPr>
              <w:numPr>
                <w:ilvl w:val="0"/>
                <w:numId w:val="18"/>
              </w:numPr>
              <w:spacing w:after="0" w:line="240" w:lineRule="auto"/>
              <w:rPr>
                <w:rFonts w:cs="Arial"/>
              </w:rPr>
            </w:pPr>
            <w:r w:rsidRPr="009C3300">
              <w:rPr>
                <w:rFonts w:cs="Arial"/>
              </w:rPr>
              <w:t xml:space="preserve">establish a formal staff rotation or staff swap program within and between the two Divisions, and with other regulatory agencies; </w:t>
            </w:r>
          </w:p>
          <w:p w:rsidR="00D67910" w:rsidRPr="009C3300" w:rsidRDefault="00D67910" w:rsidP="00E65120">
            <w:pPr>
              <w:numPr>
                <w:ilvl w:val="0"/>
                <w:numId w:val="18"/>
              </w:numPr>
              <w:spacing w:after="0" w:line="240" w:lineRule="auto"/>
              <w:rPr>
                <w:rFonts w:cs="Arial"/>
              </w:rPr>
            </w:pPr>
            <w:r w:rsidRPr="009C3300">
              <w:rPr>
                <w:rFonts w:cs="Arial"/>
              </w:rPr>
              <w:t>establish hubs</w:t>
            </w:r>
            <w:r w:rsidR="00A6701B">
              <w:rPr>
                <w:rFonts w:cs="Arial"/>
              </w:rPr>
              <w:t xml:space="preserve">, </w:t>
            </w:r>
            <w:r w:rsidRPr="009C3300">
              <w:rPr>
                <w:rFonts w:cs="Arial"/>
              </w:rPr>
              <w:t>forums</w:t>
            </w:r>
            <w:r w:rsidR="00A6701B">
              <w:rPr>
                <w:rFonts w:cs="Arial"/>
              </w:rPr>
              <w:t xml:space="preserve">, or </w:t>
            </w:r>
            <w:r w:rsidRPr="009C3300">
              <w:rPr>
                <w:rFonts w:cs="Arial"/>
              </w:rPr>
              <w:t xml:space="preserve">communities of practice to provide an opportunity for staff to gain an understanding of the work and underpinning values of other areas of the Department; </w:t>
            </w:r>
          </w:p>
          <w:p w:rsidR="00D67910" w:rsidRPr="009C3300" w:rsidRDefault="00D67910" w:rsidP="00E65120">
            <w:pPr>
              <w:numPr>
                <w:ilvl w:val="0"/>
                <w:numId w:val="18"/>
              </w:numPr>
              <w:spacing w:after="0" w:line="240" w:lineRule="auto"/>
              <w:rPr>
                <w:rFonts w:cs="Arial"/>
              </w:rPr>
            </w:pPr>
            <w:r w:rsidRPr="009C3300">
              <w:rPr>
                <w:rFonts w:cs="Arial"/>
              </w:rPr>
              <w:t>seek opportunities to form short-term working groups to collaboratively solve problems; and</w:t>
            </w:r>
          </w:p>
          <w:p w:rsidR="004E3028" w:rsidRDefault="00D67910">
            <w:pPr>
              <w:numPr>
                <w:ilvl w:val="0"/>
                <w:numId w:val="18"/>
              </w:numPr>
              <w:spacing w:after="0" w:line="240" w:lineRule="auto"/>
              <w:rPr>
                <w:rFonts w:cs="Arial"/>
              </w:rPr>
            </w:pPr>
            <w:r w:rsidRPr="009C3300">
              <w:rPr>
                <w:rFonts w:cs="Arial"/>
              </w:rPr>
              <w:t>establish appropriate cross-</w:t>
            </w:r>
            <w:r w:rsidR="00B14D2E">
              <w:rPr>
                <w:rFonts w:cs="Arial"/>
              </w:rPr>
              <w:t>D</w:t>
            </w:r>
            <w:r w:rsidRPr="009C3300">
              <w:rPr>
                <w:rFonts w:cs="Arial"/>
              </w:rPr>
              <w:t>ivisional meetings – such as the ESD</w:t>
            </w:r>
            <w:r w:rsidR="00A6701B">
              <w:rPr>
                <w:rFonts w:cs="Arial"/>
              </w:rPr>
              <w:t>-</w:t>
            </w:r>
            <w:r w:rsidR="00B14D2E" w:rsidRPr="009C3300">
              <w:rPr>
                <w:rFonts w:cs="Arial"/>
              </w:rPr>
              <w:t>WH</w:t>
            </w:r>
            <w:r w:rsidR="00B14D2E">
              <w:rPr>
                <w:rFonts w:cs="Arial"/>
              </w:rPr>
              <w:t>a</w:t>
            </w:r>
            <w:r w:rsidR="00B14D2E" w:rsidRPr="009C3300">
              <w:rPr>
                <w:rFonts w:cs="Arial"/>
              </w:rPr>
              <w:t xml:space="preserve">M </w:t>
            </w:r>
            <w:r w:rsidRPr="009C3300">
              <w:rPr>
                <w:rFonts w:cs="Arial"/>
              </w:rPr>
              <w:t>board meetings and the Regulatory Advisory Panel.</w:t>
            </w:r>
          </w:p>
          <w:p w:rsidR="00D67910" w:rsidRPr="00B14D2E" w:rsidRDefault="00D67910" w:rsidP="00B14D2E">
            <w:pPr>
              <w:spacing w:after="0" w:line="240" w:lineRule="auto"/>
              <w:ind w:left="720"/>
              <w:rPr>
                <w:rFonts w:cs="Arial"/>
              </w:rPr>
            </w:pPr>
          </w:p>
          <w:p w:rsidR="00D67910" w:rsidRPr="009C3300" w:rsidRDefault="00D67910" w:rsidP="00524907">
            <w:pPr>
              <w:ind w:left="369" w:hanging="369"/>
              <w:rPr>
                <w:rFonts w:cs="Arial"/>
              </w:rPr>
            </w:pPr>
            <w:r w:rsidRPr="009C3300">
              <w:rPr>
                <w:rFonts w:cs="Arial"/>
              </w:rPr>
              <w:t>These initiatives all require strong commitment from the Senior Executive.</w:t>
            </w:r>
          </w:p>
          <w:p w:rsidR="00B14D2E" w:rsidRDefault="00D67910" w:rsidP="00524907">
            <w:pPr>
              <w:rPr>
                <w:rFonts w:cs="Arial"/>
              </w:rPr>
            </w:pPr>
            <w:r w:rsidRPr="009C3300">
              <w:rPr>
                <w:rFonts w:cs="Arial"/>
              </w:rPr>
              <w:lastRenderedPageBreak/>
              <w:t xml:space="preserve">EPG should consider the impact of structural changes on linkages, and place particular emphasis on maintaining those connections which are not naturally supported by </w:t>
            </w:r>
            <w:r w:rsidR="00B14D2E">
              <w:rPr>
                <w:rFonts w:cs="Arial"/>
              </w:rPr>
              <w:t>a</w:t>
            </w:r>
            <w:r w:rsidR="00B14D2E" w:rsidRPr="009C3300">
              <w:rPr>
                <w:rFonts w:cs="Arial"/>
              </w:rPr>
              <w:t xml:space="preserve"> </w:t>
            </w:r>
            <w:r w:rsidRPr="009C3300">
              <w:rPr>
                <w:rFonts w:cs="Arial"/>
              </w:rPr>
              <w:t>chosen structure.</w:t>
            </w:r>
          </w:p>
          <w:p w:rsidR="00D67910" w:rsidRPr="009C3300" w:rsidRDefault="00D67910" w:rsidP="00524907">
            <w:pPr>
              <w:rPr>
                <w:rFonts w:cs="Arial"/>
              </w:rPr>
            </w:pPr>
            <w:r w:rsidRPr="009C3300">
              <w:rPr>
                <w:rFonts w:cs="Arial"/>
              </w:rPr>
              <w:t>EPG should work with the General Counsel</w:t>
            </w:r>
            <w:r w:rsidR="00B14D2E">
              <w:rPr>
                <w:rFonts w:cs="Arial"/>
              </w:rPr>
              <w:t xml:space="preserve"> Branch</w:t>
            </w:r>
            <w:r w:rsidRPr="009C3300">
              <w:rPr>
                <w:rFonts w:cs="Arial"/>
              </w:rPr>
              <w:t>,</w:t>
            </w:r>
            <w:r w:rsidR="00B14D2E">
              <w:rPr>
                <w:rFonts w:cs="Arial"/>
              </w:rPr>
              <w:t xml:space="preserve"> the</w:t>
            </w:r>
            <w:r w:rsidRPr="009C3300">
              <w:rPr>
                <w:rFonts w:cs="Arial"/>
              </w:rPr>
              <w:t xml:space="preserve"> Compliance and Enforcement Branch</w:t>
            </w:r>
            <w:r w:rsidR="00B14D2E">
              <w:rPr>
                <w:rFonts w:cs="Arial"/>
              </w:rPr>
              <w:t>,</w:t>
            </w:r>
            <w:r w:rsidRPr="009C3300">
              <w:rPr>
                <w:rFonts w:cs="Arial"/>
              </w:rPr>
              <w:t xml:space="preserve"> and other specialist areas to identify the circumstances in which specialist advice should be sought. This should be reflected in </w:t>
            </w:r>
            <w:r w:rsidR="006A5A65">
              <w:rPr>
                <w:rFonts w:cs="Arial"/>
              </w:rPr>
              <w:t>Standard Operating Procedures</w:t>
            </w:r>
            <w:r w:rsidRPr="009C3300">
              <w:rPr>
                <w:rFonts w:cs="Arial"/>
              </w:rPr>
              <w:t>, templates and guidelines.</w:t>
            </w:r>
          </w:p>
          <w:p w:rsidR="00D67910" w:rsidDel="00B14D2E" w:rsidRDefault="00D67910" w:rsidP="00524907">
            <w:pPr>
              <w:rPr>
                <w:rFonts w:cs="Arial"/>
              </w:rPr>
            </w:pPr>
            <w:r w:rsidRPr="009C3300" w:rsidDel="00B14D2E">
              <w:rPr>
                <w:rFonts w:cs="Arial"/>
              </w:rPr>
              <w:t>EPG should map statutory timeframes to ensure that adequate time is built into the assessment process to obtain specialist advice where necessary. Consideration should be given to identifying the appropriate use of statutory powers to extend timeframes in order to ensure more robust decisions.</w:t>
            </w:r>
          </w:p>
          <w:p w:rsidR="00D67910" w:rsidRDefault="00D67910" w:rsidP="00524907">
            <w:pPr>
              <w:rPr>
                <w:rFonts w:cs="Arial"/>
              </w:rPr>
            </w:pPr>
            <w:r w:rsidRPr="009C3300">
              <w:rPr>
                <w:rFonts w:cs="Arial"/>
              </w:rPr>
              <w:t xml:space="preserve">EPG should request input from specialist areas at an early stage. Where appropriate, specialists should be included in a ‘project team’ for particularly high risk or sensitive </w:t>
            </w:r>
            <w:r w:rsidR="00B14D2E">
              <w:rPr>
                <w:rFonts w:cs="Arial"/>
              </w:rPr>
              <w:t>projects.</w:t>
            </w:r>
          </w:p>
          <w:p w:rsidR="001427B2" w:rsidRPr="009C3300" w:rsidRDefault="00D67910" w:rsidP="00524907">
            <w:pPr>
              <w:rPr>
                <w:rFonts w:cs="Arial"/>
              </w:rPr>
            </w:pPr>
            <w:r w:rsidRPr="009C3300">
              <w:rPr>
                <w:rFonts w:cs="Arial"/>
              </w:rPr>
              <w:t>Where advice is not useful or acted on, prompt feedback should be provided to the relevant specialist.</w:t>
            </w:r>
          </w:p>
        </w:tc>
        <w:tc>
          <w:tcPr>
            <w:tcW w:w="2157" w:type="dxa"/>
            <w:vAlign w:val="center"/>
          </w:tcPr>
          <w:p w:rsidR="00D67910" w:rsidRDefault="00D67910" w:rsidP="00524907">
            <w:pPr>
              <w:jc w:val="center"/>
            </w:pPr>
            <w:r>
              <w:lastRenderedPageBreak/>
              <w:t>1</w:t>
            </w:r>
          </w:p>
        </w:tc>
        <w:tc>
          <w:tcPr>
            <w:tcW w:w="1778" w:type="dxa"/>
            <w:vAlign w:val="center"/>
          </w:tcPr>
          <w:p w:rsidR="00D67910" w:rsidRDefault="00D67910" w:rsidP="00524907">
            <w:pPr>
              <w:jc w:val="center"/>
            </w:pPr>
            <w:r>
              <w:t>2</w:t>
            </w:r>
          </w:p>
        </w:tc>
      </w:tr>
      <w:tr w:rsidR="00D67910" w:rsidTr="001427B2">
        <w:trPr>
          <w:cnfStyle w:val="000000010000" w:firstRow="0" w:lastRow="0" w:firstColumn="0" w:lastColumn="0" w:oddVBand="0" w:evenVBand="0" w:oddHBand="0" w:evenHBand="1" w:firstRowFirstColumn="0" w:firstRowLastColumn="0" w:lastRowFirstColumn="0" w:lastRowLastColumn="0"/>
        </w:trPr>
        <w:tc>
          <w:tcPr>
            <w:tcW w:w="2184" w:type="dxa"/>
          </w:tcPr>
          <w:p w:rsidR="00D67910" w:rsidRDefault="00D67910" w:rsidP="00524907">
            <w:pPr>
              <w:pStyle w:val="ListBullet"/>
              <w:numPr>
                <w:ilvl w:val="0"/>
                <w:numId w:val="0"/>
              </w:numPr>
              <w:rPr>
                <w:rFonts w:cs="Arial"/>
                <w:b/>
              </w:rPr>
            </w:pPr>
            <w:r>
              <w:rPr>
                <w:rFonts w:cs="Arial"/>
                <w:b/>
              </w:rPr>
              <w:t>3.6 Change management</w:t>
            </w:r>
          </w:p>
        </w:tc>
        <w:tc>
          <w:tcPr>
            <w:tcW w:w="8950" w:type="dxa"/>
          </w:tcPr>
          <w:p w:rsidR="00D67910" w:rsidRDefault="00D67910" w:rsidP="00524907">
            <w:pPr>
              <w:rPr>
                <w:rFonts w:cs="Arial"/>
              </w:rPr>
            </w:pPr>
            <w:r w:rsidRPr="009C3300">
              <w:rPr>
                <w:rFonts w:cs="Arial"/>
              </w:rPr>
              <w:t xml:space="preserve">Senior Executive should adopt a more consistent approach to two-way engagement with staff in times of change. This needs to involve a consistent and clear message about vision and direction, as well as the reasons for the change. </w:t>
            </w:r>
          </w:p>
          <w:p w:rsidR="00D67910" w:rsidRDefault="00D67910" w:rsidP="00524907">
            <w:pPr>
              <w:rPr>
                <w:rFonts w:cs="Arial"/>
              </w:rPr>
            </w:pPr>
            <w:r w:rsidRPr="009C3300">
              <w:rPr>
                <w:rFonts w:cs="Arial"/>
              </w:rPr>
              <w:t xml:space="preserve">EPG </w:t>
            </w:r>
            <w:r w:rsidR="00C23137">
              <w:rPr>
                <w:rFonts w:cs="Arial"/>
              </w:rPr>
              <w:t>Senior Executives</w:t>
            </w:r>
            <w:r w:rsidR="00C23137" w:rsidRPr="009C3300">
              <w:rPr>
                <w:rFonts w:cs="Arial"/>
              </w:rPr>
              <w:t xml:space="preserve"> </w:t>
            </w:r>
            <w:r w:rsidRPr="009C3300">
              <w:rPr>
                <w:rFonts w:cs="Arial"/>
              </w:rPr>
              <w:t xml:space="preserve">should make the ‘big decisions’, but consult with staff about the best way to implement the details. </w:t>
            </w:r>
          </w:p>
          <w:p w:rsidR="00D67910" w:rsidRDefault="00D67910" w:rsidP="00524907">
            <w:pPr>
              <w:rPr>
                <w:rFonts w:cs="Arial"/>
              </w:rPr>
            </w:pPr>
            <w:r w:rsidRPr="009C3300">
              <w:rPr>
                <w:rFonts w:cs="Arial"/>
              </w:rPr>
              <w:t>EPG should allow more time and resources to support the implementation of new policies and approaches. This may require slowing down the rate of change to bed down existing policies.</w:t>
            </w:r>
          </w:p>
          <w:p w:rsidR="00563C02" w:rsidRDefault="00D67910" w:rsidP="00524907">
            <w:pPr>
              <w:rPr>
                <w:rFonts w:cs="Arial"/>
              </w:rPr>
            </w:pPr>
            <w:r w:rsidRPr="009C3300">
              <w:rPr>
                <w:rFonts w:cs="Arial"/>
              </w:rPr>
              <w:t xml:space="preserve">EPG should seek volunteers to act as change agents. These would be people who are willing to take on some additional responsibility, with appropriate training, to assist and </w:t>
            </w:r>
            <w:r w:rsidRPr="009C3300">
              <w:rPr>
                <w:rFonts w:cs="Arial"/>
              </w:rPr>
              <w:lastRenderedPageBreak/>
              <w:t xml:space="preserve">guide their colleagues through change and be conduits between staff and management. This could be modelled on the approach taken by the Australian Taxation Office. </w:t>
            </w:r>
          </w:p>
          <w:p w:rsidR="00D67910" w:rsidRPr="009C3300" w:rsidRDefault="00D67910" w:rsidP="00524907">
            <w:pPr>
              <w:tabs>
                <w:tab w:val="left" w:pos="1273"/>
              </w:tabs>
              <w:rPr>
                <w:rFonts w:cs="Arial"/>
              </w:rPr>
            </w:pPr>
            <w:r w:rsidRPr="009C3300">
              <w:rPr>
                <w:rFonts w:cs="Arial"/>
              </w:rPr>
              <w:t xml:space="preserve">If the changes in </w:t>
            </w:r>
            <w:r w:rsidRPr="009C3300">
              <w:rPr>
                <w:rFonts w:cs="Arial"/>
                <w:i/>
              </w:rPr>
              <w:t>Recommendation 2.7 (Responsibility for post-approvals functions for environmental impact approvals)</w:t>
            </w:r>
            <w:r w:rsidRPr="009C3300">
              <w:rPr>
                <w:rFonts w:cs="Arial"/>
              </w:rPr>
              <w:t xml:space="preserve">, </w:t>
            </w:r>
            <w:r w:rsidRPr="009C3300">
              <w:rPr>
                <w:rFonts w:cs="Arial"/>
                <w:i/>
              </w:rPr>
              <w:t>Recommendation 3.3 (Centralised support)</w:t>
            </w:r>
            <w:r w:rsidRPr="009C3300">
              <w:rPr>
                <w:rFonts w:cs="Arial"/>
              </w:rPr>
              <w:t xml:space="preserve"> and </w:t>
            </w:r>
            <w:r w:rsidRPr="009C3300">
              <w:rPr>
                <w:rFonts w:cs="Arial"/>
                <w:i/>
              </w:rPr>
              <w:t>Recommendation 3.4 (Compliance functions</w:t>
            </w:r>
            <w:r w:rsidRPr="009C3300">
              <w:rPr>
                <w:rFonts w:cs="Arial"/>
              </w:rPr>
              <w:t xml:space="preserve">) are made, EPG should allow a reasonable time to bed them down and fully evaluate their effectiveness before further structural change.   </w:t>
            </w:r>
            <w:r>
              <w:rPr>
                <w:rFonts w:cs="Arial"/>
              </w:rPr>
              <w:tab/>
            </w:r>
          </w:p>
        </w:tc>
        <w:tc>
          <w:tcPr>
            <w:tcW w:w="2157" w:type="dxa"/>
            <w:vAlign w:val="center"/>
          </w:tcPr>
          <w:p w:rsidR="00D67910" w:rsidRDefault="00D67910" w:rsidP="00524907">
            <w:pPr>
              <w:jc w:val="center"/>
            </w:pPr>
            <w:r>
              <w:lastRenderedPageBreak/>
              <w:t>2</w:t>
            </w:r>
          </w:p>
        </w:tc>
        <w:tc>
          <w:tcPr>
            <w:tcW w:w="1778" w:type="dxa"/>
            <w:vAlign w:val="center"/>
          </w:tcPr>
          <w:p w:rsidR="00D67910" w:rsidRDefault="00D67910" w:rsidP="00524907">
            <w:pPr>
              <w:jc w:val="center"/>
            </w:pPr>
            <w:r>
              <w:t>2</w:t>
            </w:r>
          </w:p>
        </w:tc>
      </w:tr>
      <w:tr w:rsidR="00D67910" w:rsidTr="001427B2">
        <w:trPr>
          <w:cnfStyle w:val="000000100000" w:firstRow="0" w:lastRow="0" w:firstColumn="0" w:lastColumn="0" w:oddVBand="0" w:evenVBand="0" w:oddHBand="1" w:evenHBand="0" w:firstRowFirstColumn="0" w:firstRowLastColumn="0" w:lastRowFirstColumn="0" w:lastRowLastColumn="0"/>
        </w:trPr>
        <w:tc>
          <w:tcPr>
            <w:tcW w:w="2184" w:type="dxa"/>
          </w:tcPr>
          <w:p w:rsidR="00D67910" w:rsidRDefault="00D67910" w:rsidP="00524907">
            <w:pPr>
              <w:pStyle w:val="ListBullet"/>
              <w:numPr>
                <w:ilvl w:val="0"/>
                <w:numId w:val="0"/>
              </w:numPr>
              <w:rPr>
                <w:rFonts w:cs="Arial"/>
                <w:b/>
              </w:rPr>
            </w:pPr>
            <w:r>
              <w:rPr>
                <w:rFonts w:cs="Arial"/>
                <w:b/>
              </w:rPr>
              <w:t>3.7 Innovation</w:t>
            </w:r>
          </w:p>
        </w:tc>
        <w:tc>
          <w:tcPr>
            <w:tcW w:w="8950" w:type="dxa"/>
          </w:tcPr>
          <w:p w:rsidR="00D67910" w:rsidRDefault="00D67910" w:rsidP="00524907">
            <w:pPr>
              <w:rPr>
                <w:rFonts w:cs="Arial"/>
              </w:rPr>
            </w:pPr>
            <w:r w:rsidRPr="009C3300">
              <w:rPr>
                <w:rFonts w:cs="Arial"/>
              </w:rPr>
              <w:t xml:space="preserve">EPG should continue to maintain a focus on innovation. </w:t>
            </w:r>
            <w:r w:rsidR="00B14D2E">
              <w:rPr>
                <w:rFonts w:cs="Arial"/>
              </w:rPr>
              <w:t xml:space="preserve">EPG </w:t>
            </w:r>
            <w:r w:rsidRPr="009C3300">
              <w:rPr>
                <w:rFonts w:cs="Arial"/>
              </w:rPr>
              <w:t>can enhance its support for innovation by:</w:t>
            </w:r>
          </w:p>
          <w:p w:rsidR="00D67910" w:rsidRPr="009C3300" w:rsidRDefault="00D67910" w:rsidP="00E65120">
            <w:pPr>
              <w:numPr>
                <w:ilvl w:val="0"/>
                <w:numId w:val="17"/>
              </w:numPr>
              <w:spacing w:after="0" w:line="240" w:lineRule="auto"/>
              <w:rPr>
                <w:rFonts w:cs="Arial"/>
              </w:rPr>
            </w:pPr>
            <w:r w:rsidRPr="009C3300">
              <w:rPr>
                <w:rFonts w:cs="Arial"/>
              </w:rPr>
              <w:t>further promoting a culture of innovation;</w:t>
            </w:r>
          </w:p>
          <w:p w:rsidR="00D67910" w:rsidRPr="009C3300" w:rsidRDefault="00D67910" w:rsidP="00E65120">
            <w:pPr>
              <w:numPr>
                <w:ilvl w:val="0"/>
                <w:numId w:val="16"/>
              </w:numPr>
              <w:spacing w:after="0" w:line="240" w:lineRule="auto"/>
              <w:rPr>
                <w:rFonts w:cs="Arial"/>
              </w:rPr>
            </w:pPr>
            <w:r w:rsidRPr="009C3300">
              <w:rPr>
                <w:rFonts w:cs="Arial"/>
              </w:rPr>
              <w:t xml:space="preserve">providing reference and guidance material to staff in relation to </w:t>
            </w:r>
            <w:r w:rsidR="00A93316">
              <w:rPr>
                <w:rFonts w:cs="Arial"/>
              </w:rPr>
              <w:t>available regulatory responses</w:t>
            </w:r>
            <w:r w:rsidR="00A93316" w:rsidRPr="009C3300">
              <w:rPr>
                <w:rFonts w:cs="Arial"/>
              </w:rPr>
              <w:t xml:space="preserve"> </w:t>
            </w:r>
            <w:r w:rsidRPr="009C3300">
              <w:rPr>
                <w:rFonts w:cs="Arial"/>
              </w:rPr>
              <w:t>and when they can be used;</w:t>
            </w:r>
          </w:p>
          <w:p w:rsidR="00D67910" w:rsidRDefault="00D67910" w:rsidP="00E65120">
            <w:pPr>
              <w:numPr>
                <w:ilvl w:val="0"/>
                <w:numId w:val="16"/>
              </w:numPr>
              <w:spacing w:after="0" w:line="240" w:lineRule="auto"/>
              <w:rPr>
                <w:rFonts w:cs="Arial"/>
              </w:rPr>
            </w:pPr>
            <w:r w:rsidRPr="009C3300">
              <w:rPr>
                <w:rFonts w:cs="Arial"/>
              </w:rPr>
              <w:t>establishing small, ad hoc cross-divisional working groups to solve regulatory problems or</w:t>
            </w:r>
            <w:r w:rsidR="00B14D2E">
              <w:rPr>
                <w:rFonts w:cs="Arial"/>
              </w:rPr>
              <w:t xml:space="preserve"> develop and</w:t>
            </w:r>
            <w:r w:rsidRPr="009C3300">
              <w:rPr>
                <w:rFonts w:cs="Arial"/>
              </w:rPr>
              <w:t xml:space="preserve"> implement new initiatives; and</w:t>
            </w:r>
          </w:p>
          <w:p w:rsidR="00CD6C7A" w:rsidRDefault="00D67910" w:rsidP="00E65120">
            <w:pPr>
              <w:numPr>
                <w:ilvl w:val="0"/>
                <w:numId w:val="16"/>
              </w:numPr>
              <w:spacing w:after="0" w:line="240" w:lineRule="auto"/>
              <w:rPr>
                <w:rFonts w:cs="Arial"/>
              </w:rPr>
            </w:pPr>
            <w:r w:rsidRPr="009C3300">
              <w:rPr>
                <w:rFonts w:cs="Arial"/>
              </w:rPr>
              <w:t xml:space="preserve">learning from and working with other regulatory agencies (see also the </w:t>
            </w:r>
            <w:r w:rsidRPr="009C3300">
              <w:rPr>
                <w:rFonts w:cs="Arial"/>
                <w:i/>
              </w:rPr>
              <w:t xml:space="preserve">Working with other regulators </w:t>
            </w:r>
            <w:r w:rsidRPr="009C3300">
              <w:rPr>
                <w:rFonts w:cs="Arial"/>
              </w:rPr>
              <w:t>section in Chapter 6).</w:t>
            </w:r>
          </w:p>
          <w:p w:rsidR="004E3028" w:rsidRDefault="004E3028">
            <w:pPr>
              <w:spacing w:after="0" w:line="240" w:lineRule="auto"/>
              <w:ind w:left="720"/>
              <w:rPr>
                <w:rFonts w:cs="Arial"/>
              </w:rPr>
            </w:pPr>
          </w:p>
        </w:tc>
        <w:tc>
          <w:tcPr>
            <w:tcW w:w="2157" w:type="dxa"/>
            <w:vAlign w:val="center"/>
          </w:tcPr>
          <w:p w:rsidR="00D67910" w:rsidRDefault="00B14D2E" w:rsidP="00524907">
            <w:pPr>
              <w:jc w:val="center"/>
            </w:pPr>
            <w:r>
              <w:t>2</w:t>
            </w:r>
          </w:p>
        </w:tc>
        <w:tc>
          <w:tcPr>
            <w:tcW w:w="1778" w:type="dxa"/>
            <w:vAlign w:val="center"/>
          </w:tcPr>
          <w:p w:rsidR="00D67910" w:rsidRDefault="00B14D2E" w:rsidP="00524907">
            <w:pPr>
              <w:jc w:val="center"/>
            </w:pPr>
            <w:r>
              <w:t>2</w:t>
            </w:r>
          </w:p>
        </w:tc>
      </w:tr>
      <w:tr w:rsidR="00D67910" w:rsidTr="001427B2">
        <w:trPr>
          <w:cnfStyle w:val="000000010000" w:firstRow="0" w:lastRow="0" w:firstColumn="0" w:lastColumn="0" w:oddVBand="0" w:evenVBand="0" w:oddHBand="0" w:evenHBand="1" w:firstRowFirstColumn="0" w:firstRowLastColumn="0" w:lastRowFirstColumn="0" w:lastRowLastColumn="0"/>
        </w:trPr>
        <w:tc>
          <w:tcPr>
            <w:tcW w:w="2184" w:type="dxa"/>
          </w:tcPr>
          <w:p w:rsidR="00D67910" w:rsidRDefault="00D67910" w:rsidP="00524907">
            <w:pPr>
              <w:pStyle w:val="ListBullet"/>
              <w:numPr>
                <w:ilvl w:val="0"/>
                <w:numId w:val="0"/>
              </w:numPr>
              <w:rPr>
                <w:rFonts w:cs="Arial"/>
                <w:b/>
              </w:rPr>
            </w:pPr>
            <w:r>
              <w:rPr>
                <w:rFonts w:cs="Arial"/>
                <w:b/>
              </w:rPr>
              <w:t>3.8 Delegat</w:t>
            </w:r>
            <w:r w:rsidR="00B5602D">
              <w:rPr>
                <w:rFonts w:cs="Arial"/>
                <w:b/>
              </w:rPr>
              <w:t>i</w:t>
            </w:r>
            <w:r>
              <w:rPr>
                <w:rFonts w:cs="Arial"/>
                <w:b/>
              </w:rPr>
              <w:t>ons and accountability</w:t>
            </w:r>
          </w:p>
        </w:tc>
        <w:tc>
          <w:tcPr>
            <w:tcW w:w="8950" w:type="dxa"/>
          </w:tcPr>
          <w:p w:rsidR="00D67910" w:rsidRDefault="00D67910" w:rsidP="00524907">
            <w:pPr>
              <w:rPr>
                <w:rFonts w:cs="Arial"/>
              </w:rPr>
            </w:pPr>
            <w:r w:rsidRPr="00C617BC">
              <w:rPr>
                <w:rFonts w:cs="Arial"/>
              </w:rPr>
              <w:t>The Department should establish a central registry of delegations, and allocate responsibility for its maintenance to one area (such as the Governance Branch in PAID).</w:t>
            </w:r>
          </w:p>
          <w:p w:rsidR="00D67910" w:rsidRDefault="00B14D2E" w:rsidP="00524907">
            <w:pPr>
              <w:rPr>
                <w:rFonts w:cs="Arial"/>
              </w:rPr>
            </w:pPr>
            <w:r>
              <w:rPr>
                <w:rFonts w:cs="Arial"/>
              </w:rPr>
              <w:t xml:space="preserve">EPG </w:t>
            </w:r>
            <w:r w:rsidR="00D67910" w:rsidRPr="00C617BC">
              <w:rPr>
                <w:rFonts w:cs="Arial"/>
              </w:rPr>
              <w:t>should develop guidance on how and when delegations</w:t>
            </w:r>
            <w:r>
              <w:rPr>
                <w:rFonts w:cs="Arial"/>
              </w:rPr>
              <w:t xml:space="preserve"> relevant to EPG</w:t>
            </w:r>
            <w:r w:rsidR="00D67910" w:rsidRPr="00C617BC">
              <w:rPr>
                <w:rFonts w:cs="Arial"/>
              </w:rPr>
              <w:t xml:space="preserve"> should be exercised. </w:t>
            </w:r>
          </w:p>
          <w:p w:rsidR="00D67910" w:rsidRPr="009C3300" w:rsidRDefault="00B14D2E" w:rsidP="00B14D2E">
            <w:pPr>
              <w:rPr>
                <w:rFonts w:cs="Arial"/>
              </w:rPr>
            </w:pPr>
            <w:r>
              <w:rPr>
                <w:rFonts w:cs="Arial"/>
              </w:rPr>
              <w:t xml:space="preserve">EPG </w:t>
            </w:r>
            <w:r w:rsidR="00D67910" w:rsidRPr="00C617BC">
              <w:rPr>
                <w:rFonts w:cs="Arial"/>
              </w:rPr>
              <w:t>should determine appropriate review and clearance procedures for decision-making, minimising the points of review to avoid diluting accountability.</w:t>
            </w:r>
          </w:p>
        </w:tc>
        <w:tc>
          <w:tcPr>
            <w:tcW w:w="2157" w:type="dxa"/>
            <w:vAlign w:val="center"/>
          </w:tcPr>
          <w:p w:rsidR="00D67910" w:rsidRDefault="00B14D2E" w:rsidP="00524907">
            <w:pPr>
              <w:jc w:val="center"/>
            </w:pPr>
            <w:r>
              <w:t>3</w:t>
            </w:r>
          </w:p>
        </w:tc>
        <w:tc>
          <w:tcPr>
            <w:tcW w:w="1778" w:type="dxa"/>
            <w:vAlign w:val="center"/>
          </w:tcPr>
          <w:p w:rsidR="00D67910" w:rsidRDefault="00B14D2E" w:rsidP="00524907">
            <w:pPr>
              <w:jc w:val="center"/>
            </w:pPr>
            <w:r>
              <w:t>3</w:t>
            </w:r>
          </w:p>
        </w:tc>
      </w:tr>
      <w:tr w:rsidR="00D67910" w:rsidTr="001427B2">
        <w:trPr>
          <w:cnfStyle w:val="000000100000" w:firstRow="0" w:lastRow="0" w:firstColumn="0" w:lastColumn="0" w:oddVBand="0" w:evenVBand="0" w:oddHBand="1" w:evenHBand="0" w:firstRowFirstColumn="0" w:firstRowLastColumn="0" w:lastRowFirstColumn="0" w:lastRowLastColumn="0"/>
        </w:trPr>
        <w:tc>
          <w:tcPr>
            <w:tcW w:w="2184" w:type="dxa"/>
          </w:tcPr>
          <w:p w:rsidR="00D67910" w:rsidRDefault="00D67910" w:rsidP="00524907">
            <w:pPr>
              <w:pStyle w:val="ListBullet"/>
              <w:numPr>
                <w:ilvl w:val="0"/>
                <w:numId w:val="0"/>
              </w:numPr>
              <w:rPr>
                <w:rFonts w:cs="Arial"/>
                <w:b/>
              </w:rPr>
            </w:pPr>
            <w:r>
              <w:rPr>
                <w:rFonts w:cs="Arial"/>
                <w:b/>
              </w:rPr>
              <w:t>3.9 Regulatory capture</w:t>
            </w:r>
          </w:p>
        </w:tc>
        <w:tc>
          <w:tcPr>
            <w:tcW w:w="8950" w:type="dxa"/>
          </w:tcPr>
          <w:p w:rsidR="00D67910" w:rsidRDefault="00D67910" w:rsidP="00524907">
            <w:pPr>
              <w:rPr>
                <w:rFonts w:cs="Arial"/>
              </w:rPr>
            </w:pPr>
            <w:r w:rsidRPr="00C617BC">
              <w:rPr>
                <w:rFonts w:cs="Arial"/>
              </w:rPr>
              <w:t xml:space="preserve">The Department should openly discuss the risk of corruption and regulatory capture. The importance of this should be reinforced by the Senior Executive.  A formal program </w:t>
            </w:r>
            <w:r w:rsidRPr="00C617BC">
              <w:rPr>
                <w:rFonts w:cs="Arial"/>
              </w:rPr>
              <w:lastRenderedPageBreak/>
              <w:t xml:space="preserve">for rotation of staff (see </w:t>
            </w:r>
            <w:r w:rsidRPr="00C617BC">
              <w:rPr>
                <w:rFonts w:cs="Arial"/>
                <w:i/>
              </w:rPr>
              <w:t>Recommendation 3.5 (Linkages)</w:t>
            </w:r>
            <w:r w:rsidRPr="00C617BC">
              <w:rPr>
                <w:rFonts w:cs="Arial"/>
              </w:rPr>
              <w:t xml:space="preserve">) would assist with reducing potential for regulatory capture.  </w:t>
            </w:r>
          </w:p>
          <w:p w:rsidR="00D67910" w:rsidRPr="00C617BC" w:rsidRDefault="00D67910" w:rsidP="00524907">
            <w:pPr>
              <w:rPr>
                <w:rFonts w:cs="Arial"/>
              </w:rPr>
            </w:pPr>
            <w:r w:rsidRPr="00C617BC">
              <w:rPr>
                <w:rFonts w:cs="Arial"/>
              </w:rPr>
              <w:t xml:space="preserve">The Department should consider appropriate oversight of regulatory decision making, to reduce the risk of regulatory capture. This would normally involve ‘sign-off’ by two people.  </w:t>
            </w:r>
          </w:p>
        </w:tc>
        <w:tc>
          <w:tcPr>
            <w:tcW w:w="2157" w:type="dxa"/>
            <w:vAlign w:val="center"/>
          </w:tcPr>
          <w:p w:rsidR="00D67910" w:rsidRDefault="00B14D2E" w:rsidP="00524907">
            <w:pPr>
              <w:jc w:val="center"/>
            </w:pPr>
            <w:r>
              <w:lastRenderedPageBreak/>
              <w:t>2</w:t>
            </w:r>
          </w:p>
        </w:tc>
        <w:tc>
          <w:tcPr>
            <w:tcW w:w="1778" w:type="dxa"/>
            <w:vAlign w:val="center"/>
          </w:tcPr>
          <w:p w:rsidR="00D67910" w:rsidRDefault="00D67910" w:rsidP="00524907">
            <w:pPr>
              <w:jc w:val="center"/>
            </w:pPr>
            <w:r>
              <w:t>2</w:t>
            </w:r>
          </w:p>
          <w:p w:rsidR="00D67910" w:rsidRDefault="00D67910" w:rsidP="00524907">
            <w:pPr>
              <w:jc w:val="center"/>
            </w:pPr>
            <w:r>
              <w:lastRenderedPageBreak/>
              <w:t>ongoing</w:t>
            </w:r>
          </w:p>
        </w:tc>
      </w:tr>
      <w:tr w:rsidR="00D67910" w:rsidTr="00E25CCF">
        <w:trPr>
          <w:cnfStyle w:val="000000010000" w:firstRow="0" w:lastRow="0" w:firstColumn="0" w:lastColumn="0" w:oddVBand="0" w:evenVBand="0" w:oddHBand="0" w:evenHBand="1" w:firstRowFirstColumn="0" w:firstRowLastColumn="0" w:lastRowFirstColumn="0" w:lastRowLastColumn="0"/>
        </w:trPr>
        <w:tc>
          <w:tcPr>
            <w:tcW w:w="15069" w:type="dxa"/>
            <w:gridSpan w:val="4"/>
          </w:tcPr>
          <w:p w:rsidR="00D67910" w:rsidRDefault="00D67910" w:rsidP="001427B2">
            <w:pPr>
              <w:jc w:val="center"/>
            </w:pPr>
            <w:r>
              <w:rPr>
                <w:rFonts w:cs="Arial"/>
                <w:b/>
                <w:color w:val="0B5294" w:themeColor="accent1" w:themeShade="BF"/>
                <w:sz w:val="36"/>
                <w:szCs w:val="36"/>
              </w:rPr>
              <w:lastRenderedPageBreak/>
              <w:t xml:space="preserve">Chapter </w:t>
            </w:r>
            <w:r w:rsidR="0020381B">
              <w:rPr>
                <w:rFonts w:cs="Arial"/>
                <w:b/>
                <w:color w:val="0B5294" w:themeColor="accent1" w:themeShade="BF"/>
                <w:sz w:val="36"/>
                <w:szCs w:val="36"/>
              </w:rPr>
              <w:t>4</w:t>
            </w:r>
            <w:r w:rsidRPr="00DD04D0">
              <w:rPr>
                <w:rFonts w:cs="Arial"/>
                <w:b/>
                <w:color w:val="0B5294" w:themeColor="accent1" w:themeShade="BF"/>
                <w:sz w:val="36"/>
                <w:szCs w:val="36"/>
              </w:rPr>
              <w:t xml:space="preserve">: Our </w:t>
            </w:r>
            <w:r>
              <w:rPr>
                <w:rFonts w:cs="Arial"/>
                <w:b/>
                <w:color w:val="0B5294" w:themeColor="accent1" w:themeShade="BF"/>
                <w:sz w:val="36"/>
                <w:szCs w:val="36"/>
              </w:rPr>
              <w:t>Systems and Tools</w:t>
            </w:r>
          </w:p>
        </w:tc>
      </w:tr>
      <w:tr w:rsidR="00D67910" w:rsidTr="001427B2">
        <w:trPr>
          <w:cnfStyle w:val="000000100000" w:firstRow="0" w:lastRow="0" w:firstColumn="0" w:lastColumn="0" w:oddVBand="0" w:evenVBand="0" w:oddHBand="1" w:evenHBand="0" w:firstRowFirstColumn="0" w:firstRowLastColumn="0" w:lastRowFirstColumn="0" w:lastRowLastColumn="0"/>
        </w:trPr>
        <w:tc>
          <w:tcPr>
            <w:tcW w:w="2184" w:type="dxa"/>
          </w:tcPr>
          <w:p w:rsidR="00D67910" w:rsidRDefault="00D67910" w:rsidP="00524907">
            <w:pPr>
              <w:pStyle w:val="ListBullet"/>
              <w:numPr>
                <w:ilvl w:val="0"/>
                <w:numId w:val="0"/>
              </w:numPr>
              <w:rPr>
                <w:rFonts w:cs="Arial"/>
                <w:b/>
              </w:rPr>
            </w:pPr>
            <w:r>
              <w:rPr>
                <w:rFonts w:cs="Arial"/>
                <w:b/>
              </w:rPr>
              <w:t>4.1 Policies and guidance material</w:t>
            </w:r>
          </w:p>
        </w:tc>
        <w:tc>
          <w:tcPr>
            <w:tcW w:w="8950" w:type="dxa"/>
          </w:tcPr>
          <w:p w:rsidR="00D67910" w:rsidRPr="00C617BC" w:rsidRDefault="00D67910" w:rsidP="00524907">
            <w:pPr>
              <w:rPr>
                <w:rFonts w:cs="Arial"/>
              </w:rPr>
            </w:pPr>
            <w:r w:rsidRPr="00C617BC">
              <w:rPr>
                <w:rFonts w:cs="Arial"/>
              </w:rPr>
              <w:t xml:space="preserve">The responsibility for the coordination and management of all regulatory policies and guidance material across ESD and </w:t>
            </w:r>
            <w:r w:rsidR="00B14D2E" w:rsidRPr="00C617BC">
              <w:rPr>
                <w:rFonts w:cs="Arial"/>
              </w:rPr>
              <w:t>WH</w:t>
            </w:r>
            <w:r w:rsidR="00B14D2E">
              <w:rPr>
                <w:rFonts w:cs="Arial"/>
              </w:rPr>
              <w:t>a</w:t>
            </w:r>
            <w:r w:rsidR="00B14D2E" w:rsidRPr="00C617BC">
              <w:rPr>
                <w:rFonts w:cs="Arial"/>
              </w:rPr>
              <w:t xml:space="preserve">M </w:t>
            </w:r>
            <w:r w:rsidRPr="00C617BC">
              <w:rPr>
                <w:rFonts w:cs="Arial"/>
              </w:rPr>
              <w:t xml:space="preserve">should be given to a single support team within the proposed new Regulation Reform and Support Branch in EPG (see also </w:t>
            </w:r>
            <w:r w:rsidRPr="000878AF">
              <w:rPr>
                <w:rFonts w:cs="Arial"/>
                <w:i/>
              </w:rPr>
              <w:t>Recommendation 3.3 (Centralised Support)</w:t>
            </w:r>
            <w:r w:rsidRPr="00C617BC">
              <w:rPr>
                <w:rFonts w:cs="Arial"/>
              </w:rPr>
              <w:t xml:space="preserve">).  </w:t>
            </w:r>
          </w:p>
          <w:p w:rsidR="001427B2" w:rsidRPr="00C617BC" w:rsidRDefault="00D67910" w:rsidP="00524907">
            <w:pPr>
              <w:rPr>
                <w:rFonts w:cs="Arial"/>
              </w:rPr>
            </w:pPr>
            <w:r w:rsidRPr="00C617BC">
              <w:rPr>
                <w:rFonts w:cs="Arial"/>
              </w:rPr>
              <w:t xml:space="preserve">This </w:t>
            </w:r>
            <w:r w:rsidR="000878AF">
              <w:rPr>
                <w:rFonts w:cs="Arial"/>
              </w:rPr>
              <w:t>Branch</w:t>
            </w:r>
            <w:r w:rsidR="000878AF" w:rsidRPr="00C617BC">
              <w:rPr>
                <w:rFonts w:cs="Arial"/>
              </w:rPr>
              <w:t xml:space="preserve"> </w:t>
            </w:r>
            <w:r w:rsidRPr="00C617BC">
              <w:rPr>
                <w:rFonts w:cs="Arial"/>
              </w:rPr>
              <w:t xml:space="preserve">should develop a cohesive structure for policies, guidance, templates and other business tools. The </w:t>
            </w:r>
            <w:r w:rsidR="000878AF">
              <w:rPr>
                <w:rFonts w:cs="Arial"/>
              </w:rPr>
              <w:t>Branch</w:t>
            </w:r>
            <w:r w:rsidR="000878AF" w:rsidRPr="00C617BC">
              <w:rPr>
                <w:rFonts w:cs="Arial"/>
              </w:rPr>
              <w:t xml:space="preserve"> </w:t>
            </w:r>
            <w:r w:rsidRPr="00C617BC">
              <w:rPr>
                <w:rFonts w:cs="Arial"/>
              </w:rPr>
              <w:t>should then work with line areas, the General Counsel Branch and the Governance Branch in PAID to prioritise the creation, maintenance and review of user-focused policies, templates, standard operating procedures and other guidance to support staff in their regulatory activities. These tools should be made available online in a single location that is kept up to date (and eventually should be linked to relevant workflow systems)</w:t>
            </w:r>
            <w:r w:rsidR="005236CD">
              <w:rPr>
                <w:rFonts w:cs="Arial"/>
              </w:rPr>
              <w:t>.</w:t>
            </w:r>
          </w:p>
          <w:p w:rsidR="00D67910" w:rsidRDefault="00D67910" w:rsidP="000878AF">
            <w:pPr>
              <w:rPr>
                <w:rFonts w:cs="Arial"/>
                <w:b/>
                <w:color w:val="0B5294" w:themeColor="accent1" w:themeShade="BF"/>
                <w:sz w:val="36"/>
                <w:szCs w:val="36"/>
              </w:rPr>
            </w:pPr>
            <w:r w:rsidRPr="00C617BC">
              <w:rPr>
                <w:rFonts w:cs="Arial"/>
              </w:rPr>
              <w:t>As a high priority</w:t>
            </w:r>
            <w:r w:rsidR="000878AF">
              <w:rPr>
                <w:rFonts w:cs="Arial"/>
              </w:rPr>
              <w:t>,</w:t>
            </w:r>
            <w:r w:rsidRPr="00C617BC">
              <w:rPr>
                <w:rFonts w:cs="Arial"/>
              </w:rPr>
              <w:t xml:space="preserve"> the </w:t>
            </w:r>
            <w:r w:rsidR="000878AF">
              <w:rPr>
                <w:rFonts w:cs="Arial"/>
              </w:rPr>
              <w:t>Branch</w:t>
            </w:r>
            <w:r w:rsidR="000878AF" w:rsidRPr="00C617BC">
              <w:rPr>
                <w:rFonts w:cs="Arial"/>
              </w:rPr>
              <w:t xml:space="preserve"> </w:t>
            </w:r>
            <w:r w:rsidRPr="00C617BC">
              <w:rPr>
                <w:rFonts w:cs="Arial"/>
              </w:rPr>
              <w:t xml:space="preserve">should progress the review and updating of the </w:t>
            </w:r>
            <w:r w:rsidR="000878AF">
              <w:rPr>
                <w:rFonts w:cs="Arial"/>
              </w:rPr>
              <w:t>environmental impact assessment manual,</w:t>
            </w:r>
            <w:r w:rsidRPr="00C617BC">
              <w:rPr>
                <w:rFonts w:cs="Arial"/>
              </w:rPr>
              <w:t xml:space="preserve"> and publish it on the intranet.  </w:t>
            </w:r>
          </w:p>
        </w:tc>
        <w:tc>
          <w:tcPr>
            <w:tcW w:w="2157" w:type="dxa"/>
            <w:vAlign w:val="center"/>
          </w:tcPr>
          <w:p w:rsidR="00D67910" w:rsidRDefault="00D67910" w:rsidP="00524907">
            <w:pPr>
              <w:jc w:val="center"/>
            </w:pPr>
            <w:r>
              <w:t>1</w:t>
            </w:r>
          </w:p>
        </w:tc>
        <w:tc>
          <w:tcPr>
            <w:tcW w:w="1778" w:type="dxa"/>
            <w:vAlign w:val="center"/>
          </w:tcPr>
          <w:p w:rsidR="00D67910" w:rsidRDefault="00D67910" w:rsidP="00524907">
            <w:pPr>
              <w:jc w:val="center"/>
            </w:pPr>
            <w:r>
              <w:t>1</w:t>
            </w:r>
          </w:p>
        </w:tc>
      </w:tr>
      <w:tr w:rsidR="00D67910" w:rsidTr="001427B2">
        <w:trPr>
          <w:cnfStyle w:val="000000010000" w:firstRow="0" w:lastRow="0" w:firstColumn="0" w:lastColumn="0" w:oddVBand="0" w:evenVBand="0" w:oddHBand="0" w:evenHBand="1" w:firstRowFirstColumn="0" w:firstRowLastColumn="0" w:lastRowFirstColumn="0" w:lastRowLastColumn="0"/>
        </w:trPr>
        <w:tc>
          <w:tcPr>
            <w:tcW w:w="2184" w:type="dxa"/>
          </w:tcPr>
          <w:p w:rsidR="00D67910" w:rsidRDefault="00D67910" w:rsidP="00524907">
            <w:pPr>
              <w:pStyle w:val="ListBullet"/>
              <w:numPr>
                <w:ilvl w:val="0"/>
                <w:numId w:val="0"/>
              </w:numPr>
              <w:rPr>
                <w:rFonts w:cs="Arial"/>
                <w:b/>
              </w:rPr>
            </w:pPr>
            <w:r>
              <w:rPr>
                <w:rFonts w:cs="Arial"/>
                <w:b/>
              </w:rPr>
              <w:t>4.2 IT systems</w:t>
            </w:r>
          </w:p>
        </w:tc>
        <w:tc>
          <w:tcPr>
            <w:tcW w:w="8950" w:type="dxa"/>
          </w:tcPr>
          <w:p w:rsidR="00D67910" w:rsidRDefault="00D67910" w:rsidP="00524907">
            <w:pPr>
              <w:rPr>
                <w:rFonts w:cs="Arial"/>
              </w:rPr>
            </w:pPr>
            <w:r w:rsidRPr="00C617BC">
              <w:rPr>
                <w:rFonts w:cs="Arial"/>
              </w:rPr>
              <w:t>As a high priority, the Department should bring forward investment in an integrated end</w:t>
            </w:r>
            <w:r w:rsidR="000878AF">
              <w:rPr>
                <w:rFonts w:cs="Arial"/>
              </w:rPr>
              <w:t>-</w:t>
            </w:r>
            <w:r w:rsidRPr="00C617BC">
              <w:rPr>
                <w:rFonts w:cs="Arial"/>
              </w:rPr>
              <w:t>to</w:t>
            </w:r>
            <w:r w:rsidR="000878AF">
              <w:rPr>
                <w:rFonts w:cs="Arial"/>
              </w:rPr>
              <w:t>-</w:t>
            </w:r>
            <w:r w:rsidRPr="00C617BC">
              <w:rPr>
                <w:rFonts w:cs="Arial"/>
              </w:rPr>
              <w:t>end IT system to improve its reliability, effectiveness and efficiency.</w:t>
            </w:r>
          </w:p>
          <w:p w:rsidR="00D67910" w:rsidRDefault="00D67910" w:rsidP="00524907">
            <w:pPr>
              <w:rPr>
                <w:rFonts w:cs="Arial"/>
              </w:rPr>
            </w:pPr>
            <w:r w:rsidRPr="00C617BC">
              <w:rPr>
                <w:rFonts w:cs="Arial"/>
              </w:rPr>
              <w:t>An ideal IT system for the Department’s regulatory functions would include:</w:t>
            </w:r>
          </w:p>
          <w:p w:rsidR="00D67910" w:rsidRPr="00563C02" w:rsidRDefault="00D67910" w:rsidP="00E65120">
            <w:pPr>
              <w:pStyle w:val="ListBullet"/>
              <w:numPr>
                <w:ilvl w:val="0"/>
                <w:numId w:val="9"/>
              </w:numPr>
              <w:spacing w:after="0" w:line="240" w:lineRule="auto"/>
              <w:rPr>
                <w:rFonts w:cs="Arial"/>
                <w:color w:val="000000" w:themeColor="text1"/>
              </w:rPr>
            </w:pPr>
            <w:r w:rsidRPr="00563C02">
              <w:rPr>
                <w:rFonts w:cs="Arial"/>
                <w:color w:val="000000" w:themeColor="text1"/>
              </w:rPr>
              <w:t>end-to-end workflow management (pre-referral to compliance);</w:t>
            </w:r>
          </w:p>
          <w:p w:rsidR="00D67910" w:rsidRPr="00563C02" w:rsidRDefault="00D67910" w:rsidP="00E65120">
            <w:pPr>
              <w:pStyle w:val="ListBullet"/>
              <w:numPr>
                <w:ilvl w:val="0"/>
                <w:numId w:val="9"/>
              </w:numPr>
              <w:spacing w:after="0" w:line="240" w:lineRule="auto"/>
              <w:rPr>
                <w:rFonts w:cs="Arial"/>
                <w:color w:val="000000" w:themeColor="text1"/>
              </w:rPr>
            </w:pPr>
            <w:r w:rsidRPr="00563C02">
              <w:rPr>
                <w:rFonts w:cs="Arial"/>
                <w:color w:val="000000" w:themeColor="text1"/>
              </w:rPr>
              <w:t>automatic extraction of data from source databases;</w:t>
            </w:r>
          </w:p>
          <w:p w:rsidR="00D67910" w:rsidRPr="00563C02" w:rsidRDefault="00D67910" w:rsidP="00E65120">
            <w:pPr>
              <w:pStyle w:val="ListBullet"/>
              <w:numPr>
                <w:ilvl w:val="0"/>
                <w:numId w:val="9"/>
              </w:numPr>
              <w:spacing w:after="0" w:line="240" w:lineRule="auto"/>
              <w:rPr>
                <w:rFonts w:cs="Arial"/>
                <w:color w:val="000000" w:themeColor="text1"/>
              </w:rPr>
            </w:pPr>
            <w:r w:rsidRPr="00563C02">
              <w:rPr>
                <w:rFonts w:cs="Arial"/>
                <w:color w:val="000000" w:themeColor="text1"/>
              </w:rPr>
              <w:lastRenderedPageBreak/>
              <w:t xml:space="preserve">quality assurance checks </w:t>
            </w:r>
            <w:r w:rsidR="000878AF" w:rsidRPr="00563C02">
              <w:rPr>
                <w:rFonts w:cs="Arial"/>
                <w:color w:val="000000" w:themeColor="text1"/>
              </w:rPr>
              <w:t>throughout the process</w:t>
            </w:r>
            <w:r w:rsidRPr="00563C02">
              <w:rPr>
                <w:rFonts w:cs="Arial"/>
                <w:color w:val="000000" w:themeColor="text1"/>
              </w:rPr>
              <w:t>, including trigger points for specialist advice and checks for appropriate delegations;</w:t>
            </w:r>
          </w:p>
          <w:p w:rsidR="00D67910" w:rsidRPr="00563C02" w:rsidRDefault="00D67910" w:rsidP="00E65120">
            <w:pPr>
              <w:pStyle w:val="ListBullet"/>
              <w:numPr>
                <w:ilvl w:val="0"/>
                <w:numId w:val="9"/>
              </w:numPr>
              <w:spacing w:after="0" w:line="240" w:lineRule="auto"/>
              <w:rPr>
                <w:rFonts w:cs="Arial"/>
                <w:color w:val="000000" w:themeColor="text1"/>
              </w:rPr>
            </w:pPr>
            <w:r w:rsidRPr="00563C02">
              <w:rPr>
                <w:rFonts w:cs="Arial"/>
                <w:color w:val="000000" w:themeColor="text1"/>
              </w:rPr>
              <w:t>online links to relevant policies and guidance material and training at appropriate points in the process;</w:t>
            </w:r>
          </w:p>
          <w:p w:rsidR="00D67910" w:rsidRPr="00563C02" w:rsidRDefault="00D67910" w:rsidP="00E65120">
            <w:pPr>
              <w:pStyle w:val="ListBullet"/>
              <w:numPr>
                <w:ilvl w:val="0"/>
                <w:numId w:val="9"/>
              </w:numPr>
              <w:spacing w:after="0" w:line="240" w:lineRule="auto"/>
              <w:rPr>
                <w:rFonts w:cs="Arial"/>
                <w:color w:val="000000" w:themeColor="text1"/>
              </w:rPr>
            </w:pPr>
            <w:r w:rsidRPr="00563C02">
              <w:rPr>
                <w:rFonts w:cs="Arial"/>
                <w:color w:val="000000" w:themeColor="text1"/>
              </w:rPr>
              <w:t xml:space="preserve">the ability to compile briefing material; </w:t>
            </w:r>
          </w:p>
          <w:p w:rsidR="00D67910" w:rsidRPr="00563C02" w:rsidRDefault="00D67910" w:rsidP="00E65120">
            <w:pPr>
              <w:pStyle w:val="ListBullet"/>
              <w:numPr>
                <w:ilvl w:val="0"/>
                <w:numId w:val="9"/>
              </w:numPr>
              <w:spacing w:after="0" w:line="240" w:lineRule="auto"/>
              <w:rPr>
                <w:rFonts w:cs="Arial"/>
                <w:color w:val="000000" w:themeColor="text1"/>
              </w:rPr>
            </w:pPr>
            <w:r w:rsidRPr="00563C02">
              <w:rPr>
                <w:rFonts w:cs="Arial"/>
                <w:color w:val="000000" w:themeColor="text1"/>
              </w:rPr>
              <w:t>time management with prompts;</w:t>
            </w:r>
          </w:p>
          <w:p w:rsidR="00D67910" w:rsidRPr="00563C02" w:rsidRDefault="00D67910" w:rsidP="00E65120">
            <w:pPr>
              <w:pStyle w:val="ListBullet"/>
              <w:numPr>
                <w:ilvl w:val="0"/>
                <w:numId w:val="9"/>
              </w:numPr>
              <w:spacing w:after="0" w:line="240" w:lineRule="auto"/>
              <w:rPr>
                <w:rFonts w:cs="Arial"/>
                <w:color w:val="000000" w:themeColor="text1"/>
              </w:rPr>
            </w:pPr>
            <w:r w:rsidRPr="00563C02">
              <w:rPr>
                <w:rFonts w:cs="Arial"/>
                <w:color w:val="000000" w:themeColor="text1"/>
              </w:rPr>
              <w:t xml:space="preserve">archival storage and access; </w:t>
            </w:r>
          </w:p>
          <w:p w:rsidR="00D67910" w:rsidRPr="00563C02" w:rsidRDefault="00D67910" w:rsidP="00E65120">
            <w:pPr>
              <w:pStyle w:val="ListBullet"/>
              <w:numPr>
                <w:ilvl w:val="0"/>
                <w:numId w:val="9"/>
              </w:numPr>
              <w:spacing w:after="0" w:line="240" w:lineRule="auto"/>
              <w:rPr>
                <w:rFonts w:cs="Arial"/>
                <w:color w:val="000000" w:themeColor="text1"/>
              </w:rPr>
            </w:pPr>
            <w:r w:rsidRPr="00563C02">
              <w:rPr>
                <w:rFonts w:cs="Arial"/>
                <w:color w:val="000000" w:themeColor="text1"/>
              </w:rPr>
              <w:t>an ability to share and mine data using multiple search criteria (both internally and externally); and</w:t>
            </w:r>
          </w:p>
          <w:p w:rsidR="00D67910" w:rsidRDefault="00D67910" w:rsidP="00E65120">
            <w:pPr>
              <w:pStyle w:val="ListBullet"/>
              <w:numPr>
                <w:ilvl w:val="0"/>
                <w:numId w:val="9"/>
              </w:numPr>
              <w:spacing w:after="0" w:line="240" w:lineRule="auto"/>
              <w:rPr>
                <w:rFonts w:cs="Arial"/>
                <w:color w:val="000000" w:themeColor="text1"/>
              </w:rPr>
            </w:pPr>
            <w:r w:rsidRPr="00563C02">
              <w:rPr>
                <w:rFonts w:cs="Arial"/>
                <w:color w:val="000000" w:themeColor="text1"/>
              </w:rPr>
              <w:t>better tools for intelligence gathering and data analytics.</w:t>
            </w:r>
          </w:p>
          <w:p w:rsidR="00563C02" w:rsidRPr="00563C02" w:rsidRDefault="00563C02" w:rsidP="00563C02">
            <w:pPr>
              <w:pStyle w:val="ListBullet"/>
              <w:numPr>
                <w:ilvl w:val="0"/>
                <w:numId w:val="0"/>
              </w:numPr>
              <w:spacing w:after="0" w:line="240" w:lineRule="auto"/>
              <w:ind w:left="720"/>
              <w:rPr>
                <w:rFonts w:cs="Arial"/>
                <w:color w:val="000000" w:themeColor="text1"/>
              </w:rPr>
            </w:pPr>
          </w:p>
          <w:p w:rsidR="00D67910" w:rsidRPr="00C617BC" w:rsidRDefault="00D67910" w:rsidP="000878AF">
            <w:pPr>
              <w:rPr>
                <w:rFonts w:cs="Arial"/>
              </w:rPr>
            </w:pPr>
            <w:r w:rsidRPr="00C617BC">
              <w:rPr>
                <w:rFonts w:cs="Arial"/>
              </w:rPr>
              <w:t xml:space="preserve">The Department should learn from systems developed by other regulators including the NSW and Victorian EPAs. The NSW EPA </w:t>
            </w:r>
            <w:r w:rsidR="000878AF" w:rsidRPr="00C617BC">
              <w:rPr>
                <w:rFonts w:cs="Arial"/>
              </w:rPr>
              <w:t>h</w:t>
            </w:r>
            <w:r w:rsidR="000878AF">
              <w:rPr>
                <w:rFonts w:cs="Arial"/>
              </w:rPr>
              <w:t>as</w:t>
            </w:r>
            <w:r w:rsidR="000878AF" w:rsidRPr="00C617BC">
              <w:rPr>
                <w:rFonts w:cs="Arial"/>
              </w:rPr>
              <w:t xml:space="preserve"> </w:t>
            </w:r>
            <w:r w:rsidRPr="00C617BC">
              <w:rPr>
                <w:rFonts w:cs="Arial"/>
              </w:rPr>
              <w:t xml:space="preserve">offered to share </w:t>
            </w:r>
            <w:r w:rsidR="000878AF">
              <w:rPr>
                <w:rFonts w:cs="Arial"/>
              </w:rPr>
              <w:t>its</w:t>
            </w:r>
            <w:r w:rsidR="000878AF" w:rsidRPr="00C617BC">
              <w:rPr>
                <w:rFonts w:cs="Arial"/>
              </w:rPr>
              <w:t xml:space="preserve"> </w:t>
            </w:r>
            <w:r w:rsidRPr="00C617BC">
              <w:rPr>
                <w:rFonts w:cs="Arial"/>
              </w:rPr>
              <w:t>experiences to help incorporate lessons learnt into the Department’s IT planning. The Clean Energy Regulator and</w:t>
            </w:r>
            <w:r w:rsidR="000878AF">
              <w:rPr>
                <w:rFonts w:cs="Arial"/>
              </w:rPr>
              <w:t xml:space="preserve"> the</w:t>
            </w:r>
            <w:r w:rsidRPr="00C617BC">
              <w:rPr>
                <w:rFonts w:cs="Arial"/>
              </w:rPr>
              <w:t xml:space="preserve"> ATO have also offered to work with the Department to share their experiences.</w:t>
            </w:r>
          </w:p>
        </w:tc>
        <w:tc>
          <w:tcPr>
            <w:tcW w:w="2157" w:type="dxa"/>
            <w:vAlign w:val="center"/>
          </w:tcPr>
          <w:p w:rsidR="00D67910" w:rsidRDefault="00D67910" w:rsidP="00524907">
            <w:pPr>
              <w:jc w:val="center"/>
            </w:pPr>
            <w:r>
              <w:lastRenderedPageBreak/>
              <w:t>1</w:t>
            </w:r>
          </w:p>
        </w:tc>
        <w:tc>
          <w:tcPr>
            <w:tcW w:w="1778" w:type="dxa"/>
            <w:vAlign w:val="center"/>
          </w:tcPr>
          <w:p w:rsidR="00D67910" w:rsidRDefault="00D67910" w:rsidP="00524907">
            <w:pPr>
              <w:jc w:val="center"/>
            </w:pPr>
            <w:r>
              <w:t>1</w:t>
            </w:r>
          </w:p>
        </w:tc>
      </w:tr>
      <w:tr w:rsidR="00D67910" w:rsidTr="001427B2">
        <w:trPr>
          <w:cnfStyle w:val="000000100000" w:firstRow="0" w:lastRow="0" w:firstColumn="0" w:lastColumn="0" w:oddVBand="0" w:evenVBand="0" w:oddHBand="1" w:evenHBand="0" w:firstRowFirstColumn="0" w:firstRowLastColumn="0" w:lastRowFirstColumn="0" w:lastRowLastColumn="0"/>
        </w:trPr>
        <w:tc>
          <w:tcPr>
            <w:tcW w:w="2184" w:type="dxa"/>
          </w:tcPr>
          <w:p w:rsidR="00D67910" w:rsidRDefault="00D67910" w:rsidP="00524907">
            <w:pPr>
              <w:pStyle w:val="ListBullet"/>
              <w:numPr>
                <w:ilvl w:val="0"/>
                <w:numId w:val="0"/>
              </w:numPr>
              <w:rPr>
                <w:rFonts w:cs="Arial"/>
                <w:b/>
              </w:rPr>
            </w:pPr>
            <w:r>
              <w:rPr>
                <w:rFonts w:cs="Arial"/>
                <w:b/>
              </w:rPr>
              <w:t>4.3 Governance for IT systems</w:t>
            </w:r>
          </w:p>
        </w:tc>
        <w:tc>
          <w:tcPr>
            <w:tcW w:w="8950" w:type="dxa"/>
          </w:tcPr>
          <w:p w:rsidR="00D67910" w:rsidRPr="00C617BC" w:rsidRDefault="00D67910" w:rsidP="00524907">
            <w:pPr>
              <w:rPr>
                <w:rFonts w:cs="Arial"/>
              </w:rPr>
            </w:pPr>
            <w:r w:rsidRPr="00C617BC">
              <w:rPr>
                <w:rFonts w:cs="Arial"/>
              </w:rPr>
              <w:t xml:space="preserve">The recommended Regulatory Reform and Support </w:t>
            </w:r>
            <w:r w:rsidR="000878AF">
              <w:rPr>
                <w:rFonts w:cs="Arial"/>
              </w:rPr>
              <w:t>B</w:t>
            </w:r>
            <w:r w:rsidR="000878AF" w:rsidRPr="00C617BC">
              <w:rPr>
                <w:rFonts w:cs="Arial"/>
              </w:rPr>
              <w:t xml:space="preserve">ranch </w:t>
            </w:r>
            <w:r w:rsidRPr="00C617BC">
              <w:rPr>
                <w:rFonts w:cs="Arial"/>
              </w:rPr>
              <w:t xml:space="preserve">(see </w:t>
            </w:r>
            <w:r w:rsidRPr="000878AF">
              <w:rPr>
                <w:rFonts w:cs="Arial"/>
                <w:i/>
              </w:rPr>
              <w:t>Recommendation 3.3 (Centralised Support)</w:t>
            </w:r>
            <w:r w:rsidRPr="00C617BC">
              <w:rPr>
                <w:rFonts w:cs="Arial"/>
              </w:rPr>
              <w:t xml:space="preserve">) should have responsibility for </w:t>
            </w:r>
            <w:r w:rsidR="000878AF">
              <w:rPr>
                <w:rFonts w:cs="Arial"/>
              </w:rPr>
              <w:t>coordinating the management of</w:t>
            </w:r>
            <w:r w:rsidRPr="00C617BC">
              <w:rPr>
                <w:rFonts w:cs="Arial"/>
              </w:rPr>
              <w:t xml:space="preserve"> regulatory business systems and coordinating and providing input to the IT Branch.</w:t>
            </w:r>
            <w:r w:rsidR="000878AF">
              <w:rPr>
                <w:rFonts w:cs="Arial"/>
              </w:rPr>
              <w:t xml:space="preserve"> </w:t>
            </w:r>
            <w:r w:rsidRPr="00C617BC">
              <w:rPr>
                <w:rFonts w:cs="Arial"/>
              </w:rPr>
              <w:t xml:space="preserve">This </w:t>
            </w:r>
            <w:r w:rsidR="000878AF">
              <w:rPr>
                <w:rFonts w:cs="Arial"/>
              </w:rPr>
              <w:t>Branch</w:t>
            </w:r>
            <w:r w:rsidR="000878AF" w:rsidRPr="00C617BC">
              <w:rPr>
                <w:rFonts w:cs="Arial"/>
              </w:rPr>
              <w:t xml:space="preserve"> </w:t>
            </w:r>
            <w:r w:rsidRPr="00C617BC">
              <w:rPr>
                <w:rFonts w:cs="Arial"/>
              </w:rPr>
              <w:t xml:space="preserve">would not be responsible for developing or procuring IT systems, but would be a central point of contact for the IT Branch and line areas to ensure new systems meet business needs and are integrated with training and support materials. </w:t>
            </w:r>
          </w:p>
          <w:p w:rsidR="00D67910" w:rsidRPr="00C617BC" w:rsidRDefault="00D67910" w:rsidP="00524907">
            <w:pPr>
              <w:rPr>
                <w:rFonts w:cs="Arial"/>
              </w:rPr>
            </w:pPr>
            <w:r w:rsidRPr="00C617BC">
              <w:rPr>
                <w:rFonts w:cs="Arial"/>
              </w:rPr>
              <w:t>The Department should continue the use of the Environmental Regulation Capabilities Steering Committee as a senior body for resolving issues associated with development and implementation of regulatory IT systems. The Assistant Secretary of the proposed Regulation Reform and Support Branch should be a member of this Committee.</w:t>
            </w:r>
          </w:p>
        </w:tc>
        <w:tc>
          <w:tcPr>
            <w:tcW w:w="2157" w:type="dxa"/>
            <w:vAlign w:val="center"/>
          </w:tcPr>
          <w:p w:rsidR="00D67910" w:rsidRDefault="00D67910" w:rsidP="00524907">
            <w:pPr>
              <w:jc w:val="center"/>
            </w:pPr>
            <w:r>
              <w:t>1</w:t>
            </w:r>
          </w:p>
        </w:tc>
        <w:tc>
          <w:tcPr>
            <w:tcW w:w="1778" w:type="dxa"/>
            <w:vAlign w:val="center"/>
          </w:tcPr>
          <w:p w:rsidR="00D67910" w:rsidRDefault="00D67910" w:rsidP="00524907">
            <w:pPr>
              <w:jc w:val="center"/>
            </w:pPr>
            <w:r>
              <w:t>1</w:t>
            </w:r>
          </w:p>
        </w:tc>
      </w:tr>
      <w:tr w:rsidR="00D67910" w:rsidTr="00E25CCF">
        <w:trPr>
          <w:cnfStyle w:val="000000010000" w:firstRow="0" w:lastRow="0" w:firstColumn="0" w:lastColumn="0" w:oddVBand="0" w:evenVBand="0" w:oddHBand="0" w:evenHBand="1" w:firstRowFirstColumn="0" w:firstRowLastColumn="0" w:lastRowFirstColumn="0" w:lastRowLastColumn="0"/>
        </w:trPr>
        <w:tc>
          <w:tcPr>
            <w:tcW w:w="15069" w:type="dxa"/>
            <w:gridSpan w:val="4"/>
          </w:tcPr>
          <w:p w:rsidR="00D67910" w:rsidRDefault="00D67910" w:rsidP="001427B2">
            <w:pPr>
              <w:jc w:val="center"/>
            </w:pPr>
            <w:r>
              <w:rPr>
                <w:rFonts w:cs="Arial"/>
                <w:b/>
                <w:color w:val="0B5294" w:themeColor="accent1" w:themeShade="BF"/>
                <w:sz w:val="36"/>
                <w:szCs w:val="36"/>
              </w:rPr>
              <w:t>Chapter 5</w:t>
            </w:r>
            <w:r w:rsidRPr="00DD04D0">
              <w:rPr>
                <w:rFonts w:cs="Arial"/>
                <w:b/>
                <w:color w:val="0B5294" w:themeColor="accent1" w:themeShade="BF"/>
                <w:sz w:val="36"/>
                <w:szCs w:val="36"/>
              </w:rPr>
              <w:t xml:space="preserve">: Our </w:t>
            </w:r>
            <w:r>
              <w:rPr>
                <w:rFonts w:cs="Arial"/>
                <w:b/>
                <w:color w:val="0B5294" w:themeColor="accent1" w:themeShade="BF"/>
                <w:sz w:val="36"/>
                <w:szCs w:val="36"/>
              </w:rPr>
              <w:t>Approach to Risk</w:t>
            </w:r>
          </w:p>
        </w:tc>
      </w:tr>
      <w:tr w:rsidR="00D67910" w:rsidTr="001427B2">
        <w:trPr>
          <w:cnfStyle w:val="000000100000" w:firstRow="0" w:lastRow="0" w:firstColumn="0" w:lastColumn="0" w:oddVBand="0" w:evenVBand="0" w:oddHBand="1" w:evenHBand="0" w:firstRowFirstColumn="0" w:firstRowLastColumn="0" w:lastRowFirstColumn="0" w:lastRowLastColumn="0"/>
        </w:trPr>
        <w:tc>
          <w:tcPr>
            <w:tcW w:w="2184" w:type="dxa"/>
          </w:tcPr>
          <w:p w:rsidR="00D67910" w:rsidRDefault="00D67910" w:rsidP="00524907">
            <w:pPr>
              <w:pStyle w:val="ListBullet"/>
              <w:numPr>
                <w:ilvl w:val="0"/>
                <w:numId w:val="0"/>
              </w:numPr>
              <w:rPr>
                <w:rFonts w:cs="Arial"/>
                <w:b/>
              </w:rPr>
            </w:pPr>
            <w:r>
              <w:rPr>
                <w:rFonts w:cs="Arial"/>
                <w:b/>
              </w:rPr>
              <w:lastRenderedPageBreak/>
              <w:t>5.1 Risk management framework</w:t>
            </w:r>
          </w:p>
        </w:tc>
        <w:tc>
          <w:tcPr>
            <w:tcW w:w="8950" w:type="dxa"/>
          </w:tcPr>
          <w:p w:rsidR="00D67910" w:rsidRDefault="00D67910" w:rsidP="00524907">
            <w:pPr>
              <w:rPr>
                <w:rFonts w:cs="Arial"/>
              </w:rPr>
            </w:pPr>
            <w:r w:rsidRPr="00C617BC">
              <w:rPr>
                <w:rFonts w:cs="Arial"/>
              </w:rPr>
              <w:t>The Chief Risk Officer should:</w:t>
            </w:r>
          </w:p>
          <w:p w:rsidR="00D67910" w:rsidRPr="00C617BC" w:rsidRDefault="00D67910" w:rsidP="00E65120">
            <w:pPr>
              <w:pStyle w:val="ListBullet"/>
              <w:numPr>
                <w:ilvl w:val="0"/>
                <w:numId w:val="9"/>
              </w:numPr>
              <w:spacing w:after="0" w:line="240" w:lineRule="auto"/>
              <w:rPr>
                <w:rFonts w:cs="Arial"/>
              </w:rPr>
            </w:pPr>
            <w:r w:rsidRPr="00C617BC">
              <w:rPr>
                <w:rFonts w:cs="Arial"/>
              </w:rPr>
              <w:t xml:space="preserve">review the Risk Management Framework, including supporting policies and tools; </w:t>
            </w:r>
          </w:p>
          <w:p w:rsidR="00D67910" w:rsidRPr="00C617BC" w:rsidRDefault="00D67910" w:rsidP="00E65120">
            <w:pPr>
              <w:pStyle w:val="ListBullet"/>
              <w:numPr>
                <w:ilvl w:val="0"/>
                <w:numId w:val="9"/>
              </w:numPr>
              <w:spacing w:after="0" w:line="240" w:lineRule="auto"/>
              <w:rPr>
                <w:rFonts w:cs="Arial"/>
              </w:rPr>
            </w:pPr>
            <w:r w:rsidRPr="00C617BC">
              <w:rPr>
                <w:rFonts w:cs="Arial"/>
              </w:rPr>
              <w:t>consider adopting more adaptive and flexible tools and approaches to support risk assessments;</w:t>
            </w:r>
          </w:p>
          <w:p w:rsidR="00D67910" w:rsidRPr="00C617BC" w:rsidRDefault="00D67910" w:rsidP="00E65120">
            <w:pPr>
              <w:pStyle w:val="ListBullet"/>
              <w:numPr>
                <w:ilvl w:val="0"/>
                <w:numId w:val="9"/>
              </w:numPr>
              <w:spacing w:after="0" w:line="240" w:lineRule="auto"/>
              <w:rPr>
                <w:rFonts w:cs="Arial"/>
              </w:rPr>
            </w:pPr>
            <w:r w:rsidRPr="00C617BC">
              <w:rPr>
                <w:rFonts w:cs="Arial"/>
              </w:rPr>
              <w:t>work with Divisions and Groups to help them develop meaningful and targeted risk appetites; and</w:t>
            </w:r>
          </w:p>
          <w:p w:rsidR="00D67910" w:rsidRDefault="00D67910" w:rsidP="00E65120">
            <w:pPr>
              <w:pStyle w:val="ListBullet"/>
              <w:numPr>
                <w:ilvl w:val="0"/>
                <w:numId w:val="9"/>
              </w:numPr>
              <w:spacing w:after="0" w:line="240" w:lineRule="auto"/>
              <w:rPr>
                <w:rFonts w:cs="Arial"/>
              </w:rPr>
            </w:pPr>
            <w:r w:rsidRPr="00C617BC">
              <w:rPr>
                <w:rFonts w:cs="Arial"/>
              </w:rPr>
              <w:t>communicate and provide training to ensure that staff understand their roles and obligations in relation to risk management.</w:t>
            </w:r>
          </w:p>
          <w:p w:rsidR="00563C02" w:rsidRPr="00C617BC" w:rsidRDefault="00563C02" w:rsidP="00563C02">
            <w:pPr>
              <w:pStyle w:val="ListBullet"/>
              <w:numPr>
                <w:ilvl w:val="0"/>
                <w:numId w:val="0"/>
              </w:numPr>
              <w:spacing w:after="0" w:line="240" w:lineRule="auto"/>
              <w:ind w:left="720"/>
              <w:rPr>
                <w:rFonts w:cs="Arial"/>
              </w:rPr>
            </w:pPr>
          </w:p>
          <w:p w:rsidR="00D67910" w:rsidRDefault="00D67910" w:rsidP="00524907">
            <w:pPr>
              <w:rPr>
                <w:rFonts w:cs="Arial"/>
                <w:b/>
                <w:color w:val="0B5294" w:themeColor="accent1" w:themeShade="BF"/>
                <w:sz w:val="36"/>
                <w:szCs w:val="36"/>
              </w:rPr>
            </w:pPr>
            <w:r w:rsidRPr="00C617BC">
              <w:rPr>
                <w:rFonts w:cs="Arial"/>
              </w:rPr>
              <w:t>The Senior Executive should consistently communicate and reinforce risk management principles and appetites.</w:t>
            </w:r>
          </w:p>
        </w:tc>
        <w:tc>
          <w:tcPr>
            <w:tcW w:w="2157" w:type="dxa"/>
            <w:vAlign w:val="center"/>
          </w:tcPr>
          <w:p w:rsidR="00D67910" w:rsidRDefault="00CA5E6B" w:rsidP="00524907">
            <w:pPr>
              <w:jc w:val="center"/>
            </w:pPr>
            <w:r>
              <w:t>2</w:t>
            </w:r>
          </w:p>
        </w:tc>
        <w:tc>
          <w:tcPr>
            <w:tcW w:w="1778" w:type="dxa"/>
            <w:vAlign w:val="center"/>
          </w:tcPr>
          <w:p w:rsidR="00D67910" w:rsidRDefault="00D67910" w:rsidP="00524907">
            <w:pPr>
              <w:jc w:val="center"/>
            </w:pPr>
            <w:r>
              <w:t>2</w:t>
            </w:r>
          </w:p>
        </w:tc>
      </w:tr>
      <w:tr w:rsidR="00D67910" w:rsidTr="001427B2">
        <w:trPr>
          <w:cnfStyle w:val="000000010000" w:firstRow="0" w:lastRow="0" w:firstColumn="0" w:lastColumn="0" w:oddVBand="0" w:evenVBand="0" w:oddHBand="0" w:evenHBand="1" w:firstRowFirstColumn="0" w:firstRowLastColumn="0" w:lastRowFirstColumn="0" w:lastRowLastColumn="0"/>
        </w:trPr>
        <w:tc>
          <w:tcPr>
            <w:tcW w:w="2184" w:type="dxa"/>
          </w:tcPr>
          <w:p w:rsidR="00D67910" w:rsidRDefault="00D67910" w:rsidP="00524907">
            <w:pPr>
              <w:pStyle w:val="ListBullet"/>
              <w:numPr>
                <w:ilvl w:val="0"/>
                <w:numId w:val="0"/>
              </w:numPr>
              <w:rPr>
                <w:rFonts w:cs="Arial"/>
                <w:b/>
              </w:rPr>
            </w:pPr>
            <w:r>
              <w:rPr>
                <w:rFonts w:cs="Arial"/>
                <w:b/>
              </w:rPr>
              <w:t>5.2 Risk assessment and resource allocation</w:t>
            </w:r>
          </w:p>
        </w:tc>
        <w:tc>
          <w:tcPr>
            <w:tcW w:w="8950" w:type="dxa"/>
          </w:tcPr>
          <w:p w:rsidR="00D67910" w:rsidRDefault="00D67910" w:rsidP="00524907">
            <w:pPr>
              <w:rPr>
                <w:rFonts w:cs="Arial"/>
              </w:rPr>
            </w:pPr>
            <w:r w:rsidRPr="00666B41">
              <w:rPr>
                <w:rFonts w:cs="Arial"/>
              </w:rPr>
              <w:t>The revised framework from Recommendation 5.1 (Risk management framework) should support consideration of risk across</w:t>
            </w:r>
            <w:r w:rsidR="00CA5E6B">
              <w:rPr>
                <w:rFonts w:cs="Arial"/>
              </w:rPr>
              <w:t xml:space="preserve"> EPG and</w:t>
            </w:r>
            <w:r w:rsidRPr="00666B41">
              <w:rPr>
                <w:rFonts w:cs="Arial"/>
              </w:rPr>
              <w:t xml:space="preserve"> the Department, as well as managing the risks of individual projects. </w:t>
            </w:r>
          </w:p>
          <w:p w:rsidR="00D67910" w:rsidRDefault="00D67910" w:rsidP="00524907">
            <w:pPr>
              <w:rPr>
                <w:rFonts w:cs="Arial"/>
              </w:rPr>
            </w:pPr>
            <w:r w:rsidRPr="00666B41">
              <w:rPr>
                <w:rFonts w:cs="Arial"/>
              </w:rPr>
              <w:t>EPG should work with the Chief Risk Officer to continue to develop tools for systematically analysing risk</w:t>
            </w:r>
            <w:r w:rsidR="00CA5E6B">
              <w:rPr>
                <w:rFonts w:cs="Arial"/>
              </w:rPr>
              <w:t xml:space="preserve"> between and</w:t>
            </w:r>
            <w:r w:rsidRPr="00666B41">
              <w:rPr>
                <w:rFonts w:cs="Arial"/>
              </w:rPr>
              <w:t xml:space="preserve"> across all of its regulatory activities.</w:t>
            </w:r>
          </w:p>
          <w:p w:rsidR="001427B2" w:rsidRDefault="00D67910" w:rsidP="00524907">
            <w:pPr>
              <w:rPr>
                <w:rFonts w:cs="Arial"/>
              </w:rPr>
            </w:pPr>
            <w:r w:rsidRPr="00666B41">
              <w:rPr>
                <w:rFonts w:cs="Arial"/>
              </w:rPr>
              <w:t>EPG should investigate opportunities to develop risk</w:t>
            </w:r>
            <w:r w:rsidR="00CA5E6B">
              <w:rPr>
                <w:rFonts w:cs="Arial"/>
              </w:rPr>
              <w:t>-</w:t>
            </w:r>
            <w:r w:rsidRPr="00666B41">
              <w:rPr>
                <w:rFonts w:cs="Arial"/>
              </w:rPr>
              <w:t xml:space="preserve">based approaches to assessing and licensing activities for each regulatory function. This </w:t>
            </w:r>
            <w:r w:rsidR="00CA5E6B">
              <w:rPr>
                <w:rFonts w:cs="Arial"/>
              </w:rPr>
              <w:t>should</w:t>
            </w:r>
            <w:r w:rsidRPr="00666B41">
              <w:rPr>
                <w:rFonts w:cs="Arial"/>
              </w:rPr>
              <w:t xml:space="preserve"> include developing clear guidelines about the process for managing projects with each risk rating. The relevant assessment areas, the Compliance and Enforcement Branch</w:t>
            </w:r>
            <w:r w:rsidR="00CA5E6B">
              <w:rPr>
                <w:rFonts w:cs="Arial"/>
              </w:rPr>
              <w:t>,</w:t>
            </w:r>
            <w:r w:rsidRPr="00666B41">
              <w:rPr>
                <w:rFonts w:cs="Arial"/>
              </w:rPr>
              <w:t xml:space="preserve"> and the General Counsel Branch should develop these guidelines collaboratively, to ensure they are robust. </w:t>
            </w:r>
          </w:p>
          <w:p w:rsidR="00D67910" w:rsidRPr="00C617BC" w:rsidRDefault="00D67910" w:rsidP="00CA5E6B">
            <w:pPr>
              <w:rPr>
                <w:rFonts w:cs="Arial"/>
              </w:rPr>
            </w:pPr>
            <w:r w:rsidRPr="00666B41">
              <w:rPr>
                <w:rFonts w:cs="Arial"/>
              </w:rPr>
              <w:t xml:space="preserve">The Chief Risk Officer should assist EPG and the Department to identify risk priorities and facilitate the allocation of resources proportionately. This includes allocation of resources across the Department, as well as within and between </w:t>
            </w:r>
            <w:r w:rsidR="00CA5E6B">
              <w:rPr>
                <w:rFonts w:cs="Arial"/>
              </w:rPr>
              <w:t>D</w:t>
            </w:r>
            <w:r w:rsidR="00CA5E6B" w:rsidRPr="00666B41">
              <w:rPr>
                <w:rFonts w:cs="Arial"/>
              </w:rPr>
              <w:t>ivisions</w:t>
            </w:r>
            <w:r w:rsidRPr="00666B41">
              <w:rPr>
                <w:rFonts w:cs="Arial"/>
              </w:rPr>
              <w:t xml:space="preserve">, </w:t>
            </w:r>
            <w:r w:rsidR="00CA5E6B">
              <w:rPr>
                <w:rFonts w:cs="Arial"/>
              </w:rPr>
              <w:t>B</w:t>
            </w:r>
            <w:r w:rsidR="00CA5E6B" w:rsidRPr="00666B41">
              <w:rPr>
                <w:rFonts w:cs="Arial"/>
              </w:rPr>
              <w:t xml:space="preserve">ranches </w:t>
            </w:r>
            <w:r w:rsidRPr="00666B41">
              <w:rPr>
                <w:rFonts w:cs="Arial"/>
              </w:rPr>
              <w:t xml:space="preserve">and </w:t>
            </w:r>
            <w:r w:rsidR="00CA5E6B">
              <w:rPr>
                <w:rFonts w:cs="Arial"/>
              </w:rPr>
              <w:t>S</w:t>
            </w:r>
            <w:r w:rsidR="00CA5E6B" w:rsidRPr="00666B41">
              <w:rPr>
                <w:rFonts w:cs="Arial"/>
              </w:rPr>
              <w:t>ections</w:t>
            </w:r>
            <w:r w:rsidRPr="00666B41">
              <w:rPr>
                <w:rFonts w:cs="Arial"/>
              </w:rPr>
              <w:t>.</w:t>
            </w:r>
          </w:p>
        </w:tc>
        <w:tc>
          <w:tcPr>
            <w:tcW w:w="2157" w:type="dxa"/>
            <w:vAlign w:val="center"/>
          </w:tcPr>
          <w:p w:rsidR="00D67910" w:rsidRDefault="00CA5E6B" w:rsidP="00524907">
            <w:pPr>
              <w:jc w:val="center"/>
            </w:pPr>
            <w:r>
              <w:t>2</w:t>
            </w:r>
          </w:p>
        </w:tc>
        <w:tc>
          <w:tcPr>
            <w:tcW w:w="1778" w:type="dxa"/>
            <w:vAlign w:val="center"/>
          </w:tcPr>
          <w:p w:rsidR="00D67910" w:rsidRDefault="00CA5E6B" w:rsidP="00524907">
            <w:pPr>
              <w:jc w:val="center"/>
            </w:pPr>
            <w:r>
              <w:t>3</w:t>
            </w:r>
          </w:p>
          <w:p w:rsidR="00D67910" w:rsidRDefault="00D67910" w:rsidP="00524907">
            <w:pPr>
              <w:jc w:val="center"/>
            </w:pPr>
            <w:r>
              <w:t>ongoing</w:t>
            </w:r>
          </w:p>
        </w:tc>
      </w:tr>
      <w:tr w:rsidR="00D67910" w:rsidTr="001427B2">
        <w:trPr>
          <w:cnfStyle w:val="000000100000" w:firstRow="0" w:lastRow="0" w:firstColumn="0" w:lastColumn="0" w:oddVBand="0" w:evenVBand="0" w:oddHBand="1" w:evenHBand="0" w:firstRowFirstColumn="0" w:firstRowLastColumn="0" w:lastRowFirstColumn="0" w:lastRowLastColumn="0"/>
        </w:trPr>
        <w:tc>
          <w:tcPr>
            <w:tcW w:w="2184" w:type="dxa"/>
          </w:tcPr>
          <w:p w:rsidR="00D67910" w:rsidRDefault="00D67910" w:rsidP="0020381B">
            <w:pPr>
              <w:pStyle w:val="ListBullet"/>
              <w:numPr>
                <w:ilvl w:val="0"/>
                <w:numId w:val="0"/>
              </w:numPr>
              <w:rPr>
                <w:rFonts w:cs="Arial"/>
                <w:b/>
              </w:rPr>
            </w:pPr>
            <w:r>
              <w:rPr>
                <w:rFonts w:cs="Arial"/>
                <w:b/>
              </w:rPr>
              <w:lastRenderedPageBreak/>
              <w:t>5.</w:t>
            </w:r>
            <w:r w:rsidR="0020381B">
              <w:rPr>
                <w:rFonts w:cs="Arial"/>
                <w:b/>
              </w:rPr>
              <w:t xml:space="preserve">3 </w:t>
            </w:r>
            <w:r>
              <w:rPr>
                <w:rFonts w:cs="Arial"/>
                <w:b/>
              </w:rPr>
              <w:t>Resource levels</w:t>
            </w:r>
          </w:p>
        </w:tc>
        <w:tc>
          <w:tcPr>
            <w:tcW w:w="8950" w:type="dxa"/>
          </w:tcPr>
          <w:p w:rsidR="00D67910" w:rsidRDefault="00D67910" w:rsidP="00524907">
            <w:pPr>
              <w:rPr>
                <w:rFonts w:cs="Arial"/>
              </w:rPr>
            </w:pPr>
            <w:r w:rsidRPr="00666B41">
              <w:rPr>
                <w:rFonts w:cs="Arial"/>
              </w:rPr>
              <w:t xml:space="preserve">The Department should </w:t>
            </w:r>
            <w:r w:rsidR="00D8710C">
              <w:rPr>
                <w:rFonts w:cs="Arial"/>
              </w:rPr>
              <w:t>strive</w:t>
            </w:r>
            <w:r w:rsidRPr="00666B41">
              <w:rPr>
                <w:rFonts w:cs="Arial"/>
              </w:rPr>
              <w:t xml:space="preserve"> to maintain or increase staffing levels within EPG. </w:t>
            </w:r>
          </w:p>
          <w:p w:rsidR="00D67910" w:rsidRDefault="00D67910" w:rsidP="00524907">
            <w:pPr>
              <w:rPr>
                <w:rFonts w:cs="Arial"/>
              </w:rPr>
            </w:pPr>
            <w:r w:rsidRPr="00666B41">
              <w:rPr>
                <w:rFonts w:cs="Arial"/>
              </w:rPr>
              <w:t>The Department should clearly communicate to the Government the risk of regulatory failure associated with any further staffing reductions.</w:t>
            </w:r>
          </w:p>
          <w:p w:rsidR="00D67910" w:rsidRPr="00666B41" w:rsidRDefault="00D67910" w:rsidP="00524907">
            <w:pPr>
              <w:rPr>
                <w:rFonts w:cs="Arial"/>
              </w:rPr>
            </w:pPr>
            <w:r w:rsidRPr="00666B41">
              <w:rPr>
                <w:rFonts w:cs="Arial"/>
              </w:rPr>
              <w:t>The Department should consider increasing resourcing for EPBC monitoring activities, or working with states and territories to pool resources so that a larger proportion of high risk projects can be actively monitored (see also Recommendation 2.3 (Compliance and enforcement) and Recommendation 6.4 (Working with other regulators)).</w:t>
            </w:r>
          </w:p>
        </w:tc>
        <w:tc>
          <w:tcPr>
            <w:tcW w:w="2157" w:type="dxa"/>
            <w:vAlign w:val="center"/>
          </w:tcPr>
          <w:p w:rsidR="00D67910" w:rsidRDefault="00D67910" w:rsidP="00524907">
            <w:pPr>
              <w:jc w:val="center"/>
            </w:pPr>
            <w:r>
              <w:t>1</w:t>
            </w:r>
          </w:p>
        </w:tc>
        <w:tc>
          <w:tcPr>
            <w:tcW w:w="1778" w:type="dxa"/>
            <w:vAlign w:val="center"/>
          </w:tcPr>
          <w:p w:rsidR="00D67910" w:rsidRDefault="00D67910" w:rsidP="00524907">
            <w:pPr>
              <w:jc w:val="center"/>
            </w:pPr>
            <w:r>
              <w:t>ongoing</w:t>
            </w:r>
          </w:p>
        </w:tc>
      </w:tr>
      <w:tr w:rsidR="00D67910" w:rsidTr="001427B2">
        <w:trPr>
          <w:cnfStyle w:val="000000010000" w:firstRow="0" w:lastRow="0" w:firstColumn="0" w:lastColumn="0" w:oddVBand="0" w:evenVBand="0" w:oddHBand="0" w:evenHBand="1" w:firstRowFirstColumn="0" w:firstRowLastColumn="0" w:lastRowFirstColumn="0" w:lastRowLastColumn="0"/>
        </w:trPr>
        <w:tc>
          <w:tcPr>
            <w:tcW w:w="2184" w:type="dxa"/>
          </w:tcPr>
          <w:p w:rsidR="00D67910" w:rsidRDefault="00D67910" w:rsidP="0020381B">
            <w:pPr>
              <w:pStyle w:val="ListBullet"/>
              <w:numPr>
                <w:ilvl w:val="0"/>
                <w:numId w:val="0"/>
              </w:numPr>
              <w:rPr>
                <w:rFonts w:cs="Arial"/>
                <w:b/>
              </w:rPr>
            </w:pPr>
            <w:r>
              <w:rPr>
                <w:rFonts w:cs="Arial"/>
                <w:b/>
              </w:rPr>
              <w:t>5.</w:t>
            </w:r>
            <w:r w:rsidR="0020381B">
              <w:rPr>
                <w:rFonts w:cs="Arial"/>
                <w:b/>
              </w:rPr>
              <w:t xml:space="preserve">4 </w:t>
            </w:r>
            <w:r>
              <w:rPr>
                <w:rFonts w:cs="Arial"/>
                <w:b/>
              </w:rPr>
              <w:t>External communication of risk</w:t>
            </w:r>
          </w:p>
        </w:tc>
        <w:tc>
          <w:tcPr>
            <w:tcW w:w="8950" w:type="dxa"/>
          </w:tcPr>
          <w:p w:rsidR="00D67910" w:rsidRDefault="00D67910" w:rsidP="00524907">
            <w:pPr>
              <w:rPr>
                <w:rFonts w:cs="Arial"/>
              </w:rPr>
            </w:pPr>
            <w:r w:rsidRPr="00666B41">
              <w:rPr>
                <w:rFonts w:cs="Arial"/>
              </w:rPr>
              <w:t xml:space="preserve">The Chief Risk Officer should consider how best to communicate the Department’s </w:t>
            </w:r>
            <w:r w:rsidR="00CA5E6B">
              <w:rPr>
                <w:rFonts w:cs="Arial"/>
              </w:rPr>
              <w:t xml:space="preserve">risk approach </w:t>
            </w:r>
            <w:r w:rsidRPr="00666B41">
              <w:rPr>
                <w:rFonts w:cs="Arial"/>
              </w:rPr>
              <w:t xml:space="preserve">externally. For example, it may be beneficial for a broader explanation of the Department’s risk </w:t>
            </w:r>
            <w:r w:rsidR="00CA5E6B">
              <w:rPr>
                <w:rFonts w:cs="Arial"/>
              </w:rPr>
              <w:t>approach</w:t>
            </w:r>
            <w:r w:rsidR="00CA5E6B" w:rsidRPr="00666B41">
              <w:rPr>
                <w:rFonts w:cs="Arial"/>
              </w:rPr>
              <w:t xml:space="preserve"> </w:t>
            </w:r>
            <w:r w:rsidRPr="00666B41">
              <w:rPr>
                <w:rFonts w:cs="Arial"/>
              </w:rPr>
              <w:t>to be made publicly available and for tailored information to be provided for specific regulatory functions (such as risk</w:t>
            </w:r>
            <w:r w:rsidR="00CA5E6B">
              <w:rPr>
                <w:rFonts w:cs="Arial"/>
              </w:rPr>
              <w:t>-</w:t>
            </w:r>
            <w:r w:rsidRPr="00666B41">
              <w:rPr>
                <w:rFonts w:cs="Arial"/>
              </w:rPr>
              <w:t xml:space="preserve">based allocation of resources for assessment and compliance </w:t>
            </w:r>
            <w:r w:rsidR="00CA5E6B">
              <w:rPr>
                <w:rFonts w:cs="Arial"/>
              </w:rPr>
              <w:t>functions</w:t>
            </w:r>
            <w:r w:rsidRPr="00666B41">
              <w:rPr>
                <w:rFonts w:cs="Arial"/>
              </w:rPr>
              <w:t xml:space="preserve">). </w:t>
            </w:r>
          </w:p>
          <w:p w:rsidR="00D67910" w:rsidRPr="00666B41" w:rsidRDefault="00D67910" w:rsidP="00524907">
            <w:pPr>
              <w:rPr>
                <w:rFonts w:cs="Arial"/>
              </w:rPr>
            </w:pPr>
            <w:r w:rsidRPr="00666B41">
              <w:rPr>
                <w:rFonts w:cs="Arial"/>
              </w:rPr>
              <w:t>The Department should consider the approach taken by the Clean Energy Regulator and the ATO in developing this approach.</w:t>
            </w:r>
          </w:p>
        </w:tc>
        <w:tc>
          <w:tcPr>
            <w:tcW w:w="2157" w:type="dxa"/>
            <w:vAlign w:val="center"/>
          </w:tcPr>
          <w:p w:rsidR="00D67910" w:rsidRDefault="00D67910" w:rsidP="00524907">
            <w:pPr>
              <w:jc w:val="center"/>
            </w:pPr>
            <w:r>
              <w:t>2</w:t>
            </w:r>
          </w:p>
        </w:tc>
        <w:tc>
          <w:tcPr>
            <w:tcW w:w="1778" w:type="dxa"/>
            <w:vAlign w:val="center"/>
          </w:tcPr>
          <w:p w:rsidR="00D67910" w:rsidRDefault="00D67910" w:rsidP="00524907">
            <w:pPr>
              <w:jc w:val="center"/>
            </w:pPr>
            <w:r>
              <w:t>2</w:t>
            </w:r>
          </w:p>
        </w:tc>
      </w:tr>
      <w:tr w:rsidR="00D67910" w:rsidTr="001427B2">
        <w:trPr>
          <w:cnfStyle w:val="000000100000" w:firstRow="0" w:lastRow="0" w:firstColumn="0" w:lastColumn="0" w:oddVBand="0" w:evenVBand="0" w:oddHBand="1" w:evenHBand="0" w:firstRowFirstColumn="0" w:firstRowLastColumn="0" w:lastRowFirstColumn="0" w:lastRowLastColumn="0"/>
        </w:trPr>
        <w:tc>
          <w:tcPr>
            <w:tcW w:w="2184" w:type="dxa"/>
          </w:tcPr>
          <w:p w:rsidR="00D67910" w:rsidRDefault="00D67910" w:rsidP="0020381B">
            <w:pPr>
              <w:pStyle w:val="ListBullet"/>
              <w:numPr>
                <w:ilvl w:val="0"/>
                <w:numId w:val="0"/>
              </w:numPr>
              <w:rPr>
                <w:rFonts w:cs="Arial"/>
                <w:b/>
              </w:rPr>
            </w:pPr>
            <w:r>
              <w:rPr>
                <w:rFonts w:cs="Arial"/>
                <w:b/>
              </w:rPr>
              <w:t>5.</w:t>
            </w:r>
            <w:r w:rsidR="0020381B">
              <w:rPr>
                <w:rFonts w:cs="Arial"/>
                <w:b/>
              </w:rPr>
              <w:t xml:space="preserve">5 </w:t>
            </w:r>
            <w:r>
              <w:rPr>
                <w:rFonts w:cs="Arial"/>
                <w:b/>
              </w:rPr>
              <w:t>Intelligence</w:t>
            </w:r>
          </w:p>
        </w:tc>
        <w:tc>
          <w:tcPr>
            <w:tcW w:w="8950" w:type="dxa"/>
          </w:tcPr>
          <w:p w:rsidR="0074492C" w:rsidRDefault="00D67910" w:rsidP="00524907">
            <w:pPr>
              <w:rPr>
                <w:rFonts w:cs="Arial"/>
              </w:rPr>
            </w:pPr>
            <w:r w:rsidRPr="00666B41">
              <w:rPr>
                <w:rFonts w:cs="Arial"/>
              </w:rPr>
              <w:t>The Department should adopt intelligence gathering and analysis to inform its risk management approach.</w:t>
            </w:r>
          </w:p>
          <w:p w:rsidR="00CD6C7A" w:rsidRDefault="00CD6C7A" w:rsidP="00524907">
            <w:pPr>
              <w:rPr>
                <w:rFonts w:cs="Arial"/>
              </w:rPr>
            </w:pPr>
          </w:p>
          <w:p w:rsidR="0074492C" w:rsidRPr="00666B41" w:rsidRDefault="0074492C" w:rsidP="00524907">
            <w:pPr>
              <w:rPr>
                <w:rFonts w:cs="Arial"/>
              </w:rPr>
            </w:pPr>
          </w:p>
        </w:tc>
        <w:tc>
          <w:tcPr>
            <w:tcW w:w="2157" w:type="dxa"/>
            <w:vAlign w:val="center"/>
          </w:tcPr>
          <w:p w:rsidR="00D67910" w:rsidRDefault="00D67910" w:rsidP="00524907">
            <w:pPr>
              <w:jc w:val="center"/>
            </w:pPr>
            <w:r>
              <w:t>2</w:t>
            </w:r>
          </w:p>
        </w:tc>
        <w:tc>
          <w:tcPr>
            <w:tcW w:w="1778" w:type="dxa"/>
            <w:vAlign w:val="center"/>
          </w:tcPr>
          <w:p w:rsidR="00D67910" w:rsidRDefault="00CA5E6B" w:rsidP="00524907">
            <w:pPr>
              <w:jc w:val="center"/>
            </w:pPr>
            <w:r>
              <w:t>3</w:t>
            </w:r>
          </w:p>
        </w:tc>
      </w:tr>
      <w:tr w:rsidR="00D67910" w:rsidTr="00E25CCF">
        <w:trPr>
          <w:cnfStyle w:val="000000010000" w:firstRow="0" w:lastRow="0" w:firstColumn="0" w:lastColumn="0" w:oddVBand="0" w:evenVBand="0" w:oddHBand="0" w:evenHBand="1" w:firstRowFirstColumn="0" w:firstRowLastColumn="0" w:lastRowFirstColumn="0" w:lastRowLastColumn="0"/>
        </w:trPr>
        <w:tc>
          <w:tcPr>
            <w:tcW w:w="15069" w:type="dxa"/>
            <w:gridSpan w:val="4"/>
          </w:tcPr>
          <w:p w:rsidR="004E3028" w:rsidRDefault="00D67910">
            <w:pPr>
              <w:jc w:val="center"/>
            </w:pPr>
            <w:r>
              <w:rPr>
                <w:rFonts w:cs="Arial"/>
                <w:b/>
                <w:color w:val="0B5294" w:themeColor="accent1" w:themeShade="BF"/>
                <w:sz w:val="36"/>
                <w:szCs w:val="36"/>
              </w:rPr>
              <w:t xml:space="preserve">Chapter </w:t>
            </w:r>
            <w:r w:rsidR="0020381B">
              <w:rPr>
                <w:rFonts w:cs="Arial"/>
                <w:b/>
                <w:color w:val="0B5294" w:themeColor="accent1" w:themeShade="BF"/>
                <w:sz w:val="36"/>
                <w:szCs w:val="36"/>
              </w:rPr>
              <w:t>6</w:t>
            </w:r>
            <w:r w:rsidRPr="00DD04D0">
              <w:rPr>
                <w:rFonts w:cs="Arial"/>
                <w:b/>
                <w:color w:val="0B5294" w:themeColor="accent1" w:themeShade="BF"/>
                <w:sz w:val="36"/>
                <w:szCs w:val="36"/>
              </w:rPr>
              <w:t xml:space="preserve">: </w:t>
            </w:r>
            <w:r>
              <w:rPr>
                <w:rFonts w:cs="Arial"/>
                <w:b/>
                <w:color w:val="0B5294" w:themeColor="accent1" w:themeShade="BF"/>
                <w:sz w:val="36"/>
                <w:szCs w:val="36"/>
              </w:rPr>
              <w:t>How We Engage</w:t>
            </w:r>
          </w:p>
        </w:tc>
      </w:tr>
      <w:tr w:rsidR="00D67910" w:rsidTr="001427B2">
        <w:trPr>
          <w:cnfStyle w:val="000000100000" w:firstRow="0" w:lastRow="0" w:firstColumn="0" w:lastColumn="0" w:oddVBand="0" w:evenVBand="0" w:oddHBand="1" w:evenHBand="0" w:firstRowFirstColumn="0" w:firstRowLastColumn="0" w:lastRowFirstColumn="0" w:lastRowLastColumn="0"/>
        </w:trPr>
        <w:tc>
          <w:tcPr>
            <w:tcW w:w="2184" w:type="dxa"/>
          </w:tcPr>
          <w:p w:rsidR="00D67910" w:rsidRDefault="00D67910" w:rsidP="00524907">
            <w:pPr>
              <w:pStyle w:val="ListBullet"/>
              <w:numPr>
                <w:ilvl w:val="0"/>
                <w:numId w:val="0"/>
              </w:numPr>
              <w:rPr>
                <w:rFonts w:cs="Arial"/>
                <w:b/>
              </w:rPr>
            </w:pPr>
            <w:r>
              <w:rPr>
                <w:rFonts w:cs="Arial"/>
                <w:b/>
              </w:rPr>
              <w:t>6.1 Understanding regulated industries</w:t>
            </w:r>
          </w:p>
        </w:tc>
        <w:tc>
          <w:tcPr>
            <w:tcW w:w="8950" w:type="dxa"/>
          </w:tcPr>
          <w:p w:rsidR="00D67910" w:rsidRDefault="00D67910" w:rsidP="006030FB">
            <w:pPr>
              <w:rPr>
                <w:rFonts w:cs="Arial"/>
                <w:b/>
                <w:color w:val="0B5294" w:themeColor="accent1" w:themeShade="BF"/>
                <w:sz w:val="36"/>
                <w:szCs w:val="36"/>
              </w:rPr>
            </w:pPr>
            <w:r w:rsidRPr="00666B41">
              <w:rPr>
                <w:rFonts w:cs="Arial"/>
              </w:rPr>
              <w:t xml:space="preserve">EPG should </w:t>
            </w:r>
            <w:r w:rsidR="00CA5E6B">
              <w:rPr>
                <w:rFonts w:cs="Arial"/>
              </w:rPr>
              <w:t>establish a group of</w:t>
            </w:r>
            <w:r w:rsidRPr="00666B41">
              <w:rPr>
                <w:rFonts w:cs="Arial"/>
              </w:rPr>
              <w:t xml:space="preserve"> industry or stakeholder expert</w:t>
            </w:r>
            <w:r w:rsidR="006030FB">
              <w:rPr>
                <w:rFonts w:cs="Arial"/>
              </w:rPr>
              <w:t>s</w:t>
            </w:r>
            <w:r w:rsidRPr="00666B41">
              <w:rPr>
                <w:rFonts w:cs="Arial"/>
              </w:rPr>
              <w:t xml:space="preserve">. </w:t>
            </w:r>
            <w:r w:rsidR="006030FB">
              <w:rPr>
                <w:rFonts w:cs="Arial"/>
              </w:rPr>
              <w:t>Each</w:t>
            </w:r>
            <w:r w:rsidR="006030FB" w:rsidRPr="00666B41">
              <w:rPr>
                <w:rFonts w:cs="Arial"/>
              </w:rPr>
              <w:t xml:space="preserve"> </w:t>
            </w:r>
            <w:r w:rsidRPr="00666B41">
              <w:rPr>
                <w:rFonts w:cs="Arial"/>
              </w:rPr>
              <w:t>‘expert’ would be an internal source of information and intelligence on particular stakeholder</w:t>
            </w:r>
            <w:r w:rsidR="006030FB">
              <w:rPr>
                <w:rFonts w:cs="Arial"/>
              </w:rPr>
              <w:t>s</w:t>
            </w:r>
            <w:r w:rsidRPr="00666B41">
              <w:rPr>
                <w:rFonts w:cs="Arial"/>
              </w:rPr>
              <w:t xml:space="preserve"> or industr</w:t>
            </w:r>
            <w:r w:rsidR="006030FB">
              <w:rPr>
                <w:rFonts w:cs="Arial"/>
              </w:rPr>
              <w:t>ies</w:t>
            </w:r>
            <w:r w:rsidRPr="00666B41">
              <w:rPr>
                <w:rFonts w:cs="Arial"/>
              </w:rPr>
              <w:t xml:space="preserve">. This would be recognised in the work allocation for the officer. These officers could undertake a range of formal and informal training activities to improve in their </w:t>
            </w:r>
            <w:r w:rsidRPr="00666B41">
              <w:rPr>
                <w:rFonts w:cs="Arial"/>
              </w:rPr>
              <w:lastRenderedPageBreak/>
              <w:t>understanding of the operating context of key industries, as well as the broader regulatory, social and economic pressures they face.</w:t>
            </w:r>
          </w:p>
        </w:tc>
        <w:tc>
          <w:tcPr>
            <w:tcW w:w="2157" w:type="dxa"/>
            <w:vAlign w:val="center"/>
          </w:tcPr>
          <w:p w:rsidR="00D67910" w:rsidRDefault="00D67910" w:rsidP="00524907">
            <w:pPr>
              <w:jc w:val="center"/>
            </w:pPr>
            <w:r>
              <w:lastRenderedPageBreak/>
              <w:t>2</w:t>
            </w:r>
          </w:p>
        </w:tc>
        <w:tc>
          <w:tcPr>
            <w:tcW w:w="1778" w:type="dxa"/>
            <w:vAlign w:val="center"/>
          </w:tcPr>
          <w:p w:rsidR="00D67910" w:rsidRDefault="00D67910" w:rsidP="00524907">
            <w:pPr>
              <w:jc w:val="center"/>
            </w:pPr>
            <w:r>
              <w:t>2</w:t>
            </w:r>
          </w:p>
          <w:p w:rsidR="00D67910" w:rsidRDefault="00D67910" w:rsidP="00524907">
            <w:pPr>
              <w:jc w:val="center"/>
            </w:pPr>
            <w:r>
              <w:t>ongoing</w:t>
            </w:r>
          </w:p>
        </w:tc>
      </w:tr>
      <w:tr w:rsidR="00D67910" w:rsidTr="001427B2">
        <w:trPr>
          <w:cnfStyle w:val="000000010000" w:firstRow="0" w:lastRow="0" w:firstColumn="0" w:lastColumn="0" w:oddVBand="0" w:evenVBand="0" w:oddHBand="0" w:evenHBand="1" w:firstRowFirstColumn="0" w:firstRowLastColumn="0" w:lastRowFirstColumn="0" w:lastRowLastColumn="0"/>
        </w:trPr>
        <w:tc>
          <w:tcPr>
            <w:tcW w:w="2184" w:type="dxa"/>
          </w:tcPr>
          <w:p w:rsidR="00D67910" w:rsidRDefault="00D67910" w:rsidP="00524907">
            <w:pPr>
              <w:pStyle w:val="ListBullet"/>
              <w:numPr>
                <w:ilvl w:val="0"/>
                <w:numId w:val="0"/>
              </w:numPr>
              <w:rPr>
                <w:rFonts w:cs="Arial"/>
                <w:b/>
              </w:rPr>
            </w:pPr>
            <w:r>
              <w:rPr>
                <w:rFonts w:cs="Arial"/>
                <w:b/>
              </w:rPr>
              <w:t>6.2 Reducing the burden of information requests</w:t>
            </w:r>
          </w:p>
        </w:tc>
        <w:tc>
          <w:tcPr>
            <w:tcW w:w="8950" w:type="dxa"/>
          </w:tcPr>
          <w:p w:rsidR="00D67910" w:rsidRDefault="00D67910" w:rsidP="00524907">
            <w:pPr>
              <w:rPr>
                <w:rFonts w:cs="Arial"/>
              </w:rPr>
            </w:pPr>
            <w:r w:rsidRPr="00666B41">
              <w:rPr>
                <w:rFonts w:cs="Arial"/>
              </w:rPr>
              <w:t xml:space="preserve">EPG should assist </w:t>
            </w:r>
            <w:r w:rsidR="006030FB">
              <w:rPr>
                <w:rFonts w:cs="Arial"/>
              </w:rPr>
              <w:t>reduce the burden associated with information requests</w:t>
            </w:r>
            <w:r w:rsidRPr="00666B41">
              <w:rPr>
                <w:rFonts w:cs="Arial"/>
              </w:rPr>
              <w:t xml:space="preserve"> by:</w:t>
            </w:r>
          </w:p>
          <w:p w:rsidR="00D67910" w:rsidRPr="00666B41" w:rsidRDefault="00D67910" w:rsidP="00E65120">
            <w:pPr>
              <w:numPr>
                <w:ilvl w:val="0"/>
                <w:numId w:val="15"/>
              </w:numPr>
              <w:spacing w:after="0" w:line="240" w:lineRule="auto"/>
              <w:contextualSpacing/>
              <w:rPr>
                <w:rFonts w:cs="Arial"/>
              </w:rPr>
            </w:pPr>
            <w:r w:rsidRPr="00666B41">
              <w:rPr>
                <w:rFonts w:cs="Arial"/>
              </w:rPr>
              <w:t>making requirements</w:t>
            </w:r>
            <w:r w:rsidR="00A6701B">
              <w:rPr>
                <w:rFonts w:cs="Arial"/>
              </w:rPr>
              <w:t xml:space="preserve"> and/or </w:t>
            </w:r>
            <w:r w:rsidR="006030FB">
              <w:rPr>
                <w:rFonts w:cs="Arial"/>
              </w:rPr>
              <w:t>requests</w:t>
            </w:r>
            <w:r w:rsidRPr="00666B41">
              <w:rPr>
                <w:rFonts w:cs="Arial"/>
              </w:rPr>
              <w:t xml:space="preserve"> clear;</w:t>
            </w:r>
          </w:p>
          <w:p w:rsidR="00D67910" w:rsidRPr="00666B41" w:rsidRDefault="00D67910" w:rsidP="00E65120">
            <w:pPr>
              <w:numPr>
                <w:ilvl w:val="0"/>
                <w:numId w:val="15"/>
              </w:numPr>
              <w:spacing w:after="0" w:line="240" w:lineRule="auto"/>
              <w:contextualSpacing/>
              <w:rPr>
                <w:rFonts w:cs="Arial"/>
              </w:rPr>
            </w:pPr>
            <w:r w:rsidRPr="00666B41">
              <w:rPr>
                <w:rFonts w:cs="Arial"/>
              </w:rPr>
              <w:t>only requesting information that is necessary;</w:t>
            </w:r>
          </w:p>
          <w:p w:rsidR="00D67910" w:rsidRPr="00666B41" w:rsidRDefault="00D67910" w:rsidP="00E65120">
            <w:pPr>
              <w:numPr>
                <w:ilvl w:val="0"/>
                <w:numId w:val="15"/>
              </w:numPr>
              <w:spacing w:after="0" w:line="240" w:lineRule="auto"/>
              <w:contextualSpacing/>
              <w:rPr>
                <w:rFonts w:cs="Arial"/>
              </w:rPr>
            </w:pPr>
            <w:r w:rsidRPr="00666B41">
              <w:rPr>
                <w:rFonts w:cs="Arial"/>
              </w:rPr>
              <w:t>clearly explaining the reasoning behind requirements</w:t>
            </w:r>
            <w:r w:rsidR="00A6701B">
              <w:rPr>
                <w:rFonts w:cs="Arial"/>
              </w:rPr>
              <w:t xml:space="preserve"> and/or </w:t>
            </w:r>
            <w:r w:rsidR="006030FB">
              <w:rPr>
                <w:rFonts w:cs="Arial"/>
              </w:rPr>
              <w:t>requests</w:t>
            </w:r>
            <w:r w:rsidRPr="00666B41">
              <w:rPr>
                <w:rFonts w:cs="Arial"/>
              </w:rPr>
              <w:t xml:space="preserve">; </w:t>
            </w:r>
            <w:r w:rsidR="006030FB">
              <w:rPr>
                <w:rFonts w:cs="Arial"/>
              </w:rPr>
              <w:t>and</w:t>
            </w:r>
          </w:p>
          <w:p w:rsidR="00D67910" w:rsidRPr="00666B41" w:rsidRDefault="00D67910" w:rsidP="00E65120">
            <w:pPr>
              <w:numPr>
                <w:ilvl w:val="0"/>
                <w:numId w:val="15"/>
              </w:numPr>
              <w:spacing w:after="0" w:line="240" w:lineRule="auto"/>
              <w:contextualSpacing/>
              <w:rPr>
                <w:rFonts w:cs="Arial"/>
              </w:rPr>
            </w:pPr>
            <w:r w:rsidRPr="00666B41">
              <w:rPr>
                <w:rFonts w:cs="Arial"/>
              </w:rPr>
              <w:t>maintaining relationships through a single point of contact during licensing</w:t>
            </w:r>
            <w:r w:rsidR="00A6701B">
              <w:rPr>
                <w:rFonts w:cs="Arial"/>
              </w:rPr>
              <w:t xml:space="preserve">, </w:t>
            </w:r>
            <w:r w:rsidRPr="00666B41">
              <w:rPr>
                <w:rFonts w:cs="Arial"/>
              </w:rPr>
              <w:t>permitting</w:t>
            </w:r>
            <w:r w:rsidR="00A6701B">
              <w:rPr>
                <w:rFonts w:cs="Arial"/>
              </w:rPr>
              <w:t xml:space="preserve">, or </w:t>
            </w:r>
            <w:r w:rsidRPr="00666B41">
              <w:rPr>
                <w:rFonts w:cs="Arial"/>
              </w:rPr>
              <w:t>assessment processes, where possible</w:t>
            </w:r>
            <w:r w:rsidR="006030FB">
              <w:rPr>
                <w:rFonts w:cs="Arial"/>
              </w:rPr>
              <w:t>.</w:t>
            </w:r>
          </w:p>
          <w:p w:rsidR="006030FB" w:rsidRPr="00666B41" w:rsidRDefault="006030FB" w:rsidP="006030FB">
            <w:pPr>
              <w:spacing w:after="0" w:line="240" w:lineRule="auto"/>
              <w:ind w:left="720"/>
              <w:contextualSpacing/>
              <w:rPr>
                <w:rFonts w:cs="Arial"/>
              </w:rPr>
            </w:pPr>
          </w:p>
          <w:p w:rsidR="00D67910" w:rsidRPr="00666B41" w:rsidRDefault="00D67910" w:rsidP="006A5A65">
            <w:pPr>
              <w:rPr>
                <w:rFonts w:cs="Arial"/>
              </w:rPr>
            </w:pPr>
            <w:r w:rsidRPr="00666B41">
              <w:rPr>
                <w:rFonts w:cs="Arial"/>
                <w:i/>
              </w:rPr>
              <w:t xml:space="preserve">Recommendation 2.8 (Making it easier to comply through consistent and </w:t>
            </w:r>
            <w:r w:rsidR="006030FB" w:rsidRPr="00666B41">
              <w:rPr>
                <w:rFonts w:cs="Arial"/>
                <w:i/>
              </w:rPr>
              <w:t>proactive</w:t>
            </w:r>
            <w:r w:rsidRPr="00666B41">
              <w:rPr>
                <w:rFonts w:cs="Arial"/>
                <w:i/>
              </w:rPr>
              <w:t xml:space="preserve"> stakeholder engagement) </w:t>
            </w:r>
            <w:r w:rsidRPr="00666B41">
              <w:rPr>
                <w:rFonts w:cs="Arial"/>
              </w:rPr>
              <w:t>relates to improving the Department’s programs</w:t>
            </w:r>
            <w:r w:rsidR="006A5A65">
              <w:rPr>
                <w:rFonts w:cs="Arial"/>
              </w:rPr>
              <w:t xml:space="preserve"> that assist stakeholders to better understand the Department’s requirements</w:t>
            </w:r>
            <w:r w:rsidRPr="00666B41">
              <w:rPr>
                <w:rFonts w:cs="Arial"/>
              </w:rPr>
              <w:t>, including by using behavioural insights.</w:t>
            </w:r>
          </w:p>
        </w:tc>
        <w:tc>
          <w:tcPr>
            <w:tcW w:w="2157" w:type="dxa"/>
            <w:vAlign w:val="center"/>
          </w:tcPr>
          <w:p w:rsidR="00D67910" w:rsidRDefault="00D67910" w:rsidP="00524907">
            <w:pPr>
              <w:jc w:val="center"/>
            </w:pPr>
            <w:r>
              <w:t>1</w:t>
            </w:r>
          </w:p>
        </w:tc>
        <w:tc>
          <w:tcPr>
            <w:tcW w:w="1778" w:type="dxa"/>
            <w:vAlign w:val="center"/>
          </w:tcPr>
          <w:p w:rsidR="00D67910" w:rsidRDefault="00D67910" w:rsidP="00524907">
            <w:pPr>
              <w:jc w:val="center"/>
            </w:pPr>
            <w:r>
              <w:t>2</w:t>
            </w:r>
          </w:p>
        </w:tc>
      </w:tr>
      <w:tr w:rsidR="00D67910" w:rsidTr="001427B2">
        <w:trPr>
          <w:cnfStyle w:val="000000100000" w:firstRow="0" w:lastRow="0" w:firstColumn="0" w:lastColumn="0" w:oddVBand="0" w:evenVBand="0" w:oddHBand="1" w:evenHBand="0" w:firstRowFirstColumn="0" w:firstRowLastColumn="0" w:lastRowFirstColumn="0" w:lastRowLastColumn="0"/>
        </w:trPr>
        <w:tc>
          <w:tcPr>
            <w:tcW w:w="2184" w:type="dxa"/>
          </w:tcPr>
          <w:p w:rsidR="00D67910" w:rsidRDefault="00D67910" w:rsidP="00524907">
            <w:pPr>
              <w:pStyle w:val="ListBullet"/>
              <w:numPr>
                <w:ilvl w:val="0"/>
                <w:numId w:val="0"/>
              </w:numPr>
              <w:rPr>
                <w:rFonts w:cs="Arial"/>
                <w:b/>
              </w:rPr>
            </w:pPr>
            <w:r>
              <w:rPr>
                <w:rFonts w:cs="Arial"/>
                <w:b/>
              </w:rPr>
              <w:t>6.3 Proactive engagement with community stakeholders</w:t>
            </w:r>
          </w:p>
        </w:tc>
        <w:tc>
          <w:tcPr>
            <w:tcW w:w="8950" w:type="dxa"/>
          </w:tcPr>
          <w:p w:rsidR="00D67910" w:rsidRDefault="00D67910" w:rsidP="00524907">
            <w:pPr>
              <w:rPr>
                <w:rFonts w:cs="Arial"/>
              </w:rPr>
            </w:pPr>
            <w:r w:rsidRPr="00666B41">
              <w:rPr>
                <w:rFonts w:cs="Arial"/>
              </w:rPr>
              <w:t xml:space="preserve">EPG should ensure that it routinely engages with relevant stakeholders during all phases of the design and implementation of regulatory processes. This should be reflected in the relevant regulatory framework (see </w:t>
            </w:r>
            <w:r w:rsidRPr="00666B41">
              <w:rPr>
                <w:rFonts w:cs="Arial"/>
                <w:i/>
              </w:rPr>
              <w:t>Recommendation 1.1 (Regulatory Framework)</w:t>
            </w:r>
            <w:r w:rsidRPr="00666B41">
              <w:rPr>
                <w:rFonts w:cs="Arial"/>
              </w:rPr>
              <w:t xml:space="preserve">). </w:t>
            </w:r>
          </w:p>
          <w:p w:rsidR="00D67910" w:rsidRDefault="00D67910" w:rsidP="00524907">
            <w:r w:rsidRPr="00666B41">
              <w:t>EPG could improve stakeholder relations and trust by establish</w:t>
            </w:r>
            <w:r w:rsidR="001810DF">
              <w:t>ing</w:t>
            </w:r>
            <w:r w:rsidRPr="00666B41">
              <w:t xml:space="preserve"> a policy roundtable comprising NGOs, industry, professional organisations (e.g. EIANZ) and academics to co-identify and co-design policy initiatives. This roundtable would also be a useful mechanism to review and evaluate policies and further understand the operating environment of stakeholders. </w:t>
            </w:r>
          </w:p>
          <w:p w:rsidR="00D67910" w:rsidRPr="00666B41" w:rsidRDefault="001810DF" w:rsidP="001810DF">
            <w:pPr>
              <w:rPr>
                <w:rFonts w:cs="Arial"/>
              </w:rPr>
            </w:pPr>
            <w:r>
              <w:rPr>
                <w:rFonts w:cs="Arial"/>
              </w:rPr>
              <w:t>EPG</w:t>
            </w:r>
            <w:r w:rsidR="00D67910" w:rsidRPr="00666B41">
              <w:rPr>
                <w:rFonts w:cs="Arial"/>
              </w:rPr>
              <w:t xml:space="preserve"> should identify the purpose and desired outcome of each proposed consultation and make this clear to the stakeholder. For example, officers should be up front about whether </w:t>
            </w:r>
            <w:r>
              <w:rPr>
                <w:rFonts w:cs="Arial"/>
              </w:rPr>
              <w:t>they are</w:t>
            </w:r>
            <w:r w:rsidR="00D67910" w:rsidRPr="00666B41">
              <w:rPr>
                <w:rFonts w:cs="Arial"/>
              </w:rPr>
              <w:t xml:space="preserve"> explaining a new policy and its rationale, or whether there is scope for the stakeholder to influence the policy.   </w:t>
            </w:r>
          </w:p>
        </w:tc>
        <w:tc>
          <w:tcPr>
            <w:tcW w:w="2157" w:type="dxa"/>
            <w:vAlign w:val="center"/>
          </w:tcPr>
          <w:p w:rsidR="00D67910" w:rsidRDefault="00D67910" w:rsidP="00524907">
            <w:pPr>
              <w:jc w:val="center"/>
            </w:pPr>
            <w:r>
              <w:t>2</w:t>
            </w:r>
          </w:p>
        </w:tc>
        <w:tc>
          <w:tcPr>
            <w:tcW w:w="1778" w:type="dxa"/>
            <w:vAlign w:val="center"/>
          </w:tcPr>
          <w:p w:rsidR="00D67910" w:rsidRDefault="001810DF" w:rsidP="00524907">
            <w:pPr>
              <w:jc w:val="center"/>
            </w:pPr>
            <w:r>
              <w:t>3</w:t>
            </w:r>
          </w:p>
          <w:p w:rsidR="00D67910" w:rsidRDefault="00D67910" w:rsidP="00524907">
            <w:pPr>
              <w:jc w:val="center"/>
            </w:pPr>
            <w:r>
              <w:t>ongoing</w:t>
            </w:r>
          </w:p>
        </w:tc>
      </w:tr>
      <w:tr w:rsidR="00D67910" w:rsidTr="001427B2">
        <w:trPr>
          <w:cnfStyle w:val="000000010000" w:firstRow="0" w:lastRow="0" w:firstColumn="0" w:lastColumn="0" w:oddVBand="0" w:evenVBand="0" w:oddHBand="0" w:evenHBand="1" w:firstRowFirstColumn="0" w:firstRowLastColumn="0" w:lastRowFirstColumn="0" w:lastRowLastColumn="0"/>
        </w:trPr>
        <w:tc>
          <w:tcPr>
            <w:tcW w:w="2184" w:type="dxa"/>
          </w:tcPr>
          <w:p w:rsidR="00D67910" w:rsidRDefault="00D67910" w:rsidP="00524907">
            <w:pPr>
              <w:pStyle w:val="ListBullet"/>
              <w:numPr>
                <w:ilvl w:val="0"/>
                <w:numId w:val="0"/>
              </w:numPr>
              <w:rPr>
                <w:rFonts w:cs="Arial"/>
                <w:b/>
              </w:rPr>
            </w:pPr>
            <w:r>
              <w:rPr>
                <w:rFonts w:cs="Arial"/>
                <w:b/>
              </w:rPr>
              <w:lastRenderedPageBreak/>
              <w:t>6.4 Working with other regulators</w:t>
            </w:r>
          </w:p>
        </w:tc>
        <w:tc>
          <w:tcPr>
            <w:tcW w:w="8950" w:type="dxa"/>
          </w:tcPr>
          <w:p w:rsidR="00D67910" w:rsidRDefault="00D67910" w:rsidP="00524907">
            <w:pPr>
              <w:rPr>
                <w:rFonts w:cs="Arial"/>
              </w:rPr>
            </w:pPr>
            <w:r w:rsidRPr="00634868">
              <w:rPr>
                <w:rFonts w:cs="Arial"/>
              </w:rPr>
              <w:t xml:space="preserve">The Department should increase engagement with other Commonwealth and state regulators to build its regulatory capability. This could include building stronger bilateral relationships with other regulators, for example through staff exchanges, secondments, </w:t>
            </w:r>
            <w:r w:rsidR="001810DF">
              <w:rPr>
                <w:rFonts w:cs="Arial"/>
              </w:rPr>
              <w:t xml:space="preserve">or </w:t>
            </w:r>
            <w:r w:rsidRPr="00634868">
              <w:rPr>
                <w:rFonts w:cs="Arial"/>
              </w:rPr>
              <w:t>ad hoc or standing working groups.</w:t>
            </w:r>
          </w:p>
          <w:p w:rsidR="00D67910" w:rsidRPr="00634868" w:rsidRDefault="00D67910" w:rsidP="00524907">
            <w:pPr>
              <w:rPr>
                <w:rFonts w:cs="Arial"/>
              </w:rPr>
            </w:pPr>
            <w:r w:rsidRPr="00634868">
              <w:rPr>
                <w:rFonts w:cs="Arial"/>
              </w:rPr>
              <w:t xml:space="preserve">The Compliance and Enforcement Branch should continue working to develop more systematic arrangements with Border Force. These should be formalised through an updated MOU. The Department should </w:t>
            </w:r>
            <w:r w:rsidR="001810DF">
              <w:rPr>
                <w:rFonts w:cs="Arial"/>
              </w:rPr>
              <w:t xml:space="preserve">develop </w:t>
            </w:r>
            <w:r w:rsidRPr="00634868">
              <w:rPr>
                <w:rFonts w:cs="Arial"/>
              </w:rPr>
              <w:t>similar</w:t>
            </w:r>
            <w:r w:rsidR="001810DF">
              <w:rPr>
                <w:rFonts w:cs="Arial"/>
              </w:rPr>
              <w:t xml:space="preserve"> arrangements</w:t>
            </w:r>
            <w:r w:rsidRPr="00634868">
              <w:rPr>
                <w:rFonts w:cs="Arial"/>
              </w:rPr>
              <w:t xml:space="preserve"> with other co-regulators. </w:t>
            </w:r>
          </w:p>
          <w:p w:rsidR="00D67910" w:rsidRDefault="00D67910" w:rsidP="00524907">
            <w:pPr>
              <w:rPr>
                <w:rFonts w:cs="Arial"/>
              </w:rPr>
            </w:pPr>
            <w:r w:rsidRPr="00634868">
              <w:rPr>
                <w:rFonts w:cs="Arial"/>
              </w:rPr>
              <w:t xml:space="preserve">The Department should develop a more consistent and systematic approach to appointing </w:t>
            </w:r>
            <w:r w:rsidR="001810DF">
              <w:rPr>
                <w:rFonts w:cs="Arial"/>
              </w:rPr>
              <w:t xml:space="preserve">authorised </w:t>
            </w:r>
            <w:r w:rsidRPr="00634868">
              <w:rPr>
                <w:rFonts w:cs="Arial"/>
              </w:rPr>
              <w:t xml:space="preserve">officers </w:t>
            </w:r>
            <w:r w:rsidR="001810DF">
              <w:rPr>
                <w:rFonts w:cs="Arial"/>
              </w:rPr>
              <w:t>from other state or Commonwealth agencies</w:t>
            </w:r>
            <w:r w:rsidRPr="00634868">
              <w:rPr>
                <w:rFonts w:cs="Arial"/>
              </w:rPr>
              <w:t>.</w:t>
            </w:r>
          </w:p>
          <w:p w:rsidR="00D67910" w:rsidRDefault="00914327" w:rsidP="00524907">
            <w:pPr>
              <w:rPr>
                <w:rFonts w:cs="Arial"/>
              </w:rPr>
            </w:pPr>
            <w:r>
              <w:rPr>
                <w:rFonts w:cs="Arial"/>
              </w:rPr>
              <w:t>EPG</w:t>
            </w:r>
            <w:r w:rsidR="00D67910" w:rsidRPr="00634868">
              <w:rPr>
                <w:rFonts w:cs="Arial"/>
              </w:rPr>
              <w:t xml:space="preserve"> should work with relevant state and territory co-regulators to agree on cooperative approaches to monitoring and compliance activities for shared areas of responsibility. This should include sharing supporting information such as briefs etc.</w:t>
            </w:r>
          </w:p>
          <w:p w:rsidR="00D67910" w:rsidRDefault="00D67910" w:rsidP="00524907">
            <w:pPr>
              <w:rPr>
                <w:rFonts w:cs="Arial"/>
              </w:rPr>
            </w:pPr>
            <w:r w:rsidRPr="00634868">
              <w:rPr>
                <w:rFonts w:cs="Arial"/>
              </w:rPr>
              <w:t>EPG should provide additional support and guidance to embedded officers working with state</w:t>
            </w:r>
            <w:r w:rsidR="00914327">
              <w:rPr>
                <w:rFonts w:cs="Arial"/>
              </w:rPr>
              <w:t xml:space="preserve"> and territory</w:t>
            </w:r>
            <w:r w:rsidRPr="00634868">
              <w:rPr>
                <w:rFonts w:cs="Arial"/>
              </w:rPr>
              <w:t xml:space="preserve"> governments, in particular:</w:t>
            </w:r>
          </w:p>
          <w:p w:rsidR="00D67910" w:rsidRPr="00634868" w:rsidRDefault="00D67910" w:rsidP="00E65120">
            <w:pPr>
              <w:pStyle w:val="ListBullet"/>
              <w:numPr>
                <w:ilvl w:val="0"/>
                <w:numId w:val="9"/>
              </w:numPr>
              <w:spacing w:after="0" w:line="240" w:lineRule="auto"/>
              <w:rPr>
                <w:rFonts w:cs="Arial"/>
              </w:rPr>
            </w:pPr>
            <w:r w:rsidRPr="00634868">
              <w:rPr>
                <w:rFonts w:cs="Arial"/>
              </w:rPr>
              <w:t>clarify roles with the embedded officer and the relevant agency with respect to the amount of assistance provided on assessments;</w:t>
            </w:r>
          </w:p>
          <w:p w:rsidR="00D67910" w:rsidRPr="00634868" w:rsidRDefault="00D67910" w:rsidP="00E65120">
            <w:pPr>
              <w:pStyle w:val="ListBullet"/>
              <w:numPr>
                <w:ilvl w:val="0"/>
                <w:numId w:val="9"/>
              </w:numPr>
              <w:spacing w:after="0" w:line="240" w:lineRule="auto"/>
              <w:rPr>
                <w:rFonts w:cs="Arial"/>
              </w:rPr>
            </w:pPr>
            <w:r w:rsidRPr="00634868">
              <w:rPr>
                <w:rFonts w:cs="Arial"/>
              </w:rPr>
              <w:t>monitor performance at regular intervals; and</w:t>
            </w:r>
          </w:p>
          <w:p w:rsidR="004E3028" w:rsidRDefault="00D67910">
            <w:pPr>
              <w:pStyle w:val="ListBullet"/>
              <w:numPr>
                <w:ilvl w:val="0"/>
                <w:numId w:val="9"/>
              </w:numPr>
              <w:spacing w:after="0" w:line="240" w:lineRule="auto"/>
              <w:rPr>
                <w:rFonts w:cs="Arial"/>
              </w:rPr>
            </w:pPr>
            <w:r w:rsidRPr="00634868">
              <w:rPr>
                <w:rFonts w:cs="Arial"/>
              </w:rPr>
              <w:t>facilitate regular meetings between the Department, the embedded officer and the relevant agency.</w:t>
            </w:r>
            <w:r w:rsidRPr="00634868">
              <w:rPr>
                <w:rFonts w:cs="Arial"/>
              </w:rPr>
              <w:tab/>
            </w:r>
          </w:p>
          <w:p w:rsidR="001810DF" w:rsidRDefault="001810DF" w:rsidP="001810DF">
            <w:pPr>
              <w:spacing w:after="0" w:line="240" w:lineRule="auto"/>
              <w:ind w:left="720"/>
              <w:rPr>
                <w:rFonts w:cs="Arial"/>
              </w:rPr>
            </w:pPr>
          </w:p>
          <w:p w:rsidR="00D67910" w:rsidRPr="00666B41" w:rsidRDefault="00914327" w:rsidP="00524907">
            <w:pPr>
              <w:rPr>
                <w:rFonts w:cs="Arial"/>
              </w:rPr>
            </w:pPr>
            <w:r>
              <w:rPr>
                <w:rFonts w:cs="Arial"/>
              </w:rPr>
              <w:t>EPG</w:t>
            </w:r>
            <w:r w:rsidR="00D67910" w:rsidRPr="00634868">
              <w:rPr>
                <w:rFonts w:cs="Arial"/>
              </w:rPr>
              <w:t xml:space="preserve"> should routinely share key assessment documentation with co-regulators (such as state and territory agencies).</w:t>
            </w:r>
          </w:p>
        </w:tc>
        <w:tc>
          <w:tcPr>
            <w:tcW w:w="2157" w:type="dxa"/>
            <w:vAlign w:val="center"/>
          </w:tcPr>
          <w:p w:rsidR="00D67910" w:rsidRDefault="001810DF" w:rsidP="00524907">
            <w:pPr>
              <w:jc w:val="center"/>
            </w:pPr>
            <w:r>
              <w:t>2</w:t>
            </w:r>
          </w:p>
        </w:tc>
        <w:tc>
          <w:tcPr>
            <w:tcW w:w="1778" w:type="dxa"/>
            <w:vAlign w:val="center"/>
          </w:tcPr>
          <w:p w:rsidR="00D67910" w:rsidRDefault="001810DF" w:rsidP="00524907">
            <w:pPr>
              <w:jc w:val="center"/>
            </w:pPr>
            <w:r>
              <w:t>2</w:t>
            </w:r>
          </w:p>
        </w:tc>
      </w:tr>
      <w:tr w:rsidR="00D67910" w:rsidTr="001427B2">
        <w:trPr>
          <w:cnfStyle w:val="000000100000" w:firstRow="0" w:lastRow="0" w:firstColumn="0" w:lastColumn="0" w:oddVBand="0" w:evenVBand="0" w:oddHBand="1" w:evenHBand="0" w:firstRowFirstColumn="0" w:firstRowLastColumn="0" w:lastRowFirstColumn="0" w:lastRowLastColumn="0"/>
        </w:trPr>
        <w:tc>
          <w:tcPr>
            <w:tcW w:w="2184" w:type="dxa"/>
          </w:tcPr>
          <w:p w:rsidR="00D67910" w:rsidRDefault="00D67910" w:rsidP="00524907">
            <w:pPr>
              <w:pStyle w:val="ListBullet"/>
              <w:numPr>
                <w:ilvl w:val="0"/>
                <w:numId w:val="0"/>
              </w:numPr>
              <w:rPr>
                <w:rFonts w:cs="Arial"/>
                <w:b/>
              </w:rPr>
            </w:pPr>
            <w:r>
              <w:rPr>
                <w:rFonts w:cs="Arial"/>
                <w:b/>
              </w:rPr>
              <w:t>6.5 Engaging with communities of practice</w:t>
            </w:r>
          </w:p>
        </w:tc>
        <w:tc>
          <w:tcPr>
            <w:tcW w:w="8950" w:type="dxa"/>
          </w:tcPr>
          <w:p w:rsidR="00D67910" w:rsidRDefault="00D67910" w:rsidP="00524907">
            <w:pPr>
              <w:rPr>
                <w:rFonts w:cs="Arial"/>
              </w:rPr>
            </w:pPr>
            <w:r w:rsidRPr="00634868">
              <w:rPr>
                <w:rFonts w:cs="Arial"/>
              </w:rPr>
              <w:t>The Department should increase engagement with relevant communities of practice to build its regulatory capability. This could include:</w:t>
            </w:r>
          </w:p>
          <w:p w:rsidR="00D67910" w:rsidRDefault="00D67910" w:rsidP="00E65120">
            <w:pPr>
              <w:numPr>
                <w:ilvl w:val="0"/>
                <w:numId w:val="24"/>
              </w:numPr>
              <w:spacing w:after="0" w:line="240" w:lineRule="auto"/>
              <w:ind w:left="760" w:hanging="357"/>
              <w:rPr>
                <w:rFonts w:cs="Arial"/>
              </w:rPr>
            </w:pPr>
            <w:r w:rsidRPr="00634868">
              <w:rPr>
                <w:rFonts w:cs="Arial"/>
              </w:rPr>
              <w:t xml:space="preserve">further engagement with Commonwealth forums (such as those managed by PM&amp;C) and national forums such </w:t>
            </w:r>
            <w:r w:rsidR="00914327">
              <w:rPr>
                <w:rFonts w:cs="Arial"/>
              </w:rPr>
              <w:t xml:space="preserve">as </w:t>
            </w:r>
            <w:r w:rsidRPr="00634868">
              <w:rPr>
                <w:rFonts w:cs="Arial"/>
              </w:rPr>
              <w:t>AELERT</w:t>
            </w:r>
            <w:r w:rsidR="00914327">
              <w:rPr>
                <w:rFonts w:cs="Arial"/>
              </w:rPr>
              <w:t xml:space="preserve"> and EIANZ</w:t>
            </w:r>
            <w:r w:rsidRPr="00634868">
              <w:rPr>
                <w:rFonts w:cs="Arial"/>
              </w:rPr>
              <w:t>;</w:t>
            </w:r>
            <w:r w:rsidR="00707E72">
              <w:rPr>
                <w:rFonts w:cs="Arial"/>
              </w:rPr>
              <w:t xml:space="preserve"> and</w:t>
            </w:r>
          </w:p>
          <w:p w:rsidR="00D67910" w:rsidRDefault="00D67910" w:rsidP="00E65120">
            <w:pPr>
              <w:numPr>
                <w:ilvl w:val="0"/>
                <w:numId w:val="24"/>
              </w:numPr>
              <w:spacing w:after="0" w:line="240" w:lineRule="auto"/>
              <w:ind w:left="760" w:hanging="357"/>
              <w:rPr>
                <w:rFonts w:cs="Arial"/>
              </w:rPr>
            </w:pPr>
            <w:r w:rsidRPr="00634868">
              <w:rPr>
                <w:rFonts w:cs="Arial"/>
              </w:rPr>
              <w:lastRenderedPageBreak/>
              <w:t xml:space="preserve">convening ad-hoc </w:t>
            </w:r>
            <w:r w:rsidR="00914327">
              <w:rPr>
                <w:rFonts w:cs="Arial"/>
              </w:rPr>
              <w:t xml:space="preserve">working </w:t>
            </w:r>
            <w:r w:rsidRPr="00634868">
              <w:rPr>
                <w:rFonts w:cs="Arial"/>
              </w:rPr>
              <w:t>groups with states and territories and/or</w:t>
            </w:r>
            <w:r w:rsidR="00914327">
              <w:rPr>
                <w:rFonts w:cs="Arial"/>
              </w:rPr>
              <w:t xml:space="preserve"> other</w:t>
            </w:r>
            <w:r w:rsidRPr="00634868">
              <w:rPr>
                <w:rFonts w:cs="Arial"/>
              </w:rPr>
              <w:t xml:space="preserve"> Commonwealth regulators to consider particular issues.</w:t>
            </w:r>
          </w:p>
          <w:p w:rsidR="0074492C" w:rsidRPr="00634868" w:rsidRDefault="0074492C" w:rsidP="0074492C">
            <w:pPr>
              <w:spacing w:after="0" w:line="240" w:lineRule="auto"/>
              <w:ind w:left="760"/>
              <w:rPr>
                <w:rFonts w:cs="Arial"/>
              </w:rPr>
            </w:pPr>
          </w:p>
        </w:tc>
        <w:tc>
          <w:tcPr>
            <w:tcW w:w="2157" w:type="dxa"/>
            <w:vAlign w:val="center"/>
          </w:tcPr>
          <w:p w:rsidR="00D67910" w:rsidRDefault="00914327" w:rsidP="00524907">
            <w:pPr>
              <w:jc w:val="center"/>
            </w:pPr>
            <w:r>
              <w:lastRenderedPageBreak/>
              <w:t>3</w:t>
            </w:r>
          </w:p>
        </w:tc>
        <w:tc>
          <w:tcPr>
            <w:tcW w:w="1778" w:type="dxa"/>
            <w:vAlign w:val="center"/>
          </w:tcPr>
          <w:p w:rsidR="00D67910" w:rsidRDefault="00D67910" w:rsidP="00524907">
            <w:pPr>
              <w:jc w:val="center"/>
            </w:pPr>
            <w:r>
              <w:t>2</w:t>
            </w:r>
          </w:p>
        </w:tc>
      </w:tr>
      <w:tr w:rsidR="00E25CCF" w:rsidTr="001427B2">
        <w:trPr>
          <w:cnfStyle w:val="000000010000" w:firstRow="0" w:lastRow="0" w:firstColumn="0" w:lastColumn="0" w:oddVBand="0" w:evenVBand="0" w:oddHBand="0" w:evenHBand="1" w:firstRowFirstColumn="0" w:firstRowLastColumn="0" w:lastRowFirstColumn="0" w:lastRowLastColumn="0"/>
        </w:trPr>
        <w:tc>
          <w:tcPr>
            <w:tcW w:w="2184" w:type="dxa"/>
            <w:vMerge w:val="restart"/>
          </w:tcPr>
          <w:p w:rsidR="00E25CCF" w:rsidRDefault="00E25CCF" w:rsidP="00524907">
            <w:pPr>
              <w:pStyle w:val="ListBullet"/>
              <w:numPr>
                <w:ilvl w:val="0"/>
                <w:numId w:val="0"/>
              </w:numPr>
              <w:rPr>
                <w:rFonts w:cs="Arial"/>
                <w:b/>
              </w:rPr>
            </w:pPr>
            <w:r>
              <w:rPr>
                <w:rFonts w:cs="Arial"/>
                <w:b/>
              </w:rPr>
              <w:t>6.6 Speaking with a single voice</w:t>
            </w:r>
          </w:p>
          <w:p w:rsidR="00E25CCF" w:rsidRDefault="00E25CCF" w:rsidP="00524907">
            <w:pPr>
              <w:pStyle w:val="ListBullet"/>
              <w:ind w:left="0"/>
              <w:rPr>
                <w:rFonts w:cs="Arial"/>
                <w:b/>
              </w:rPr>
            </w:pPr>
          </w:p>
        </w:tc>
        <w:tc>
          <w:tcPr>
            <w:tcW w:w="8950" w:type="dxa"/>
          </w:tcPr>
          <w:p w:rsidR="00E25CCF" w:rsidRDefault="00E25CCF" w:rsidP="00524907">
            <w:pPr>
              <w:rPr>
                <w:rFonts w:cs="Arial"/>
              </w:rPr>
            </w:pPr>
            <w:r w:rsidRPr="008B2EA9">
              <w:rPr>
                <w:rFonts w:cs="Arial"/>
              </w:rPr>
              <w:t xml:space="preserve">EPG should work with the Policy and Communication Branch in PAID to develop a broad communication strategy for EPG. This should focus on identifying the most effective engagement options given limited resources. In the longer term, this policy should also map stakeholders across EPG and the Department to allow a more coordinated approach to engagement. </w:t>
            </w:r>
          </w:p>
          <w:p w:rsidR="00E25CCF" w:rsidRPr="00634868" w:rsidRDefault="00E25CCF" w:rsidP="00914327">
            <w:pPr>
              <w:rPr>
                <w:rFonts w:cs="Arial"/>
              </w:rPr>
            </w:pPr>
            <w:r w:rsidRPr="008B2EA9">
              <w:rPr>
                <w:rFonts w:cs="Arial"/>
              </w:rPr>
              <w:t>EPG should record all relevant information about its interactions with stakeholders</w:t>
            </w:r>
            <w:r>
              <w:rPr>
                <w:rFonts w:cs="Arial"/>
              </w:rPr>
              <w:t xml:space="preserve"> (i.e. meetings, phone calls, e-mails, inspections) </w:t>
            </w:r>
            <w:r w:rsidRPr="008B2EA9">
              <w:rPr>
                <w:rFonts w:cs="Arial"/>
              </w:rPr>
              <w:t>and make this information available to all relevant officers to improve corporate memory, inform intelligence and analysis, support an accurate understanding of the operating environment</w:t>
            </w:r>
            <w:r>
              <w:rPr>
                <w:rFonts w:cs="Arial"/>
              </w:rPr>
              <w:t xml:space="preserve"> of the regulated community</w:t>
            </w:r>
            <w:r w:rsidRPr="008B2EA9">
              <w:rPr>
                <w:rFonts w:cs="Arial"/>
              </w:rPr>
              <w:t xml:space="preserve">, and </w:t>
            </w:r>
            <w:r>
              <w:rPr>
                <w:rFonts w:cs="Arial"/>
              </w:rPr>
              <w:t xml:space="preserve">support </w:t>
            </w:r>
            <w:r w:rsidRPr="008B2EA9">
              <w:rPr>
                <w:rFonts w:cs="Arial"/>
              </w:rPr>
              <w:t xml:space="preserve">risk management (see also the </w:t>
            </w:r>
            <w:r w:rsidRPr="008B2EA9">
              <w:rPr>
                <w:rFonts w:cs="Arial"/>
                <w:i/>
              </w:rPr>
              <w:t xml:space="preserve">Strategic Risk Assessment </w:t>
            </w:r>
            <w:r w:rsidRPr="008B2EA9">
              <w:rPr>
                <w:rFonts w:cs="Arial"/>
              </w:rPr>
              <w:t>section</w:t>
            </w:r>
            <w:r w:rsidRPr="008B2EA9">
              <w:rPr>
                <w:rFonts w:cs="Arial"/>
                <w:i/>
              </w:rPr>
              <w:t xml:space="preserve"> </w:t>
            </w:r>
            <w:r w:rsidRPr="008B2EA9">
              <w:rPr>
                <w:rFonts w:cs="Arial"/>
              </w:rPr>
              <w:t xml:space="preserve">and the </w:t>
            </w:r>
            <w:r w:rsidRPr="008B2EA9">
              <w:rPr>
                <w:rFonts w:cs="Arial"/>
                <w:i/>
              </w:rPr>
              <w:t xml:space="preserve">Resource Allocation </w:t>
            </w:r>
            <w:r w:rsidRPr="008B2EA9">
              <w:rPr>
                <w:rFonts w:cs="Arial"/>
              </w:rPr>
              <w:t>section in Chapter 5). In conjunction with intelligence, EPG should also use this information to target and prioritise stakeholder engagement and inform strategies.</w:t>
            </w:r>
          </w:p>
        </w:tc>
        <w:tc>
          <w:tcPr>
            <w:tcW w:w="2157" w:type="dxa"/>
            <w:vAlign w:val="center"/>
          </w:tcPr>
          <w:p w:rsidR="00E25CCF" w:rsidRDefault="00E25CCF" w:rsidP="00524907">
            <w:pPr>
              <w:jc w:val="center"/>
            </w:pPr>
            <w:r>
              <w:t>3</w:t>
            </w:r>
          </w:p>
        </w:tc>
        <w:tc>
          <w:tcPr>
            <w:tcW w:w="1778" w:type="dxa"/>
            <w:vAlign w:val="center"/>
          </w:tcPr>
          <w:p w:rsidR="00E25CCF" w:rsidRDefault="00E25CCF" w:rsidP="00524907">
            <w:pPr>
              <w:jc w:val="center"/>
            </w:pPr>
            <w:r>
              <w:t>2</w:t>
            </w:r>
          </w:p>
        </w:tc>
      </w:tr>
      <w:tr w:rsidR="00E25CCF" w:rsidTr="001427B2">
        <w:trPr>
          <w:cnfStyle w:val="000000100000" w:firstRow="0" w:lastRow="0" w:firstColumn="0" w:lastColumn="0" w:oddVBand="0" w:evenVBand="0" w:oddHBand="1" w:evenHBand="0" w:firstRowFirstColumn="0" w:firstRowLastColumn="0" w:lastRowFirstColumn="0" w:lastRowLastColumn="0"/>
        </w:trPr>
        <w:tc>
          <w:tcPr>
            <w:tcW w:w="2184" w:type="dxa"/>
            <w:vMerge/>
            <w:tcBorders>
              <w:bottom w:val="single" w:sz="4" w:space="0" w:color="auto"/>
            </w:tcBorders>
          </w:tcPr>
          <w:p w:rsidR="00E25CCF" w:rsidRDefault="00E25CCF" w:rsidP="00524907">
            <w:pPr>
              <w:pStyle w:val="ListBullet"/>
              <w:numPr>
                <w:ilvl w:val="0"/>
                <w:numId w:val="0"/>
              </w:numPr>
              <w:rPr>
                <w:rFonts w:cs="Arial"/>
                <w:b/>
              </w:rPr>
            </w:pPr>
          </w:p>
        </w:tc>
        <w:tc>
          <w:tcPr>
            <w:tcW w:w="8950" w:type="dxa"/>
            <w:tcBorders>
              <w:bottom w:val="single" w:sz="4" w:space="0" w:color="auto"/>
            </w:tcBorders>
          </w:tcPr>
          <w:p w:rsidR="00E25CCF" w:rsidRDefault="00E25CCF" w:rsidP="00524907">
            <w:pPr>
              <w:rPr>
                <w:rFonts w:cs="Arial"/>
              </w:rPr>
            </w:pPr>
            <w:r w:rsidRPr="008B2EA9">
              <w:rPr>
                <w:rFonts w:cs="Arial"/>
              </w:rPr>
              <w:t xml:space="preserve">EPG should establish designated points of contact for key stakeholders (not necessarily the stakeholder expert from </w:t>
            </w:r>
            <w:r w:rsidRPr="008B2EA9">
              <w:rPr>
                <w:rFonts w:cs="Arial"/>
                <w:i/>
              </w:rPr>
              <w:t>Recommendation 6.1 (Understanding Regulated Industries)</w:t>
            </w:r>
            <w:r w:rsidRPr="008B2EA9">
              <w:rPr>
                <w:rFonts w:cs="Arial"/>
              </w:rPr>
              <w:t>).</w:t>
            </w:r>
          </w:p>
          <w:p w:rsidR="00E25CCF" w:rsidRDefault="00E25CCF" w:rsidP="00524907">
            <w:pPr>
              <w:rPr>
                <w:rFonts w:cs="Arial"/>
              </w:rPr>
            </w:pPr>
            <w:r w:rsidRPr="008B2EA9">
              <w:rPr>
                <w:rFonts w:cs="Arial"/>
              </w:rPr>
              <w:t>Those officers should:</w:t>
            </w:r>
          </w:p>
          <w:p w:rsidR="00E25CCF" w:rsidRPr="008B2EA9" w:rsidRDefault="00E25CCF" w:rsidP="00E65120">
            <w:pPr>
              <w:numPr>
                <w:ilvl w:val="0"/>
                <w:numId w:val="26"/>
              </w:numPr>
              <w:spacing w:after="0" w:line="240" w:lineRule="auto"/>
              <w:contextualSpacing/>
              <w:rPr>
                <w:rFonts w:cs="Arial"/>
              </w:rPr>
            </w:pPr>
            <w:r w:rsidRPr="008B2EA9">
              <w:rPr>
                <w:rFonts w:cs="Arial"/>
              </w:rPr>
              <w:t>be a first point of contact;</w:t>
            </w:r>
          </w:p>
          <w:p w:rsidR="00E25CCF" w:rsidRPr="008B2EA9" w:rsidRDefault="00E25CCF" w:rsidP="00E65120">
            <w:pPr>
              <w:numPr>
                <w:ilvl w:val="0"/>
                <w:numId w:val="26"/>
              </w:numPr>
              <w:spacing w:after="0" w:line="240" w:lineRule="auto"/>
              <w:contextualSpacing/>
              <w:rPr>
                <w:rFonts w:cs="Arial"/>
              </w:rPr>
            </w:pPr>
            <w:r w:rsidRPr="008B2EA9">
              <w:rPr>
                <w:rFonts w:cs="Arial"/>
              </w:rPr>
              <w:t xml:space="preserve">have a general understanding of the interests of the stakeholder; </w:t>
            </w:r>
          </w:p>
          <w:p w:rsidR="00E25CCF" w:rsidRPr="008B2EA9" w:rsidRDefault="00E25CCF" w:rsidP="00E65120">
            <w:pPr>
              <w:numPr>
                <w:ilvl w:val="0"/>
                <w:numId w:val="26"/>
              </w:numPr>
              <w:spacing w:after="0" w:line="240" w:lineRule="auto"/>
              <w:contextualSpacing/>
              <w:rPr>
                <w:rFonts w:cs="Arial"/>
              </w:rPr>
            </w:pPr>
            <w:r w:rsidRPr="008B2EA9">
              <w:rPr>
                <w:rFonts w:cs="Arial"/>
              </w:rPr>
              <w:t>advise the stakeholder about any relevant new policies or other information;</w:t>
            </w:r>
          </w:p>
          <w:p w:rsidR="00E25CCF" w:rsidRPr="008B2EA9" w:rsidRDefault="00E25CCF" w:rsidP="00E65120">
            <w:pPr>
              <w:numPr>
                <w:ilvl w:val="0"/>
                <w:numId w:val="26"/>
              </w:numPr>
              <w:spacing w:after="0" w:line="240" w:lineRule="auto"/>
              <w:contextualSpacing/>
              <w:rPr>
                <w:rFonts w:cs="Arial"/>
              </w:rPr>
            </w:pPr>
            <w:r w:rsidRPr="008B2EA9">
              <w:rPr>
                <w:rFonts w:cs="Arial"/>
              </w:rPr>
              <w:t xml:space="preserve">facilitate effective transfer to another person if more specific information is required; </w:t>
            </w:r>
          </w:p>
          <w:p w:rsidR="00E25CCF" w:rsidRPr="008B2EA9" w:rsidRDefault="00E25CCF" w:rsidP="00E65120">
            <w:pPr>
              <w:numPr>
                <w:ilvl w:val="0"/>
                <w:numId w:val="26"/>
              </w:numPr>
              <w:spacing w:after="0" w:line="240" w:lineRule="auto"/>
              <w:contextualSpacing/>
              <w:rPr>
                <w:rFonts w:cs="Arial"/>
              </w:rPr>
            </w:pPr>
            <w:r w:rsidRPr="008B2EA9">
              <w:rPr>
                <w:rFonts w:cs="Arial"/>
              </w:rPr>
              <w:t>proactively facilitate any proposed transfer of responsibility to another person; and</w:t>
            </w:r>
          </w:p>
          <w:p w:rsidR="00E25CCF" w:rsidRDefault="00E25CCF" w:rsidP="00E65120">
            <w:pPr>
              <w:numPr>
                <w:ilvl w:val="0"/>
                <w:numId w:val="26"/>
              </w:numPr>
              <w:spacing w:after="0" w:line="240" w:lineRule="auto"/>
              <w:rPr>
                <w:rFonts w:cs="Arial"/>
              </w:rPr>
            </w:pPr>
            <w:r w:rsidRPr="008B2EA9">
              <w:rPr>
                <w:rFonts w:cs="Arial"/>
              </w:rPr>
              <w:t>be a general problem solver for the stakeholder.</w:t>
            </w:r>
          </w:p>
          <w:p w:rsidR="00E25CCF" w:rsidRPr="00563C02" w:rsidRDefault="00E25CCF" w:rsidP="00563C02">
            <w:pPr>
              <w:spacing w:after="0" w:line="240" w:lineRule="auto"/>
              <w:ind w:left="784"/>
              <w:rPr>
                <w:rFonts w:cs="Arial"/>
              </w:rPr>
            </w:pPr>
          </w:p>
          <w:p w:rsidR="00E25CCF" w:rsidRPr="008B2EA9" w:rsidRDefault="00E25CCF" w:rsidP="00A6701B">
            <w:pPr>
              <w:rPr>
                <w:rFonts w:cs="Arial"/>
              </w:rPr>
            </w:pPr>
            <w:r w:rsidRPr="008B2EA9">
              <w:rPr>
                <w:rFonts w:cs="Arial"/>
              </w:rPr>
              <w:lastRenderedPageBreak/>
              <w:t>EPG should endeavour to maintain single points of contact during licensing</w:t>
            </w:r>
            <w:r>
              <w:rPr>
                <w:rFonts w:cs="Arial"/>
              </w:rPr>
              <w:t xml:space="preserve">, </w:t>
            </w:r>
            <w:r w:rsidRPr="008B2EA9">
              <w:rPr>
                <w:rFonts w:cs="Arial"/>
              </w:rPr>
              <w:t>permitting</w:t>
            </w:r>
            <w:r>
              <w:rPr>
                <w:rFonts w:cs="Arial"/>
              </w:rPr>
              <w:t xml:space="preserve">, and </w:t>
            </w:r>
            <w:r w:rsidRPr="008B2EA9">
              <w:rPr>
                <w:rFonts w:cs="Arial"/>
              </w:rPr>
              <w:t>approvals processes to maintain and improve working relationships with proponents and state governments.</w:t>
            </w:r>
          </w:p>
        </w:tc>
        <w:tc>
          <w:tcPr>
            <w:tcW w:w="2157" w:type="dxa"/>
            <w:tcBorders>
              <w:bottom w:val="single" w:sz="4" w:space="0" w:color="auto"/>
            </w:tcBorders>
            <w:vAlign w:val="center"/>
          </w:tcPr>
          <w:p w:rsidR="00E25CCF" w:rsidRDefault="00E25CCF" w:rsidP="00524907">
            <w:pPr>
              <w:jc w:val="center"/>
            </w:pPr>
            <w:r>
              <w:lastRenderedPageBreak/>
              <w:t>1</w:t>
            </w:r>
          </w:p>
        </w:tc>
        <w:tc>
          <w:tcPr>
            <w:tcW w:w="1778" w:type="dxa"/>
            <w:tcBorders>
              <w:bottom w:val="single" w:sz="4" w:space="0" w:color="auto"/>
            </w:tcBorders>
            <w:vAlign w:val="center"/>
          </w:tcPr>
          <w:p w:rsidR="00E25CCF" w:rsidRDefault="00E25CCF" w:rsidP="00524907">
            <w:pPr>
              <w:jc w:val="center"/>
            </w:pPr>
            <w:r>
              <w:t>2</w:t>
            </w:r>
          </w:p>
        </w:tc>
      </w:tr>
    </w:tbl>
    <w:p w:rsidR="00D67910" w:rsidRDefault="00D67910" w:rsidP="00097DA8">
      <w:pPr>
        <w:rPr>
          <w:b/>
          <w:sz w:val="36"/>
          <w:szCs w:val="36"/>
        </w:rPr>
      </w:pPr>
    </w:p>
    <w:p w:rsidR="00D67910" w:rsidRDefault="00D67910" w:rsidP="00097DA8">
      <w:pPr>
        <w:rPr>
          <w:b/>
          <w:sz w:val="36"/>
          <w:szCs w:val="36"/>
        </w:rPr>
        <w:sectPr w:rsidR="00D67910" w:rsidSect="00D67910">
          <w:pgSz w:w="16838" w:h="11906" w:orient="landscape"/>
          <w:pgMar w:top="1418" w:right="1418" w:bottom="1276" w:left="567" w:header="425" w:footer="425" w:gutter="0"/>
          <w:cols w:space="708"/>
          <w:docGrid w:linePitch="360"/>
        </w:sectPr>
      </w:pPr>
    </w:p>
    <w:p w:rsidR="00E217D2" w:rsidRPr="005B1AFF" w:rsidRDefault="00CF0341" w:rsidP="00E217D2">
      <w:pPr>
        <w:jc w:val="center"/>
        <w:rPr>
          <w:b/>
          <w:color w:val="0B5294" w:themeColor="accent1" w:themeShade="BF"/>
          <w:sz w:val="44"/>
          <w:szCs w:val="44"/>
        </w:rPr>
      </w:pPr>
      <w:r>
        <w:rPr>
          <w:b/>
          <w:color w:val="0B5294" w:themeColor="accent1" w:themeShade="BF"/>
          <w:sz w:val="44"/>
          <w:szCs w:val="44"/>
        </w:rPr>
        <w:lastRenderedPageBreak/>
        <w:t>BACKGROUND</w:t>
      </w:r>
    </w:p>
    <w:p w:rsidR="0080085F" w:rsidRPr="0042419C" w:rsidRDefault="00451487" w:rsidP="0054243C">
      <w:pPr>
        <w:pStyle w:val="Heading1"/>
        <w:spacing w:after="120"/>
        <w:rPr>
          <w:color w:val="0B5294" w:themeColor="accent1" w:themeShade="BF"/>
          <w:sz w:val="28"/>
          <w:szCs w:val="28"/>
        </w:rPr>
      </w:pPr>
      <w:bookmarkStart w:id="4" w:name="_Toc443405141"/>
      <w:r w:rsidRPr="0042419C">
        <w:rPr>
          <w:color w:val="0B5294" w:themeColor="accent1" w:themeShade="BF"/>
          <w:sz w:val="28"/>
          <w:szCs w:val="28"/>
        </w:rPr>
        <w:t>WHAT IS REGULATION?</w:t>
      </w:r>
      <w:bookmarkEnd w:id="4"/>
    </w:p>
    <w:p w:rsidR="0080085F" w:rsidRDefault="0080085F" w:rsidP="0080085F">
      <w:pPr>
        <w:tabs>
          <w:tab w:val="left" w:pos="3990"/>
        </w:tabs>
      </w:pPr>
      <w:r>
        <w:t>Regulation can be defined broadly as a means of achieving the Government’s desired outcomes or more narrowly as rules set by a government authority where there is an expectation of compliance</w:t>
      </w:r>
      <w:r w:rsidR="0042187C">
        <w:rPr>
          <w:rStyle w:val="FootnoteReference"/>
        </w:rPr>
        <w:footnoteReference w:id="1"/>
      </w:r>
      <w:r>
        <w:t>. The Project prefers the broader definition as it encourages problems to be identified and understood from a broad perspective. It also allows consideration of the widest range of potential solutions, increasing the chance of success at least cost</w:t>
      </w:r>
      <w:r w:rsidR="00E16169">
        <w:t>.</w:t>
      </w:r>
    </w:p>
    <w:p w:rsidR="0080085F" w:rsidRDefault="0080085F" w:rsidP="0080085F">
      <w:pPr>
        <w:tabs>
          <w:tab w:val="left" w:pos="3990"/>
        </w:tabs>
      </w:pPr>
      <w:r>
        <w:t>The purpose of regulation is to influence the behaviour of businesses and the community to achieve a desired outcome, whether it is to provide public safety, establish optimal conditions for productivity, or protect public goods from threatening processes which the market has failed to take into account. There can be many types of regulation, depending on the outcome and the appropriate tool, such as legislation, regulations, quasi-regulations (e.g. industry standards and codes of practice), industry</w:t>
      </w:r>
      <w:r w:rsidR="00A6701B">
        <w:t xml:space="preserve"> and/or </w:t>
      </w:r>
      <w:r>
        <w:t xml:space="preserve">government agreements, accreditation schemes, and international treaties wherein the Australian Government is a signatory.  </w:t>
      </w:r>
    </w:p>
    <w:p w:rsidR="0080085F" w:rsidRPr="0042419C" w:rsidRDefault="006B06F6" w:rsidP="0054243C">
      <w:pPr>
        <w:pStyle w:val="Heading1"/>
        <w:spacing w:after="120"/>
        <w:rPr>
          <w:color w:val="0B5294" w:themeColor="accent1" w:themeShade="BF"/>
          <w:sz w:val="28"/>
          <w:szCs w:val="28"/>
        </w:rPr>
      </w:pPr>
      <w:bookmarkStart w:id="5" w:name="_Toc443405142"/>
      <w:r w:rsidRPr="0042419C">
        <w:rPr>
          <w:color w:val="0B5294" w:themeColor="accent1" w:themeShade="BF"/>
          <w:sz w:val="28"/>
          <w:szCs w:val="28"/>
        </w:rPr>
        <w:t>WHAT IS ‘REGULATORY MATURITY’ AND BEST PRACTICE?</w:t>
      </w:r>
      <w:bookmarkEnd w:id="5"/>
      <w:r w:rsidRPr="0042419C">
        <w:rPr>
          <w:color w:val="0B5294" w:themeColor="accent1" w:themeShade="BF"/>
          <w:sz w:val="28"/>
          <w:szCs w:val="28"/>
        </w:rPr>
        <w:t xml:space="preserve"> </w:t>
      </w:r>
    </w:p>
    <w:p w:rsidR="0080085F" w:rsidRDefault="0080085F" w:rsidP="0080085F">
      <w:r>
        <w:t>Regulation has become a critical feature of contemporary economies and societies. As the OECD points out, regulation “underpins markets, protects the rights and safety of citizens, and their property, and assists the efficient and equitable delivery of goods and services.”</w:t>
      </w:r>
      <w:r w:rsidR="00CD27F0" w:rsidRPr="00CD27F0">
        <w:rPr>
          <w:rStyle w:val="FootnoteReference"/>
        </w:rPr>
        <w:t xml:space="preserve"> </w:t>
      </w:r>
      <w:r w:rsidR="00CD27F0">
        <w:rPr>
          <w:rStyle w:val="FootnoteReference"/>
        </w:rPr>
        <w:footnoteReference w:id="2"/>
      </w:r>
      <w:r>
        <w:t xml:space="preserve"> In recent years there has been increased concern about poorly-implemented regulation. Where this occurs, unnecessary burden is placed upon businesses and the community. Where regimes are unnecessarily complex, duplicative or implemented poorly, the flow-on effects are felt by both the regulated community and the regulator. </w:t>
      </w:r>
    </w:p>
    <w:p w:rsidR="0080085F" w:rsidRDefault="0080085F" w:rsidP="0080085F">
      <w:r>
        <w:t>Around the world, there is growing recognition of a regulatory craft and the need for regulatory maturity. Regulators and academics are developing a greater understanding principles and approaches to regulation that are more likely to achieve the desired outcome, reduce impacts on regulated communities and maintain the trust of the community. This requires a much greater understanding of the regulated communities and their operating context.</w:t>
      </w:r>
    </w:p>
    <w:p w:rsidR="00E16169" w:rsidRDefault="0080085F" w:rsidP="0080085F">
      <w:r>
        <w:t>Becoming a mature regulator is an ongoing journey rather than an end point. A mature regulator</w:t>
      </w:r>
      <w:r w:rsidR="00E16169">
        <w:t>:</w:t>
      </w:r>
    </w:p>
    <w:p w:rsidR="00363C4C" w:rsidRDefault="00363C4C" w:rsidP="00363C4C">
      <w:pPr>
        <w:pStyle w:val="ListBullet"/>
      </w:pPr>
      <w:r>
        <w:t>understands its operating environment and strives for continuous improvement;</w:t>
      </w:r>
    </w:p>
    <w:p w:rsidR="00CD6C7A" w:rsidRDefault="00363C4C">
      <w:pPr>
        <w:pStyle w:val="ListBullet"/>
      </w:pPr>
      <w:r>
        <w:t>understands the complexity of regulation and strives to undertake its mandate in the most efficient and effective manner possible;</w:t>
      </w:r>
    </w:p>
    <w:p w:rsidR="00CD6C7A" w:rsidRDefault="0080085F">
      <w:pPr>
        <w:pStyle w:val="ListBullet"/>
      </w:pPr>
      <w:r>
        <w:t>embeds the principles of regulatory best practice in all of its activities</w:t>
      </w:r>
      <w:r w:rsidR="00E16169">
        <w:t>;</w:t>
      </w:r>
    </w:p>
    <w:p w:rsidR="00CD6C7A" w:rsidRDefault="0080085F">
      <w:pPr>
        <w:pStyle w:val="ListBullet"/>
      </w:pPr>
      <w:r>
        <w:t>has clearly defined objectives</w:t>
      </w:r>
      <w:r w:rsidR="00363C4C">
        <w:t xml:space="preserve"> and a </w:t>
      </w:r>
      <w:r w:rsidR="00E16169">
        <w:t>defined regulatory philosophy and approach;</w:t>
      </w:r>
    </w:p>
    <w:p w:rsidR="00CD6C7A" w:rsidRDefault="00E16169">
      <w:pPr>
        <w:pStyle w:val="ListBullet"/>
      </w:pPr>
      <w:r>
        <w:lastRenderedPageBreak/>
        <w:t>has a</w:t>
      </w:r>
      <w:r w:rsidR="0080085F">
        <w:t xml:space="preserve"> strong culture and leadership</w:t>
      </w:r>
      <w:r w:rsidR="00363C4C">
        <w:t>;</w:t>
      </w:r>
    </w:p>
    <w:p w:rsidR="00CD6C7A" w:rsidRDefault="0050784E">
      <w:pPr>
        <w:pStyle w:val="ListBullet"/>
      </w:pPr>
      <w:r>
        <w:t xml:space="preserve">builds and maintains a regulatory toolbox of a range of incentives and disincentives to achieve desired outcomes; </w:t>
      </w:r>
    </w:p>
    <w:p w:rsidR="00CD6C7A" w:rsidRDefault="00E16169">
      <w:pPr>
        <w:pStyle w:val="ListBullet"/>
      </w:pPr>
      <w:r>
        <w:t xml:space="preserve">has </w:t>
      </w:r>
      <w:r w:rsidR="0080085F">
        <w:t>a problem-solving approach that utilises the best tools for the job</w:t>
      </w:r>
      <w:r w:rsidR="0050784E">
        <w:t xml:space="preserve"> at least cost</w:t>
      </w:r>
      <w:r w:rsidR="00363C4C">
        <w:t>;</w:t>
      </w:r>
    </w:p>
    <w:p w:rsidR="00CD6C7A" w:rsidRDefault="00E16169">
      <w:pPr>
        <w:pStyle w:val="ListBullet"/>
      </w:pPr>
      <w:r>
        <w:t>manages risk effectively;</w:t>
      </w:r>
    </w:p>
    <w:p w:rsidR="00CD6C7A" w:rsidRDefault="0080085F">
      <w:pPr>
        <w:pStyle w:val="ListBullet"/>
      </w:pPr>
      <w:r>
        <w:t>has a well-trained workforce</w:t>
      </w:r>
      <w:r w:rsidR="00E16169">
        <w:t>;</w:t>
      </w:r>
    </w:p>
    <w:p w:rsidR="00CD6C7A" w:rsidRDefault="0080085F">
      <w:pPr>
        <w:pStyle w:val="ListBullet"/>
      </w:pPr>
      <w:r>
        <w:t>has the right businesses systems and processes to function efficiently and effectively</w:t>
      </w:r>
      <w:r w:rsidR="00363C4C">
        <w:t>;</w:t>
      </w:r>
    </w:p>
    <w:p w:rsidR="00CD6C7A" w:rsidRDefault="0080085F">
      <w:pPr>
        <w:pStyle w:val="ListBullet"/>
      </w:pPr>
      <w:r>
        <w:t>is a consistent and proactive two-way engager with stakeholders</w:t>
      </w:r>
      <w:r w:rsidR="00363C4C">
        <w:t>;</w:t>
      </w:r>
    </w:p>
    <w:p w:rsidR="00CD6C7A" w:rsidRDefault="0080085F">
      <w:pPr>
        <w:pStyle w:val="ListBullet"/>
      </w:pPr>
      <w:r>
        <w:t>is flexible</w:t>
      </w:r>
      <w:r w:rsidR="00E16169">
        <w:t xml:space="preserve"> and agile;</w:t>
      </w:r>
      <w:r w:rsidR="00363C4C">
        <w:t xml:space="preserve"> and</w:t>
      </w:r>
    </w:p>
    <w:p w:rsidR="00CD6C7A" w:rsidRDefault="0080085F">
      <w:pPr>
        <w:pStyle w:val="ListBullet"/>
      </w:pPr>
      <w:r>
        <w:t xml:space="preserve">organises resources around problems and tasks rather than the traditional model of simply allocating tasks to particular work areas.  </w:t>
      </w:r>
    </w:p>
    <w:p w:rsidR="00CF0341" w:rsidRPr="0042419C" w:rsidRDefault="00CF0341" w:rsidP="00CF0341">
      <w:pPr>
        <w:pStyle w:val="Heading1"/>
        <w:spacing w:after="120"/>
        <w:rPr>
          <w:color w:val="0B5294" w:themeColor="accent1" w:themeShade="BF"/>
          <w:sz w:val="28"/>
          <w:szCs w:val="28"/>
        </w:rPr>
      </w:pPr>
      <w:r w:rsidRPr="0042419C">
        <w:rPr>
          <w:color w:val="0B5294" w:themeColor="accent1" w:themeShade="BF"/>
          <w:sz w:val="28"/>
          <w:szCs w:val="28"/>
        </w:rPr>
        <w:t>THE VALUE OF ENVIRONMENTAL REGULATION</w:t>
      </w:r>
    </w:p>
    <w:p w:rsidR="00CF0341" w:rsidRDefault="00CF0341" w:rsidP="00CF0341">
      <w:pPr>
        <w:rPr>
          <w:rFonts w:cs="Arial"/>
        </w:rPr>
      </w:pPr>
      <w:r w:rsidRPr="009D31BF">
        <w:rPr>
          <w:rFonts w:cs="Arial"/>
        </w:rPr>
        <w:t>In moving to become a mature regulator, it is important for the Department to develop a strong regulatory identity and to</w:t>
      </w:r>
      <w:r>
        <w:rPr>
          <w:rFonts w:cs="Arial"/>
        </w:rPr>
        <w:t xml:space="preserve"> understand and</w:t>
      </w:r>
      <w:r w:rsidRPr="009D31BF">
        <w:rPr>
          <w:rFonts w:cs="Arial"/>
        </w:rPr>
        <w:t xml:space="preserve"> promote internally and externally</w:t>
      </w:r>
      <w:r>
        <w:rPr>
          <w:rFonts w:cs="Arial"/>
        </w:rPr>
        <w:t xml:space="preserve"> the role and benefits of the legislation it administers. This is particularly important where there are a range of community views about the relative priority of competing interests (such as biodiversity protection and development).</w:t>
      </w:r>
    </w:p>
    <w:p w:rsidR="00CF0341" w:rsidRDefault="00CF0341" w:rsidP="00CF0341">
      <w:pPr>
        <w:rPr>
          <w:rFonts w:cs="Arial"/>
        </w:rPr>
      </w:pPr>
      <w:r>
        <w:rPr>
          <w:rFonts w:cs="Arial"/>
        </w:rPr>
        <w:t>Environmental regulation is a contested and politically sensitive space, with members of the community holding a range of views about the appropriateness of, and necessity for, environmental regulation. While some areas of the community argue that current environmental regulation is an insufficient response to issues such as the complex and multi-faceted problem of biodiversity decline, other stakeholders argue</w:t>
      </w:r>
      <w:r w:rsidRPr="009D31BF">
        <w:rPr>
          <w:rFonts w:cs="Arial"/>
        </w:rPr>
        <w:t xml:space="preserve"> that the costs imposed by </w:t>
      </w:r>
      <w:r>
        <w:rPr>
          <w:rFonts w:cs="Arial"/>
        </w:rPr>
        <w:t>environmental regulation</w:t>
      </w:r>
      <w:r w:rsidRPr="009D31BF">
        <w:rPr>
          <w:rFonts w:cs="Arial"/>
        </w:rPr>
        <w:t xml:space="preserve"> outweigh the perceived benefits it achieves.</w:t>
      </w:r>
    </w:p>
    <w:p w:rsidR="00CF0341" w:rsidRDefault="00CF0341" w:rsidP="00CF0341">
      <w:pPr>
        <w:rPr>
          <w:rFonts w:cs="Arial"/>
        </w:rPr>
      </w:pPr>
      <w:r>
        <w:rPr>
          <w:rFonts w:cs="Arial"/>
        </w:rPr>
        <w:t xml:space="preserve">One traditional argument from economists is that </w:t>
      </w:r>
      <w:r w:rsidR="003539C5">
        <w:rPr>
          <w:rFonts w:cs="Arial"/>
        </w:rPr>
        <w:t xml:space="preserve">export </w:t>
      </w:r>
      <w:r>
        <w:rPr>
          <w:rFonts w:cs="Arial"/>
        </w:rPr>
        <w:t xml:space="preserve">industries are put at </w:t>
      </w:r>
      <w:r w:rsidRPr="009D31BF">
        <w:rPr>
          <w:rFonts w:cs="Arial"/>
        </w:rPr>
        <w:t>a disadvantage to their foreign competitors</w:t>
      </w:r>
      <w:r w:rsidRPr="009D31BF">
        <w:rPr>
          <w:rStyle w:val="FootnoteReference"/>
        </w:rPr>
        <w:footnoteReference w:id="3"/>
      </w:r>
      <w:r w:rsidRPr="00693443">
        <w:rPr>
          <w:rFonts w:cs="Arial"/>
        </w:rPr>
        <w:t xml:space="preserve"> </w:t>
      </w:r>
      <w:r>
        <w:rPr>
          <w:rFonts w:cs="Arial"/>
        </w:rPr>
        <w:t xml:space="preserve">if </w:t>
      </w:r>
      <w:r w:rsidRPr="009D31BF">
        <w:rPr>
          <w:rFonts w:cs="Arial"/>
        </w:rPr>
        <w:t xml:space="preserve">the stringency of </w:t>
      </w:r>
      <w:r>
        <w:rPr>
          <w:rFonts w:cs="Arial"/>
        </w:rPr>
        <w:t xml:space="preserve">environmental </w:t>
      </w:r>
      <w:r w:rsidRPr="009D31BF">
        <w:rPr>
          <w:rFonts w:cs="Arial"/>
        </w:rPr>
        <w:t>policies differs between countries</w:t>
      </w:r>
      <w:r>
        <w:rPr>
          <w:rFonts w:cs="Arial"/>
        </w:rPr>
        <w:t>.</w:t>
      </w:r>
      <w:r w:rsidRPr="009D31BF">
        <w:rPr>
          <w:rStyle w:val="FootnoteReference"/>
        </w:rPr>
        <w:footnoteReference w:id="4"/>
      </w:r>
      <w:r>
        <w:rPr>
          <w:rFonts w:cs="Arial"/>
        </w:rPr>
        <w:t xml:space="preserve"> Such arguments have the potential to foster unproductive relationships between the Department and the regulated community, which can impede the ability of the Department to administer the Government’s legislation effectively and efficiently. </w:t>
      </w:r>
      <w:r w:rsidR="003539C5">
        <w:rPr>
          <w:rFonts w:cs="Arial"/>
        </w:rPr>
        <w:t>This can also lead to the lowest common denominator of environmental standards.</w:t>
      </w:r>
    </w:p>
    <w:p w:rsidR="00CF0341" w:rsidRPr="009D31BF" w:rsidRDefault="00CF0341" w:rsidP="00CF0341">
      <w:pPr>
        <w:rPr>
          <w:rFonts w:cs="Arial"/>
        </w:rPr>
      </w:pPr>
      <w:r w:rsidRPr="009D31BF">
        <w:rPr>
          <w:rFonts w:cs="Arial"/>
        </w:rPr>
        <w:t>However, regulation, and government policy intervention more broadly, is very important in cases of market failure - where private costs and benefits differ from social costs and benefits. When market failures exist, regulation by government can lead to more efficient outcomes and can provide incentives to maximise the net benefit to society.</w:t>
      </w:r>
    </w:p>
    <w:p w:rsidR="00CF0341" w:rsidRPr="009D31BF" w:rsidRDefault="00CF0341" w:rsidP="00CF0341">
      <w:pPr>
        <w:rPr>
          <w:rFonts w:cs="Arial"/>
        </w:rPr>
      </w:pPr>
      <w:r w:rsidRPr="009D31BF">
        <w:rPr>
          <w:rFonts w:cs="Arial"/>
        </w:rPr>
        <w:t>Market failure primarily results from poor definition of property rights, and is exacerbated by lack of data or information, lack of awareness, few available alternatives, and failure to cost and manage impacts such as environmental degradation.</w:t>
      </w:r>
    </w:p>
    <w:p w:rsidR="00CF0341" w:rsidRPr="009D31BF" w:rsidRDefault="00CF0341" w:rsidP="00CF0341">
      <w:pPr>
        <w:rPr>
          <w:rFonts w:cs="Arial"/>
        </w:rPr>
      </w:pPr>
      <w:r w:rsidRPr="009D31BF">
        <w:rPr>
          <w:rFonts w:cs="Arial"/>
        </w:rPr>
        <w:lastRenderedPageBreak/>
        <w:t>All of these market failures are apparent in the area of environmental policy and it is clear that overall community benefits of sustainable management of the environment cannot be achieved without regulation.</w:t>
      </w:r>
    </w:p>
    <w:p w:rsidR="00CF0341" w:rsidRPr="009D31BF" w:rsidRDefault="00CF0341" w:rsidP="00CF0341">
      <w:pPr>
        <w:rPr>
          <w:rFonts w:cs="Arial"/>
        </w:rPr>
      </w:pPr>
      <w:r w:rsidRPr="009804E2">
        <w:rPr>
          <w:rFonts w:cs="Arial"/>
        </w:rPr>
        <w:t>In 2009, CSIRO estimated the value of Australia’s ecosystems; its air, water, forests, flora and fauna at more than $1,300 billion per year. Environmental regulation plays a critical role in balancing the protection of that asset</w:t>
      </w:r>
      <w:r w:rsidRPr="009D31BF">
        <w:rPr>
          <w:rFonts w:cs="Arial"/>
        </w:rPr>
        <w:t xml:space="preserve"> against other social and economic interests. </w:t>
      </w:r>
    </w:p>
    <w:p w:rsidR="00CF0341" w:rsidRPr="009D31BF" w:rsidRDefault="00CF0341" w:rsidP="00CF0341">
      <w:pPr>
        <w:rPr>
          <w:rFonts w:cs="Arial"/>
          <w:iCs/>
        </w:rPr>
      </w:pPr>
      <w:r w:rsidRPr="009D31BF">
        <w:rPr>
          <w:rFonts w:cs="Arial"/>
        </w:rPr>
        <w:t xml:space="preserve">There is no doubt that poorly designed </w:t>
      </w:r>
      <w:r>
        <w:rPr>
          <w:rFonts w:cs="Arial"/>
        </w:rPr>
        <w:t>and</w:t>
      </w:r>
      <w:r w:rsidRPr="009D31BF">
        <w:rPr>
          <w:rFonts w:cs="Arial"/>
        </w:rPr>
        <w:t xml:space="preserve"> i</w:t>
      </w:r>
      <w:r>
        <w:rPr>
          <w:rFonts w:cs="Arial"/>
        </w:rPr>
        <w:t>mplemented</w:t>
      </w:r>
      <w:r w:rsidRPr="009D31BF">
        <w:rPr>
          <w:rFonts w:cs="Arial"/>
        </w:rPr>
        <w:t xml:space="preserve"> regulation can place unnecessary administrative burden onto both business and regulators. But well-designed and implemented environmental regulation can </w:t>
      </w:r>
      <w:r w:rsidRPr="009D31BF">
        <w:rPr>
          <w:rFonts w:cs="Arial"/>
          <w:iCs/>
        </w:rPr>
        <w:t>drive innovation, which can reduce costs for industry and business.</w:t>
      </w:r>
    </w:p>
    <w:p w:rsidR="00CF0341" w:rsidRPr="009D31BF" w:rsidRDefault="00CF0341" w:rsidP="00CF0341">
      <w:pPr>
        <w:rPr>
          <w:rFonts w:cs="Arial"/>
          <w:iCs/>
        </w:rPr>
      </w:pPr>
      <w:r w:rsidRPr="009D31BF">
        <w:rPr>
          <w:rFonts w:cs="Arial"/>
          <w:iCs/>
        </w:rPr>
        <w:t>There is now significant evidence from international research that good environmental regulation does not impede overall competitiveness and economic development</w:t>
      </w:r>
      <w:r>
        <w:rPr>
          <w:rFonts w:cs="Arial"/>
          <w:iCs/>
        </w:rPr>
        <w:t>.</w:t>
      </w:r>
      <w:r w:rsidRPr="009D31BF">
        <w:rPr>
          <w:rStyle w:val="FootnoteReference"/>
          <w:iCs/>
        </w:rPr>
        <w:footnoteReference w:id="5"/>
      </w:r>
      <w:r>
        <w:rPr>
          <w:rFonts w:cs="Arial"/>
          <w:iCs/>
        </w:rPr>
        <w:t xml:space="preserve"> </w:t>
      </w:r>
      <w:r w:rsidRPr="009D31BF">
        <w:rPr>
          <w:rFonts w:cs="Arial"/>
          <w:iCs/>
        </w:rPr>
        <w:t>T</w:t>
      </w:r>
      <w:r w:rsidRPr="009D31BF">
        <w:rPr>
          <w:rFonts w:cs="Arial"/>
        </w:rPr>
        <w:t>he costs of complying with environmental regulations represents a relatively small share of production value for most sectors,</w:t>
      </w:r>
      <w:r w:rsidRPr="009D31BF">
        <w:rPr>
          <w:rStyle w:val="FootnoteReference"/>
        </w:rPr>
        <w:footnoteReference w:id="6"/>
      </w:r>
      <w:r w:rsidRPr="009D31BF">
        <w:rPr>
          <w:rFonts w:cs="Arial"/>
        </w:rPr>
        <w:t xml:space="preserve"> and environmental regulations often create </w:t>
      </w:r>
      <w:r w:rsidRPr="009D31BF">
        <w:rPr>
          <w:rFonts w:cs="Arial"/>
          <w:iCs/>
        </w:rPr>
        <w:t>pressures that drive innovation and alerts business about resource inefficiencies and new opportunities.</w:t>
      </w:r>
      <w:r w:rsidRPr="009D31BF">
        <w:rPr>
          <w:rStyle w:val="FootnoteReference"/>
          <w:iCs/>
        </w:rPr>
        <w:footnoteReference w:id="7"/>
      </w:r>
      <w:r w:rsidRPr="009D31BF">
        <w:rPr>
          <w:rFonts w:cs="Arial"/>
          <w:iCs/>
        </w:rPr>
        <w:t xml:space="preserve"> This innovation can partially or even fully offset the costs of complying with regulations.</w:t>
      </w:r>
      <w:r w:rsidRPr="009D31BF">
        <w:rPr>
          <w:rStyle w:val="FootnoteReference"/>
          <w:iCs/>
        </w:rPr>
        <w:footnoteReference w:id="8"/>
      </w:r>
    </w:p>
    <w:p w:rsidR="00CF0341" w:rsidRPr="009D31BF" w:rsidRDefault="00CF0341" w:rsidP="00CF0341">
      <w:pPr>
        <w:rPr>
          <w:rFonts w:cs="Arial"/>
          <w:i/>
          <w:iCs/>
        </w:rPr>
      </w:pPr>
      <w:r w:rsidRPr="009D31BF">
        <w:rPr>
          <w:rFonts w:cs="Arial"/>
          <w:iCs/>
        </w:rPr>
        <w:t>A</w:t>
      </w:r>
      <w:r w:rsidRPr="009D31BF">
        <w:rPr>
          <w:rFonts w:cs="Arial"/>
        </w:rPr>
        <w:t xml:space="preserve"> 2005 report by the Network of Heads of European Environment Protection Agencies</w:t>
      </w:r>
      <w:r w:rsidRPr="009D31BF">
        <w:rPr>
          <w:rStyle w:val="FootnoteReference"/>
          <w:i/>
          <w:iCs/>
        </w:rPr>
        <w:footnoteReference w:id="9"/>
      </w:r>
      <w:r w:rsidRPr="009D31BF">
        <w:rPr>
          <w:rFonts w:cs="Arial"/>
        </w:rPr>
        <w:t xml:space="preserve"> demonstrates that ‘</w:t>
      </w:r>
      <w:r w:rsidRPr="009D31BF">
        <w:rPr>
          <w:rFonts w:cs="Arial"/>
          <w:i/>
          <w:iCs/>
        </w:rPr>
        <w:t xml:space="preserve">countries with high environmental standards often have market leading firms and record better economic performance than those with lower standards’ </w:t>
      </w:r>
      <w:r w:rsidRPr="009D31BF">
        <w:rPr>
          <w:rFonts w:cs="Arial"/>
          <w:iCs/>
        </w:rPr>
        <w:t xml:space="preserve">because those environmental standards stimulate innovation in the companies selling environmental solutions, and the companies needing to comply with regulations.  </w:t>
      </w:r>
    </w:p>
    <w:p w:rsidR="00CF0341" w:rsidRPr="009D31BF" w:rsidRDefault="00CF0341" w:rsidP="00CF0341">
      <w:pPr>
        <w:rPr>
          <w:rFonts w:cs="Arial"/>
        </w:rPr>
      </w:pPr>
      <w:r w:rsidRPr="009D31BF">
        <w:rPr>
          <w:rFonts w:cs="Arial"/>
        </w:rPr>
        <w:t>The Organisation for Economic Cooperation and Development has also asserted that strong environmental regulation has a positive impact on the competitiveness of export driven industries such as agriculture, mining and tourism, because those industries tend to rely on a positive environmental image internationally.</w:t>
      </w:r>
      <w:r w:rsidRPr="009D31BF">
        <w:rPr>
          <w:rStyle w:val="FootnoteReference"/>
        </w:rPr>
        <w:footnoteReference w:id="10"/>
      </w:r>
      <w:r w:rsidRPr="009D31BF">
        <w:rPr>
          <w:rFonts w:cs="Arial"/>
        </w:rPr>
        <w:t xml:space="preserve"> </w:t>
      </w:r>
    </w:p>
    <w:p w:rsidR="00CF0341" w:rsidRPr="009D31BF" w:rsidRDefault="00CF0341" w:rsidP="00CF0341">
      <w:pPr>
        <w:rPr>
          <w:rFonts w:cs="Arial"/>
        </w:rPr>
      </w:pPr>
      <w:r w:rsidRPr="009D31BF">
        <w:rPr>
          <w:rFonts w:cs="Arial"/>
        </w:rPr>
        <w:t>Well-designed and implemented environmental regulation can also:</w:t>
      </w:r>
    </w:p>
    <w:p w:rsidR="00CF0341" w:rsidRPr="00AD5A35" w:rsidRDefault="00CF0341" w:rsidP="00CF0341">
      <w:pPr>
        <w:pStyle w:val="ListParagraph"/>
        <w:numPr>
          <w:ilvl w:val="0"/>
          <w:numId w:val="7"/>
        </w:numPr>
        <w:spacing w:after="0"/>
        <w:ind w:left="360"/>
        <w:contextualSpacing/>
        <w:rPr>
          <w:rFonts w:cs="Arial"/>
        </w:rPr>
      </w:pPr>
      <w:r w:rsidRPr="00AD5A35">
        <w:rPr>
          <w:rFonts w:cs="Arial"/>
        </w:rPr>
        <w:t>Reduce business risk and increase the confidence of the investment markets and insurers.</w:t>
      </w:r>
      <w:r>
        <w:rPr>
          <w:rStyle w:val="FootnoteReference"/>
          <w:rFonts w:cs="Arial"/>
        </w:rPr>
        <w:footnoteReference w:id="11"/>
      </w:r>
      <w:r w:rsidRPr="00AD5A35">
        <w:rPr>
          <w:rFonts w:cs="Arial"/>
        </w:rPr>
        <w:t xml:space="preserve"> When members of society are confident that the environmental impacts of a project are being appropriately managed, there is less likelihood that those projects will be the subject of community outrage or legal challenge;</w:t>
      </w:r>
    </w:p>
    <w:p w:rsidR="00CF0341" w:rsidRPr="00AD5A35" w:rsidRDefault="00CF0341" w:rsidP="00CF0341">
      <w:pPr>
        <w:pStyle w:val="ListParagraph"/>
        <w:numPr>
          <w:ilvl w:val="0"/>
          <w:numId w:val="7"/>
        </w:numPr>
        <w:spacing w:after="0"/>
        <w:ind w:left="360"/>
        <w:contextualSpacing/>
        <w:rPr>
          <w:rFonts w:cs="Arial"/>
        </w:rPr>
      </w:pPr>
      <w:r w:rsidRPr="009D31BF">
        <w:rPr>
          <w:rFonts w:cs="Arial"/>
        </w:rPr>
        <w:t>Improve the health of the workforce and the wider public.</w:t>
      </w:r>
      <w:r>
        <w:rPr>
          <w:rStyle w:val="FootnoteReference"/>
          <w:rFonts w:cs="Arial"/>
        </w:rPr>
        <w:footnoteReference w:id="12"/>
      </w:r>
    </w:p>
    <w:p w:rsidR="00CF0341" w:rsidRDefault="00CF0341" w:rsidP="00CF0341">
      <w:pPr>
        <w:pStyle w:val="ListParagraph"/>
        <w:numPr>
          <w:ilvl w:val="0"/>
          <w:numId w:val="7"/>
        </w:numPr>
        <w:spacing w:after="0"/>
        <w:ind w:left="360"/>
        <w:contextualSpacing/>
        <w:rPr>
          <w:rFonts w:cs="Arial"/>
        </w:rPr>
      </w:pPr>
      <w:r w:rsidRPr="009D31BF">
        <w:rPr>
          <w:rFonts w:cs="Arial"/>
        </w:rPr>
        <w:t>Protect the natural resources on which business and the community depend.</w:t>
      </w:r>
      <w:r>
        <w:rPr>
          <w:rStyle w:val="FootnoteReference"/>
          <w:rFonts w:cs="Arial"/>
        </w:rPr>
        <w:footnoteReference w:id="13"/>
      </w:r>
    </w:p>
    <w:p w:rsidR="00CF0341" w:rsidRDefault="00CF0341" w:rsidP="00CF0341">
      <w:pPr>
        <w:pStyle w:val="ListParagraph"/>
        <w:numPr>
          <w:ilvl w:val="0"/>
          <w:numId w:val="0"/>
        </w:numPr>
        <w:spacing w:after="0"/>
        <w:ind w:left="360"/>
        <w:contextualSpacing/>
        <w:rPr>
          <w:rFonts w:cs="Arial"/>
        </w:rPr>
      </w:pPr>
    </w:p>
    <w:p w:rsidR="00CF0341" w:rsidRDefault="00CF0341" w:rsidP="00CF0341">
      <w:pPr>
        <w:spacing w:after="60"/>
        <w:rPr>
          <w:rFonts w:cs="Arial"/>
          <w:iCs/>
        </w:rPr>
      </w:pPr>
      <w:r w:rsidRPr="009D31BF">
        <w:rPr>
          <w:rFonts w:cs="Arial"/>
          <w:iCs/>
        </w:rPr>
        <w:t xml:space="preserve">As is evident here, well-designed and well implemented environmental regulation has an important role to play in society, and the Department should embrace its regulatory functions.  </w:t>
      </w:r>
    </w:p>
    <w:p w:rsidR="00CF0341" w:rsidRDefault="00CF0341" w:rsidP="00CF0341">
      <w:pPr>
        <w:rPr>
          <w:rFonts w:cs="Arial"/>
          <w:iCs/>
        </w:rPr>
      </w:pPr>
      <w:r>
        <w:rPr>
          <w:rFonts w:cs="Arial"/>
          <w:iCs/>
        </w:rPr>
        <w:t>By understanding and promoting the value of good environmental regulation, the Department may be able to garner greater ‘buy-in’ from the regulated</w:t>
      </w:r>
      <w:r w:rsidR="003539C5">
        <w:rPr>
          <w:rFonts w:cs="Arial"/>
          <w:iCs/>
        </w:rPr>
        <w:t xml:space="preserve"> and broader</w:t>
      </w:r>
      <w:r>
        <w:rPr>
          <w:rFonts w:cs="Arial"/>
          <w:iCs/>
        </w:rPr>
        <w:t xml:space="preserve"> community, allowing the Department to more efficiently and effectively administer the Government’s regulatory regime.</w:t>
      </w:r>
      <w:r w:rsidRPr="009D31BF">
        <w:rPr>
          <w:rFonts w:cs="Arial"/>
          <w:iCs/>
        </w:rPr>
        <w:t xml:space="preserve"> </w:t>
      </w:r>
    </w:p>
    <w:p w:rsidR="00CF0341" w:rsidRDefault="0080085F" w:rsidP="0054243C">
      <w:pPr>
        <w:pStyle w:val="Heading1"/>
        <w:spacing w:after="120"/>
        <w:rPr>
          <w:caps w:val="0"/>
          <w:color w:val="0B5294" w:themeColor="accent1" w:themeShade="BF"/>
          <w:sz w:val="24"/>
          <w:szCs w:val="24"/>
        </w:rPr>
      </w:pPr>
      <w:bookmarkStart w:id="6" w:name="_Toc443405146"/>
      <w:r w:rsidRPr="0042419C">
        <w:rPr>
          <w:color w:val="0B5294" w:themeColor="accent1" w:themeShade="BF"/>
          <w:sz w:val="28"/>
          <w:szCs w:val="28"/>
        </w:rPr>
        <w:t>The Regulatory Roles of ESD and WHAM</w:t>
      </w:r>
      <w:bookmarkStart w:id="7" w:name="_Toc443405147"/>
      <w:bookmarkEnd w:id="6"/>
    </w:p>
    <w:p w:rsidR="0080085F" w:rsidRPr="0042419C" w:rsidRDefault="0054243C" w:rsidP="0054243C">
      <w:pPr>
        <w:pStyle w:val="Heading1"/>
        <w:spacing w:after="120"/>
        <w:rPr>
          <w:color w:val="0B5294" w:themeColor="accent1" w:themeShade="BF"/>
          <w:sz w:val="24"/>
          <w:szCs w:val="24"/>
        </w:rPr>
      </w:pPr>
      <w:r w:rsidRPr="0042419C">
        <w:rPr>
          <w:caps w:val="0"/>
          <w:color w:val="0B5294" w:themeColor="accent1" w:themeShade="BF"/>
          <w:sz w:val="24"/>
          <w:szCs w:val="24"/>
        </w:rPr>
        <w:t>The Environment Standards Division (ESD)</w:t>
      </w:r>
      <w:bookmarkEnd w:id="7"/>
    </w:p>
    <w:p w:rsidR="0080085F" w:rsidRPr="009D31BF" w:rsidRDefault="0080085F" w:rsidP="0080085F">
      <w:pPr>
        <w:tabs>
          <w:tab w:val="left" w:pos="3990"/>
        </w:tabs>
        <w:rPr>
          <w:rFonts w:cs="Arial"/>
        </w:rPr>
      </w:pPr>
      <w:r w:rsidRPr="009D31BF">
        <w:rPr>
          <w:rFonts w:cs="Arial"/>
        </w:rPr>
        <w:t>ESD is a relatively new division in Department</w:t>
      </w:r>
      <w:r w:rsidR="00363C4C">
        <w:rPr>
          <w:rFonts w:cs="Arial"/>
        </w:rPr>
        <w:t>. It</w:t>
      </w:r>
      <w:r w:rsidRPr="009D31BF">
        <w:rPr>
          <w:rFonts w:cs="Arial"/>
        </w:rPr>
        <w:t xml:space="preserve"> comprises two former divisions</w:t>
      </w:r>
      <w:r w:rsidR="00363C4C">
        <w:rPr>
          <w:rFonts w:cs="Arial"/>
        </w:rPr>
        <w:t xml:space="preserve">; </w:t>
      </w:r>
      <w:r w:rsidRPr="009D31BF">
        <w:rPr>
          <w:rFonts w:cs="Arial"/>
        </w:rPr>
        <w:t xml:space="preserve"> Environment Assessment and Compliance (</w:t>
      </w:r>
      <w:r w:rsidRPr="002B0717">
        <w:rPr>
          <w:rFonts w:cs="Arial"/>
          <w:b/>
        </w:rPr>
        <w:t>EACD</w:t>
      </w:r>
      <w:r w:rsidRPr="009D31BF">
        <w:rPr>
          <w:rFonts w:cs="Arial"/>
        </w:rPr>
        <w:t>) and the Environment Quality (</w:t>
      </w:r>
      <w:r w:rsidRPr="002B0717">
        <w:rPr>
          <w:rFonts w:cs="Arial"/>
          <w:b/>
        </w:rPr>
        <w:t>EQD</w:t>
      </w:r>
      <w:r w:rsidRPr="009D31BF">
        <w:rPr>
          <w:rFonts w:cs="Arial"/>
        </w:rPr>
        <w:t>) divisions, which merged in mid-2015. ESD deal</w:t>
      </w:r>
      <w:r w:rsidR="00363C4C">
        <w:rPr>
          <w:rFonts w:cs="Arial"/>
        </w:rPr>
        <w:t>s</w:t>
      </w:r>
      <w:r w:rsidRPr="009D31BF">
        <w:rPr>
          <w:rFonts w:cs="Arial"/>
        </w:rPr>
        <w:t xml:space="preserve"> with the themes of air pollution, air quality, biotechnology, chemicals, conservation of materials, conservation of domestic water use, hazardous waste, Matters of National Environmental Significance (</w:t>
      </w:r>
      <w:r w:rsidRPr="002B0717">
        <w:rPr>
          <w:rFonts w:cs="Arial"/>
          <w:b/>
        </w:rPr>
        <w:t>MNES</w:t>
      </w:r>
      <w:r w:rsidRPr="009D31BF">
        <w:rPr>
          <w:rFonts w:cs="Arial"/>
        </w:rPr>
        <w:t xml:space="preserve">) and sea dumping. </w:t>
      </w:r>
    </w:p>
    <w:p w:rsidR="0080085F" w:rsidRDefault="0080085F" w:rsidP="0080085F">
      <w:pPr>
        <w:tabs>
          <w:tab w:val="left" w:pos="3990"/>
        </w:tabs>
        <w:rPr>
          <w:rFonts w:cs="Arial"/>
        </w:rPr>
      </w:pPr>
      <w:r w:rsidRPr="009D31BF">
        <w:rPr>
          <w:rFonts w:cs="Arial"/>
        </w:rPr>
        <w:t xml:space="preserve">ESD’s focus is on reducing risk to human health and the environment. It does this by reducing pollution through the implementation of national frameworks, standards, regulations, monitoring, and reporting for wastes, hazardous substances, air pollutants, ozone depleting substances and synthetic greenhouse gasses. It also conducts assessments of projects under the </w:t>
      </w:r>
      <w:r w:rsidR="005A4278" w:rsidRPr="005A4278">
        <w:rPr>
          <w:rFonts w:cs="Arial"/>
        </w:rPr>
        <w:t>EPBC Act</w:t>
      </w:r>
      <w:r w:rsidRPr="009D31BF">
        <w:rPr>
          <w:rFonts w:cs="Arial"/>
        </w:rPr>
        <w:t xml:space="preserve">, including individual projects and Commonwealth strategic assessments. Other regulatory activities include various licensing and permitting, inspections, and compliance and enforcement under the </w:t>
      </w:r>
      <w:r w:rsidR="005A4278" w:rsidRPr="005A4278">
        <w:rPr>
          <w:rFonts w:cs="Arial"/>
        </w:rPr>
        <w:t>EPBC Act</w:t>
      </w:r>
      <w:r w:rsidRPr="009D31BF">
        <w:rPr>
          <w:rFonts w:cs="Arial"/>
        </w:rPr>
        <w:t xml:space="preserve">.  </w:t>
      </w:r>
    </w:p>
    <w:p w:rsidR="0080085F" w:rsidRPr="009D31BF" w:rsidRDefault="0080085F" w:rsidP="0080085F">
      <w:pPr>
        <w:tabs>
          <w:tab w:val="left" w:pos="3990"/>
        </w:tabs>
        <w:rPr>
          <w:rFonts w:cs="Arial"/>
        </w:rPr>
      </w:pPr>
      <w:r w:rsidRPr="009D31BF">
        <w:rPr>
          <w:rFonts w:cs="Arial"/>
        </w:rPr>
        <w:t xml:space="preserve">In addition to its regulatory business, ESD also works on the development of strategic policy, is continuing the implementation of the Government’s One Stop Shop policy, legislative development and divisional support units such as the Data and Information Management Section. </w:t>
      </w:r>
    </w:p>
    <w:p w:rsidR="0080085F" w:rsidRPr="0042419C" w:rsidRDefault="0080085F" w:rsidP="002B0717">
      <w:pPr>
        <w:pStyle w:val="Heading1"/>
        <w:spacing w:after="120"/>
        <w:rPr>
          <w:caps w:val="0"/>
          <w:color w:val="0B5294" w:themeColor="accent1" w:themeShade="BF"/>
          <w:sz w:val="24"/>
          <w:szCs w:val="24"/>
        </w:rPr>
      </w:pPr>
      <w:bookmarkStart w:id="8" w:name="_Toc443405148"/>
      <w:r w:rsidRPr="0042419C">
        <w:rPr>
          <w:caps w:val="0"/>
          <w:color w:val="0B5294" w:themeColor="accent1" w:themeShade="BF"/>
          <w:sz w:val="24"/>
          <w:szCs w:val="24"/>
        </w:rPr>
        <w:t>The Wildlife,</w:t>
      </w:r>
      <w:r w:rsidR="00D739AE">
        <w:rPr>
          <w:caps w:val="0"/>
          <w:color w:val="0B5294" w:themeColor="accent1" w:themeShade="BF"/>
          <w:sz w:val="24"/>
          <w:szCs w:val="24"/>
        </w:rPr>
        <w:t xml:space="preserve"> Heritage &amp; Marine Division (WHa</w:t>
      </w:r>
      <w:r w:rsidRPr="0042419C">
        <w:rPr>
          <w:caps w:val="0"/>
          <w:color w:val="0B5294" w:themeColor="accent1" w:themeShade="BF"/>
          <w:sz w:val="24"/>
          <w:szCs w:val="24"/>
        </w:rPr>
        <w:t>M)</w:t>
      </w:r>
      <w:bookmarkEnd w:id="8"/>
    </w:p>
    <w:p w:rsidR="0080085F" w:rsidRPr="002B0717" w:rsidRDefault="00DA1F3B" w:rsidP="0080085F">
      <w:pPr>
        <w:tabs>
          <w:tab w:val="left" w:pos="3990"/>
        </w:tabs>
        <w:rPr>
          <w:rFonts w:cs="Arial"/>
          <w:i/>
        </w:rPr>
      </w:pPr>
      <w:r>
        <w:rPr>
          <w:rFonts w:cs="Arial"/>
        </w:rPr>
        <w:t>A</w:t>
      </w:r>
      <w:r w:rsidR="0080085F" w:rsidRPr="009D31BF">
        <w:rPr>
          <w:rFonts w:cs="Arial"/>
        </w:rPr>
        <w:t xml:space="preserve"> significant part of WH</w:t>
      </w:r>
      <w:r w:rsidR="002B0717">
        <w:rPr>
          <w:rFonts w:cs="Arial"/>
        </w:rPr>
        <w:t>a</w:t>
      </w:r>
      <w:r w:rsidR="0080085F" w:rsidRPr="009D31BF">
        <w:rPr>
          <w:rFonts w:cs="Arial"/>
        </w:rPr>
        <w:t xml:space="preserve">M’s work involves the assessment and listing of various Matters of National Environmental Significance under the </w:t>
      </w:r>
      <w:r w:rsidR="005A4278" w:rsidRPr="005A4278">
        <w:rPr>
          <w:rFonts w:cs="Arial"/>
        </w:rPr>
        <w:t>EPBC Act</w:t>
      </w:r>
      <w:r w:rsidR="0080085F" w:rsidRPr="009D31BF">
        <w:rPr>
          <w:rFonts w:cs="Arial"/>
        </w:rPr>
        <w:t xml:space="preserve"> - ranging from heritage sites to threatened species and ecological communities. Other regulatory activities include preparing, implementing and reviewing recovery plans, managing Part 13A of the </w:t>
      </w:r>
      <w:r w:rsidR="005A4278" w:rsidRPr="005A4278">
        <w:rPr>
          <w:rFonts w:cs="Arial"/>
        </w:rPr>
        <w:t>EPBC Act</w:t>
      </w:r>
      <w:r w:rsidR="0080085F" w:rsidRPr="009D31BF">
        <w:rPr>
          <w:rFonts w:cs="Arial"/>
        </w:rPr>
        <w:t xml:space="preserve"> surrounding the international regulation of Wildlife Trade under the Convention on International Trade in Endangered Species (</w:t>
      </w:r>
      <w:r w:rsidR="0080085F" w:rsidRPr="002B0717">
        <w:rPr>
          <w:rFonts w:cs="Arial"/>
          <w:b/>
        </w:rPr>
        <w:t>CITES</w:t>
      </w:r>
      <w:r w:rsidR="0080085F" w:rsidRPr="009D31BF">
        <w:rPr>
          <w:rFonts w:cs="Arial"/>
        </w:rPr>
        <w:t>), administration of the Historic Shipwrecks Act, assessing the performance and promoting ecologically sustainable management in Commonwealth and state</w:t>
      </w:r>
      <w:r w:rsidR="00A6701B">
        <w:rPr>
          <w:rFonts w:cs="Arial"/>
        </w:rPr>
        <w:t xml:space="preserve"> and </w:t>
      </w:r>
      <w:r w:rsidR="0080085F" w:rsidRPr="009D31BF">
        <w:rPr>
          <w:rFonts w:cs="Arial"/>
        </w:rPr>
        <w:t xml:space="preserve">territory managed fisheries and finally case management and reform of the </w:t>
      </w:r>
      <w:r w:rsidR="0080085F" w:rsidRPr="002B0717">
        <w:rPr>
          <w:rFonts w:cs="Arial"/>
          <w:i/>
        </w:rPr>
        <w:t xml:space="preserve">Aboriginal and Torres Strait Islander Heritage Protection Act. </w:t>
      </w:r>
    </w:p>
    <w:p w:rsidR="0080085F" w:rsidRPr="009D31BF" w:rsidRDefault="0080085F" w:rsidP="0080085F">
      <w:pPr>
        <w:tabs>
          <w:tab w:val="left" w:pos="3990"/>
        </w:tabs>
        <w:rPr>
          <w:rFonts w:cs="Arial"/>
        </w:rPr>
      </w:pPr>
      <w:r w:rsidRPr="009D31BF">
        <w:rPr>
          <w:rFonts w:cs="Arial"/>
        </w:rPr>
        <w:t xml:space="preserve">In addition to CITES, </w:t>
      </w:r>
      <w:r w:rsidR="00363C4C">
        <w:rPr>
          <w:rFonts w:cs="Arial"/>
        </w:rPr>
        <w:t>WHaM</w:t>
      </w:r>
      <w:r w:rsidRPr="009D31BF">
        <w:rPr>
          <w:rFonts w:cs="Arial"/>
        </w:rPr>
        <w:t xml:space="preserve"> also implements and manages a number of the Department’s international obligations and programs, including the World Heritage Convention, the Kokoda Initiative, the International Whaling Commission, the Coral Triangle Initiative and other regional and international programs concerning heritage, ecosystem and marine issues.</w:t>
      </w:r>
    </w:p>
    <w:p w:rsidR="0080085F" w:rsidRPr="009D31BF" w:rsidRDefault="00363C4C" w:rsidP="0080085F">
      <w:pPr>
        <w:tabs>
          <w:tab w:val="left" w:pos="3990"/>
        </w:tabs>
        <w:rPr>
          <w:rFonts w:cs="Arial"/>
        </w:rPr>
      </w:pPr>
      <w:r>
        <w:rPr>
          <w:rFonts w:cs="Arial"/>
        </w:rPr>
        <w:t xml:space="preserve">WHaM is also responsible for </w:t>
      </w:r>
      <w:r w:rsidR="0080085F" w:rsidRPr="009D31BF">
        <w:rPr>
          <w:rFonts w:cs="Arial"/>
        </w:rPr>
        <w:t xml:space="preserve">leading environmental biosecurity policy, developing and implementing National and Commonwealth heritage policy and providing advice on MNES to assist with statutory decisions under the </w:t>
      </w:r>
      <w:r w:rsidR="005A4278" w:rsidRPr="005A4278">
        <w:rPr>
          <w:rFonts w:cs="Arial"/>
        </w:rPr>
        <w:t>EPBC Act</w:t>
      </w:r>
      <w:r w:rsidR="001300BC">
        <w:rPr>
          <w:rFonts w:cs="Arial"/>
        </w:rPr>
        <w:t>.</w:t>
      </w:r>
      <w:r w:rsidR="0080085F" w:rsidRPr="009D31BF">
        <w:rPr>
          <w:rFonts w:cs="Arial"/>
        </w:rPr>
        <w:t xml:space="preserve"> </w:t>
      </w:r>
    </w:p>
    <w:p w:rsidR="0080085F" w:rsidRPr="0042419C" w:rsidRDefault="0080085F" w:rsidP="002B0717">
      <w:pPr>
        <w:pStyle w:val="Heading1"/>
        <w:spacing w:after="120"/>
        <w:rPr>
          <w:caps w:val="0"/>
          <w:color w:val="0B5294" w:themeColor="accent1" w:themeShade="BF"/>
          <w:sz w:val="24"/>
          <w:szCs w:val="24"/>
        </w:rPr>
      </w:pPr>
      <w:bookmarkStart w:id="9" w:name="_Toc443405149"/>
      <w:r w:rsidRPr="0042419C">
        <w:rPr>
          <w:caps w:val="0"/>
          <w:color w:val="0B5294" w:themeColor="accent1" w:themeShade="BF"/>
          <w:sz w:val="24"/>
          <w:szCs w:val="24"/>
        </w:rPr>
        <w:lastRenderedPageBreak/>
        <w:t>Key Linkages</w:t>
      </w:r>
      <w:bookmarkEnd w:id="9"/>
    </w:p>
    <w:p w:rsidR="0080085F" w:rsidRPr="009D31BF" w:rsidRDefault="0080085F" w:rsidP="0080085F">
      <w:pPr>
        <w:rPr>
          <w:rFonts w:cs="Arial"/>
        </w:rPr>
      </w:pPr>
      <w:r w:rsidRPr="009D31BF">
        <w:rPr>
          <w:rFonts w:cs="Arial"/>
        </w:rPr>
        <w:t>ESD and WHaM have a number of critical linkages with each other. In particular WHaM is responsible for listing, and providing expert advice about, protected matters (such as listed species and heritage places) that are the subject of environmental impact assessments undertaken by ESD. In addition the Compliance and Enforcement Branch in ESD performs a range of compliance and enforcement functions across the Department, including for areas in WHaM.</w:t>
      </w:r>
    </w:p>
    <w:p w:rsidR="0080085F" w:rsidRPr="009D31BF" w:rsidRDefault="0080085F" w:rsidP="0080085F">
      <w:pPr>
        <w:rPr>
          <w:rFonts w:cs="Arial"/>
        </w:rPr>
      </w:pPr>
      <w:r w:rsidRPr="009D31BF">
        <w:rPr>
          <w:rFonts w:cs="Arial"/>
        </w:rPr>
        <w:t>Both ESD and WHAM have critical linkages with other areas of the Department in order to support their activities. These include, but are not limited to, the Environmental Resources Information Network (</w:t>
      </w:r>
      <w:r w:rsidRPr="002B0717">
        <w:rPr>
          <w:rFonts w:cs="Arial"/>
          <w:b/>
        </w:rPr>
        <w:t>ERIN</w:t>
      </w:r>
      <w:r w:rsidRPr="009D31BF">
        <w:rPr>
          <w:rFonts w:cs="Arial"/>
        </w:rPr>
        <w:t>), the Office of Water Science (</w:t>
      </w:r>
      <w:r w:rsidRPr="002B0717">
        <w:rPr>
          <w:rFonts w:cs="Arial"/>
          <w:b/>
        </w:rPr>
        <w:t>OWS</w:t>
      </w:r>
      <w:r w:rsidRPr="009D31BF">
        <w:rPr>
          <w:rFonts w:cs="Arial"/>
        </w:rPr>
        <w:t xml:space="preserve">), Parks Australia, the Biodiversity Conservation Division, as well as corporate support </w:t>
      </w:r>
      <w:r w:rsidR="001300BC">
        <w:rPr>
          <w:rFonts w:cs="Arial"/>
        </w:rPr>
        <w:t>areas</w:t>
      </w:r>
      <w:r w:rsidRPr="009D31BF">
        <w:rPr>
          <w:rFonts w:cs="Arial"/>
        </w:rPr>
        <w:t xml:space="preserve"> such as the General Counsel</w:t>
      </w:r>
      <w:r w:rsidR="001300BC">
        <w:rPr>
          <w:rFonts w:cs="Arial"/>
        </w:rPr>
        <w:t xml:space="preserve"> Branch</w:t>
      </w:r>
      <w:r w:rsidRPr="009D31BF">
        <w:rPr>
          <w:rFonts w:cs="Arial"/>
        </w:rPr>
        <w:t>, Policy Analysis and Implementation</w:t>
      </w:r>
      <w:r w:rsidR="001300BC">
        <w:rPr>
          <w:rFonts w:cs="Arial"/>
        </w:rPr>
        <w:t xml:space="preserve"> Division,</w:t>
      </w:r>
      <w:r w:rsidRPr="009D31BF">
        <w:rPr>
          <w:rFonts w:cs="Arial"/>
        </w:rPr>
        <w:t xml:space="preserve"> Science </w:t>
      </w:r>
      <w:r w:rsidR="001300BC">
        <w:rPr>
          <w:rFonts w:cs="Arial"/>
        </w:rPr>
        <w:t>D</w:t>
      </w:r>
      <w:r w:rsidRPr="009D31BF">
        <w:rPr>
          <w:rFonts w:cs="Arial"/>
        </w:rPr>
        <w:t>ivision</w:t>
      </w:r>
      <w:r w:rsidR="001300BC">
        <w:rPr>
          <w:rFonts w:cs="Arial"/>
        </w:rPr>
        <w:t xml:space="preserve"> and </w:t>
      </w:r>
      <w:r w:rsidR="001300BC" w:rsidRPr="009D31BF">
        <w:rPr>
          <w:rFonts w:cs="Arial"/>
        </w:rPr>
        <w:t>the Information Technology Branch</w:t>
      </w:r>
      <w:r w:rsidRPr="009D31BF">
        <w:rPr>
          <w:rFonts w:cs="Arial"/>
        </w:rPr>
        <w:t xml:space="preserve">. </w:t>
      </w:r>
    </w:p>
    <w:p w:rsidR="00097DA8" w:rsidRDefault="00097DA8" w:rsidP="00097DA8">
      <w:pPr>
        <w:rPr>
          <w:b/>
          <w:sz w:val="36"/>
          <w:szCs w:val="36"/>
        </w:rPr>
      </w:pPr>
    </w:p>
    <w:p w:rsidR="00D20119" w:rsidRDefault="00D20119" w:rsidP="00097DA8">
      <w:pPr>
        <w:rPr>
          <w:b/>
          <w:sz w:val="36"/>
          <w:szCs w:val="36"/>
        </w:rPr>
      </w:pPr>
    </w:p>
    <w:p w:rsidR="00D20119" w:rsidRDefault="00D20119" w:rsidP="00097DA8">
      <w:pPr>
        <w:rPr>
          <w:b/>
          <w:sz w:val="36"/>
          <w:szCs w:val="36"/>
        </w:rPr>
      </w:pPr>
    </w:p>
    <w:p w:rsidR="00D20119" w:rsidRDefault="00D20119" w:rsidP="00097DA8">
      <w:pPr>
        <w:rPr>
          <w:b/>
          <w:sz w:val="36"/>
          <w:szCs w:val="36"/>
        </w:rPr>
      </w:pPr>
    </w:p>
    <w:p w:rsidR="00D20119" w:rsidRDefault="00D20119" w:rsidP="00097DA8">
      <w:pPr>
        <w:rPr>
          <w:b/>
          <w:sz w:val="36"/>
          <w:szCs w:val="36"/>
        </w:rPr>
      </w:pPr>
    </w:p>
    <w:p w:rsidR="00D20119" w:rsidRDefault="00D20119" w:rsidP="00097DA8">
      <w:pPr>
        <w:rPr>
          <w:b/>
          <w:sz w:val="36"/>
          <w:szCs w:val="36"/>
        </w:rPr>
      </w:pPr>
    </w:p>
    <w:p w:rsidR="00D20119" w:rsidRDefault="00D20119" w:rsidP="00097DA8">
      <w:pPr>
        <w:rPr>
          <w:b/>
          <w:sz w:val="36"/>
          <w:szCs w:val="36"/>
        </w:rPr>
      </w:pPr>
    </w:p>
    <w:p w:rsidR="00097DA8" w:rsidRDefault="00097DA8" w:rsidP="00097DA8">
      <w:pPr>
        <w:jc w:val="center"/>
        <w:rPr>
          <w:b/>
          <w:sz w:val="36"/>
          <w:szCs w:val="36"/>
        </w:rPr>
      </w:pPr>
    </w:p>
    <w:p w:rsidR="00887F33" w:rsidRDefault="00887F33" w:rsidP="00097DA8">
      <w:pPr>
        <w:jc w:val="center"/>
        <w:rPr>
          <w:b/>
          <w:sz w:val="36"/>
          <w:szCs w:val="36"/>
        </w:rPr>
      </w:pPr>
    </w:p>
    <w:p w:rsidR="00887F33" w:rsidRDefault="00887F33" w:rsidP="00097DA8">
      <w:pPr>
        <w:jc w:val="center"/>
        <w:rPr>
          <w:b/>
          <w:sz w:val="36"/>
          <w:szCs w:val="36"/>
        </w:rPr>
      </w:pPr>
    </w:p>
    <w:p w:rsidR="002B0717" w:rsidRDefault="002B0717" w:rsidP="00097DA8">
      <w:pPr>
        <w:jc w:val="center"/>
        <w:rPr>
          <w:b/>
          <w:sz w:val="36"/>
          <w:szCs w:val="36"/>
        </w:rPr>
        <w:sectPr w:rsidR="002B0717" w:rsidSect="005103CE">
          <w:pgSz w:w="11906" w:h="16838"/>
          <w:pgMar w:top="1418" w:right="1276" w:bottom="567" w:left="1418" w:header="425" w:footer="425" w:gutter="0"/>
          <w:cols w:space="708"/>
          <w:docGrid w:linePitch="360"/>
        </w:sectPr>
      </w:pPr>
    </w:p>
    <w:p w:rsidR="009170F2" w:rsidRPr="00AE79C6" w:rsidRDefault="009170F2" w:rsidP="009170F2">
      <w:pPr>
        <w:jc w:val="center"/>
        <w:rPr>
          <w:b/>
          <w:color w:val="0B5294" w:themeColor="accent1" w:themeShade="BF"/>
          <w:sz w:val="44"/>
          <w:szCs w:val="44"/>
        </w:rPr>
      </w:pPr>
      <w:r w:rsidRPr="00AE79C6">
        <w:rPr>
          <w:b/>
          <w:color w:val="0B5294" w:themeColor="accent1" w:themeShade="BF"/>
          <w:sz w:val="44"/>
          <w:szCs w:val="44"/>
        </w:rPr>
        <w:lastRenderedPageBreak/>
        <w:t xml:space="preserve">Chapter </w:t>
      </w:r>
      <w:r w:rsidR="003A007F" w:rsidRPr="00AE79C6">
        <w:rPr>
          <w:b/>
          <w:color w:val="0B5294" w:themeColor="accent1" w:themeShade="BF"/>
          <w:sz w:val="44"/>
          <w:szCs w:val="44"/>
        </w:rPr>
        <w:t>1</w:t>
      </w:r>
      <w:r w:rsidRPr="00AE79C6">
        <w:rPr>
          <w:b/>
          <w:color w:val="0B5294" w:themeColor="accent1" w:themeShade="BF"/>
          <w:sz w:val="44"/>
          <w:szCs w:val="44"/>
        </w:rPr>
        <w:t xml:space="preserve">: </w:t>
      </w:r>
      <w:r w:rsidR="00B341E0" w:rsidRPr="00AE79C6">
        <w:rPr>
          <w:b/>
          <w:color w:val="0B5294" w:themeColor="accent1" w:themeShade="BF"/>
          <w:sz w:val="44"/>
          <w:szCs w:val="44"/>
        </w:rPr>
        <w:t>Our Objectives and Performance</w:t>
      </w:r>
    </w:p>
    <w:tbl>
      <w:tblPr>
        <w:tblStyle w:val="TableGrid"/>
        <w:tblW w:w="0" w:type="auto"/>
        <w:tblLook w:val="04A0" w:firstRow="1" w:lastRow="0" w:firstColumn="1" w:lastColumn="0" w:noHBand="0" w:noVBand="1"/>
      </w:tblPr>
      <w:tblGrid>
        <w:gridCol w:w="9202"/>
      </w:tblGrid>
      <w:tr w:rsidR="004A1835" w:rsidTr="004A1835">
        <w:trPr>
          <w:cnfStyle w:val="100000000000" w:firstRow="1" w:lastRow="0" w:firstColumn="0" w:lastColumn="0" w:oddVBand="0" w:evenVBand="0" w:oddHBand="0" w:evenHBand="0" w:firstRowFirstColumn="0" w:firstRowLastColumn="0" w:lastRowFirstColumn="0" w:lastRowLastColumn="0"/>
        </w:trPr>
        <w:tc>
          <w:tcPr>
            <w:tcW w:w="9242" w:type="dxa"/>
            <w:shd w:val="clear" w:color="auto" w:fill="D9D9D9" w:themeFill="background1" w:themeFillShade="D9"/>
          </w:tcPr>
          <w:p w:rsidR="004A1835" w:rsidRDefault="004A1835" w:rsidP="004A1835">
            <w:pPr>
              <w:pStyle w:val="Heading1"/>
              <w:spacing w:after="120"/>
              <w:outlineLvl w:val="0"/>
              <w:rPr>
                <w:color w:val="0B5294" w:themeColor="accent1" w:themeShade="BF"/>
                <w:sz w:val="28"/>
                <w:szCs w:val="28"/>
              </w:rPr>
            </w:pPr>
            <w:bookmarkStart w:id="10" w:name="_Toc443405150"/>
            <w:r>
              <w:rPr>
                <w:color w:val="0B5294" w:themeColor="accent1" w:themeShade="BF"/>
                <w:sz w:val="28"/>
                <w:szCs w:val="28"/>
              </w:rPr>
              <w:t>Overview</w:t>
            </w:r>
            <w:bookmarkEnd w:id="10"/>
          </w:p>
          <w:p w:rsidR="004A1835" w:rsidRDefault="004A1835" w:rsidP="004A1835">
            <w:pPr>
              <w:rPr>
                <w:rFonts w:cs="Arial"/>
              </w:rPr>
            </w:pPr>
            <w:r>
              <w:rPr>
                <w:rFonts w:cs="Arial"/>
              </w:rPr>
              <w:t>A best practice regulator has a clear understand</w:t>
            </w:r>
            <w:r w:rsidR="0049336D">
              <w:rPr>
                <w:rFonts w:cs="Arial"/>
              </w:rPr>
              <w:t>ing</w:t>
            </w:r>
            <w:r>
              <w:rPr>
                <w:rFonts w:cs="Arial"/>
              </w:rPr>
              <w:t xml:space="preserve"> of the objectives of the regulatory regime</w:t>
            </w:r>
            <w:r w:rsidR="0049336D">
              <w:rPr>
                <w:rFonts w:cs="Arial"/>
              </w:rPr>
              <w:t xml:space="preserve"> in which it operates</w:t>
            </w:r>
            <w:r>
              <w:rPr>
                <w:rFonts w:cs="Arial"/>
              </w:rPr>
              <w:t xml:space="preserve">. </w:t>
            </w:r>
            <w:r w:rsidR="0049336D">
              <w:rPr>
                <w:rFonts w:cs="Arial"/>
              </w:rPr>
              <w:t xml:space="preserve">A best practice regulator </w:t>
            </w:r>
            <w:r>
              <w:rPr>
                <w:rFonts w:cs="Arial"/>
              </w:rPr>
              <w:t xml:space="preserve">articulates how </w:t>
            </w:r>
            <w:r w:rsidR="0049336D">
              <w:rPr>
                <w:rFonts w:cs="Arial"/>
              </w:rPr>
              <w:t xml:space="preserve">it </w:t>
            </w:r>
            <w:r>
              <w:rPr>
                <w:rFonts w:cs="Arial"/>
              </w:rPr>
              <w:t>propose</w:t>
            </w:r>
            <w:r w:rsidR="0049336D">
              <w:rPr>
                <w:rFonts w:cs="Arial"/>
              </w:rPr>
              <w:t>s</w:t>
            </w:r>
            <w:r>
              <w:rPr>
                <w:rFonts w:cs="Arial"/>
              </w:rPr>
              <w:t xml:space="preserve"> to meet those objectives, the Government’s expectations, and the way in which </w:t>
            </w:r>
            <w:r w:rsidR="0049336D">
              <w:rPr>
                <w:rFonts w:cs="Arial"/>
              </w:rPr>
              <w:t xml:space="preserve">its </w:t>
            </w:r>
            <w:r>
              <w:rPr>
                <w:rFonts w:cs="Arial"/>
              </w:rPr>
              <w:t xml:space="preserve">performance will be evaluated and reported. This helps to determine internal priorities and processes and improves transparency and accountability. </w:t>
            </w:r>
            <w:r w:rsidR="0049336D">
              <w:rPr>
                <w:rFonts w:cs="Arial"/>
              </w:rPr>
              <w:t>A mature regulator also embeds a process for r</w:t>
            </w:r>
            <w:r>
              <w:rPr>
                <w:rFonts w:cs="Arial"/>
              </w:rPr>
              <w:t>eviewing and improving its activities as part of a continuous improvement strategy.</w:t>
            </w:r>
          </w:p>
          <w:p w:rsidR="006C5765" w:rsidRDefault="0049336D" w:rsidP="004A1835">
            <w:r>
              <w:t>The Project found that t</w:t>
            </w:r>
            <w:r w:rsidR="006C5765">
              <w:t>he Department does not have</w:t>
            </w:r>
            <w:r w:rsidR="004A1835">
              <w:t xml:space="preserve"> an overarching regulatory posture, which </w:t>
            </w:r>
            <w:r w:rsidR="006C5765">
              <w:t>makes it difficult to ensure a</w:t>
            </w:r>
            <w:r w:rsidR="004A1835">
              <w:t xml:space="preserve"> consistent approach across the various regulatory activities. </w:t>
            </w:r>
            <w:r w:rsidR="006C5765">
              <w:t xml:space="preserve">While both ESD and WHaM have </w:t>
            </w:r>
            <w:r w:rsidR="00F105E8">
              <w:t>business</w:t>
            </w:r>
            <w:r w:rsidR="006C5765">
              <w:t xml:space="preserve"> plans, their KPIs could be made clearer and more measurable</w:t>
            </w:r>
            <w:r w:rsidR="00F105E8">
              <w:t xml:space="preserve"> to allow better performance monitoring and evaluation</w:t>
            </w:r>
            <w:r w:rsidR="006C5765">
              <w:t xml:space="preserve">. EPG has </w:t>
            </w:r>
            <w:r>
              <w:t xml:space="preserve">started </w:t>
            </w:r>
            <w:r w:rsidR="006C5765">
              <w:t>to build in review</w:t>
            </w:r>
            <w:r w:rsidR="00F105E8">
              <w:t>s to improve</w:t>
            </w:r>
            <w:r w:rsidR="006C5765">
              <w:t xml:space="preserve"> policies</w:t>
            </w:r>
            <w:r>
              <w:t>,</w:t>
            </w:r>
            <w:r w:rsidR="006C5765">
              <w:t xml:space="preserve"> but this </w:t>
            </w:r>
            <w:r>
              <w:t xml:space="preserve">needs </w:t>
            </w:r>
            <w:r w:rsidR="006C5765">
              <w:t xml:space="preserve">be done systematically across </w:t>
            </w:r>
            <w:r>
              <w:t>EPG</w:t>
            </w:r>
            <w:r w:rsidR="006C5765">
              <w:t>.</w:t>
            </w:r>
            <w:r w:rsidR="00F105E8">
              <w:t xml:space="preserve"> </w:t>
            </w:r>
            <w:r w:rsidR="004A1835">
              <w:t>There are also opportunities to improve regulatory governance structures</w:t>
            </w:r>
            <w:r w:rsidR="006C5765">
              <w:t>.</w:t>
            </w:r>
          </w:p>
          <w:p w:rsidR="004A1835" w:rsidRDefault="0049336D" w:rsidP="004A1835">
            <w:r>
              <w:t>Chapter 1 makes recommendations relating to EPG and the Department’s objectives and performance management, including:</w:t>
            </w:r>
          </w:p>
          <w:p w:rsidR="004A1835" w:rsidRDefault="004A1835" w:rsidP="00E65120">
            <w:pPr>
              <w:pStyle w:val="ListParagraph"/>
              <w:numPr>
                <w:ilvl w:val="0"/>
                <w:numId w:val="37"/>
              </w:numPr>
              <w:spacing w:after="0" w:line="240" w:lineRule="auto"/>
            </w:pPr>
            <w:r>
              <w:t xml:space="preserve">development of a new Regulatory Framework; </w:t>
            </w:r>
          </w:p>
          <w:p w:rsidR="004A1835" w:rsidRDefault="004A1835" w:rsidP="00E65120">
            <w:pPr>
              <w:pStyle w:val="ListParagraph"/>
              <w:numPr>
                <w:ilvl w:val="0"/>
                <w:numId w:val="37"/>
              </w:numPr>
              <w:spacing w:after="0" w:line="240" w:lineRule="auto"/>
            </w:pPr>
            <w:r>
              <w:t>designing robust and measurable objectives and KPIs relating to regulatory activities;</w:t>
            </w:r>
          </w:p>
          <w:p w:rsidR="004A1835" w:rsidRDefault="004A1835" w:rsidP="00E65120">
            <w:pPr>
              <w:pStyle w:val="ListParagraph"/>
              <w:numPr>
                <w:ilvl w:val="0"/>
                <w:numId w:val="37"/>
              </w:numPr>
              <w:spacing w:after="0" w:line="240" w:lineRule="auto"/>
            </w:pPr>
            <w:r>
              <w:t>the establishment of an oversight body to consider the Department’s regulatory policies and posture; and</w:t>
            </w:r>
          </w:p>
          <w:p w:rsidR="004A1835" w:rsidRPr="00CF386A" w:rsidRDefault="004A1835" w:rsidP="00E65120">
            <w:pPr>
              <w:pStyle w:val="ListParagraph"/>
              <w:numPr>
                <w:ilvl w:val="0"/>
                <w:numId w:val="37"/>
              </w:numPr>
              <w:spacing w:after="0" w:line="240" w:lineRule="auto"/>
            </w:pPr>
            <w:r>
              <w:t>allocating resources for systematic monitoring, analysis and improvement.</w:t>
            </w:r>
          </w:p>
        </w:tc>
      </w:tr>
    </w:tbl>
    <w:p w:rsidR="009170F2" w:rsidRPr="0042419C" w:rsidRDefault="009170F2" w:rsidP="0049336D">
      <w:pPr>
        <w:pStyle w:val="Heading1"/>
        <w:spacing w:before="120" w:after="120"/>
        <w:rPr>
          <w:color w:val="0B5294" w:themeColor="accent1" w:themeShade="BF"/>
          <w:sz w:val="28"/>
          <w:szCs w:val="28"/>
        </w:rPr>
      </w:pPr>
      <w:bookmarkStart w:id="11" w:name="_Toc442970827"/>
      <w:bookmarkStart w:id="12" w:name="_Toc443039971"/>
      <w:bookmarkStart w:id="13" w:name="_Toc443405151"/>
      <w:r w:rsidRPr="0042419C">
        <w:rPr>
          <w:color w:val="0B5294" w:themeColor="accent1" w:themeShade="BF"/>
          <w:sz w:val="28"/>
          <w:szCs w:val="28"/>
        </w:rPr>
        <w:t>fINDINGS AND RECOMMENDATIONS</w:t>
      </w:r>
      <w:bookmarkEnd w:id="11"/>
      <w:bookmarkEnd w:id="12"/>
      <w:bookmarkEnd w:id="13"/>
    </w:p>
    <w:p w:rsidR="009170F2" w:rsidRPr="0042419C" w:rsidRDefault="009170F2" w:rsidP="002B0717">
      <w:pPr>
        <w:pStyle w:val="Heading1"/>
        <w:spacing w:after="120"/>
        <w:rPr>
          <w:caps w:val="0"/>
          <w:color w:val="0B5294" w:themeColor="accent1" w:themeShade="BF"/>
          <w:sz w:val="24"/>
          <w:szCs w:val="24"/>
        </w:rPr>
      </w:pPr>
      <w:bookmarkStart w:id="14" w:name="_Toc443405152"/>
      <w:r w:rsidRPr="0042419C">
        <w:rPr>
          <w:caps w:val="0"/>
          <w:color w:val="0B5294" w:themeColor="accent1" w:themeShade="BF"/>
          <w:sz w:val="24"/>
          <w:szCs w:val="24"/>
        </w:rPr>
        <w:t>Regulatory Framework</w:t>
      </w:r>
      <w:bookmarkEnd w:id="14"/>
    </w:p>
    <w:p w:rsidR="009170F2" w:rsidRDefault="009170F2" w:rsidP="009170F2">
      <w:pPr>
        <w:rPr>
          <w:rFonts w:cs="Arial"/>
        </w:rPr>
      </w:pPr>
      <w:r>
        <w:rPr>
          <w:rFonts w:cs="Arial"/>
        </w:rPr>
        <w:t>A best practice regulator should have clarity around its role and functions, and the outcomes it is trying to achieve</w:t>
      </w:r>
      <w:r w:rsidR="0049336D">
        <w:rPr>
          <w:rFonts w:cs="Arial"/>
        </w:rPr>
        <w:t>.</w:t>
      </w:r>
      <w:r w:rsidR="00702700">
        <w:rPr>
          <w:rStyle w:val="FootnoteReference"/>
          <w:rFonts w:cs="Arial"/>
        </w:rPr>
        <w:footnoteReference w:id="14"/>
      </w:r>
      <w:r>
        <w:rPr>
          <w:rFonts w:cs="Arial"/>
        </w:rPr>
        <w:t xml:space="preserve"> Unless clear objectives are specified, a regulator may not have sufficient context to establish priorities, processes, and boundaries for its work. In addition, clear objectives are needed so </w:t>
      </w:r>
      <w:r w:rsidR="001300BC">
        <w:rPr>
          <w:rFonts w:cs="Arial"/>
        </w:rPr>
        <w:t xml:space="preserve">the broader community </w:t>
      </w:r>
      <w:r>
        <w:rPr>
          <w:rFonts w:cs="Arial"/>
        </w:rPr>
        <w:t xml:space="preserve">can understand why the regulator is undertaking its work, and can hold the regulator accountable for its performance. </w:t>
      </w:r>
    </w:p>
    <w:p w:rsidR="009170F2" w:rsidRDefault="009170F2" w:rsidP="009170F2">
      <w:pPr>
        <w:rPr>
          <w:rFonts w:cs="Arial"/>
        </w:rPr>
      </w:pPr>
      <w:r>
        <w:rPr>
          <w:rFonts w:cs="Arial"/>
        </w:rPr>
        <w:t xml:space="preserve">Collectively, these objectives and the framework for achieving the desired regulatory outcomes is often referred to as the ‘regulatory posture’ of an agency – a high level, consistent position on the purpose of the regulator and its objectives, and the approach it will take to achieve those objectives. It is important for this ‘posture’ to be entrenched in all levels of a regulator – it should form the basis for all planning and priority setting, the allocation of resources, risk management, and communication with external parties. </w:t>
      </w:r>
    </w:p>
    <w:p w:rsidR="009170F2" w:rsidRDefault="009170F2" w:rsidP="009170F2">
      <w:pPr>
        <w:rPr>
          <w:rFonts w:cs="Arial"/>
        </w:rPr>
      </w:pPr>
      <w:r>
        <w:rPr>
          <w:rFonts w:cs="Arial"/>
        </w:rPr>
        <w:t xml:space="preserve">The Project found that an entrenched regulatory posture is not present in </w:t>
      </w:r>
      <w:r w:rsidR="00A66FC2">
        <w:rPr>
          <w:rFonts w:cs="Arial"/>
        </w:rPr>
        <w:t xml:space="preserve">EPG or the wider </w:t>
      </w:r>
      <w:r>
        <w:rPr>
          <w:rFonts w:cs="Arial"/>
        </w:rPr>
        <w:t xml:space="preserve">Department, and there is often an inconsistent understanding of how the work of individual areas contributes to the broader objectives of the Department. This has the potential to lead to the inappropriate allocation of resources to work that is a low priority for </w:t>
      </w:r>
      <w:r w:rsidR="00A66FC2">
        <w:rPr>
          <w:rFonts w:cs="Arial"/>
        </w:rPr>
        <w:t>EPG and the</w:t>
      </w:r>
      <w:r>
        <w:rPr>
          <w:rFonts w:cs="Arial"/>
        </w:rPr>
        <w:t xml:space="preserve"> </w:t>
      </w:r>
      <w:r>
        <w:rPr>
          <w:rFonts w:cs="Arial"/>
        </w:rPr>
        <w:lastRenderedPageBreak/>
        <w:t>Department, and uncertainty in the regulated community (if inconsistent</w:t>
      </w:r>
      <w:r w:rsidR="00A6701B">
        <w:rPr>
          <w:rFonts w:cs="Arial"/>
        </w:rPr>
        <w:t xml:space="preserve"> or </w:t>
      </w:r>
      <w:r>
        <w:rPr>
          <w:rFonts w:cs="Arial"/>
        </w:rPr>
        <w:t>divergent approaches are being taken by different areas).</w:t>
      </w:r>
    </w:p>
    <w:p w:rsidR="009170F2" w:rsidRDefault="009170F2" w:rsidP="009170F2">
      <w:pPr>
        <w:rPr>
          <w:rFonts w:cs="Arial"/>
        </w:rPr>
      </w:pPr>
      <w:r w:rsidRPr="00B9575D">
        <w:rPr>
          <w:rFonts w:cs="Arial"/>
        </w:rPr>
        <w:t xml:space="preserve">Some areas have developed plans, such as the </w:t>
      </w:r>
      <w:r w:rsidRPr="00B9575D">
        <w:rPr>
          <w:rFonts w:cs="Arial"/>
          <w:i/>
        </w:rPr>
        <w:t>Compliance Monitoring Plan 2013-2014</w:t>
      </w:r>
      <w:r w:rsidRPr="00B9575D">
        <w:rPr>
          <w:rFonts w:cs="Arial"/>
        </w:rPr>
        <w:t xml:space="preserve">, which outlines objectives and discusses a regulatory posture. However, these are not </w:t>
      </w:r>
      <w:r>
        <w:rPr>
          <w:rFonts w:cs="Arial"/>
        </w:rPr>
        <w:t>maintained as</w:t>
      </w:r>
      <w:r w:rsidRPr="00B9575D">
        <w:rPr>
          <w:rFonts w:cs="Arial"/>
        </w:rPr>
        <w:t xml:space="preserve"> part of a </w:t>
      </w:r>
      <w:r>
        <w:rPr>
          <w:rFonts w:cs="Arial"/>
        </w:rPr>
        <w:t xml:space="preserve">cohesive structure of </w:t>
      </w:r>
      <w:r w:rsidRPr="00B9575D">
        <w:rPr>
          <w:rFonts w:cs="Arial"/>
        </w:rPr>
        <w:t xml:space="preserve">Departmental </w:t>
      </w:r>
      <w:r>
        <w:rPr>
          <w:rFonts w:cs="Arial"/>
        </w:rPr>
        <w:t xml:space="preserve">regulatory </w:t>
      </w:r>
      <w:r w:rsidRPr="00B9575D">
        <w:rPr>
          <w:rFonts w:cs="Arial"/>
        </w:rPr>
        <w:t>strategies.</w:t>
      </w:r>
    </w:p>
    <w:p w:rsidR="001300BC" w:rsidRDefault="009170F2" w:rsidP="009170F2">
      <w:pPr>
        <w:rPr>
          <w:rFonts w:cs="Arial"/>
        </w:rPr>
      </w:pPr>
      <w:r>
        <w:rPr>
          <w:rFonts w:cs="Arial"/>
        </w:rPr>
        <w:t xml:space="preserve">In moving to become a best practice regulator, the Department </w:t>
      </w:r>
      <w:r w:rsidR="001300BC">
        <w:rPr>
          <w:rFonts w:cs="Arial"/>
        </w:rPr>
        <w:t xml:space="preserve">should </w:t>
      </w:r>
      <w:r>
        <w:rPr>
          <w:rFonts w:cs="Arial"/>
        </w:rPr>
        <w:t>develop an overarching regulatory posture, and express this in a Regulatory Framework</w:t>
      </w:r>
      <w:r w:rsidR="001300BC">
        <w:rPr>
          <w:rFonts w:cs="Arial"/>
        </w:rPr>
        <w:t>. Developing a regulatory posture will be challenging, because EPG administers a wide range of regulatory schemes with differing ages and approaches.</w:t>
      </w:r>
    </w:p>
    <w:p w:rsidR="00E8393F" w:rsidRDefault="00E8393F" w:rsidP="00E8393F">
      <w:pPr>
        <w:contextualSpacing/>
        <w:rPr>
          <w:rFonts w:cs="Arial"/>
        </w:rPr>
      </w:pPr>
      <w:r>
        <w:rPr>
          <w:rFonts w:cs="Arial"/>
        </w:rPr>
        <w:t xml:space="preserve">The Project has prepared a one-page list of behavioural principles to guide the Department’s regulatory efforts (refer to page </w:t>
      </w:r>
      <w:r w:rsidR="004E1A5E" w:rsidRPr="0050784E">
        <w:rPr>
          <w:rFonts w:cs="Arial"/>
        </w:rPr>
        <w:t>11</w:t>
      </w:r>
      <w:r>
        <w:rPr>
          <w:rFonts w:cs="Arial"/>
        </w:rPr>
        <w:t xml:space="preserve">). This could form the basis of a regulatory framework, with other documents (such as the Department’s compliance strategy) referring back to these principles. </w:t>
      </w:r>
    </w:p>
    <w:p w:rsidR="00E8393F" w:rsidRDefault="00E8393F" w:rsidP="00E8393F">
      <w:pPr>
        <w:contextualSpacing/>
        <w:rPr>
          <w:rFonts w:cs="Arial"/>
        </w:rPr>
      </w:pPr>
    </w:p>
    <w:p w:rsidR="00E8393F" w:rsidRDefault="00E8393F" w:rsidP="00E8393F">
      <w:pPr>
        <w:rPr>
          <w:rFonts w:cs="Arial"/>
        </w:rPr>
      </w:pPr>
      <w:r>
        <w:rPr>
          <w:rFonts w:cs="Arial"/>
        </w:rPr>
        <w:t>The Regulatory Framework should be frequently and effectively communicated and promoted internally at all levels.</w:t>
      </w:r>
      <w:r w:rsidRPr="00E8393F">
        <w:rPr>
          <w:rFonts w:cs="Arial"/>
        </w:rPr>
        <w:t xml:space="preserve"> </w:t>
      </w:r>
      <w:r>
        <w:rPr>
          <w:rFonts w:cs="Arial"/>
        </w:rPr>
        <w:t xml:space="preserve">All Division, Branch or Section plans and strategies should incorporate the Department’s objectives and desired outcomes, and staff should not only be aware of how their individual work contributes to those strategic objectives, but the objectives and desired outcomes should also be incorporated into performance agreements for relevant staff. </w:t>
      </w:r>
    </w:p>
    <w:tbl>
      <w:tblPr>
        <w:tblStyle w:val="TableGrid"/>
        <w:tblW w:w="0" w:type="auto"/>
        <w:tblLook w:val="04A0" w:firstRow="1" w:lastRow="0" w:firstColumn="1" w:lastColumn="0" w:noHBand="0" w:noVBand="1"/>
      </w:tblPr>
      <w:tblGrid>
        <w:gridCol w:w="9212"/>
      </w:tblGrid>
      <w:tr w:rsidR="009553D3" w:rsidTr="003A19AA">
        <w:trPr>
          <w:cnfStyle w:val="100000000000" w:firstRow="1" w:lastRow="0" w:firstColumn="0" w:lastColumn="0" w:oddVBand="0" w:evenVBand="0" w:oddHBand="0" w:evenHBand="0" w:firstRowFirstColumn="0" w:firstRowLastColumn="0" w:lastRowFirstColumn="0" w:lastRowLastColumn="0"/>
        </w:trPr>
        <w:tc>
          <w:tcPr>
            <w:tcW w:w="9428" w:type="dxa"/>
            <w:tcBorders>
              <w:top w:val="nil"/>
              <w:left w:val="nil"/>
              <w:bottom w:val="nil"/>
              <w:right w:val="nil"/>
            </w:tcBorders>
            <w:shd w:val="clear" w:color="auto" w:fill="C7E2FA" w:themeFill="accent1" w:themeFillTint="33"/>
          </w:tcPr>
          <w:p w:rsidR="00CD6C7A" w:rsidRDefault="003A19AA">
            <w:pPr>
              <w:rPr>
                <w:rFonts w:cs="Arial"/>
                <w:b/>
                <w:color w:val="000000" w:themeColor="text1"/>
              </w:rPr>
            </w:pPr>
            <w:r w:rsidRPr="009E6330">
              <w:rPr>
                <w:rFonts w:cs="Arial"/>
                <w:b/>
                <w:color w:val="000000" w:themeColor="text1"/>
              </w:rPr>
              <w:t>Recommendation 1.1 (Regulatory Framework)</w:t>
            </w:r>
          </w:p>
          <w:p w:rsidR="003A19AA" w:rsidRPr="009E6330" w:rsidRDefault="003A19AA" w:rsidP="003A19AA">
            <w:pPr>
              <w:pStyle w:val="ListBullet"/>
              <w:numPr>
                <w:ilvl w:val="0"/>
                <w:numId w:val="0"/>
              </w:numPr>
              <w:rPr>
                <w:rFonts w:cs="Arial"/>
                <w:i/>
                <w:color w:val="000000" w:themeColor="text1"/>
              </w:rPr>
            </w:pPr>
            <w:r w:rsidRPr="009E6330">
              <w:rPr>
                <w:rFonts w:cs="Arial"/>
                <w:i/>
                <w:color w:val="000000" w:themeColor="text1"/>
              </w:rPr>
              <w:t xml:space="preserve">Importance: </w:t>
            </w:r>
            <w:r w:rsidRPr="009E6330">
              <w:rPr>
                <w:rFonts w:cs="Arial"/>
                <w:color w:val="000000" w:themeColor="text1"/>
              </w:rPr>
              <w:t>1</w:t>
            </w:r>
          </w:p>
          <w:p w:rsidR="003A19AA" w:rsidRPr="009E6330" w:rsidRDefault="003A19AA" w:rsidP="003A19AA">
            <w:pPr>
              <w:pStyle w:val="ListBullet"/>
              <w:numPr>
                <w:ilvl w:val="0"/>
                <w:numId w:val="0"/>
              </w:numPr>
              <w:rPr>
                <w:rFonts w:cs="Arial"/>
                <w:i/>
                <w:color w:val="000000" w:themeColor="text1"/>
              </w:rPr>
            </w:pPr>
            <w:r w:rsidRPr="009E6330">
              <w:rPr>
                <w:rFonts w:cs="Arial"/>
                <w:i/>
                <w:color w:val="000000" w:themeColor="text1"/>
              </w:rPr>
              <w:t xml:space="preserve">Timing: </w:t>
            </w:r>
            <w:r w:rsidRPr="009E6330">
              <w:rPr>
                <w:rFonts w:cs="Arial"/>
                <w:color w:val="000000" w:themeColor="text1"/>
              </w:rPr>
              <w:t>1</w:t>
            </w:r>
          </w:p>
          <w:p w:rsidR="003A19AA" w:rsidRPr="009E6330" w:rsidRDefault="003A19AA" w:rsidP="003A19AA">
            <w:pPr>
              <w:pStyle w:val="ListBullet"/>
              <w:numPr>
                <w:ilvl w:val="0"/>
                <w:numId w:val="0"/>
              </w:numPr>
              <w:rPr>
                <w:rFonts w:cs="Arial"/>
                <w:color w:val="000000" w:themeColor="text1"/>
              </w:rPr>
            </w:pPr>
            <w:r w:rsidRPr="009E6330">
              <w:rPr>
                <w:rFonts w:cs="Arial"/>
                <w:color w:val="000000" w:themeColor="text1"/>
              </w:rPr>
              <w:t xml:space="preserve">The Department should develop a new Regulatory Framework. In developing the Framework, the Department should have regard to contemporary Australian Government and international best practice regulatory frameworks, principles and policies. The </w:t>
            </w:r>
            <w:r w:rsidR="00093D9E">
              <w:rPr>
                <w:rFonts w:cs="Arial"/>
                <w:color w:val="000000" w:themeColor="text1"/>
              </w:rPr>
              <w:t xml:space="preserve">new </w:t>
            </w:r>
            <w:r w:rsidRPr="009E6330">
              <w:rPr>
                <w:rFonts w:cs="Arial"/>
                <w:color w:val="000000" w:themeColor="text1"/>
              </w:rPr>
              <w:t xml:space="preserve">Regulatory Framework should: </w:t>
            </w:r>
          </w:p>
          <w:p w:rsidR="003A19AA" w:rsidRPr="009E6330" w:rsidRDefault="003A19AA" w:rsidP="00E65120">
            <w:pPr>
              <w:pStyle w:val="ListBullet"/>
              <w:numPr>
                <w:ilvl w:val="0"/>
                <w:numId w:val="9"/>
              </w:numPr>
              <w:spacing w:after="0" w:line="240" w:lineRule="auto"/>
              <w:rPr>
                <w:rFonts w:cs="Arial"/>
                <w:color w:val="000000" w:themeColor="text1"/>
              </w:rPr>
            </w:pPr>
            <w:r w:rsidRPr="009E6330">
              <w:rPr>
                <w:rFonts w:cs="Arial"/>
                <w:color w:val="000000" w:themeColor="text1"/>
              </w:rPr>
              <w:t>outline a concise, contemporary regulatory posture;</w:t>
            </w:r>
          </w:p>
          <w:p w:rsidR="003A19AA" w:rsidRPr="009E6330" w:rsidRDefault="003A19AA" w:rsidP="00E65120">
            <w:pPr>
              <w:pStyle w:val="ListBullet"/>
              <w:numPr>
                <w:ilvl w:val="0"/>
                <w:numId w:val="9"/>
              </w:numPr>
              <w:spacing w:after="0" w:line="240" w:lineRule="auto"/>
              <w:rPr>
                <w:rFonts w:cs="Arial"/>
                <w:color w:val="000000" w:themeColor="text1"/>
              </w:rPr>
            </w:pPr>
            <w:r w:rsidRPr="009E6330">
              <w:rPr>
                <w:rFonts w:cs="Arial"/>
                <w:color w:val="000000" w:themeColor="text1"/>
              </w:rPr>
              <w:t>define the Department’s principles of best practice and indicators for performance evaluation;</w:t>
            </w:r>
          </w:p>
          <w:p w:rsidR="003A19AA" w:rsidRPr="009E6330" w:rsidRDefault="003A19AA" w:rsidP="00E65120">
            <w:pPr>
              <w:pStyle w:val="ListBullet"/>
              <w:numPr>
                <w:ilvl w:val="0"/>
                <w:numId w:val="9"/>
              </w:numPr>
              <w:spacing w:after="0" w:line="240" w:lineRule="auto"/>
              <w:rPr>
                <w:rFonts w:cs="Arial"/>
                <w:color w:val="000000" w:themeColor="text1"/>
              </w:rPr>
            </w:pPr>
            <w:r w:rsidRPr="009E6330">
              <w:rPr>
                <w:rFonts w:cs="Arial"/>
                <w:color w:val="000000" w:themeColor="text1"/>
              </w:rPr>
              <w:t>articulate regulatory and legislative objectives and the framework for measuring and tracking performance.;</w:t>
            </w:r>
          </w:p>
          <w:p w:rsidR="003A19AA" w:rsidRPr="009E6330" w:rsidRDefault="003A19AA" w:rsidP="00E65120">
            <w:pPr>
              <w:pStyle w:val="ListBullet"/>
              <w:numPr>
                <w:ilvl w:val="0"/>
                <w:numId w:val="9"/>
              </w:numPr>
              <w:spacing w:after="0" w:line="240" w:lineRule="auto"/>
              <w:rPr>
                <w:rFonts w:cs="Arial"/>
                <w:color w:val="000000" w:themeColor="text1"/>
              </w:rPr>
            </w:pPr>
            <w:r w:rsidRPr="009E6330">
              <w:rPr>
                <w:rFonts w:cs="Arial"/>
                <w:color w:val="000000" w:themeColor="text1"/>
              </w:rPr>
              <w:t>articulate relevant risk appetites;</w:t>
            </w:r>
          </w:p>
          <w:p w:rsidR="003A19AA" w:rsidRPr="009E6330" w:rsidRDefault="003A19AA" w:rsidP="00E65120">
            <w:pPr>
              <w:pStyle w:val="ListBullet"/>
              <w:numPr>
                <w:ilvl w:val="0"/>
                <w:numId w:val="9"/>
              </w:numPr>
              <w:spacing w:after="0" w:line="240" w:lineRule="auto"/>
              <w:rPr>
                <w:rFonts w:cs="Arial"/>
                <w:color w:val="000000" w:themeColor="text1"/>
              </w:rPr>
            </w:pPr>
            <w:r w:rsidRPr="009E6330">
              <w:rPr>
                <w:rFonts w:cs="Arial"/>
                <w:color w:val="000000" w:themeColor="text1"/>
              </w:rPr>
              <w:t>include regular review and improvement timeframes;</w:t>
            </w:r>
          </w:p>
          <w:p w:rsidR="003A19AA" w:rsidRPr="009E6330" w:rsidRDefault="003A19AA" w:rsidP="00E65120">
            <w:pPr>
              <w:pStyle w:val="ListBullet"/>
              <w:numPr>
                <w:ilvl w:val="0"/>
                <w:numId w:val="9"/>
              </w:numPr>
              <w:spacing w:after="0" w:line="240" w:lineRule="auto"/>
              <w:rPr>
                <w:rFonts w:cs="Arial"/>
                <w:color w:val="000000" w:themeColor="text1"/>
              </w:rPr>
            </w:pPr>
            <w:r w:rsidRPr="009E6330">
              <w:rPr>
                <w:rFonts w:cs="Arial"/>
                <w:color w:val="000000" w:themeColor="text1"/>
              </w:rPr>
              <w:t xml:space="preserve">be published and promoted internally and externally; and </w:t>
            </w:r>
          </w:p>
          <w:p w:rsidR="003A19AA" w:rsidRPr="009E6330" w:rsidRDefault="003A19AA" w:rsidP="00E65120">
            <w:pPr>
              <w:pStyle w:val="ListBullet"/>
              <w:numPr>
                <w:ilvl w:val="0"/>
                <w:numId w:val="9"/>
              </w:numPr>
              <w:spacing w:after="0" w:line="240" w:lineRule="auto"/>
              <w:rPr>
                <w:rFonts w:cs="Arial"/>
                <w:color w:val="000000" w:themeColor="text1"/>
              </w:rPr>
            </w:pPr>
            <w:r w:rsidRPr="009E6330">
              <w:rPr>
                <w:rFonts w:cs="Arial"/>
                <w:color w:val="000000" w:themeColor="text1"/>
              </w:rPr>
              <w:t>inform the development and maintenance of all plans and strategies relating to regulatory activities within the Department.</w:t>
            </w:r>
          </w:p>
          <w:p w:rsidR="009553D3" w:rsidRDefault="009553D3" w:rsidP="009170F2">
            <w:pPr>
              <w:contextualSpacing/>
              <w:rPr>
                <w:rFonts w:cs="Arial"/>
              </w:rPr>
            </w:pPr>
          </w:p>
        </w:tc>
      </w:tr>
    </w:tbl>
    <w:p w:rsidR="00CF0341" w:rsidRDefault="00CF0341" w:rsidP="009E6330">
      <w:pPr>
        <w:pStyle w:val="Heading1"/>
        <w:spacing w:after="120"/>
        <w:rPr>
          <w:caps w:val="0"/>
          <w:color w:val="0B5294" w:themeColor="accent1" w:themeShade="BF"/>
          <w:sz w:val="24"/>
          <w:szCs w:val="24"/>
        </w:rPr>
      </w:pPr>
      <w:bookmarkStart w:id="15" w:name="_Toc443405153"/>
    </w:p>
    <w:p w:rsidR="00B341E0" w:rsidRPr="0042419C" w:rsidRDefault="00B341E0" w:rsidP="009E6330">
      <w:pPr>
        <w:pStyle w:val="Heading1"/>
        <w:spacing w:after="120"/>
        <w:rPr>
          <w:caps w:val="0"/>
          <w:color w:val="0B5294" w:themeColor="accent1" w:themeShade="BF"/>
          <w:sz w:val="24"/>
          <w:szCs w:val="24"/>
        </w:rPr>
      </w:pPr>
      <w:r w:rsidRPr="0042419C">
        <w:rPr>
          <w:caps w:val="0"/>
          <w:color w:val="0B5294" w:themeColor="accent1" w:themeShade="BF"/>
          <w:sz w:val="24"/>
          <w:szCs w:val="24"/>
        </w:rPr>
        <w:t>Performance monitoring and communication</w:t>
      </w:r>
      <w:bookmarkEnd w:id="15"/>
      <w:r w:rsidRPr="0042419C">
        <w:rPr>
          <w:caps w:val="0"/>
          <w:color w:val="0B5294" w:themeColor="accent1" w:themeShade="BF"/>
          <w:sz w:val="24"/>
          <w:szCs w:val="24"/>
        </w:rPr>
        <w:t xml:space="preserve"> </w:t>
      </w:r>
    </w:p>
    <w:p w:rsidR="00B341E0" w:rsidRPr="008728C1" w:rsidRDefault="00B341E0" w:rsidP="00B341E0">
      <w:pPr>
        <w:rPr>
          <w:rFonts w:cs="Arial"/>
        </w:rPr>
      </w:pPr>
      <w:r w:rsidRPr="008728C1">
        <w:rPr>
          <w:rFonts w:cs="Arial"/>
        </w:rPr>
        <w:t xml:space="preserve">Central to a regulator’s operational effectiveness is a sound performance management framework. </w:t>
      </w:r>
      <w:r w:rsidR="00093D9E">
        <w:rPr>
          <w:rFonts w:cs="Arial"/>
        </w:rPr>
        <w:t>A performance management framework</w:t>
      </w:r>
      <w:r w:rsidRPr="008728C1">
        <w:rPr>
          <w:rFonts w:cs="Arial"/>
        </w:rPr>
        <w:t xml:space="preserve"> not only facilitates effective internal management of </w:t>
      </w:r>
      <w:r w:rsidR="00093D9E">
        <w:rPr>
          <w:rFonts w:cs="Arial"/>
        </w:rPr>
        <w:t>a regulator</w:t>
      </w:r>
      <w:r w:rsidRPr="008728C1">
        <w:rPr>
          <w:rFonts w:cs="Arial"/>
        </w:rPr>
        <w:t>, but also enables the regulator to demonstrate to stakeholders that its operations conform to legislative requirements, are cost-effective</w:t>
      </w:r>
      <w:r w:rsidR="00093D9E">
        <w:rPr>
          <w:rFonts w:cs="Arial"/>
        </w:rPr>
        <w:t>,</w:t>
      </w:r>
      <w:r w:rsidRPr="008728C1">
        <w:rPr>
          <w:rFonts w:cs="Arial"/>
        </w:rPr>
        <w:t xml:space="preserve"> and are achieving the desired regulatory outcomes.</w:t>
      </w:r>
    </w:p>
    <w:p w:rsidR="00B341E0" w:rsidRPr="008728C1" w:rsidRDefault="00B341E0" w:rsidP="00B341E0">
      <w:pPr>
        <w:rPr>
          <w:rFonts w:cs="Arial"/>
        </w:rPr>
      </w:pPr>
      <w:r w:rsidRPr="008728C1">
        <w:rPr>
          <w:rFonts w:cs="Arial"/>
        </w:rPr>
        <w:lastRenderedPageBreak/>
        <w:t>The Australian Government’s performance measurement and reporting framework requires regulators to measure, monitor and report on their performance. Performance information systems should be designed to inform internal and external stakeholders about the performance of</w:t>
      </w:r>
      <w:r w:rsidR="00093D9E">
        <w:rPr>
          <w:rFonts w:cs="Arial"/>
        </w:rPr>
        <w:t xml:space="preserve"> </w:t>
      </w:r>
      <w:r w:rsidR="00CA60CF">
        <w:rPr>
          <w:rFonts w:cs="Arial"/>
        </w:rPr>
        <w:t>regulators</w:t>
      </w:r>
      <w:r w:rsidR="00CA60CF" w:rsidRPr="008728C1">
        <w:rPr>
          <w:rFonts w:cs="Arial"/>
        </w:rPr>
        <w:t xml:space="preserve">’ </w:t>
      </w:r>
      <w:r w:rsidRPr="008728C1">
        <w:rPr>
          <w:rFonts w:cs="Arial"/>
        </w:rPr>
        <w:t xml:space="preserve">activities including whether the regulation is achieving the Australian Government’s stated policy objectives, the costs associated with administering the regulation and the cost of compliance for regulated entities. This is generally achieved through </w:t>
      </w:r>
      <w:r w:rsidR="00CA60CF">
        <w:rPr>
          <w:rFonts w:cs="Arial"/>
        </w:rPr>
        <w:t>regulators</w:t>
      </w:r>
      <w:r w:rsidR="00CA60CF" w:rsidRPr="008728C1">
        <w:rPr>
          <w:rFonts w:cs="Arial"/>
        </w:rPr>
        <w:t xml:space="preserve">’ </w:t>
      </w:r>
      <w:r w:rsidRPr="008728C1">
        <w:rPr>
          <w:rFonts w:cs="Arial"/>
        </w:rPr>
        <w:t>annual reporting to the Parliament.</w:t>
      </w:r>
    </w:p>
    <w:p w:rsidR="00B341E0" w:rsidRDefault="00B341E0" w:rsidP="00B341E0">
      <w:pPr>
        <w:rPr>
          <w:rFonts w:cs="HelveticaNeueLT Std Lt"/>
          <w:color w:val="000000"/>
          <w:sz w:val="20"/>
          <w:szCs w:val="20"/>
        </w:rPr>
      </w:pPr>
      <w:r>
        <w:rPr>
          <w:rFonts w:cs="Arial"/>
        </w:rPr>
        <w:t>To allow for this process, a best practice regulator should develop a comprehensive set of meaningful performance indicators, set with reference to the goals it is expected to achieve</w:t>
      </w:r>
      <w:r w:rsidR="00CA60CF">
        <w:rPr>
          <w:rFonts w:cs="Arial"/>
        </w:rPr>
        <w:t>.</w:t>
      </w:r>
    </w:p>
    <w:p w:rsidR="00B341E0" w:rsidRDefault="00B341E0" w:rsidP="00B341E0">
      <w:pPr>
        <w:rPr>
          <w:rFonts w:cs="Arial"/>
        </w:rPr>
      </w:pPr>
      <w:r>
        <w:rPr>
          <w:rFonts w:cs="Arial"/>
        </w:rPr>
        <w:t xml:space="preserve">In addition to formal reporting to the Parliament, best practice regulators also tend to publish performance information more frequently on their websites. </w:t>
      </w:r>
      <w:r w:rsidR="00736B84">
        <w:rPr>
          <w:rFonts w:cs="Arial"/>
        </w:rPr>
        <w:t xml:space="preserve">A clear description of what the </w:t>
      </w:r>
      <w:r w:rsidR="00CA60CF">
        <w:rPr>
          <w:rFonts w:cs="Arial"/>
        </w:rPr>
        <w:t xml:space="preserve">regulator </w:t>
      </w:r>
      <w:r w:rsidR="00736B84">
        <w:rPr>
          <w:rFonts w:cs="Arial"/>
        </w:rPr>
        <w:t>can and will do, with r</w:t>
      </w:r>
      <w:r>
        <w:rPr>
          <w:rFonts w:cs="Arial"/>
        </w:rPr>
        <w:t xml:space="preserve">egular monitoring and reporting against established benchmarks may assist in managing stakeholders’ expectations and assessing operational performance. </w:t>
      </w:r>
    </w:p>
    <w:p w:rsidR="00B341E0" w:rsidRDefault="00B341E0" w:rsidP="00B341E0">
      <w:pPr>
        <w:rPr>
          <w:rFonts w:cs="Arial"/>
        </w:rPr>
      </w:pPr>
      <w:r>
        <w:rPr>
          <w:rFonts w:cs="Arial"/>
        </w:rPr>
        <w:t>For example the Clean Energy Regulator includes a simple statement of its strategic direction on its website, with objectives, strategies and indicators for success</w:t>
      </w:r>
      <w:r w:rsidR="00CA60CF">
        <w:rPr>
          <w:rFonts w:cs="Arial"/>
        </w:rPr>
        <w:t>.</w:t>
      </w:r>
      <w:r>
        <w:rPr>
          <w:rStyle w:val="FootnoteReference"/>
          <w:rFonts w:cs="Arial"/>
        </w:rPr>
        <w:footnoteReference w:id="15"/>
      </w:r>
      <w:r>
        <w:rPr>
          <w:rFonts w:cs="Arial"/>
        </w:rPr>
        <w:t xml:space="preserve"> The Victorian EPA has also published a five year plan, with high level principles and objectives and cascading priorities and strategies</w:t>
      </w:r>
      <w:r w:rsidR="00CA60CF">
        <w:rPr>
          <w:rFonts w:cs="Arial"/>
        </w:rPr>
        <w:t>.</w:t>
      </w:r>
      <w:r>
        <w:rPr>
          <w:rStyle w:val="FootnoteReference"/>
          <w:rFonts w:cs="Arial"/>
        </w:rPr>
        <w:footnoteReference w:id="16"/>
      </w:r>
    </w:p>
    <w:p w:rsidR="00B341E0" w:rsidRPr="00810185" w:rsidRDefault="00B341E0" w:rsidP="00B341E0">
      <w:pPr>
        <w:rPr>
          <w:rFonts w:cs="Arial"/>
        </w:rPr>
      </w:pPr>
      <w:r>
        <w:rPr>
          <w:rFonts w:cs="Arial"/>
        </w:rPr>
        <w:t xml:space="preserve">The Project found that </w:t>
      </w:r>
      <w:r w:rsidR="007B083C">
        <w:rPr>
          <w:rFonts w:cs="Arial"/>
        </w:rPr>
        <w:t xml:space="preserve">setting </w:t>
      </w:r>
      <w:r>
        <w:rPr>
          <w:rFonts w:cs="Arial"/>
        </w:rPr>
        <w:t>o</w:t>
      </w:r>
      <w:r w:rsidRPr="00B9575D">
        <w:rPr>
          <w:rFonts w:cs="Arial"/>
        </w:rPr>
        <w:t>bjectives and monitoring</w:t>
      </w:r>
      <w:r w:rsidR="007B083C">
        <w:rPr>
          <w:rFonts w:cs="Arial"/>
        </w:rPr>
        <w:t xml:space="preserve"> performance</w:t>
      </w:r>
      <w:r w:rsidRPr="00B9575D">
        <w:rPr>
          <w:rFonts w:cs="Arial"/>
        </w:rPr>
        <w:t xml:space="preserve"> </w:t>
      </w:r>
      <w:r w:rsidR="00E8393F">
        <w:rPr>
          <w:rFonts w:cs="Arial"/>
        </w:rPr>
        <w:t xml:space="preserve">are </w:t>
      </w:r>
      <w:r w:rsidR="00CC738F">
        <w:rPr>
          <w:rFonts w:cs="Arial"/>
        </w:rPr>
        <w:t>carried out</w:t>
      </w:r>
      <w:r w:rsidRPr="00B9575D">
        <w:rPr>
          <w:rFonts w:cs="Arial"/>
        </w:rPr>
        <w:t xml:space="preserve"> inconsistent</w:t>
      </w:r>
      <w:r w:rsidR="00CC738F">
        <w:rPr>
          <w:rFonts w:cs="Arial"/>
        </w:rPr>
        <w:t>ly</w:t>
      </w:r>
      <w:r>
        <w:rPr>
          <w:rFonts w:cs="Arial"/>
        </w:rPr>
        <w:t xml:space="preserve"> within EPG</w:t>
      </w:r>
      <w:r w:rsidRPr="00B9575D">
        <w:rPr>
          <w:rFonts w:cs="Arial"/>
        </w:rPr>
        <w:t>. For example,</w:t>
      </w:r>
      <w:r>
        <w:rPr>
          <w:rFonts w:cs="Arial"/>
        </w:rPr>
        <w:t xml:space="preserve"> there are very few well</w:t>
      </w:r>
      <w:r w:rsidRPr="00B9575D">
        <w:rPr>
          <w:rFonts w:cs="Arial"/>
        </w:rPr>
        <w:t xml:space="preserve"> defined </w:t>
      </w:r>
      <w:r>
        <w:rPr>
          <w:rFonts w:cs="Arial"/>
        </w:rPr>
        <w:t xml:space="preserve">regulatory </w:t>
      </w:r>
      <w:r w:rsidRPr="00B9575D">
        <w:rPr>
          <w:rFonts w:cs="Arial"/>
        </w:rPr>
        <w:t>performance measures in the ESD and WH</w:t>
      </w:r>
      <w:r>
        <w:rPr>
          <w:rFonts w:cs="Arial"/>
        </w:rPr>
        <w:t xml:space="preserve">aM Division Plans, and milestones are also not sufficiently clear to enable effective monitoring review and correction over time if necessary. The Department’s corporate plans also only contain limited references to regulatory objectives and </w:t>
      </w:r>
      <w:r w:rsidRPr="00055D94">
        <w:rPr>
          <w:rFonts w:cs="Arial"/>
        </w:rPr>
        <w:t>performance measures.</w:t>
      </w:r>
      <w:r w:rsidRPr="00810185">
        <w:rPr>
          <w:rFonts w:cs="Arial"/>
        </w:rPr>
        <w:t xml:space="preserve"> </w:t>
      </w:r>
    </w:p>
    <w:p w:rsidR="00B341E0" w:rsidRPr="00792D67" w:rsidRDefault="009B05E8" w:rsidP="00B341E0">
      <w:pPr>
        <w:rPr>
          <w:rFonts w:cs="Arial"/>
        </w:rPr>
      </w:pPr>
      <w:r w:rsidRPr="009C030C">
        <w:rPr>
          <w:rFonts w:cs="Arial"/>
        </w:rPr>
        <w:t>Further, the Department does not compare well to other mature regulatory agencies in relation to communicating its performance.</w:t>
      </w:r>
      <w:r w:rsidR="00B341E0">
        <w:rPr>
          <w:rFonts w:cs="Arial"/>
        </w:rPr>
        <w:t xml:space="preserve"> </w:t>
      </w:r>
    </w:p>
    <w:p w:rsidR="00B341E0" w:rsidRDefault="00B341E0" w:rsidP="00B341E0">
      <w:pPr>
        <w:rPr>
          <w:rFonts w:cs="Arial"/>
        </w:rPr>
      </w:pPr>
      <w:r w:rsidRPr="00792D67">
        <w:rPr>
          <w:rFonts w:cs="Arial"/>
        </w:rPr>
        <w:t xml:space="preserve">In moving to </w:t>
      </w:r>
      <w:r>
        <w:rPr>
          <w:rFonts w:cs="Arial"/>
        </w:rPr>
        <w:t xml:space="preserve">become a mature regulator, it will be important for the Department to develop robust and measurable objectives and KPIs relating to its regulatory activities. These should be based on, and consistent with, the objectives and desired outcomes outlined in the </w:t>
      </w:r>
      <w:r w:rsidRPr="00591FB0">
        <w:rPr>
          <w:rFonts w:cs="Arial"/>
        </w:rPr>
        <w:t>Regulatory Framework (</w:t>
      </w:r>
      <w:r w:rsidR="004C0264">
        <w:rPr>
          <w:rFonts w:cs="Arial"/>
        </w:rPr>
        <w:t>see</w:t>
      </w:r>
      <w:r w:rsidRPr="00591FB0">
        <w:rPr>
          <w:rFonts w:cs="Arial"/>
        </w:rPr>
        <w:t xml:space="preserve"> </w:t>
      </w:r>
      <w:r w:rsidR="00591FB0" w:rsidRPr="00591FB0">
        <w:rPr>
          <w:rFonts w:cs="Arial"/>
          <w:i/>
        </w:rPr>
        <w:t>Recommendation 1.1 (Regulatory Framework)</w:t>
      </w:r>
      <w:r w:rsidRPr="00591FB0">
        <w:rPr>
          <w:rFonts w:cs="Arial"/>
        </w:rPr>
        <w:t>). The new regulatory oversight body (</w:t>
      </w:r>
      <w:r w:rsidR="004C0264">
        <w:rPr>
          <w:rFonts w:cs="Arial"/>
        </w:rPr>
        <w:t>see</w:t>
      </w:r>
      <w:r w:rsidR="00591FB0" w:rsidRPr="00591FB0">
        <w:rPr>
          <w:rFonts w:cs="Arial"/>
        </w:rPr>
        <w:t xml:space="preserve"> </w:t>
      </w:r>
      <w:r w:rsidRPr="00591FB0">
        <w:rPr>
          <w:rFonts w:cs="Arial"/>
          <w:i/>
        </w:rPr>
        <w:t xml:space="preserve">Recommendation </w:t>
      </w:r>
      <w:r w:rsidR="00591FB0" w:rsidRPr="00591FB0">
        <w:rPr>
          <w:rFonts w:cs="Arial"/>
          <w:i/>
        </w:rPr>
        <w:t>1.3 (Governance)</w:t>
      </w:r>
      <w:r w:rsidRPr="00591FB0">
        <w:rPr>
          <w:rFonts w:cs="Arial"/>
        </w:rPr>
        <w:t>) should have oversight of the development of regulatory KPIs, and the framework for measuring performance against them.</w:t>
      </w:r>
      <w:r>
        <w:rPr>
          <w:rFonts w:cs="Arial"/>
        </w:rPr>
        <w:t xml:space="preserve">    </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6"/>
      </w:tblGrid>
      <w:tr w:rsidR="003A19AA" w:rsidTr="00D63D39">
        <w:trPr>
          <w:cnfStyle w:val="100000000000" w:firstRow="1" w:lastRow="0" w:firstColumn="0" w:lastColumn="0" w:oddVBand="0" w:evenVBand="0" w:oddHBand="0" w:evenHBand="0" w:firstRowFirstColumn="0" w:firstRowLastColumn="0" w:lastRowFirstColumn="0" w:lastRowLastColumn="0"/>
        </w:trPr>
        <w:tc>
          <w:tcPr>
            <w:tcW w:w="9462" w:type="dxa"/>
            <w:shd w:val="clear" w:color="auto" w:fill="C7E2FA" w:themeFill="accent1" w:themeFillTint="33"/>
          </w:tcPr>
          <w:p w:rsidR="003A19AA" w:rsidRDefault="003A19AA" w:rsidP="003A19AA">
            <w:pPr>
              <w:spacing w:before="240"/>
              <w:rPr>
                <w:rFonts w:cs="Arial"/>
                <w:b/>
              </w:rPr>
            </w:pPr>
            <w:r>
              <w:rPr>
                <w:rFonts w:cs="Arial"/>
                <w:b/>
              </w:rPr>
              <w:t>Recommendation 1.2 (Performance monitoring and communication)</w:t>
            </w:r>
          </w:p>
          <w:p w:rsidR="003A19AA" w:rsidRDefault="003A19AA" w:rsidP="003A19AA">
            <w:pPr>
              <w:pStyle w:val="ListBullet"/>
              <w:numPr>
                <w:ilvl w:val="0"/>
                <w:numId w:val="0"/>
              </w:numPr>
              <w:rPr>
                <w:rFonts w:cs="Arial"/>
                <w:i/>
              </w:rPr>
            </w:pPr>
            <w:r>
              <w:rPr>
                <w:rFonts w:cs="Arial"/>
                <w:i/>
              </w:rPr>
              <w:t xml:space="preserve">Importance: </w:t>
            </w:r>
            <w:r w:rsidR="00CD0707">
              <w:rPr>
                <w:rFonts w:cs="Arial"/>
              </w:rPr>
              <w:t>2</w:t>
            </w:r>
          </w:p>
          <w:p w:rsidR="003A19AA" w:rsidRPr="000834AC" w:rsidRDefault="003A19AA" w:rsidP="003A19AA">
            <w:pPr>
              <w:pStyle w:val="ListBullet"/>
              <w:numPr>
                <w:ilvl w:val="0"/>
                <w:numId w:val="0"/>
              </w:numPr>
              <w:rPr>
                <w:rFonts w:cs="Arial"/>
                <w:i/>
              </w:rPr>
            </w:pPr>
            <w:r>
              <w:rPr>
                <w:rFonts w:cs="Arial"/>
                <w:i/>
              </w:rPr>
              <w:t xml:space="preserve">Timing: </w:t>
            </w:r>
            <w:r w:rsidR="00CD0707">
              <w:rPr>
                <w:rFonts w:cs="Arial"/>
              </w:rPr>
              <w:t>3</w:t>
            </w:r>
          </w:p>
          <w:p w:rsidR="003A19AA" w:rsidRDefault="003A19AA" w:rsidP="003A19AA">
            <w:pPr>
              <w:pStyle w:val="ListBullet"/>
              <w:numPr>
                <w:ilvl w:val="0"/>
                <w:numId w:val="0"/>
              </w:numPr>
              <w:rPr>
                <w:rFonts w:cs="Arial"/>
              </w:rPr>
            </w:pPr>
            <w:r w:rsidRPr="00777B58">
              <w:rPr>
                <w:rFonts w:cs="Arial"/>
              </w:rPr>
              <w:t>The Department and EPG should develop robust and measurable objectives and KPIs relating to its regulatory activities. These should be developed, published and monitored</w:t>
            </w:r>
            <w:r w:rsidR="007B083C">
              <w:rPr>
                <w:rFonts w:cs="Arial"/>
              </w:rPr>
              <w:t>,</w:t>
            </w:r>
            <w:r>
              <w:rPr>
                <w:rFonts w:cs="Arial"/>
              </w:rPr>
              <w:t xml:space="preserve"> and included in performance agreements for relevant staff</w:t>
            </w:r>
            <w:r w:rsidRPr="00777B58">
              <w:rPr>
                <w:rFonts w:cs="Arial"/>
              </w:rPr>
              <w:t xml:space="preserve">. The Department should </w:t>
            </w:r>
            <w:r w:rsidRPr="00777B58">
              <w:rPr>
                <w:rFonts w:cs="Arial"/>
              </w:rPr>
              <w:lastRenderedPageBreak/>
              <w:t>communicate results</w:t>
            </w:r>
            <w:r w:rsidR="007B083C">
              <w:rPr>
                <w:rFonts w:cs="Arial"/>
              </w:rPr>
              <w:t xml:space="preserve"> of monitoring</w:t>
            </w:r>
            <w:r w:rsidRPr="00777B58">
              <w:rPr>
                <w:rFonts w:cs="Arial"/>
              </w:rPr>
              <w:t xml:space="preserve"> to staff, with open</w:t>
            </w:r>
            <w:r>
              <w:rPr>
                <w:rFonts w:cs="Arial"/>
              </w:rPr>
              <w:t xml:space="preserve"> discussion about lessons learned</w:t>
            </w:r>
            <w:r w:rsidRPr="00777B58">
              <w:rPr>
                <w:rFonts w:cs="Arial"/>
              </w:rPr>
              <w:t xml:space="preserve"> and opportunities for improvements. </w:t>
            </w:r>
          </w:p>
          <w:p w:rsidR="00CC738F" w:rsidRPr="00777B58" w:rsidRDefault="00CC738F" w:rsidP="003A19AA">
            <w:pPr>
              <w:pStyle w:val="ListBullet"/>
              <w:numPr>
                <w:ilvl w:val="0"/>
                <w:numId w:val="0"/>
              </w:numPr>
              <w:rPr>
                <w:rFonts w:cs="Arial"/>
              </w:rPr>
            </w:pPr>
          </w:p>
          <w:p w:rsidR="003A19AA" w:rsidRPr="00777B58" w:rsidRDefault="003A19AA" w:rsidP="003A19AA">
            <w:pPr>
              <w:pStyle w:val="ListBullet"/>
              <w:numPr>
                <w:ilvl w:val="0"/>
                <w:numId w:val="0"/>
              </w:numPr>
              <w:rPr>
                <w:rFonts w:cs="Arial"/>
              </w:rPr>
            </w:pPr>
            <w:r w:rsidRPr="00777B58">
              <w:rPr>
                <w:rFonts w:cs="Arial"/>
              </w:rPr>
              <w:t xml:space="preserve">KPIs </w:t>
            </w:r>
            <w:r>
              <w:rPr>
                <w:rFonts w:cs="Arial"/>
              </w:rPr>
              <w:t xml:space="preserve">should be developed </w:t>
            </w:r>
            <w:r w:rsidRPr="00777B58">
              <w:rPr>
                <w:rFonts w:cs="Arial"/>
              </w:rPr>
              <w:t>having regard to:</w:t>
            </w:r>
          </w:p>
          <w:p w:rsidR="003A19AA" w:rsidRPr="00777B58" w:rsidRDefault="003A19AA" w:rsidP="00E65120">
            <w:pPr>
              <w:pStyle w:val="ListBullet"/>
              <w:numPr>
                <w:ilvl w:val="0"/>
                <w:numId w:val="10"/>
              </w:numPr>
              <w:spacing w:after="0" w:line="240" w:lineRule="auto"/>
              <w:rPr>
                <w:rFonts w:cs="Arial"/>
              </w:rPr>
            </w:pPr>
            <w:r w:rsidRPr="00777B58">
              <w:rPr>
                <w:rFonts w:cs="Arial"/>
              </w:rPr>
              <w:t>the problem they are addressing;</w:t>
            </w:r>
          </w:p>
          <w:p w:rsidR="003A19AA" w:rsidRPr="00777B58" w:rsidRDefault="003A19AA" w:rsidP="00E65120">
            <w:pPr>
              <w:pStyle w:val="ListBullet"/>
              <w:numPr>
                <w:ilvl w:val="0"/>
                <w:numId w:val="10"/>
              </w:numPr>
              <w:spacing w:after="0" w:line="240" w:lineRule="auto"/>
              <w:rPr>
                <w:rFonts w:cs="Arial"/>
              </w:rPr>
            </w:pPr>
            <w:r w:rsidRPr="00777B58">
              <w:rPr>
                <w:rFonts w:cs="Arial"/>
              </w:rPr>
              <w:t>the desired outcome;</w:t>
            </w:r>
          </w:p>
          <w:p w:rsidR="003A19AA" w:rsidRPr="00777B58" w:rsidRDefault="003A19AA" w:rsidP="00E65120">
            <w:pPr>
              <w:pStyle w:val="ListBullet"/>
              <w:numPr>
                <w:ilvl w:val="0"/>
                <w:numId w:val="10"/>
              </w:numPr>
              <w:spacing w:after="0" w:line="240" w:lineRule="auto"/>
              <w:rPr>
                <w:rFonts w:cs="Arial"/>
              </w:rPr>
            </w:pPr>
            <w:r w:rsidRPr="00777B58">
              <w:rPr>
                <w:rFonts w:cs="Arial"/>
              </w:rPr>
              <w:t>how the Department will know when they are achieved;</w:t>
            </w:r>
          </w:p>
          <w:p w:rsidR="003A19AA" w:rsidRPr="00777B58" w:rsidRDefault="003A19AA" w:rsidP="00E65120">
            <w:pPr>
              <w:pStyle w:val="ListBullet"/>
              <w:numPr>
                <w:ilvl w:val="0"/>
                <w:numId w:val="10"/>
              </w:numPr>
              <w:spacing w:after="0" w:line="240" w:lineRule="auto"/>
              <w:rPr>
                <w:rFonts w:cs="Arial"/>
              </w:rPr>
            </w:pPr>
            <w:r w:rsidRPr="00777B58">
              <w:rPr>
                <w:rFonts w:cs="Arial"/>
              </w:rPr>
              <w:t>how</w:t>
            </w:r>
            <w:r w:rsidR="00D63D39">
              <w:rPr>
                <w:rFonts w:cs="Arial"/>
              </w:rPr>
              <w:t>,</w:t>
            </w:r>
            <w:r w:rsidRPr="00777B58">
              <w:rPr>
                <w:rFonts w:cs="Arial"/>
              </w:rPr>
              <w:t xml:space="preserve"> </w:t>
            </w:r>
            <w:r>
              <w:rPr>
                <w:rFonts w:cs="Arial"/>
              </w:rPr>
              <w:t xml:space="preserve">and how </w:t>
            </w:r>
            <w:r w:rsidRPr="00777B58">
              <w:rPr>
                <w:rFonts w:cs="Arial"/>
              </w:rPr>
              <w:t>often</w:t>
            </w:r>
            <w:r w:rsidR="00D63D39">
              <w:rPr>
                <w:rFonts w:cs="Arial"/>
              </w:rPr>
              <w:t>,</w:t>
            </w:r>
            <w:r w:rsidRPr="00777B58">
              <w:rPr>
                <w:rFonts w:cs="Arial"/>
              </w:rPr>
              <w:t xml:space="preserve"> they will be monitored;</w:t>
            </w:r>
          </w:p>
          <w:p w:rsidR="003A19AA" w:rsidRPr="00777B58" w:rsidRDefault="003A19AA" w:rsidP="00E65120">
            <w:pPr>
              <w:pStyle w:val="ListBullet"/>
              <w:numPr>
                <w:ilvl w:val="0"/>
                <w:numId w:val="10"/>
              </w:numPr>
              <w:spacing w:after="0" w:line="240" w:lineRule="auto"/>
              <w:rPr>
                <w:rFonts w:cs="Arial"/>
              </w:rPr>
            </w:pPr>
            <w:r w:rsidRPr="00777B58">
              <w:rPr>
                <w:rFonts w:cs="Arial"/>
              </w:rPr>
              <w:t xml:space="preserve">what milestones need to be met to know that </w:t>
            </w:r>
            <w:r w:rsidR="00D63D39">
              <w:rPr>
                <w:rFonts w:cs="Arial"/>
              </w:rPr>
              <w:t>the Department is on</w:t>
            </w:r>
            <w:r w:rsidRPr="00777B58">
              <w:rPr>
                <w:rFonts w:cs="Arial"/>
              </w:rPr>
              <w:t xml:space="preserve"> track; </w:t>
            </w:r>
          </w:p>
          <w:p w:rsidR="003A19AA" w:rsidRPr="00777B58" w:rsidRDefault="003A19AA" w:rsidP="00E65120">
            <w:pPr>
              <w:pStyle w:val="ListBullet"/>
              <w:numPr>
                <w:ilvl w:val="0"/>
                <w:numId w:val="10"/>
              </w:numPr>
              <w:spacing w:after="0" w:line="240" w:lineRule="auto"/>
              <w:rPr>
                <w:rFonts w:cs="Arial"/>
              </w:rPr>
            </w:pPr>
            <w:r w:rsidRPr="00777B58">
              <w:rPr>
                <w:rFonts w:cs="Arial"/>
              </w:rPr>
              <w:t>how the Department will make corrections along the way; and</w:t>
            </w:r>
          </w:p>
          <w:p w:rsidR="003A19AA" w:rsidRDefault="003A19AA" w:rsidP="00E65120">
            <w:pPr>
              <w:pStyle w:val="ListBullet"/>
              <w:numPr>
                <w:ilvl w:val="0"/>
                <w:numId w:val="10"/>
              </w:numPr>
              <w:spacing w:after="0" w:line="240" w:lineRule="auto"/>
              <w:rPr>
                <w:rFonts w:cs="Arial"/>
              </w:rPr>
            </w:pPr>
            <w:r w:rsidRPr="00777B58">
              <w:rPr>
                <w:rFonts w:cs="Arial"/>
              </w:rPr>
              <w:t xml:space="preserve">how, and how often, performance will be communicated internally and externally.  </w:t>
            </w:r>
          </w:p>
          <w:p w:rsidR="00E824F7" w:rsidRDefault="00E824F7">
            <w:pPr>
              <w:pStyle w:val="ListBullet"/>
              <w:numPr>
                <w:ilvl w:val="0"/>
                <w:numId w:val="0"/>
              </w:numPr>
              <w:spacing w:after="0" w:line="240" w:lineRule="auto"/>
              <w:ind w:left="720"/>
              <w:rPr>
                <w:rFonts w:cs="Arial"/>
              </w:rPr>
            </w:pPr>
          </w:p>
          <w:p w:rsidR="003A19AA" w:rsidRDefault="003A19AA" w:rsidP="003A19AA">
            <w:pPr>
              <w:pStyle w:val="ListBullet"/>
              <w:numPr>
                <w:ilvl w:val="0"/>
                <w:numId w:val="0"/>
              </w:numPr>
              <w:rPr>
                <w:rFonts w:cs="Arial"/>
              </w:rPr>
            </w:pPr>
            <w:r w:rsidRPr="00777B58">
              <w:rPr>
                <w:rFonts w:cs="Arial"/>
              </w:rPr>
              <w:t>The Department</w:t>
            </w:r>
            <w:r w:rsidR="00D63D39">
              <w:rPr>
                <w:rFonts w:cs="Arial"/>
              </w:rPr>
              <w:t xml:space="preserve"> and EPG</w:t>
            </w:r>
            <w:r w:rsidRPr="00777B58">
              <w:rPr>
                <w:rFonts w:cs="Arial"/>
              </w:rPr>
              <w:t xml:space="preserve"> should clarify who has responsibility for monitoring KPIs and making any necessary adjustments.</w:t>
            </w:r>
          </w:p>
          <w:p w:rsidR="003A19AA" w:rsidRPr="003A19AA" w:rsidRDefault="003A19AA" w:rsidP="00D63D39">
            <w:r w:rsidRPr="00777B58">
              <w:rPr>
                <w:rFonts w:cs="Arial"/>
              </w:rPr>
              <w:t>The Department</w:t>
            </w:r>
            <w:r w:rsidR="00D63D39">
              <w:rPr>
                <w:rFonts w:cs="Arial"/>
              </w:rPr>
              <w:t xml:space="preserve"> and EPG</w:t>
            </w:r>
            <w:r w:rsidRPr="00777B58">
              <w:rPr>
                <w:rFonts w:cs="Arial"/>
              </w:rPr>
              <w:t xml:space="preserve"> should seek feedback from stakeholders o</w:t>
            </w:r>
            <w:r>
              <w:rPr>
                <w:rFonts w:cs="Arial"/>
              </w:rPr>
              <w:t>n its performance</w:t>
            </w:r>
            <w:r w:rsidR="00D63D39">
              <w:rPr>
                <w:rFonts w:cs="Arial"/>
              </w:rPr>
              <w:t>,</w:t>
            </w:r>
            <w:r>
              <w:rPr>
                <w:rFonts w:cs="Arial"/>
              </w:rPr>
              <w:t xml:space="preserve"> and use this</w:t>
            </w:r>
            <w:r w:rsidR="00D63D39">
              <w:rPr>
                <w:rFonts w:cs="Arial"/>
              </w:rPr>
              <w:t xml:space="preserve"> feedback</w:t>
            </w:r>
            <w:r>
              <w:rPr>
                <w:rFonts w:cs="Arial"/>
              </w:rPr>
              <w:t xml:space="preserve"> </w:t>
            </w:r>
            <w:r w:rsidRPr="00777B58">
              <w:rPr>
                <w:rFonts w:cs="Arial"/>
              </w:rPr>
              <w:t>to make improvements. The Department should publicly report on its performance to address stakeholder concerns (see also</w:t>
            </w:r>
            <w:r w:rsidR="00591FB0">
              <w:rPr>
                <w:rFonts w:cs="Arial"/>
              </w:rPr>
              <w:t xml:space="preserve"> the </w:t>
            </w:r>
            <w:r w:rsidR="00591FB0">
              <w:rPr>
                <w:rFonts w:cs="Arial"/>
                <w:i/>
              </w:rPr>
              <w:t xml:space="preserve">Transparency and disclosure of information </w:t>
            </w:r>
            <w:r w:rsidR="00591FB0">
              <w:rPr>
                <w:rFonts w:cs="Arial"/>
              </w:rPr>
              <w:t xml:space="preserve">section in Chapter 2, and the </w:t>
            </w:r>
            <w:r w:rsidR="00EB1F45">
              <w:rPr>
                <w:rFonts w:cs="Arial"/>
                <w:i/>
              </w:rPr>
              <w:t xml:space="preserve">Proactive engagement with community stakeholders </w:t>
            </w:r>
            <w:r w:rsidR="00EB1F45">
              <w:rPr>
                <w:rFonts w:cs="Arial"/>
              </w:rPr>
              <w:t>section in Chapter 6</w:t>
            </w:r>
            <w:r w:rsidRPr="00777B58">
              <w:rPr>
                <w:rFonts w:cs="Arial"/>
              </w:rPr>
              <w:t>).</w:t>
            </w:r>
          </w:p>
        </w:tc>
      </w:tr>
    </w:tbl>
    <w:p w:rsidR="00DA1F3B" w:rsidRDefault="00DA1F3B" w:rsidP="009E6330">
      <w:pPr>
        <w:pStyle w:val="Heading1"/>
        <w:spacing w:after="120"/>
        <w:rPr>
          <w:caps w:val="0"/>
          <w:color w:val="0B5294" w:themeColor="accent1" w:themeShade="BF"/>
          <w:sz w:val="24"/>
          <w:szCs w:val="24"/>
        </w:rPr>
      </w:pPr>
    </w:p>
    <w:p w:rsidR="00B341E0" w:rsidRPr="0042419C" w:rsidRDefault="003A007F" w:rsidP="009E6330">
      <w:pPr>
        <w:pStyle w:val="Heading1"/>
        <w:spacing w:after="120"/>
        <w:rPr>
          <w:caps w:val="0"/>
          <w:color w:val="0B5294" w:themeColor="accent1" w:themeShade="BF"/>
          <w:sz w:val="24"/>
          <w:szCs w:val="24"/>
        </w:rPr>
      </w:pPr>
      <w:bookmarkStart w:id="16" w:name="_Toc443405154"/>
      <w:r w:rsidRPr="0042419C">
        <w:rPr>
          <w:caps w:val="0"/>
          <w:color w:val="0B5294" w:themeColor="accent1" w:themeShade="BF"/>
          <w:sz w:val="24"/>
          <w:szCs w:val="24"/>
        </w:rPr>
        <w:t>G</w:t>
      </w:r>
      <w:r w:rsidR="00B341E0" w:rsidRPr="0042419C">
        <w:rPr>
          <w:caps w:val="0"/>
          <w:color w:val="0B5294" w:themeColor="accent1" w:themeShade="BF"/>
          <w:sz w:val="24"/>
          <w:szCs w:val="24"/>
        </w:rPr>
        <w:t>overnance</w:t>
      </w:r>
      <w:bookmarkEnd w:id="16"/>
    </w:p>
    <w:p w:rsidR="00B341E0" w:rsidRDefault="00B341E0" w:rsidP="00B341E0">
      <w:pPr>
        <w:rPr>
          <w:rFonts w:cs="Arial"/>
        </w:rPr>
      </w:pPr>
      <w:r>
        <w:rPr>
          <w:rFonts w:cs="Arial"/>
        </w:rPr>
        <w:t>Best practice regulators have clear governance structures to ensure that regulatory activities and policies are administered consistently and appropriately across the organisation.</w:t>
      </w:r>
    </w:p>
    <w:p w:rsidR="00E824F7" w:rsidRDefault="00600519">
      <w:pPr>
        <w:pStyle w:val="ListBullet"/>
        <w:numPr>
          <w:ilvl w:val="0"/>
          <w:numId w:val="0"/>
        </w:numPr>
        <w:rPr>
          <w:rFonts w:cs="Arial"/>
        </w:rPr>
      </w:pPr>
      <w:r>
        <w:rPr>
          <w:rFonts w:cs="Arial"/>
        </w:rPr>
        <w:t xml:space="preserve">The Project found that there is no standard process for developing or approving policy guidance within the Department. Further, beyond the decision-making processes in EPG, and the Department’s Executive Board, the Department does not have a body for making strategic decisions about regulatory issues, policies and guidance at a Departmental level. </w:t>
      </w:r>
    </w:p>
    <w:p w:rsidR="00B341E0" w:rsidRDefault="000C0C99" w:rsidP="00B341E0">
      <w:pPr>
        <w:pStyle w:val="ListBullet"/>
        <w:numPr>
          <w:ilvl w:val="0"/>
          <w:numId w:val="0"/>
        </w:numPr>
        <w:rPr>
          <w:rFonts w:cs="Arial"/>
        </w:rPr>
      </w:pPr>
      <w:r>
        <w:rPr>
          <w:rFonts w:cs="Arial"/>
        </w:rPr>
        <w:t xml:space="preserve">In </w:t>
      </w:r>
      <w:r w:rsidR="00DA1F3B">
        <w:rPr>
          <w:rFonts w:cs="Arial"/>
        </w:rPr>
        <w:t>May 2015, t</w:t>
      </w:r>
      <w:r w:rsidR="00B341E0">
        <w:rPr>
          <w:rFonts w:cs="Arial"/>
        </w:rPr>
        <w:t xml:space="preserve">he Department </w:t>
      </w:r>
      <w:r>
        <w:rPr>
          <w:rFonts w:cs="Arial"/>
        </w:rPr>
        <w:t>established</w:t>
      </w:r>
      <w:r w:rsidR="00B341E0">
        <w:rPr>
          <w:rFonts w:cs="Arial"/>
        </w:rPr>
        <w:t xml:space="preserve"> a Regulatory Advisory Panel which is made up of the Department’s General Counsel, the Assistant Secretary of the Compliance and Enforcement Branch, and an external party (currently the</w:t>
      </w:r>
      <w:r w:rsidR="0057138C">
        <w:rPr>
          <w:rFonts w:cs="Arial"/>
        </w:rPr>
        <w:t xml:space="preserve"> Chief Risk Officer who recently replaced the</w:t>
      </w:r>
      <w:r w:rsidR="00B341E0">
        <w:rPr>
          <w:rFonts w:cs="Arial"/>
        </w:rPr>
        <w:t xml:space="preserve"> Assistant Secretary of the Analysis Branch</w:t>
      </w:r>
      <w:r w:rsidR="0057138C">
        <w:rPr>
          <w:rFonts w:cs="Arial"/>
        </w:rPr>
        <w:t xml:space="preserve"> in PAID</w:t>
      </w:r>
      <w:r w:rsidR="00B341E0">
        <w:rPr>
          <w:rFonts w:cs="Arial"/>
        </w:rPr>
        <w:t xml:space="preserve">). </w:t>
      </w:r>
      <w:r w:rsidR="00736B84">
        <w:rPr>
          <w:rFonts w:cs="Arial"/>
        </w:rPr>
        <w:t xml:space="preserve">While relevant branch heads </w:t>
      </w:r>
      <w:r w:rsidR="0057138C">
        <w:rPr>
          <w:rFonts w:cs="Arial"/>
        </w:rPr>
        <w:t xml:space="preserve">from WHaM, ESD and other relevant areas of the Department </w:t>
      </w:r>
      <w:r w:rsidR="00736B84">
        <w:rPr>
          <w:rFonts w:cs="Arial"/>
        </w:rPr>
        <w:t>have a standing invitation to participate in the Panel, in practice</w:t>
      </w:r>
      <w:r w:rsidR="0057138C">
        <w:rPr>
          <w:rFonts w:cs="Arial"/>
        </w:rPr>
        <w:t xml:space="preserve"> they rarely attend. </w:t>
      </w:r>
    </w:p>
    <w:p w:rsidR="00A937BB" w:rsidRDefault="001D23C2" w:rsidP="00B341E0">
      <w:pPr>
        <w:pStyle w:val="ListBullet"/>
        <w:numPr>
          <w:ilvl w:val="0"/>
          <w:numId w:val="0"/>
        </w:numPr>
        <w:rPr>
          <w:rFonts w:cs="Arial"/>
        </w:rPr>
      </w:pPr>
      <w:r>
        <w:rPr>
          <w:rFonts w:cs="Arial"/>
        </w:rPr>
        <w:t xml:space="preserve">The </w:t>
      </w:r>
      <w:r w:rsidR="00A937BB">
        <w:rPr>
          <w:rFonts w:cs="Arial"/>
        </w:rPr>
        <w:t xml:space="preserve">Regulatory Advisory Panel </w:t>
      </w:r>
      <w:r w:rsidR="00B341E0">
        <w:rPr>
          <w:rFonts w:cs="Arial"/>
        </w:rPr>
        <w:t xml:space="preserve">is a useful tool for creating greater consistency in </w:t>
      </w:r>
      <w:r w:rsidR="00A937BB">
        <w:rPr>
          <w:rFonts w:cs="Arial"/>
        </w:rPr>
        <w:t xml:space="preserve">regulatory </w:t>
      </w:r>
      <w:r w:rsidR="00B341E0">
        <w:rPr>
          <w:rFonts w:cs="Arial"/>
        </w:rPr>
        <w:t>activities</w:t>
      </w:r>
      <w:r>
        <w:rPr>
          <w:rFonts w:cs="Arial"/>
        </w:rPr>
        <w:t xml:space="preserve">, </w:t>
      </w:r>
      <w:r w:rsidR="00CC738F">
        <w:rPr>
          <w:rFonts w:cs="Arial"/>
        </w:rPr>
        <w:t>but</w:t>
      </w:r>
      <w:r>
        <w:rPr>
          <w:rFonts w:cs="Arial"/>
        </w:rPr>
        <w:t xml:space="preserve"> it is not a statutory decision-making body</w:t>
      </w:r>
      <w:r w:rsidR="0057138C">
        <w:rPr>
          <w:rFonts w:cs="Arial"/>
        </w:rPr>
        <w:t xml:space="preserve">. </w:t>
      </w:r>
      <w:r w:rsidR="001072C5">
        <w:rPr>
          <w:rFonts w:cs="Arial"/>
        </w:rPr>
        <w:t>It</w:t>
      </w:r>
      <w:r w:rsidR="00A937BB">
        <w:rPr>
          <w:rFonts w:cs="Arial"/>
        </w:rPr>
        <w:t xml:space="preserve"> currently</w:t>
      </w:r>
      <w:r w:rsidR="001072C5">
        <w:rPr>
          <w:rFonts w:cs="Arial"/>
        </w:rPr>
        <w:t xml:space="preserve"> </w:t>
      </w:r>
      <w:r w:rsidR="00B341E0">
        <w:rPr>
          <w:rFonts w:cs="Arial"/>
        </w:rPr>
        <w:t xml:space="preserve">relies on </w:t>
      </w:r>
      <w:r w:rsidR="00A937BB">
        <w:rPr>
          <w:rFonts w:cs="Arial"/>
        </w:rPr>
        <w:t>the</w:t>
      </w:r>
      <w:r w:rsidR="001072C5">
        <w:rPr>
          <w:rFonts w:cs="Arial"/>
        </w:rPr>
        <w:t xml:space="preserve"> </w:t>
      </w:r>
      <w:r w:rsidR="00B341E0">
        <w:rPr>
          <w:rFonts w:cs="Arial"/>
        </w:rPr>
        <w:t>volunta</w:t>
      </w:r>
      <w:r w:rsidR="00A937BB">
        <w:rPr>
          <w:rFonts w:cs="Arial"/>
        </w:rPr>
        <w:t>ry</w:t>
      </w:r>
      <w:r w:rsidR="001072C5">
        <w:rPr>
          <w:rFonts w:cs="Arial"/>
        </w:rPr>
        <w:t xml:space="preserve"> referr</w:t>
      </w:r>
      <w:r w:rsidR="00A937BB">
        <w:rPr>
          <w:rFonts w:cs="Arial"/>
        </w:rPr>
        <w:t>al of</w:t>
      </w:r>
      <w:r w:rsidR="001072C5">
        <w:rPr>
          <w:rFonts w:cs="Arial"/>
        </w:rPr>
        <w:t xml:space="preserve"> relevant issues in a timely way</w:t>
      </w:r>
      <w:r w:rsidR="00A937BB">
        <w:rPr>
          <w:rFonts w:cs="Arial"/>
        </w:rPr>
        <w:t xml:space="preserve">, which is not consistently done. </w:t>
      </w:r>
      <w:r w:rsidR="00600519">
        <w:rPr>
          <w:rFonts w:cs="Arial"/>
        </w:rPr>
        <w:t>The Regulatory Advisory Panel’s terms of reference include a broad range of regulatory issues, but it is currently highly operationally focused on compliance and enforcement issues.</w:t>
      </w:r>
    </w:p>
    <w:p w:rsidR="00B341E0" w:rsidRDefault="00B341E0" w:rsidP="00B341E0">
      <w:pPr>
        <w:pStyle w:val="ListBullet"/>
        <w:numPr>
          <w:ilvl w:val="0"/>
          <w:numId w:val="0"/>
        </w:numPr>
        <w:rPr>
          <w:rFonts w:cs="Arial"/>
        </w:rPr>
      </w:pPr>
      <w:r>
        <w:rPr>
          <w:rFonts w:cs="Arial"/>
        </w:rPr>
        <w:t xml:space="preserve">To ensure greater consistency in the Department’s strategic regulatory approach (as opposed to the operational approach overseen by the Regulatory Advisory Panel), the Department should consider forming a separate oversight body, a </w:t>
      </w:r>
      <w:r w:rsidR="0050784E">
        <w:rPr>
          <w:rFonts w:cs="Arial"/>
        </w:rPr>
        <w:t>Regulatory Steering Committee</w:t>
      </w:r>
      <w:r>
        <w:rPr>
          <w:rFonts w:cs="Arial"/>
        </w:rPr>
        <w:t>, that can discuss and debate matters such as the Department’s regulatory priorities and posture, and the appropriate allocation of resources. This body should also have oversight</w:t>
      </w:r>
      <w:r w:rsidR="00620CD5">
        <w:rPr>
          <w:rFonts w:cs="Arial"/>
        </w:rPr>
        <w:t>, including clearance, of</w:t>
      </w:r>
      <w:r>
        <w:rPr>
          <w:rFonts w:cs="Arial"/>
        </w:rPr>
        <w:t xml:space="preserve"> regulatory policies and major pieces of public guidance. </w:t>
      </w:r>
    </w:p>
    <w:p w:rsidR="00CC738F" w:rsidRDefault="00CC738F" w:rsidP="00B341E0">
      <w:pPr>
        <w:pStyle w:val="ListBullet"/>
        <w:numPr>
          <w:ilvl w:val="0"/>
          <w:numId w:val="0"/>
        </w:numPr>
        <w:rPr>
          <w:rFonts w:cs="Arial"/>
        </w:rPr>
      </w:pPr>
    </w:p>
    <w:tbl>
      <w:tblPr>
        <w:tblStyle w:val="TableGrid"/>
        <w:tblW w:w="0" w:type="auto"/>
        <w:tblLook w:val="04A0" w:firstRow="1" w:lastRow="0" w:firstColumn="1" w:lastColumn="0" w:noHBand="0" w:noVBand="1"/>
      </w:tblPr>
      <w:tblGrid>
        <w:gridCol w:w="9212"/>
      </w:tblGrid>
      <w:tr w:rsidR="003A19AA" w:rsidTr="005B1AFF">
        <w:trPr>
          <w:cnfStyle w:val="100000000000" w:firstRow="1" w:lastRow="0" w:firstColumn="0" w:lastColumn="0" w:oddVBand="0" w:evenVBand="0" w:oddHBand="0" w:evenHBand="0" w:firstRowFirstColumn="0" w:firstRowLastColumn="0" w:lastRowFirstColumn="0" w:lastRowLastColumn="0"/>
        </w:trPr>
        <w:tc>
          <w:tcPr>
            <w:tcW w:w="9428" w:type="dxa"/>
            <w:tcBorders>
              <w:top w:val="nil"/>
              <w:left w:val="nil"/>
              <w:bottom w:val="nil"/>
              <w:right w:val="nil"/>
            </w:tcBorders>
            <w:shd w:val="clear" w:color="auto" w:fill="C7E2FA" w:themeFill="accent1" w:themeFillTint="33"/>
          </w:tcPr>
          <w:p w:rsidR="003A19AA" w:rsidRPr="00095650" w:rsidRDefault="003A19AA" w:rsidP="003A19AA">
            <w:pPr>
              <w:pStyle w:val="ListBullet"/>
              <w:numPr>
                <w:ilvl w:val="0"/>
                <w:numId w:val="0"/>
              </w:numPr>
              <w:spacing w:before="240"/>
              <w:rPr>
                <w:rFonts w:cs="Arial"/>
                <w:b/>
              </w:rPr>
            </w:pPr>
            <w:r>
              <w:rPr>
                <w:rFonts w:cs="Arial"/>
                <w:b/>
              </w:rPr>
              <w:t>Recommendation 1.3</w:t>
            </w:r>
            <w:r w:rsidRPr="00095650">
              <w:rPr>
                <w:rFonts w:cs="Arial"/>
                <w:b/>
              </w:rPr>
              <w:t xml:space="preserve"> (Governance)</w:t>
            </w:r>
          </w:p>
          <w:p w:rsidR="003A19AA" w:rsidRDefault="003A19AA" w:rsidP="003A19AA">
            <w:pPr>
              <w:pStyle w:val="ListBullet"/>
              <w:numPr>
                <w:ilvl w:val="0"/>
                <w:numId w:val="0"/>
              </w:numPr>
              <w:rPr>
                <w:rFonts w:cs="Arial"/>
                <w:i/>
              </w:rPr>
            </w:pPr>
            <w:r>
              <w:rPr>
                <w:rFonts w:cs="Arial"/>
                <w:i/>
              </w:rPr>
              <w:t xml:space="preserve">Importance: </w:t>
            </w:r>
            <w:r w:rsidRPr="000834AC">
              <w:rPr>
                <w:rFonts w:cs="Arial"/>
              </w:rPr>
              <w:t>1</w:t>
            </w:r>
          </w:p>
          <w:p w:rsidR="003A19AA" w:rsidRPr="000834AC" w:rsidRDefault="003A19AA" w:rsidP="003A19AA">
            <w:pPr>
              <w:pStyle w:val="ListBullet"/>
              <w:numPr>
                <w:ilvl w:val="0"/>
                <w:numId w:val="0"/>
              </w:numPr>
              <w:rPr>
                <w:rFonts w:cs="Arial"/>
                <w:i/>
              </w:rPr>
            </w:pPr>
            <w:r>
              <w:rPr>
                <w:rFonts w:cs="Arial"/>
                <w:i/>
              </w:rPr>
              <w:t xml:space="preserve">Timing: </w:t>
            </w:r>
            <w:r>
              <w:rPr>
                <w:rFonts w:cs="Arial"/>
              </w:rPr>
              <w:t>1</w:t>
            </w:r>
          </w:p>
          <w:p w:rsidR="003A19AA" w:rsidRDefault="003A19AA" w:rsidP="003A19AA">
            <w:pPr>
              <w:pStyle w:val="ListBullet"/>
              <w:numPr>
                <w:ilvl w:val="0"/>
                <w:numId w:val="0"/>
              </w:numPr>
              <w:rPr>
                <w:rFonts w:cs="Arial"/>
              </w:rPr>
            </w:pPr>
            <w:r w:rsidRPr="00095650">
              <w:rPr>
                <w:rFonts w:cs="Arial"/>
              </w:rPr>
              <w:t xml:space="preserve">The Department should </w:t>
            </w:r>
            <w:r>
              <w:rPr>
                <w:rFonts w:cs="Arial"/>
              </w:rPr>
              <w:t>establish an</w:t>
            </w:r>
            <w:r w:rsidRPr="00095650">
              <w:rPr>
                <w:rFonts w:cs="Arial"/>
              </w:rPr>
              <w:t xml:space="preserve"> oversight body to consider the Department’s regulatory policies and posture; and </w:t>
            </w:r>
            <w:r w:rsidR="00117E92">
              <w:rPr>
                <w:rFonts w:cs="Arial"/>
              </w:rPr>
              <w:t>to have</w:t>
            </w:r>
            <w:r w:rsidRPr="00095650">
              <w:rPr>
                <w:rFonts w:cs="Arial"/>
              </w:rPr>
              <w:t xml:space="preserve"> oversight of regulatory</w:t>
            </w:r>
            <w:r w:rsidR="00117E92">
              <w:rPr>
                <w:rFonts w:cs="Arial"/>
              </w:rPr>
              <w:t xml:space="preserve"> issues, </w:t>
            </w:r>
            <w:r w:rsidRPr="00095650">
              <w:rPr>
                <w:rFonts w:cs="Arial"/>
              </w:rPr>
              <w:t>policies</w:t>
            </w:r>
            <w:r w:rsidR="00117E92">
              <w:rPr>
                <w:rFonts w:cs="Arial"/>
              </w:rPr>
              <w:t xml:space="preserve"> and </w:t>
            </w:r>
            <w:r w:rsidRPr="00095650">
              <w:rPr>
                <w:rFonts w:cs="Arial"/>
              </w:rPr>
              <w:t>major pieces of public guidance. This body</w:t>
            </w:r>
            <w:r>
              <w:rPr>
                <w:rFonts w:cs="Arial"/>
              </w:rPr>
              <w:t xml:space="preserve"> could be referred to as the Regulatory Steering Committee</w:t>
            </w:r>
            <w:r w:rsidR="00117E92">
              <w:rPr>
                <w:rFonts w:cs="Arial"/>
              </w:rPr>
              <w:t>,</w:t>
            </w:r>
            <w:r>
              <w:rPr>
                <w:rFonts w:cs="Arial"/>
              </w:rPr>
              <w:t xml:space="preserve"> and</w:t>
            </w:r>
            <w:r w:rsidRPr="00095650">
              <w:rPr>
                <w:rFonts w:cs="Arial"/>
              </w:rPr>
              <w:t xml:space="preserve"> should </w:t>
            </w:r>
            <w:r>
              <w:rPr>
                <w:rFonts w:cs="Arial"/>
              </w:rPr>
              <w:t>be chaired by</w:t>
            </w:r>
            <w:r w:rsidRPr="00095650">
              <w:rPr>
                <w:rFonts w:cs="Arial"/>
              </w:rPr>
              <w:t xml:space="preserve"> the Deputy Secretary of </w:t>
            </w:r>
            <w:r>
              <w:rPr>
                <w:rFonts w:cs="Arial"/>
              </w:rPr>
              <w:t>EPG</w:t>
            </w:r>
            <w:r w:rsidRPr="00095650">
              <w:rPr>
                <w:rFonts w:cs="Arial"/>
              </w:rPr>
              <w:t>, and</w:t>
            </w:r>
            <w:r w:rsidR="00117E92">
              <w:rPr>
                <w:rFonts w:cs="Arial"/>
              </w:rPr>
              <w:t xml:space="preserve"> include</w:t>
            </w:r>
            <w:r w:rsidRPr="00095650">
              <w:rPr>
                <w:rFonts w:cs="Arial"/>
              </w:rPr>
              <w:t xml:space="preserve"> First Assistant Secretaries from ESD and WHaM, </w:t>
            </w:r>
            <w:r>
              <w:rPr>
                <w:rFonts w:cs="Arial"/>
              </w:rPr>
              <w:t xml:space="preserve">and appropriate representation from other regulatory </w:t>
            </w:r>
            <w:r w:rsidR="00117E92">
              <w:rPr>
                <w:rFonts w:cs="Arial"/>
              </w:rPr>
              <w:t xml:space="preserve">areas </w:t>
            </w:r>
            <w:r>
              <w:rPr>
                <w:rFonts w:cs="Arial"/>
              </w:rPr>
              <w:t xml:space="preserve">such as </w:t>
            </w:r>
            <w:r w:rsidRPr="00095650">
              <w:rPr>
                <w:rFonts w:cs="Arial"/>
              </w:rPr>
              <w:t>Parks</w:t>
            </w:r>
            <w:r w:rsidR="00117E92">
              <w:rPr>
                <w:rFonts w:cs="Arial"/>
              </w:rPr>
              <w:t xml:space="preserve"> Australia</w:t>
            </w:r>
            <w:r w:rsidRPr="00095650">
              <w:rPr>
                <w:rFonts w:cs="Arial"/>
              </w:rPr>
              <w:t>,</w:t>
            </w:r>
            <w:r w:rsidR="00117E92">
              <w:rPr>
                <w:rFonts w:cs="Arial"/>
              </w:rPr>
              <w:t xml:space="preserve"> and</w:t>
            </w:r>
            <w:r w:rsidRPr="00095650">
              <w:rPr>
                <w:rFonts w:cs="Arial"/>
              </w:rPr>
              <w:t xml:space="preserve"> th</w:t>
            </w:r>
            <w:r>
              <w:rPr>
                <w:rFonts w:cs="Arial"/>
              </w:rPr>
              <w:t>e Australian Antarctic Division</w:t>
            </w:r>
            <w:r w:rsidRPr="00095650">
              <w:rPr>
                <w:rFonts w:cs="Arial"/>
              </w:rPr>
              <w:t>. Heads of the General Counsel Branch and the Compliance and Enforcement Branch, as well as the Chief Risk Officer, should also be involved in an advisory capacity.</w:t>
            </w:r>
            <w:r>
              <w:rPr>
                <w:rFonts w:cs="Arial"/>
              </w:rPr>
              <w:t xml:space="preserve"> The Department should consider whether other portfolio regulators should be involved in the Committee.</w:t>
            </w:r>
          </w:p>
          <w:p w:rsidR="003A19AA" w:rsidRDefault="003A19AA" w:rsidP="003A19AA">
            <w:pPr>
              <w:pStyle w:val="ListBullet"/>
              <w:numPr>
                <w:ilvl w:val="0"/>
                <w:numId w:val="0"/>
              </w:numPr>
              <w:rPr>
                <w:rFonts w:cs="Arial"/>
                <w:i/>
              </w:rPr>
            </w:pPr>
            <w:r>
              <w:rPr>
                <w:rFonts w:cs="Arial"/>
                <w:i/>
              </w:rPr>
              <w:t xml:space="preserve">Importance: </w:t>
            </w:r>
            <w:r>
              <w:rPr>
                <w:rFonts w:cs="Arial"/>
              </w:rPr>
              <w:t>2</w:t>
            </w:r>
          </w:p>
          <w:p w:rsidR="003A19AA" w:rsidRPr="000834AC" w:rsidRDefault="003A19AA" w:rsidP="003A19AA">
            <w:pPr>
              <w:pStyle w:val="ListBullet"/>
              <w:numPr>
                <w:ilvl w:val="0"/>
                <w:numId w:val="0"/>
              </w:numPr>
              <w:rPr>
                <w:rFonts w:cs="Arial"/>
                <w:i/>
              </w:rPr>
            </w:pPr>
            <w:r>
              <w:rPr>
                <w:rFonts w:cs="Arial"/>
                <w:i/>
              </w:rPr>
              <w:t xml:space="preserve">Timing: </w:t>
            </w:r>
            <w:r w:rsidRPr="000834AC">
              <w:rPr>
                <w:rFonts w:cs="Arial"/>
              </w:rPr>
              <w:t>1</w:t>
            </w:r>
          </w:p>
          <w:p w:rsidR="003A19AA" w:rsidRDefault="003A19AA" w:rsidP="003A19AA">
            <w:pPr>
              <w:pStyle w:val="ListBullet"/>
              <w:numPr>
                <w:ilvl w:val="0"/>
                <w:numId w:val="0"/>
              </w:numPr>
              <w:rPr>
                <w:rFonts w:cs="Arial"/>
              </w:rPr>
            </w:pPr>
            <w:r w:rsidRPr="00095650">
              <w:rPr>
                <w:rFonts w:cs="Arial"/>
              </w:rPr>
              <w:t>The Regulatory Advisory Panel should continue</w:t>
            </w:r>
            <w:r>
              <w:rPr>
                <w:rFonts w:cs="Arial"/>
              </w:rPr>
              <w:t xml:space="preserve"> to operate as a sub-committee of the Regulatory Steering Committee</w:t>
            </w:r>
            <w:r w:rsidRPr="00095650">
              <w:rPr>
                <w:rFonts w:cs="Arial"/>
              </w:rPr>
              <w:t xml:space="preserve"> </w:t>
            </w:r>
            <w:r>
              <w:rPr>
                <w:rFonts w:cs="Arial"/>
              </w:rPr>
              <w:t>with particular focus on specific compliance and enforcement matters.</w:t>
            </w:r>
          </w:p>
          <w:p w:rsidR="003A19AA" w:rsidRPr="003A19AA" w:rsidRDefault="003A19AA" w:rsidP="006A5A65">
            <w:r w:rsidRPr="00095650">
              <w:rPr>
                <w:rFonts w:cs="Arial"/>
              </w:rPr>
              <w:t>Consideration should be given to formalising the matters that should be brought to the Regulatory Advisory Panel</w:t>
            </w:r>
            <w:r w:rsidR="00CC738F">
              <w:rPr>
                <w:rFonts w:cs="Arial"/>
              </w:rPr>
              <w:t xml:space="preserve"> and the Regulatory Steering Committee</w:t>
            </w:r>
            <w:r w:rsidRPr="00095650">
              <w:rPr>
                <w:rFonts w:cs="Arial"/>
              </w:rPr>
              <w:t xml:space="preserve">, and reflecting this in ‘trigger points’ in </w:t>
            </w:r>
            <w:r w:rsidR="006A5A65">
              <w:rPr>
                <w:rFonts w:cs="Arial"/>
              </w:rPr>
              <w:t>Standard Operating Procedures</w:t>
            </w:r>
            <w:r w:rsidR="006A5A65" w:rsidRPr="00095650">
              <w:rPr>
                <w:rFonts w:cs="Arial"/>
              </w:rPr>
              <w:t xml:space="preserve"> </w:t>
            </w:r>
            <w:r w:rsidRPr="00095650">
              <w:rPr>
                <w:rFonts w:cs="Arial"/>
              </w:rPr>
              <w:t>and guidelines.</w:t>
            </w:r>
          </w:p>
        </w:tc>
      </w:tr>
    </w:tbl>
    <w:p w:rsidR="00620CD5" w:rsidRDefault="00620CD5" w:rsidP="009E6330">
      <w:pPr>
        <w:pStyle w:val="Heading1"/>
        <w:spacing w:after="120"/>
        <w:rPr>
          <w:caps w:val="0"/>
          <w:color w:val="0B5294" w:themeColor="accent1" w:themeShade="BF"/>
          <w:sz w:val="24"/>
          <w:szCs w:val="24"/>
        </w:rPr>
      </w:pPr>
    </w:p>
    <w:p w:rsidR="00B341E0" w:rsidRPr="0042419C" w:rsidRDefault="00B341E0" w:rsidP="009E6330">
      <w:pPr>
        <w:pStyle w:val="Heading1"/>
        <w:spacing w:after="120"/>
        <w:rPr>
          <w:caps w:val="0"/>
          <w:color w:val="0B5294" w:themeColor="accent1" w:themeShade="BF"/>
          <w:sz w:val="24"/>
          <w:szCs w:val="24"/>
        </w:rPr>
      </w:pPr>
      <w:bookmarkStart w:id="17" w:name="_Toc443405155"/>
      <w:r w:rsidRPr="0042419C">
        <w:rPr>
          <w:caps w:val="0"/>
          <w:color w:val="0B5294" w:themeColor="accent1" w:themeShade="BF"/>
          <w:sz w:val="24"/>
          <w:szCs w:val="24"/>
        </w:rPr>
        <w:t>Continuous improvement</w:t>
      </w:r>
      <w:bookmarkEnd w:id="17"/>
      <w:r w:rsidRPr="0042419C">
        <w:rPr>
          <w:caps w:val="0"/>
          <w:color w:val="0B5294" w:themeColor="accent1" w:themeShade="BF"/>
          <w:sz w:val="24"/>
          <w:szCs w:val="24"/>
        </w:rPr>
        <w:t xml:space="preserve"> </w:t>
      </w:r>
    </w:p>
    <w:p w:rsidR="00B341E0" w:rsidRDefault="00B341E0" w:rsidP="00B341E0">
      <w:pPr>
        <w:pStyle w:val="ListBullet"/>
        <w:numPr>
          <w:ilvl w:val="0"/>
          <w:numId w:val="0"/>
        </w:numPr>
        <w:rPr>
          <w:rFonts w:cs="Arial"/>
        </w:rPr>
      </w:pPr>
      <w:r w:rsidRPr="00B9575D">
        <w:rPr>
          <w:rFonts w:cs="Arial"/>
        </w:rPr>
        <w:t xml:space="preserve">Best practice </w:t>
      </w:r>
      <w:r>
        <w:rPr>
          <w:rFonts w:cs="Arial"/>
        </w:rPr>
        <w:t xml:space="preserve">regulators implement continuous </w:t>
      </w:r>
      <w:r w:rsidRPr="00B9575D">
        <w:rPr>
          <w:rFonts w:cs="Arial"/>
        </w:rPr>
        <w:t>improvement</w:t>
      </w:r>
      <w:r>
        <w:rPr>
          <w:rFonts w:cs="Arial"/>
        </w:rPr>
        <w:t xml:space="preserve"> practices, including reviewing and improving new initiatives following implementation. </w:t>
      </w:r>
      <w:r w:rsidRPr="00B9575D">
        <w:rPr>
          <w:rFonts w:cs="Arial"/>
        </w:rPr>
        <w:t xml:space="preserve">Staff in </w:t>
      </w:r>
      <w:r>
        <w:rPr>
          <w:rFonts w:cs="Arial"/>
        </w:rPr>
        <w:t>EPG</w:t>
      </w:r>
      <w:r w:rsidRPr="00B9575D">
        <w:rPr>
          <w:rFonts w:cs="Arial"/>
        </w:rPr>
        <w:t xml:space="preserve"> </w:t>
      </w:r>
      <w:r>
        <w:rPr>
          <w:rFonts w:cs="Arial"/>
        </w:rPr>
        <w:t>are</w:t>
      </w:r>
      <w:r w:rsidRPr="00B9575D">
        <w:rPr>
          <w:rFonts w:cs="Arial"/>
        </w:rPr>
        <w:t xml:space="preserve"> generally aware of </w:t>
      </w:r>
      <w:r w:rsidR="00620CD5">
        <w:rPr>
          <w:rFonts w:cs="Arial"/>
        </w:rPr>
        <w:t>the relationship between policy and regulation</w:t>
      </w:r>
      <w:r w:rsidRPr="00B9575D">
        <w:rPr>
          <w:rFonts w:cs="Arial"/>
        </w:rPr>
        <w:t>, however</w:t>
      </w:r>
      <w:r w:rsidR="00255F70">
        <w:rPr>
          <w:rFonts w:cs="Arial"/>
        </w:rPr>
        <w:t xml:space="preserve"> </w:t>
      </w:r>
      <w:r w:rsidRPr="00B9575D">
        <w:rPr>
          <w:rFonts w:cs="Arial"/>
        </w:rPr>
        <w:t xml:space="preserve">the </w:t>
      </w:r>
      <w:r>
        <w:rPr>
          <w:rFonts w:cs="Arial"/>
        </w:rPr>
        <w:t>Project</w:t>
      </w:r>
      <w:r w:rsidRPr="00B9575D">
        <w:rPr>
          <w:rFonts w:cs="Arial"/>
        </w:rPr>
        <w:t xml:space="preserve"> </w:t>
      </w:r>
      <w:r>
        <w:rPr>
          <w:rFonts w:cs="Arial"/>
        </w:rPr>
        <w:t>found</w:t>
      </w:r>
      <w:r w:rsidRPr="00B9575D">
        <w:rPr>
          <w:rFonts w:cs="Arial"/>
        </w:rPr>
        <w:t xml:space="preserve"> </w:t>
      </w:r>
      <w:r>
        <w:rPr>
          <w:rFonts w:cs="Arial"/>
        </w:rPr>
        <w:t>that c</w:t>
      </w:r>
      <w:r w:rsidRPr="00B9575D">
        <w:rPr>
          <w:rFonts w:cs="Arial"/>
        </w:rPr>
        <w:t xml:space="preserve">ontinuous monitoring, review and revision of </w:t>
      </w:r>
      <w:r w:rsidR="00BB3D10">
        <w:rPr>
          <w:rFonts w:cs="Arial"/>
        </w:rPr>
        <w:t xml:space="preserve">specific </w:t>
      </w:r>
      <w:r w:rsidRPr="00B9575D">
        <w:rPr>
          <w:rFonts w:cs="Arial"/>
        </w:rPr>
        <w:t xml:space="preserve">policies </w:t>
      </w:r>
      <w:r>
        <w:rPr>
          <w:rFonts w:cs="Arial"/>
        </w:rPr>
        <w:t>was not historically</w:t>
      </w:r>
      <w:r w:rsidRPr="00B9575D">
        <w:rPr>
          <w:rFonts w:cs="Arial"/>
        </w:rPr>
        <w:t xml:space="preserve"> common practice.</w:t>
      </w:r>
      <w:r>
        <w:rPr>
          <w:rFonts w:cs="Arial"/>
        </w:rPr>
        <w:t xml:space="preserve">  As such, it has</w:t>
      </w:r>
      <w:r w:rsidRPr="00B9575D">
        <w:rPr>
          <w:rFonts w:cs="Arial"/>
        </w:rPr>
        <w:t xml:space="preserve"> </w:t>
      </w:r>
      <w:r>
        <w:rPr>
          <w:rFonts w:cs="Arial"/>
        </w:rPr>
        <w:t xml:space="preserve">often been </w:t>
      </w:r>
      <w:r w:rsidRPr="00B9575D">
        <w:rPr>
          <w:rFonts w:cs="Arial"/>
        </w:rPr>
        <w:t>difficult to measure the impact and success</w:t>
      </w:r>
      <w:r w:rsidR="00A6701B">
        <w:rPr>
          <w:rFonts w:cs="Arial"/>
        </w:rPr>
        <w:t xml:space="preserve"> or </w:t>
      </w:r>
      <w:r w:rsidRPr="00B9575D">
        <w:rPr>
          <w:rFonts w:cs="Arial"/>
        </w:rPr>
        <w:t xml:space="preserve">failure of </w:t>
      </w:r>
      <w:r w:rsidR="00620CD5">
        <w:rPr>
          <w:rFonts w:cs="Arial"/>
        </w:rPr>
        <w:t xml:space="preserve">specific </w:t>
      </w:r>
      <w:r w:rsidRPr="00B9575D">
        <w:rPr>
          <w:rFonts w:cs="Arial"/>
        </w:rPr>
        <w:t>policies.</w:t>
      </w:r>
      <w:r>
        <w:rPr>
          <w:rFonts w:cs="Arial"/>
        </w:rPr>
        <w:t xml:space="preserve"> EPG ha</w:t>
      </w:r>
      <w:r w:rsidR="00255F70">
        <w:rPr>
          <w:rFonts w:cs="Arial"/>
        </w:rPr>
        <w:t>s</w:t>
      </w:r>
      <w:r>
        <w:rPr>
          <w:rFonts w:cs="Arial"/>
        </w:rPr>
        <w:t xml:space="preserve"> started to make improvements in this area in recent months, with policy and regulatory areas in ESD working more closely to review and adapt</w:t>
      </w:r>
      <w:r w:rsidR="00A6701B">
        <w:rPr>
          <w:rFonts w:cs="Arial"/>
        </w:rPr>
        <w:t xml:space="preserve"> or </w:t>
      </w:r>
      <w:r>
        <w:rPr>
          <w:rFonts w:cs="Arial"/>
        </w:rPr>
        <w:t xml:space="preserve">improve </w:t>
      </w:r>
      <w:r w:rsidR="00BB3D10">
        <w:rPr>
          <w:rFonts w:cs="Arial"/>
        </w:rPr>
        <w:t xml:space="preserve">specific </w:t>
      </w:r>
      <w:r>
        <w:rPr>
          <w:rFonts w:cs="Arial"/>
        </w:rPr>
        <w:t>policies as they are implemented.</w:t>
      </w:r>
    </w:p>
    <w:p w:rsidR="00B341E0" w:rsidRDefault="00B341E0" w:rsidP="00B341E0">
      <w:pPr>
        <w:rPr>
          <w:rFonts w:cs="Arial"/>
        </w:rPr>
      </w:pPr>
      <w:r>
        <w:rPr>
          <w:rFonts w:cs="Arial"/>
        </w:rPr>
        <w:t xml:space="preserve">The administrative problems with the Shree and then Carmichael approval decisions demonstrate that EPG did not initially adequately address </w:t>
      </w:r>
      <w:r w:rsidR="00620CD5">
        <w:rPr>
          <w:rFonts w:cs="Arial"/>
        </w:rPr>
        <w:t xml:space="preserve">the underlying problem </w:t>
      </w:r>
      <w:r w:rsidR="00CC738F">
        <w:rPr>
          <w:rFonts w:cs="Arial"/>
        </w:rPr>
        <w:t>with the Shree approval decision</w:t>
      </w:r>
      <w:r>
        <w:rPr>
          <w:rFonts w:cs="Arial"/>
        </w:rPr>
        <w:t>. The approach of using a cross divisional team to develop and test systematic improvements following the Carmichael decision is more comprehensive and robust, demonstrating a greater commitment to continuous improvement (</w:t>
      </w:r>
      <w:r w:rsidR="004C0264">
        <w:rPr>
          <w:rFonts w:cs="Arial"/>
        </w:rPr>
        <w:t>alt</w:t>
      </w:r>
      <w:r>
        <w:rPr>
          <w:rFonts w:cs="Arial"/>
        </w:rPr>
        <w:t>hough the new business system itself is still subject to human error</w:t>
      </w:r>
      <w:r w:rsidR="004C0264">
        <w:rPr>
          <w:rFonts w:cs="Arial"/>
        </w:rPr>
        <w:t>,</w:t>
      </w:r>
      <w:r>
        <w:rPr>
          <w:rFonts w:cs="Arial"/>
        </w:rPr>
        <w:t xml:space="preserve"> which will be reduced if</w:t>
      </w:r>
      <w:r w:rsidR="004C0264">
        <w:rPr>
          <w:rFonts w:cs="Arial"/>
        </w:rPr>
        <w:t>,</w:t>
      </w:r>
      <w:r>
        <w:rPr>
          <w:rFonts w:cs="Arial"/>
        </w:rPr>
        <w:t xml:space="preserve"> and as</w:t>
      </w:r>
      <w:r w:rsidR="004C0264">
        <w:rPr>
          <w:rFonts w:cs="Arial"/>
        </w:rPr>
        <w:t>,</w:t>
      </w:r>
      <w:r>
        <w:rPr>
          <w:rFonts w:cs="Arial"/>
        </w:rPr>
        <w:t xml:space="preserve"> the IT system is enhanced (</w:t>
      </w:r>
      <w:r w:rsidR="004C0264">
        <w:rPr>
          <w:rFonts w:cs="Arial"/>
        </w:rPr>
        <w:t xml:space="preserve">see </w:t>
      </w:r>
      <w:r w:rsidR="004C0264">
        <w:rPr>
          <w:rFonts w:cs="Arial"/>
          <w:i/>
        </w:rPr>
        <w:t>Recommendation 4.2 (IT systems)</w:t>
      </w:r>
      <w:r>
        <w:rPr>
          <w:rFonts w:cs="Arial"/>
        </w:rPr>
        <w:t>)</w:t>
      </w:r>
      <w:r>
        <w:rPr>
          <w:rStyle w:val="CommentReference"/>
        </w:rPr>
        <w:t>.</w:t>
      </w:r>
      <w:r>
        <w:rPr>
          <w:rFonts w:cs="Arial"/>
        </w:rPr>
        <w:t xml:space="preserve"> </w:t>
      </w:r>
    </w:p>
    <w:p w:rsidR="00B341E0" w:rsidRDefault="00B341E0" w:rsidP="00B341E0">
      <w:pPr>
        <w:rPr>
          <w:rFonts w:cs="Arial"/>
        </w:rPr>
      </w:pPr>
      <w:r>
        <w:rPr>
          <w:rFonts w:cs="Arial"/>
        </w:rPr>
        <w:t xml:space="preserve">The Project notes that the Department is working to better embed evaluation and improvement into its work. The Evaluation Unit within PAID was established to provide advice, support, and </w:t>
      </w:r>
      <w:r>
        <w:rPr>
          <w:rFonts w:cs="Arial"/>
        </w:rPr>
        <w:lastRenderedPageBreak/>
        <w:t xml:space="preserve">guidance on planning, designing and conducting evaluations; and to coordinate the Department’s performance measures. </w:t>
      </w:r>
    </w:p>
    <w:tbl>
      <w:tblPr>
        <w:tblStyle w:val="TableGrid"/>
        <w:tblW w:w="0" w:type="auto"/>
        <w:tblLook w:val="04A0" w:firstRow="1" w:lastRow="0" w:firstColumn="1" w:lastColumn="0" w:noHBand="0" w:noVBand="1"/>
      </w:tblPr>
      <w:tblGrid>
        <w:gridCol w:w="9212"/>
      </w:tblGrid>
      <w:tr w:rsidR="005B1AFF" w:rsidTr="005B1AFF">
        <w:trPr>
          <w:cnfStyle w:val="100000000000" w:firstRow="1" w:lastRow="0" w:firstColumn="0" w:lastColumn="0" w:oddVBand="0" w:evenVBand="0" w:oddHBand="0" w:evenHBand="0" w:firstRowFirstColumn="0" w:firstRowLastColumn="0" w:lastRowFirstColumn="0" w:lastRowLastColumn="0"/>
        </w:trPr>
        <w:tc>
          <w:tcPr>
            <w:tcW w:w="9428" w:type="dxa"/>
            <w:tcBorders>
              <w:top w:val="nil"/>
              <w:left w:val="nil"/>
              <w:bottom w:val="nil"/>
              <w:right w:val="nil"/>
            </w:tcBorders>
            <w:shd w:val="clear" w:color="auto" w:fill="C7E2FA" w:themeFill="accent1" w:themeFillTint="33"/>
          </w:tcPr>
          <w:p w:rsidR="005B1AFF" w:rsidRPr="003540B9" w:rsidRDefault="005B1AFF" w:rsidP="005B1AFF">
            <w:pPr>
              <w:pStyle w:val="ListBullet"/>
              <w:numPr>
                <w:ilvl w:val="0"/>
                <w:numId w:val="0"/>
              </w:numPr>
              <w:spacing w:before="240"/>
              <w:rPr>
                <w:rFonts w:cs="Arial"/>
                <w:b/>
              </w:rPr>
            </w:pPr>
            <w:r>
              <w:rPr>
                <w:rFonts w:cs="Arial"/>
                <w:b/>
              </w:rPr>
              <w:t>Recommendation 1.4</w:t>
            </w:r>
            <w:r w:rsidRPr="003540B9">
              <w:rPr>
                <w:rFonts w:cs="Arial"/>
                <w:b/>
              </w:rPr>
              <w:t xml:space="preserve"> (Continuous improvement)</w:t>
            </w:r>
          </w:p>
          <w:p w:rsidR="005B1AFF" w:rsidRDefault="005B1AFF" w:rsidP="005B1AFF">
            <w:pPr>
              <w:pStyle w:val="ListBullet"/>
              <w:numPr>
                <w:ilvl w:val="0"/>
                <w:numId w:val="0"/>
              </w:numPr>
              <w:rPr>
                <w:rFonts w:cs="Arial"/>
                <w:i/>
              </w:rPr>
            </w:pPr>
            <w:r>
              <w:rPr>
                <w:rFonts w:cs="Arial"/>
                <w:i/>
              </w:rPr>
              <w:t xml:space="preserve">Importance: </w:t>
            </w:r>
            <w:r>
              <w:rPr>
                <w:rFonts w:cs="Arial"/>
              </w:rPr>
              <w:t>2</w:t>
            </w:r>
          </w:p>
          <w:p w:rsidR="005B1AFF" w:rsidRPr="000834AC" w:rsidRDefault="005B1AFF" w:rsidP="005B1AFF">
            <w:pPr>
              <w:pStyle w:val="ListBullet"/>
              <w:numPr>
                <w:ilvl w:val="0"/>
                <w:numId w:val="0"/>
              </w:numPr>
              <w:rPr>
                <w:rFonts w:cs="Arial"/>
                <w:i/>
              </w:rPr>
            </w:pPr>
            <w:r>
              <w:rPr>
                <w:rFonts w:cs="Arial"/>
                <w:i/>
              </w:rPr>
              <w:t xml:space="preserve">Timing: </w:t>
            </w:r>
            <w:r>
              <w:rPr>
                <w:rFonts w:cs="Arial"/>
              </w:rPr>
              <w:t>ongoing</w:t>
            </w:r>
          </w:p>
          <w:p w:rsidR="005B1AFF" w:rsidRPr="003540B9" w:rsidRDefault="005B1AFF" w:rsidP="005B1AFF">
            <w:pPr>
              <w:pStyle w:val="ListBullet"/>
              <w:numPr>
                <w:ilvl w:val="0"/>
                <w:numId w:val="0"/>
              </w:numPr>
              <w:rPr>
                <w:rFonts w:cs="Arial"/>
              </w:rPr>
            </w:pPr>
            <w:r w:rsidRPr="003540B9">
              <w:rPr>
                <w:rFonts w:cs="Arial"/>
              </w:rPr>
              <w:t xml:space="preserve">EPG should </w:t>
            </w:r>
            <w:r>
              <w:rPr>
                <w:rFonts w:cs="Arial"/>
              </w:rPr>
              <w:t xml:space="preserve">continue to </w:t>
            </w:r>
            <w:r w:rsidRPr="003540B9">
              <w:rPr>
                <w:rFonts w:cs="Arial"/>
              </w:rPr>
              <w:t xml:space="preserve">develop </w:t>
            </w:r>
            <w:r>
              <w:rPr>
                <w:rFonts w:cs="Arial"/>
              </w:rPr>
              <w:t xml:space="preserve">and promote </w:t>
            </w:r>
            <w:r w:rsidRPr="003540B9">
              <w:rPr>
                <w:rFonts w:cs="Arial"/>
              </w:rPr>
              <w:t xml:space="preserve">a culture of continuous improvement (see also </w:t>
            </w:r>
            <w:r w:rsidRPr="004C0264">
              <w:rPr>
                <w:rFonts w:cs="Arial"/>
                <w:i/>
              </w:rPr>
              <w:t xml:space="preserve">Recommendation </w:t>
            </w:r>
            <w:r w:rsidR="004C0264" w:rsidRPr="004C0264">
              <w:rPr>
                <w:rFonts w:cs="Arial"/>
                <w:i/>
              </w:rPr>
              <w:t>3.7 (Innovation)</w:t>
            </w:r>
            <w:r w:rsidRPr="003540B9">
              <w:rPr>
                <w:rFonts w:cs="Arial"/>
              </w:rPr>
              <w:t>).</w:t>
            </w:r>
          </w:p>
          <w:p w:rsidR="005B1AFF" w:rsidRPr="003540B9" w:rsidRDefault="005B1AFF" w:rsidP="005B1AFF">
            <w:pPr>
              <w:pStyle w:val="ListBullet"/>
              <w:numPr>
                <w:ilvl w:val="0"/>
                <w:numId w:val="0"/>
              </w:numPr>
              <w:rPr>
                <w:rFonts w:cs="Arial"/>
              </w:rPr>
            </w:pPr>
            <w:r w:rsidRPr="003540B9">
              <w:rPr>
                <w:rFonts w:cs="Arial"/>
              </w:rPr>
              <w:t>EPG should plan and allocate resources for systematic monitoring, analysis and improvement (where necessary) of all regulatory policies and initiatives</w:t>
            </w:r>
            <w:r w:rsidR="00BB3D10">
              <w:rPr>
                <w:rFonts w:cs="Arial"/>
              </w:rPr>
              <w:t xml:space="preserve"> in consultation with relevant specialist areas</w:t>
            </w:r>
            <w:r w:rsidRPr="003540B9">
              <w:rPr>
                <w:rFonts w:cs="Arial"/>
              </w:rPr>
              <w:t xml:space="preserve">. </w:t>
            </w:r>
          </w:p>
          <w:p w:rsidR="005B1AFF" w:rsidRPr="005B1AFF" w:rsidRDefault="005B1AFF" w:rsidP="004C0264">
            <w:r w:rsidRPr="003540B9">
              <w:rPr>
                <w:rFonts w:cs="Arial"/>
              </w:rPr>
              <w:t>EPG and</w:t>
            </w:r>
            <w:r>
              <w:rPr>
                <w:rFonts w:cs="Arial"/>
              </w:rPr>
              <w:t xml:space="preserve"> the</w:t>
            </w:r>
            <w:r w:rsidRPr="003540B9">
              <w:rPr>
                <w:rFonts w:cs="Arial"/>
              </w:rPr>
              <w:t xml:space="preserve"> Department should support ongoing business improvement activities and performance assessments, including testing of changes to business systems (see also </w:t>
            </w:r>
            <w:r w:rsidR="004C0264">
              <w:rPr>
                <w:rFonts w:cs="Arial"/>
                <w:i/>
              </w:rPr>
              <w:t>Recommendation 3.6 (Change management)</w:t>
            </w:r>
            <w:r w:rsidRPr="003540B9">
              <w:rPr>
                <w:rFonts w:cs="Arial"/>
              </w:rPr>
              <w:t>).</w:t>
            </w:r>
          </w:p>
        </w:tc>
      </w:tr>
    </w:tbl>
    <w:p w:rsidR="005B1AFF" w:rsidRDefault="005B1AFF" w:rsidP="00B341E0">
      <w:pPr>
        <w:rPr>
          <w:rFonts w:cs="Arial"/>
        </w:rPr>
      </w:pPr>
    </w:p>
    <w:p w:rsidR="009E6330" w:rsidRDefault="009E6330" w:rsidP="003A007F">
      <w:pPr>
        <w:rPr>
          <w:rFonts w:cs="Arial"/>
        </w:rPr>
      </w:pPr>
    </w:p>
    <w:p w:rsidR="003A007F" w:rsidRDefault="003A007F" w:rsidP="003A007F">
      <w:pPr>
        <w:rPr>
          <w:rFonts w:cs="Arial"/>
        </w:rPr>
      </w:pPr>
    </w:p>
    <w:p w:rsidR="003A007F" w:rsidRDefault="003A007F" w:rsidP="003A007F">
      <w:pPr>
        <w:rPr>
          <w:rFonts w:cs="Arial"/>
        </w:rPr>
      </w:pPr>
    </w:p>
    <w:p w:rsidR="003A007F" w:rsidRDefault="003A007F" w:rsidP="003A007F">
      <w:pPr>
        <w:rPr>
          <w:rFonts w:cs="Arial"/>
        </w:rPr>
      </w:pPr>
    </w:p>
    <w:p w:rsidR="003A007F" w:rsidRDefault="003A007F" w:rsidP="003A007F">
      <w:pPr>
        <w:rPr>
          <w:rFonts w:cs="Arial"/>
        </w:rPr>
      </w:pPr>
    </w:p>
    <w:p w:rsidR="003A007F" w:rsidRDefault="003A007F" w:rsidP="003A007F">
      <w:pPr>
        <w:rPr>
          <w:rFonts w:cs="Arial"/>
        </w:rPr>
      </w:pPr>
    </w:p>
    <w:p w:rsidR="009E6330" w:rsidRDefault="009E6330" w:rsidP="003A007F">
      <w:pPr>
        <w:jc w:val="center"/>
        <w:rPr>
          <w:b/>
          <w:sz w:val="36"/>
          <w:szCs w:val="36"/>
        </w:rPr>
        <w:sectPr w:rsidR="009E6330" w:rsidSect="005103CE">
          <w:pgSz w:w="11906" w:h="16838"/>
          <w:pgMar w:top="1418" w:right="1276" w:bottom="567" w:left="1418" w:header="425" w:footer="425" w:gutter="0"/>
          <w:cols w:space="708"/>
          <w:docGrid w:linePitch="360"/>
        </w:sectPr>
      </w:pPr>
    </w:p>
    <w:p w:rsidR="003A007F" w:rsidRPr="0042419C" w:rsidRDefault="003A007F" w:rsidP="003A007F">
      <w:pPr>
        <w:jc w:val="center"/>
        <w:rPr>
          <w:b/>
          <w:color w:val="0B5294" w:themeColor="accent1" w:themeShade="BF"/>
          <w:sz w:val="44"/>
          <w:szCs w:val="44"/>
        </w:rPr>
      </w:pPr>
      <w:r w:rsidRPr="0042419C">
        <w:rPr>
          <w:b/>
          <w:color w:val="0B5294" w:themeColor="accent1" w:themeShade="BF"/>
          <w:sz w:val="44"/>
          <w:szCs w:val="44"/>
        </w:rPr>
        <w:lastRenderedPageBreak/>
        <w:t>Chapter 2: Our Approach to Regulation</w:t>
      </w:r>
    </w:p>
    <w:tbl>
      <w:tblPr>
        <w:tblStyle w:val="TableGrid"/>
        <w:tblW w:w="0" w:type="auto"/>
        <w:tblLook w:val="04A0" w:firstRow="1" w:lastRow="0" w:firstColumn="1" w:lastColumn="0" w:noHBand="0" w:noVBand="1"/>
      </w:tblPr>
      <w:tblGrid>
        <w:gridCol w:w="9202"/>
      </w:tblGrid>
      <w:tr w:rsidR="00CF386A" w:rsidTr="000B6D3B">
        <w:trPr>
          <w:cnfStyle w:val="100000000000" w:firstRow="1" w:lastRow="0" w:firstColumn="0" w:lastColumn="0" w:oddVBand="0" w:evenVBand="0" w:oddHBand="0" w:evenHBand="0" w:firstRowFirstColumn="0" w:firstRowLastColumn="0" w:lastRowFirstColumn="0" w:lastRowLastColumn="0"/>
        </w:trPr>
        <w:tc>
          <w:tcPr>
            <w:tcW w:w="9428" w:type="dxa"/>
            <w:shd w:val="clear" w:color="auto" w:fill="D9D9D9" w:themeFill="background1" w:themeFillShade="D9"/>
          </w:tcPr>
          <w:p w:rsidR="00CF386A" w:rsidRDefault="00CF386A" w:rsidP="00E01832">
            <w:pPr>
              <w:pStyle w:val="Heading1"/>
              <w:spacing w:after="120"/>
              <w:outlineLvl w:val="0"/>
              <w:rPr>
                <w:color w:val="0B5294" w:themeColor="accent1" w:themeShade="BF"/>
                <w:sz w:val="28"/>
                <w:szCs w:val="28"/>
              </w:rPr>
            </w:pPr>
            <w:bookmarkStart w:id="18" w:name="_Toc443405156"/>
            <w:r>
              <w:rPr>
                <w:color w:val="0B5294" w:themeColor="accent1" w:themeShade="BF"/>
                <w:sz w:val="28"/>
                <w:szCs w:val="28"/>
              </w:rPr>
              <w:t>Overview</w:t>
            </w:r>
            <w:bookmarkEnd w:id="18"/>
          </w:p>
          <w:p w:rsidR="002276A3" w:rsidRDefault="000F0A63" w:rsidP="00BD30B8">
            <w:r>
              <w:t>A m</w:t>
            </w:r>
            <w:r w:rsidR="009B69D3">
              <w:t xml:space="preserve">ature </w:t>
            </w:r>
            <w:r w:rsidR="00182C69">
              <w:t>regulator use</w:t>
            </w:r>
            <w:r>
              <w:t>s</w:t>
            </w:r>
            <w:r w:rsidR="00CF386A">
              <w:t xml:space="preserve"> </w:t>
            </w:r>
            <w:r w:rsidR="00182C69">
              <w:t>the right regulatory tools, make</w:t>
            </w:r>
            <w:r>
              <w:t>s</w:t>
            </w:r>
            <w:r w:rsidR="00CF386A">
              <w:t xml:space="preserve"> it </w:t>
            </w:r>
            <w:r>
              <w:t xml:space="preserve">simple </w:t>
            </w:r>
            <w:r w:rsidR="00CF386A">
              <w:t>for regulated entities to comply,</w:t>
            </w:r>
            <w:r w:rsidR="00182C69">
              <w:t xml:space="preserve"> </w:t>
            </w:r>
            <w:r>
              <w:t xml:space="preserve">has </w:t>
            </w:r>
            <w:r w:rsidR="00CF386A">
              <w:t xml:space="preserve">sophisticated </w:t>
            </w:r>
            <w:r w:rsidR="00182C69">
              <w:t xml:space="preserve">mechanisms for </w:t>
            </w:r>
            <w:r w:rsidR="00CF386A">
              <w:t xml:space="preserve">problem-solving, </w:t>
            </w:r>
            <w:r>
              <w:t xml:space="preserve">is </w:t>
            </w:r>
            <w:r w:rsidR="00CF386A">
              <w:t>transparen</w:t>
            </w:r>
            <w:r>
              <w:t>t</w:t>
            </w:r>
            <w:r w:rsidR="002276A3">
              <w:t>, and use</w:t>
            </w:r>
            <w:r>
              <w:t>s</w:t>
            </w:r>
            <w:r w:rsidR="002276A3">
              <w:t xml:space="preserve"> intelligence to guide </w:t>
            </w:r>
            <w:r>
              <w:t xml:space="preserve">its </w:t>
            </w:r>
            <w:r w:rsidR="002276A3">
              <w:t xml:space="preserve">activities. </w:t>
            </w:r>
          </w:p>
          <w:p w:rsidR="00CF386A" w:rsidRDefault="00182C69" w:rsidP="00BD30B8">
            <w:r>
              <w:t xml:space="preserve">EPG recognises the </w:t>
            </w:r>
            <w:r w:rsidR="005F00C4">
              <w:t xml:space="preserve">need for innovation </w:t>
            </w:r>
            <w:r w:rsidR="009B69D3">
              <w:t>in</w:t>
            </w:r>
            <w:r w:rsidR="005F00C4">
              <w:t xml:space="preserve"> </w:t>
            </w:r>
            <w:r>
              <w:t>its</w:t>
            </w:r>
            <w:r w:rsidR="005F00C4">
              <w:t xml:space="preserve"> approach to regulation</w:t>
            </w:r>
            <w:r w:rsidR="009B69D3">
              <w:t xml:space="preserve"> and a number of initiatives </w:t>
            </w:r>
            <w:r w:rsidR="00E3593E">
              <w:t xml:space="preserve">are </w:t>
            </w:r>
            <w:r w:rsidR="009B69D3">
              <w:t>already underway</w:t>
            </w:r>
            <w:r w:rsidR="005F00C4">
              <w:t>.</w:t>
            </w:r>
            <w:r w:rsidR="009B69D3">
              <w:t xml:space="preserve"> However, t</w:t>
            </w:r>
            <w:r w:rsidR="005F00C4">
              <w:t>here are</w:t>
            </w:r>
            <w:r w:rsidR="00EF4CAA">
              <w:t xml:space="preserve"> currently</w:t>
            </w:r>
            <w:r w:rsidR="005F00C4">
              <w:t xml:space="preserve"> a number of barriers limiting EPG’s regulatory capability, including resourcing and legislative </w:t>
            </w:r>
            <w:r w:rsidR="00A91491">
              <w:t>limitations</w:t>
            </w:r>
            <w:r w:rsidR="000F0A63">
              <w:t>,</w:t>
            </w:r>
            <w:r w:rsidR="005F00C4">
              <w:t xml:space="preserve"> </w:t>
            </w:r>
            <w:r w:rsidR="00EF4CAA">
              <w:t xml:space="preserve">and inconsistency across </w:t>
            </w:r>
            <w:r w:rsidR="000F0A63">
              <w:t>EPG</w:t>
            </w:r>
            <w:r w:rsidR="00EF4CAA">
              <w:t xml:space="preserve"> in </w:t>
            </w:r>
            <w:r w:rsidR="00A91491">
              <w:t xml:space="preserve">the way regulatory activities are undertaken. </w:t>
            </w:r>
            <w:r w:rsidR="005F00C4">
              <w:t xml:space="preserve"> </w:t>
            </w:r>
            <w:r w:rsidR="00CF386A">
              <w:t xml:space="preserve"> </w:t>
            </w:r>
          </w:p>
          <w:p w:rsidR="00BD30B8" w:rsidRDefault="000F0A63" w:rsidP="00BD30B8">
            <w:r>
              <w:t>Chapter 2</w:t>
            </w:r>
            <w:r w:rsidR="00A26037">
              <w:t xml:space="preserve"> makes a range of recommendations for aspects of EPG’s assessment, conditioning, compliance and enforcement activities, including</w:t>
            </w:r>
            <w:r w:rsidR="007649EB">
              <w:t xml:space="preserve">: </w:t>
            </w:r>
          </w:p>
          <w:p w:rsidR="00BD30B8" w:rsidRDefault="00F105E8" w:rsidP="00E65120">
            <w:pPr>
              <w:pStyle w:val="ListParagraph"/>
              <w:numPr>
                <w:ilvl w:val="0"/>
                <w:numId w:val="37"/>
              </w:numPr>
            </w:pPr>
            <w:r>
              <w:t xml:space="preserve">enhancing problem solving and </w:t>
            </w:r>
            <w:r w:rsidR="006C5765">
              <w:t xml:space="preserve">broadening the regulatory and compliance tools used by </w:t>
            </w:r>
            <w:r w:rsidR="000F0A63">
              <w:t>EPG</w:t>
            </w:r>
            <w:r w:rsidR="006C5765">
              <w:t>;</w:t>
            </w:r>
          </w:p>
          <w:p w:rsidR="00F105E8" w:rsidRDefault="00F105E8" w:rsidP="00E65120">
            <w:pPr>
              <w:pStyle w:val="ListParagraph"/>
              <w:numPr>
                <w:ilvl w:val="0"/>
                <w:numId w:val="37"/>
              </w:numPr>
            </w:pPr>
            <w:r>
              <w:t>reducing reliance on management plans;</w:t>
            </w:r>
          </w:p>
          <w:p w:rsidR="00BD30B8" w:rsidRDefault="00F105E8" w:rsidP="00E65120">
            <w:pPr>
              <w:pStyle w:val="ListParagraph"/>
              <w:numPr>
                <w:ilvl w:val="0"/>
                <w:numId w:val="37"/>
              </w:numPr>
            </w:pPr>
            <w:r>
              <w:t>helping</w:t>
            </w:r>
            <w:r w:rsidR="000668B9">
              <w:t xml:space="preserve"> regulated entities to comply</w:t>
            </w:r>
            <w:r w:rsidR="00D553F3">
              <w:t xml:space="preserve"> with obligations</w:t>
            </w:r>
            <w:r w:rsidR="006C5765">
              <w:t>;</w:t>
            </w:r>
            <w:r w:rsidR="000668B9">
              <w:t xml:space="preserve"> </w:t>
            </w:r>
          </w:p>
          <w:p w:rsidR="00BD30B8" w:rsidRDefault="000668B9" w:rsidP="00E65120">
            <w:pPr>
              <w:pStyle w:val="ListParagraph"/>
              <w:numPr>
                <w:ilvl w:val="0"/>
                <w:numId w:val="37"/>
              </w:numPr>
            </w:pPr>
            <w:r>
              <w:t>publishing more inform</w:t>
            </w:r>
            <w:r w:rsidR="00C608C5">
              <w:t>ation about policies and decisions</w:t>
            </w:r>
            <w:r w:rsidR="006C5765">
              <w:t>;</w:t>
            </w:r>
            <w:r w:rsidR="00F105E8">
              <w:t xml:space="preserve"> and</w:t>
            </w:r>
          </w:p>
          <w:p w:rsidR="000668B9" w:rsidRPr="00CF386A" w:rsidRDefault="00C608C5" w:rsidP="00E65120">
            <w:pPr>
              <w:pStyle w:val="ListParagraph"/>
              <w:numPr>
                <w:ilvl w:val="0"/>
                <w:numId w:val="37"/>
              </w:numPr>
            </w:pPr>
            <w:r>
              <w:t xml:space="preserve">further developing </w:t>
            </w:r>
            <w:r w:rsidR="000F0A63">
              <w:t>EPG’s</w:t>
            </w:r>
            <w:r>
              <w:t xml:space="preserve"> intelligence capability</w:t>
            </w:r>
            <w:r w:rsidR="00A26037">
              <w:t>.</w:t>
            </w:r>
            <w:r w:rsidR="000668B9">
              <w:t xml:space="preserve">  </w:t>
            </w:r>
          </w:p>
        </w:tc>
      </w:tr>
    </w:tbl>
    <w:p w:rsidR="00CF386A" w:rsidRDefault="00CF386A" w:rsidP="00E01832">
      <w:pPr>
        <w:pStyle w:val="Heading1"/>
        <w:spacing w:after="120"/>
        <w:rPr>
          <w:color w:val="0B5294" w:themeColor="accent1" w:themeShade="BF"/>
          <w:sz w:val="28"/>
          <w:szCs w:val="28"/>
        </w:rPr>
      </w:pPr>
    </w:p>
    <w:p w:rsidR="003A007F" w:rsidRPr="0042419C" w:rsidRDefault="003A007F" w:rsidP="00E01832">
      <w:pPr>
        <w:pStyle w:val="Heading1"/>
        <w:spacing w:after="120"/>
        <w:rPr>
          <w:color w:val="0B5294" w:themeColor="accent1" w:themeShade="BF"/>
          <w:sz w:val="28"/>
          <w:szCs w:val="28"/>
        </w:rPr>
      </w:pPr>
      <w:bookmarkStart w:id="19" w:name="_Toc443405157"/>
      <w:r w:rsidRPr="0042419C">
        <w:rPr>
          <w:color w:val="0B5294" w:themeColor="accent1" w:themeShade="BF"/>
          <w:sz w:val="28"/>
          <w:szCs w:val="28"/>
        </w:rPr>
        <w:t>fINDINGS AND RECOMMENDATIONS</w:t>
      </w:r>
      <w:bookmarkEnd w:id="19"/>
    </w:p>
    <w:p w:rsidR="003A007F" w:rsidRPr="0042419C" w:rsidRDefault="003A007F" w:rsidP="00E01832">
      <w:pPr>
        <w:pStyle w:val="Heading1"/>
        <w:spacing w:after="120"/>
        <w:rPr>
          <w:caps w:val="0"/>
          <w:color w:val="0B5294" w:themeColor="accent1" w:themeShade="BF"/>
          <w:sz w:val="24"/>
          <w:szCs w:val="24"/>
        </w:rPr>
      </w:pPr>
      <w:bookmarkStart w:id="20" w:name="_Toc442970833"/>
      <w:bookmarkStart w:id="21" w:name="_Toc443405158"/>
      <w:r w:rsidRPr="0042419C">
        <w:rPr>
          <w:caps w:val="0"/>
          <w:color w:val="0B5294" w:themeColor="accent1" w:themeShade="BF"/>
          <w:sz w:val="24"/>
          <w:szCs w:val="24"/>
        </w:rPr>
        <w:t>The value of good regulation</w:t>
      </w:r>
      <w:bookmarkEnd w:id="20"/>
      <w:bookmarkEnd w:id="21"/>
    </w:p>
    <w:p w:rsidR="003A007F" w:rsidRDefault="003A007F" w:rsidP="003A007F">
      <w:pPr>
        <w:pStyle w:val="ListBullet"/>
        <w:numPr>
          <w:ilvl w:val="0"/>
          <w:numId w:val="0"/>
        </w:numPr>
        <w:rPr>
          <w:rFonts w:cs="Arial"/>
        </w:rPr>
      </w:pPr>
      <w:r>
        <w:rPr>
          <w:rFonts w:cs="Arial"/>
        </w:rPr>
        <w:t xml:space="preserve">As discussed in the </w:t>
      </w:r>
      <w:r w:rsidR="00384A45">
        <w:rPr>
          <w:rFonts w:cs="Arial"/>
          <w:i/>
        </w:rPr>
        <w:t>Background Section</w:t>
      </w:r>
      <w:r>
        <w:rPr>
          <w:rFonts w:cs="Arial"/>
        </w:rPr>
        <w:t>, best practice regulators have a clear understanding of the role and be</w:t>
      </w:r>
      <w:r w:rsidR="00384A45">
        <w:rPr>
          <w:rFonts w:cs="Arial"/>
        </w:rPr>
        <w:t>ne</w:t>
      </w:r>
      <w:r>
        <w:rPr>
          <w:rFonts w:cs="Arial"/>
        </w:rPr>
        <w:t>fits of their regulatory regimes</w:t>
      </w:r>
      <w:r w:rsidR="00384A45">
        <w:rPr>
          <w:rFonts w:cs="Arial"/>
        </w:rPr>
        <w:t>,</w:t>
      </w:r>
      <w:r>
        <w:rPr>
          <w:rFonts w:cs="Arial"/>
        </w:rPr>
        <w:t xml:space="preserve"> and they communicate these effectively within and outside the organisation. This is particularly important where there are a range of community views about the relative priority of competing interests (such as biodiversity protection and development).</w:t>
      </w:r>
    </w:p>
    <w:p w:rsidR="003A007F" w:rsidRDefault="003A007F" w:rsidP="003A007F">
      <w:pPr>
        <w:rPr>
          <w:rFonts w:cs="Arial"/>
        </w:rPr>
      </w:pPr>
      <w:r w:rsidRPr="00FE515E">
        <w:rPr>
          <w:rFonts w:cs="Arial"/>
        </w:rPr>
        <w:t xml:space="preserve">Internal and external feedback received during the </w:t>
      </w:r>
      <w:r>
        <w:rPr>
          <w:rFonts w:cs="Arial"/>
        </w:rPr>
        <w:t>Project</w:t>
      </w:r>
      <w:r w:rsidRPr="00FE515E">
        <w:rPr>
          <w:rFonts w:cs="Arial"/>
        </w:rPr>
        <w:t xml:space="preserve"> revealed a shared perception that environmental regulation is undervalued in the Department and by some areas across the </w:t>
      </w:r>
      <w:r w:rsidR="0045237A">
        <w:rPr>
          <w:rFonts w:cs="Arial"/>
        </w:rPr>
        <w:t>G</w:t>
      </w:r>
      <w:r w:rsidR="0045237A" w:rsidRPr="00FE515E">
        <w:rPr>
          <w:rFonts w:cs="Arial"/>
        </w:rPr>
        <w:t xml:space="preserve">overnment </w:t>
      </w:r>
      <w:r w:rsidRPr="00FE515E">
        <w:rPr>
          <w:rFonts w:cs="Arial"/>
        </w:rPr>
        <w:t xml:space="preserve">and broader community. </w:t>
      </w:r>
      <w:r w:rsidR="00A74175">
        <w:rPr>
          <w:rFonts w:cs="Arial"/>
        </w:rPr>
        <w:t>For example, s</w:t>
      </w:r>
      <w:r>
        <w:rPr>
          <w:rFonts w:cs="Arial"/>
        </w:rPr>
        <w:t>ome s</w:t>
      </w:r>
      <w:r w:rsidRPr="00B9575D">
        <w:rPr>
          <w:rFonts w:cs="Arial"/>
        </w:rPr>
        <w:t xml:space="preserve">taff in </w:t>
      </w:r>
      <w:r>
        <w:rPr>
          <w:rFonts w:cs="Arial"/>
        </w:rPr>
        <w:t>EPG</w:t>
      </w:r>
      <w:r w:rsidRPr="00B9575D">
        <w:rPr>
          <w:rFonts w:cs="Arial"/>
        </w:rPr>
        <w:t xml:space="preserve"> noted that internal and external language focused</w:t>
      </w:r>
      <w:r>
        <w:rPr>
          <w:rFonts w:cs="Arial"/>
        </w:rPr>
        <w:t xml:space="preserve"> significantly</w:t>
      </w:r>
      <w:r w:rsidRPr="00B9575D">
        <w:rPr>
          <w:rFonts w:cs="Arial"/>
        </w:rPr>
        <w:t xml:space="preserve"> on ‘deregulation’ as opposed to </w:t>
      </w:r>
      <w:r>
        <w:rPr>
          <w:rFonts w:cs="Arial"/>
        </w:rPr>
        <w:t>‘</w:t>
      </w:r>
      <w:r w:rsidRPr="00B9575D">
        <w:rPr>
          <w:rFonts w:cs="Arial"/>
        </w:rPr>
        <w:t>better regulation</w:t>
      </w:r>
      <w:r>
        <w:rPr>
          <w:rFonts w:cs="Arial"/>
        </w:rPr>
        <w:t>’, and t</w:t>
      </w:r>
      <w:r w:rsidRPr="00B9575D">
        <w:rPr>
          <w:rFonts w:cs="Arial"/>
        </w:rPr>
        <w:t>his</w:t>
      </w:r>
      <w:r>
        <w:rPr>
          <w:rFonts w:cs="Arial"/>
        </w:rPr>
        <w:t xml:space="preserve"> </w:t>
      </w:r>
      <w:r w:rsidRPr="00B9575D">
        <w:rPr>
          <w:rFonts w:cs="Arial"/>
        </w:rPr>
        <w:t xml:space="preserve">appears to have had a negative cultural and morale impact on </w:t>
      </w:r>
      <w:r>
        <w:rPr>
          <w:rFonts w:cs="Arial"/>
        </w:rPr>
        <w:t>staff</w:t>
      </w:r>
      <w:r w:rsidR="00A74175">
        <w:rPr>
          <w:rFonts w:cs="Arial"/>
        </w:rPr>
        <w:t xml:space="preserve"> in regulatory area</w:t>
      </w:r>
      <w:r w:rsidR="0045237A">
        <w:rPr>
          <w:rFonts w:cs="Arial"/>
        </w:rPr>
        <w:t>s</w:t>
      </w:r>
      <w:r w:rsidRPr="00B9575D">
        <w:rPr>
          <w:rFonts w:cs="Arial"/>
        </w:rPr>
        <w:t>.</w:t>
      </w:r>
      <w:r>
        <w:rPr>
          <w:rFonts w:cs="Arial"/>
        </w:rPr>
        <w:t xml:space="preserve"> </w:t>
      </w:r>
    </w:p>
    <w:p w:rsidR="003A007F" w:rsidRPr="00FE515E" w:rsidRDefault="003A007F" w:rsidP="003A007F">
      <w:pPr>
        <w:rPr>
          <w:rFonts w:cs="Arial"/>
        </w:rPr>
      </w:pPr>
      <w:r>
        <w:rPr>
          <w:rFonts w:cs="Arial"/>
        </w:rPr>
        <w:t xml:space="preserve">Several </w:t>
      </w:r>
      <w:r w:rsidRPr="00FE515E">
        <w:rPr>
          <w:rFonts w:cs="Arial"/>
        </w:rPr>
        <w:t xml:space="preserve">regulatory officers commented that they felt their </w:t>
      </w:r>
      <w:r>
        <w:rPr>
          <w:rFonts w:cs="Arial"/>
        </w:rPr>
        <w:t xml:space="preserve">regulatory </w:t>
      </w:r>
      <w:r w:rsidRPr="00FE515E">
        <w:rPr>
          <w:rFonts w:cs="Arial"/>
        </w:rPr>
        <w:t>work was not</w:t>
      </w:r>
      <w:r>
        <w:rPr>
          <w:rFonts w:cs="Arial"/>
        </w:rPr>
        <w:t xml:space="preserve"> as</w:t>
      </w:r>
      <w:r w:rsidRPr="00FE515E">
        <w:rPr>
          <w:rFonts w:cs="Arial"/>
        </w:rPr>
        <w:t xml:space="preserve"> valued</w:t>
      </w:r>
      <w:r>
        <w:rPr>
          <w:rFonts w:cs="Arial"/>
        </w:rPr>
        <w:t xml:space="preserve"> by the Department as policy work</w:t>
      </w:r>
      <w:r w:rsidRPr="00FE515E">
        <w:rPr>
          <w:rFonts w:cs="Arial"/>
        </w:rPr>
        <w:t xml:space="preserve">. This has been underscored </w:t>
      </w:r>
      <w:r>
        <w:rPr>
          <w:rFonts w:cs="Arial"/>
        </w:rPr>
        <w:t>by reductions in staff and training in regulatory area</w:t>
      </w:r>
      <w:r w:rsidR="009C030C">
        <w:rPr>
          <w:rFonts w:cs="Arial"/>
        </w:rPr>
        <w:t>s</w:t>
      </w:r>
      <w:r>
        <w:rPr>
          <w:rFonts w:cs="Arial"/>
        </w:rPr>
        <w:t xml:space="preserve"> (though reductions in resourcing have occurred across the Department and the </w:t>
      </w:r>
      <w:r w:rsidR="00A74175">
        <w:rPr>
          <w:rFonts w:cs="Arial"/>
        </w:rPr>
        <w:t xml:space="preserve">Australian </w:t>
      </w:r>
      <w:r>
        <w:rPr>
          <w:rFonts w:cs="Arial"/>
        </w:rPr>
        <w:t xml:space="preserve">Public Service). Staff noted that they felt </w:t>
      </w:r>
      <w:r w:rsidR="004D5DC2">
        <w:rPr>
          <w:rFonts w:cs="Arial"/>
        </w:rPr>
        <w:t xml:space="preserve">that when the </w:t>
      </w:r>
      <w:r w:rsidR="00A74175">
        <w:rPr>
          <w:rFonts w:cs="Arial"/>
        </w:rPr>
        <w:t>Department descri</w:t>
      </w:r>
      <w:r w:rsidR="004D5DC2">
        <w:rPr>
          <w:rFonts w:cs="Arial"/>
        </w:rPr>
        <w:t>bes</w:t>
      </w:r>
      <w:r w:rsidR="00A74175">
        <w:rPr>
          <w:rFonts w:cs="Arial"/>
        </w:rPr>
        <w:t xml:space="preserve"> itself in </w:t>
      </w:r>
      <w:r>
        <w:rPr>
          <w:rFonts w:cs="Arial"/>
        </w:rPr>
        <w:t>corporate documents, such as the Department’s strategic plan</w:t>
      </w:r>
      <w:r w:rsidR="004D5DC2">
        <w:rPr>
          <w:rFonts w:cs="Arial"/>
        </w:rPr>
        <w:t>,</w:t>
      </w:r>
      <w:r>
        <w:rPr>
          <w:rFonts w:cs="Arial"/>
        </w:rPr>
        <w:t xml:space="preserve"> </w:t>
      </w:r>
      <w:r w:rsidR="004D5DC2">
        <w:rPr>
          <w:rFonts w:cs="Arial"/>
        </w:rPr>
        <w:t xml:space="preserve">it </w:t>
      </w:r>
      <w:r>
        <w:rPr>
          <w:rFonts w:cs="Arial"/>
        </w:rPr>
        <w:t>place</w:t>
      </w:r>
      <w:r w:rsidR="004D5DC2">
        <w:rPr>
          <w:rFonts w:cs="Arial"/>
        </w:rPr>
        <w:t>s</w:t>
      </w:r>
      <w:r>
        <w:rPr>
          <w:rFonts w:cs="Arial"/>
        </w:rPr>
        <w:t xml:space="preserve"> greater emphasis on </w:t>
      </w:r>
      <w:r w:rsidR="004D5DC2">
        <w:rPr>
          <w:rFonts w:cs="Arial"/>
        </w:rPr>
        <w:t>its</w:t>
      </w:r>
      <w:r>
        <w:rPr>
          <w:rFonts w:cs="Arial"/>
        </w:rPr>
        <w:t xml:space="preserve"> policy and scientific roles than on its regulatory role.</w:t>
      </w:r>
    </w:p>
    <w:p w:rsidR="003A007F" w:rsidRDefault="003A007F" w:rsidP="003A007F">
      <w:pPr>
        <w:pStyle w:val="ListBullet"/>
        <w:numPr>
          <w:ilvl w:val="0"/>
          <w:numId w:val="0"/>
        </w:numPr>
        <w:rPr>
          <w:rFonts w:cs="Arial"/>
        </w:rPr>
      </w:pPr>
      <w:r w:rsidRPr="0090073C">
        <w:rPr>
          <w:rFonts w:cs="Arial"/>
        </w:rPr>
        <w:t xml:space="preserve">The Project found that </w:t>
      </w:r>
      <w:r w:rsidR="004D5DC2">
        <w:rPr>
          <w:rFonts w:cs="Arial"/>
        </w:rPr>
        <w:t xml:space="preserve">regulatory </w:t>
      </w:r>
      <w:r w:rsidRPr="0090073C">
        <w:rPr>
          <w:rFonts w:cs="Arial"/>
        </w:rPr>
        <w:t xml:space="preserve">officers </w:t>
      </w:r>
      <w:r w:rsidR="00620CD5">
        <w:rPr>
          <w:rFonts w:cs="Arial"/>
        </w:rPr>
        <w:t xml:space="preserve">do not feel adequately equipped to </w:t>
      </w:r>
      <w:r w:rsidRPr="0090073C">
        <w:rPr>
          <w:rFonts w:cs="Arial"/>
        </w:rPr>
        <w:t xml:space="preserve">best to manage seemingly competing pressures for best practice regulation, deregulation, efficiency gains, and </w:t>
      </w:r>
      <w:r w:rsidRPr="0090073C">
        <w:rPr>
          <w:rFonts w:cs="Arial"/>
        </w:rPr>
        <w:lastRenderedPageBreak/>
        <w:t>reduction in resources, while also improving environment protection, implementation of legislation,</w:t>
      </w:r>
      <w:r w:rsidR="00A74175">
        <w:rPr>
          <w:rFonts w:cs="Arial"/>
        </w:rPr>
        <w:t xml:space="preserve"> compliance and enforcement,</w:t>
      </w:r>
      <w:r w:rsidRPr="0090073C">
        <w:rPr>
          <w:rFonts w:cs="Arial"/>
        </w:rPr>
        <w:t xml:space="preserve"> stakeholder engagement and many other new initiatives and priorities. Recommendations through</w:t>
      </w:r>
      <w:r>
        <w:rPr>
          <w:rFonts w:cs="Arial"/>
        </w:rPr>
        <w:t>ou</w:t>
      </w:r>
      <w:r w:rsidRPr="0090073C">
        <w:rPr>
          <w:rFonts w:cs="Arial"/>
        </w:rPr>
        <w:t xml:space="preserve">t this </w:t>
      </w:r>
      <w:r w:rsidR="004D5DC2">
        <w:rPr>
          <w:rFonts w:cs="Arial"/>
        </w:rPr>
        <w:t>R</w:t>
      </w:r>
      <w:r w:rsidR="004D5DC2" w:rsidRPr="0090073C">
        <w:rPr>
          <w:rFonts w:cs="Arial"/>
        </w:rPr>
        <w:t xml:space="preserve">eport </w:t>
      </w:r>
      <w:r w:rsidRPr="0090073C">
        <w:rPr>
          <w:rFonts w:cs="Arial"/>
        </w:rPr>
        <w:t>will assist with balancing these priorities.</w:t>
      </w:r>
    </w:p>
    <w:tbl>
      <w:tblPr>
        <w:tblStyle w:val="TableGrid"/>
        <w:tblW w:w="0" w:type="auto"/>
        <w:tblLook w:val="04A0" w:firstRow="1" w:lastRow="0" w:firstColumn="1" w:lastColumn="0" w:noHBand="0" w:noVBand="1"/>
      </w:tblPr>
      <w:tblGrid>
        <w:gridCol w:w="9212"/>
      </w:tblGrid>
      <w:tr w:rsidR="005B1AFF" w:rsidTr="005B1AFF">
        <w:trPr>
          <w:cnfStyle w:val="100000000000" w:firstRow="1" w:lastRow="0" w:firstColumn="0" w:lastColumn="0" w:oddVBand="0" w:evenVBand="0" w:oddHBand="0" w:evenHBand="0" w:firstRowFirstColumn="0" w:firstRowLastColumn="0" w:lastRowFirstColumn="0" w:lastRowLastColumn="0"/>
        </w:trPr>
        <w:tc>
          <w:tcPr>
            <w:tcW w:w="9428" w:type="dxa"/>
            <w:tcBorders>
              <w:top w:val="nil"/>
              <w:left w:val="nil"/>
              <w:bottom w:val="nil"/>
              <w:right w:val="nil"/>
            </w:tcBorders>
            <w:shd w:val="clear" w:color="auto" w:fill="C7E2FA" w:themeFill="accent1" w:themeFillTint="33"/>
          </w:tcPr>
          <w:p w:rsidR="005B1AFF" w:rsidRDefault="005B1AFF" w:rsidP="005B1AFF">
            <w:pPr>
              <w:pStyle w:val="ListBullet"/>
              <w:numPr>
                <w:ilvl w:val="0"/>
                <w:numId w:val="0"/>
              </w:numPr>
              <w:spacing w:before="240"/>
              <w:rPr>
                <w:rFonts w:cs="Arial"/>
                <w:b/>
              </w:rPr>
            </w:pPr>
            <w:r w:rsidRPr="007D71B7">
              <w:rPr>
                <w:rFonts w:cs="Arial"/>
                <w:b/>
              </w:rPr>
              <w:t xml:space="preserve">Recommendation </w:t>
            </w:r>
            <w:r>
              <w:rPr>
                <w:rFonts w:cs="Arial"/>
                <w:b/>
              </w:rPr>
              <w:t>2</w:t>
            </w:r>
            <w:r w:rsidRPr="007D71B7">
              <w:rPr>
                <w:rFonts w:cs="Arial"/>
                <w:b/>
              </w:rPr>
              <w:t>.1 (</w:t>
            </w:r>
            <w:r>
              <w:rPr>
                <w:rFonts w:cs="Arial"/>
                <w:b/>
              </w:rPr>
              <w:t>The value of good regulation</w:t>
            </w:r>
            <w:r w:rsidRPr="007D71B7">
              <w:rPr>
                <w:rFonts w:cs="Arial"/>
                <w:b/>
              </w:rPr>
              <w:t xml:space="preserve">) </w:t>
            </w:r>
          </w:p>
          <w:p w:rsidR="005B1AFF" w:rsidRPr="00A26037" w:rsidRDefault="005B1AFF" w:rsidP="005B1AFF">
            <w:pPr>
              <w:pStyle w:val="ListBullet"/>
              <w:numPr>
                <w:ilvl w:val="0"/>
                <w:numId w:val="0"/>
              </w:numPr>
              <w:rPr>
                <w:rFonts w:cs="Arial"/>
                <w:i/>
              </w:rPr>
            </w:pPr>
            <w:r w:rsidRPr="00A26037">
              <w:rPr>
                <w:rFonts w:cs="Arial"/>
                <w:i/>
              </w:rPr>
              <w:t xml:space="preserve">Importance: </w:t>
            </w:r>
            <w:r w:rsidR="00CD0707">
              <w:rPr>
                <w:rFonts w:cs="Arial"/>
              </w:rPr>
              <w:t>2</w:t>
            </w:r>
          </w:p>
          <w:p w:rsidR="005B1AFF" w:rsidRPr="00CD0707" w:rsidRDefault="005B1AFF" w:rsidP="005B1AFF">
            <w:pPr>
              <w:pStyle w:val="ListBullet"/>
              <w:numPr>
                <w:ilvl w:val="0"/>
                <w:numId w:val="0"/>
              </w:numPr>
              <w:rPr>
                <w:rFonts w:cs="Arial"/>
              </w:rPr>
            </w:pPr>
            <w:r w:rsidRPr="00A26037">
              <w:rPr>
                <w:rFonts w:cs="Arial"/>
                <w:i/>
              </w:rPr>
              <w:t>Timing:</w:t>
            </w:r>
            <w:r>
              <w:rPr>
                <w:rFonts w:cs="Arial"/>
                <w:i/>
              </w:rPr>
              <w:t xml:space="preserve"> </w:t>
            </w:r>
            <w:r w:rsidR="00A26037" w:rsidRPr="00CD0707">
              <w:rPr>
                <w:rFonts w:cs="Arial"/>
              </w:rPr>
              <w:t xml:space="preserve">2 </w:t>
            </w:r>
            <w:r w:rsidR="00CD0707">
              <w:rPr>
                <w:rFonts w:cs="Arial"/>
              </w:rPr>
              <w:t>and</w:t>
            </w:r>
            <w:r w:rsidR="00CD0707" w:rsidRPr="00CD0707">
              <w:rPr>
                <w:rFonts w:cs="Arial"/>
              </w:rPr>
              <w:t xml:space="preserve"> </w:t>
            </w:r>
            <w:r w:rsidR="00A26037" w:rsidRPr="00CD0707">
              <w:rPr>
                <w:rFonts w:cs="Arial"/>
              </w:rPr>
              <w:t>ongoing</w:t>
            </w:r>
          </w:p>
          <w:p w:rsidR="005B1AFF" w:rsidRPr="005B1AFF" w:rsidRDefault="005B1AFF" w:rsidP="004D5DC2">
            <w:r w:rsidRPr="007D71B7">
              <w:rPr>
                <w:rFonts w:cs="Arial"/>
              </w:rPr>
              <w:t xml:space="preserve">The Department and </w:t>
            </w:r>
            <w:r>
              <w:rPr>
                <w:rFonts w:cs="Arial"/>
              </w:rPr>
              <w:t>EPG</w:t>
            </w:r>
            <w:r w:rsidRPr="007D71B7">
              <w:rPr>
                <w:rFonts w:cs="Arial"/>
              </w:rPr>
              <w:t xml:space="preserve"> should regularly communicate and emphasise the importan</w:t>
            </w:r>
            <w:r>
              <w:rPr>
                <w:rFonts w:cs="Arial"/>
              </w:rPr>
              <w:t xml:space="preserve">ce of good </w:t>
            </w:r>
            <w:r w:rsidR="004D5DC2">
              <w:rPr>
                <w:rFonts w:cs="Arial"/>
              </w:rPr>
              <w:t xml:space="preserve">environmental </w:t>
            </w:r>
            <w:r>
              <w:rPr>
                <w:rFonts w:cs="Arial"/>
              </w:rPr>
              <w:t xml:space="preserve">regulation </w:t>
            </w:r>
            <w:r w:rsidRPr="007D71B7">
              <w:rPr>
                <w:rFonts w:cs="Arial"/>
              </w:rPr>
              <w:t xml:space="preserve">both internally and externally (see also </w:t>
            </w:r>
            <w:r w:rsidR="004C0264">
              <w:rPr>
                <w:rFonts w:cs="Arial"/>
              </w:rPr>
              <w:t xml:space="preserve">the </w:t>
            </w:r>
            <w:r w:rsidR="004C0264">
              <w:rPr>
                <w:rFonts w:cs="Arial"/>
                <w:i/>
              </w:rPr>
              <w:t>Value of Environmental Reregulation</w:t>
            </w:r>
            <w:r w:rsidR="008D7088">
              <w:rPr>
                <w:rFonts w:cs="Arial"/>
              </w:rPr>
              <w:t xml:space="preserve"> section in the I</w:t>
            </w:r>
            <w:r w:rsidR="004C0264">
              <w:rPr>
                <w:rFonts w:cs="Arial"/>
              </w:rPr>
              <w:t>ntroduction</w:t>
            </w:r>
            <w:r w:rsidRPr="007D71B7">
              <w:rPr>
                <w:rFonts w:cs="Arial"/>
              </w:rPr>
              <w:t>).</w:t>
            </w:r>
          </w:p>
        </w:tc>
      </w:tr>
    </w:tbl>
    <w:p w:rsidR="005B1AFF" w:rsidRDefault="005B1AFF" w:rsidP="00E01832">
      <w:pPr>
        <w:pStyle w:val="Heading1"/>
        <w:spacing w:after="120"/>
        <w:rPr>
          <w:caps w:val="0"/>
          <w:color w:val="089BA2" w:themeColor="accent3" w:themeShade="BF"/>
          <w:sz w:val="24"/>
          <w:szCs w:val="24"/>
        </w:rPr>
      </w:pPr>
    </w:p>
    <w:p w:rsidR="003A007F" w:rsidRPr="0042419C" w:rsidRDefault="003A007F" w:rsidP="00E01832">
      <w:pPr>
        <w:pStyle w:val="Heading1"/>
        <w:spacing w:after="120"/>
        <w:rPr>
          <w:caps w:val="0"/>
          <w:color w:val="0B5294" w:themeColor="accent1" w:themeShade="BF"/>
          <w:sz w:val="24"/>
          <w:szCs w:val="24"/>
        </w:rPr>
      </w:pPr>
      <w:bookmarkStart w:id="22" w:name="_Toc443405159"/>
      <w:r w:rsidRPr="0042419C">
        <w:rPr>
          <w:caps w:val="0"/>
          <w:color w:val="0B5294" w:themeColor="accent1" w:themeShade="BF"/>
          <w:sz w:val="24"/>
          <w:szCs w:val="24"/>
        </w:rPr>
        <w:t>Understanding regulation and using the right tools</w:t>
      </w:r>
      <w:bookmarkEnd w:id="22"/>
    </w:p>
    <w:p w:rsidR="003A1259" w:rsidRDefault="003A007F" w:rsidP="003A007F">
      <w:pPr>
        <w:pStyle w:val="ListBullet"/>
        <w:numPr>
          <w:ilvl w:val="0"/>
          <w:numId w:val="0"/>
        </w:numPr>
        <w:rPr>
          <w:rFonts w:cs="Arial"/>
        </w:rPr>
      </w:pPr>
      <w:r>
        <w:rPr>
          <w:rFonts w:cs="Arial"/>
        </w:rPr>
        <w:t xml:space="preserve">Mature regulators take an expansive view of regulation, as a broad suite of measures used flexibly to achieve the relevant objective. </w:t>
      </w:r>
    </w:p>
    <w:p w:rsidR="003A1259" w:rsidRDefault="0034290F" w:rsidP="003A007F">
      <w:pPr>
        <w:pStyle w:val="ListBullet"/>
        <w:numPr>
          <w:ilvl w:val="0"/>
          <w:numId w:val="0"/>
        </w:numPr>
        <w:rPr>
          <w:rFonts w:cs="Arial"/>
        </w:rPr>
      </w:pPr>
      <w:r>
        <w:rPr>
          <w:rFonts w:cs="Arial"/>
        </w:rPr>
        <w:t>M</w:t>
      </w:r>
      <w:r w:rsidR="003A007F">
        <w:rPr>
          <w:rFonts w:cs="Arial"/>
        </w:rPr>
        <w:t xml:space="preserve">ature regulators use a dynamic problem-solving approach to address identified problems. This involves having a clear and shared understanding of the problem to be solved, </w:t>
      </w:r>
      <w:r w:rsidR="007D0100">
        <w:rPr>
          <w:rFonts w:cs="Arial"/>
        </w:rPr>
        <w:t>examining</w:t>
      </w:r>
      <w:r w:rsidR="003A007F">
        <w:rPr>
          <w:rFonts w:cs="Arial"/>
        </w:rPr>
        <w:t xml:space="preserve"> the causes and effects, analysing possible responses and identifying the best tool</w:t>
      </w:r>
      <w:r w:rsidR="007D0100">
        <w:rPr>
          <w:rFonts w:cs="Arial"/>
        </w:rPr>
        <w:t xml:space="preserve">, </w:t>
      </w:r>
      <w:r w:rsidR="003A007F">
        <w:rPr>
          <w:rFonts w:cs="Arial"/>
        </w:rPr>
        <w:t>or range of tools</w:t>
      </w:r>
      <w:r w:rsidR="007D0100">
        <w:rPr>
          <w:rFonts w:cs="Arial"/>
        </w:rPr>
        <w:t>,</w:t>
      </w:r>
      <w:r w:rsidR="003A007F">
        <w:rPr>
          <w:rFonts w:cs="Arial"/>
        </w:rPr>
        <w:t xml:space="preserve"> to address it.</w:t>
      </w:r>
      <w:r w:rsidR="003A1259">
        <w:rPr>
          <w:rFonts w:cs="Arial"/>
        </w:rPr>
        <w:t xml:space="preserve"> Mature regulators build large ‘toolboxes’ of available regulatory responses, and ensure relevant staff are aware of all regulatory tools available for them to use. </w:t>
      </w:r>
      <w:r w:rsidR="003A007F">
        <w:rPr>
          <w:rFonts w:cs="Arial"/>
        </w:rPr>
        <w:t xml:space="preserve"> </w:t>
      </w:r>
      <w:r>
        <w:rPr>
          <w:rFonts w:cs="Arial"/>
        </w:rPr>
        <w:t xml:space="preserve">Mature regulators recognise the continuum between policy and implementation and maintain two-way communication with systematic monitoring of, and continuous improvement to, regulatory responses (see the </w:t>
      </w:r>
      <w:r>
        <w:rPr>
          <w:rFonts w:cs="Arial"/>
          <w:i/>
        </w:rPr>
        <w:t xml:space="preserve">Performance Monitoring and Communication </w:t>
      </w:r>
      <w:r>
        <w:rPr>
          <w:rFonts w:cs="Arial"/>
        </w:rPr>
        <w:t xml:space="preserve">section and the </w:t>
      </w:r>
      <w:r>
        <w:rPr>
          <w:rFonts w:cs="Arial"/>
          <w:i/>
        </w:rPr>
        <w:t xml:space="preserve">Continuous Improvement </w:t>
      </w:r>
      <w:r w:rsidR="003A1259">
        <w:rPr>
          <w:rFonts w:cs="Arial"/>
        </w:rPr>
        <w:t>section in Chapter 1)</w:t>
      </w:r>
      <w:r>
        <w:rPr>
          <w:rFonts w:cs="Arial"/>
        </w:rPr>
        <w:t>.</w:t>
      </w:r>
      <w:r w:rsidR="00E27F7D">
        <w:rPr>
          <w:rFonts w:cs="Arial"/>
        </w:rPr>
        <w:t>Mature regulators recognise when a problem has been solved, and refocus resources on the next problem.</w:t>
      </w:r>
    </w:p>
    <w:p w:rsidR="003A007F" w:rsidRDefault="003A007F" w:rsidP="003A007F">
      <w:pPr>
        <w:pStyle w:val="ListBullet"/>
        <w:numPr>
          <w:ilvl w:val="0"/>
          <w:numId w:val="0"/>
        </w:numPr>
        <w:rPr>
          <w:rFonts w:cs="Arial"/>
        </w:rPr>
      </w:pPr>
      <w:r>
        <w:rPr>
          <w:rFonts w:cs="Arial"/>
        </w:rPr>
        <w:t>This approach, promoted by Dr Malcolm Sparrow</w:t>
      </w:r>
      <w:r>
        <w:rPr>
          <w:rStyle w:val="FootnoteReference"/>
          <w:rFonts w:cs="Arial"/>
        </w:rPr>
        <w:footnoteReference w:id="17"/>
      </w:r>
      <w:r>
        <w:rPr>
          <w:rFonts w:cs="Arial"/>
        </w:rPr>
        <w:t xml:space="preserve">, acknowledges that a ‘one-size-fits-all approach’ creates inefficiencies and can fail to deliver regulatory objectives. Regulators </w:t>
      </w:r>
      <w:r w:rsidR="0034290F">
        <w:rPr>
          <w:rFonts w:cs="Arial"/>
        </w:rPr>
        <w:t xml:space="preserve">that use </w:t>
      </w:r>
      <w:r>
        <w:rPr>
          <w:rFonts w:cs="Arial"/>
        </w:rPr>
        <w:t>sophisticated problem-solving methods</w:t>
      </w:r>
      <w:r w:rsidR="0034290F">
        <w:rPr>
          <w:rFonts w:cs="Arial"/>
        </w:rPr>
        <w:t xml:space="preserve"> </w:t>
      </w:r>
      <w:r>
        <w:rPr>
          <w:rFonts w:cs="Arial"/>
        </w:rPr>
        <w:t>are more tactical, effective and resource-efficient. This approach requires an understanding of the full suite of potential regulatory responses and is significantly improved with the availability of robust data and intelligence (see</w:t>
      </w:r>
      <w:r w:rsidR="007D0100">
        <w:rPr>
          <w:rFonts w:cs="Arial"/>
        </w:rPr>
        <w:t xml:space="preserve"> the</w:t>
      </w:r>
      <w:r>
        <w:rPr>
          <w:rFonts w:cs="Arial"/>
        </w:rPr>
        <w:t xml:space="preserve"> </w:t>
      </w:r>
      <w:r w:rsidRPr="00745C6E">
        <w:rPr>
          <w:rFonts w:cs="Arial"/>
          <w:i/>
        </w:rPr>
        <w:t>Intelligence</w:t>
      </w:r>
      <w:r>
        <w:rPr>
          <w:rFonts w:cs="Arial"/>
        </w:rPr>
        <w:t xml:space="preserve"> section later in this chapter). Importantly</w:t>
      </w:r>
      <w:r w:rsidR="007D0100">
        <w:rPr>
          <w:rFonts w:cs="Arial"/>
        </w:rPr>
        <w:t>,</w:t>
      </w:r>
      <w:r>
        <w:rPr>
          <w:rFonts w:cs="Arial"/>
        </w:rPr>
        <w:t xml:space="preserve"> this also requires a flexible approach to the allocation of human and other resources to each task, noting that </w:t>
      </w:r>
      <w:r w:rsidR="00CC738F">
        <w:rPr>
          <w:rFonts w:cs="Arial"/>
        </w:rPr>
        <w:t xml:space="preserve">the appropriate </w:t>
      </w:r>
      <w:r>
        <w:rPr>
          <w:rFonts w:cs="Arial"/>
        </w:rPr>
        <w:t xml:space="preserve">resources will change with each new issue. </w:t>
      </w:r>
    </w:p>
    <w:p w:rsidR="003A007F" w:rsidRDefault="003A007F" w:rsidP="003A007F">
      <w:pPr>
        <w:pStyle w:val="ListBullet"/>
        <w:numPr>
          <w:ilvl w:val="0"/>
          <w:numId w:val="0"/>
        </w:numPr>
        <w:rPr>
          <w:rFonts w:cs="Arial"/>
        </w:rPr>
      </w:pPr>
      <w:r>
        <w:rPr>
          <w:rFonts w:cs="Arial"/>
        </w:rPr>
        <w:t>Consultation with staff across EPG revealed that officers do not have a shared understating of regulation</w:t>
      </w:r>
      <w:r w:rsidR="00E14CDA">
        <w:rPr>
          <w:rFonts w:cs="Arial"/>
        </w:rPr>
        <w:t>,</w:t>
      </w:r>
      <w:r>
        <w:rPr>
          <w:rFonts w:cs="Arial"/>
        </w:rPr>
        <w:t xml:space="preserve"> with many viewing it more narrowly as legislative licensing or permitting schemes. </w:t>
      </w:r>
    </w:p>
    <w:p w:rsidR="003A007F" w:rsidRDefault="003A007F" w:rsidP="003A007F">
      <w:pPr>
        <w:pStyle w:val="ListBullet"/>
        <w:numPr>
          <w:ilvl w:val="0"/>
          <w:numId w:val="0"/>
        </w:numPr>
        <w:rPr>
          <w:rFonts w:cs="Arial"/>
        </w:rPr>
      </w:pPr>
      <w:r>
        <w:rPr>
          <w:rFonts w:cs="Arial"/>
        </w:rPr>
        <w:t xml:space="preserve">There </w:t>
      </w:r>
      <w:r w:rsidR="00232BAD">
        <w:rPr>
          <w:rFonts w:cs="Arial"/>
        </w:rPr>
        <w:t xml:space="preserve">is </w:t>
      </w:r>
      <w:r>
        <w:rPr>
          <w:rFonts w:cs="Arial"/>
        </w:rPr>
        <w:t>recognition across EPG of the importance and benefit of creative problem-solving and regulatory innovation. Consistent with Government policy, the Department routinely develops Regulatory Impact Statements for new policies and initiatives with regulatory impacts. These statements require the Department to define the relevant problem</w:t>
      </w:r>
      <w:r w:rsidR="00232BAD">
        <w:rPr>
          <w:rFonts w:cs="Arial"/>
        </w:rPr>
        <w:t>,</w:t>
      </w:r>
      <w:r>
        <w:rPr>
          <w:rFonts w:cs="Arial"/>
        </w:rPr>
        <w:t xml:space="preserve"> and</w:t>
      </w:r>
      <w:r w:rsidR="00232BAD">
        <w:rPr>
          <w:rFonts w:cs="Arial"/>
        </w:rPr>
        <w:t xml:space="preserve"> they</w:t>
      </w:r>
      <w:r>
        <w:rPr>
          <w:rFonts w:cs="Arial"/>
        </w:rPr>
        <w:t xml:space="preserve"> encourage staff to consider a range of policy options for addressing it. This encourages problem based policy </w:t>
      </w:r>
      <w:r>
        <w:rPr>
          <w:rFonts w:cs="Arial"/>
        </w:rPr>
        <w:lastRenderedPageBreak/>
        <w:t xml:space="preserve">development and builds an understanding of the initiative’s net benefit at the beginning of the policy process.  </w:t>
      </w:r>
    </w:p>
    <w:p w:rsidR="003A007F" w:rsidRDefault="003A007F" w:rsidP="003A007F">
      <w:pPr>
        <w:pStyle w:val="ListBullet"/>
        <w:numPr>
          <w:ilvl w:val="0"/>
          <w:numId w:val="0"/>
        </w:numPr>
        <w:rPr>
          <w:rFonts w:cs="Arial"/>
        </w:rPr>
      </w:pPr>
      <w:r>
        <w:rPr>
          <w:rFonts w:cs="Arial"/>
        </w:rPr>
        <w:t xml:space="preserve">Despite this analysis, EPG uses a relatively limited range of regulatory tools, and in particular tends to use </w:t>
      </w:r>
      <w:r w:rsidR="00232BAD">
        <w:rPr>
          <w:rFonts w:cs="Arial"/>
        </w:rPr>
        <w:t>‘</w:t>
      </w:r>
      <w:r>
        <w:rPr>
          <w:rFonts w:cs="Arial"/>
        </w:rPr>
        <w:t>command and control</w:t>
      </w:r>
      <w:r w:rsidR="00232BAD">
        <w:rPr>
          <w:rFonts w:cs="Arial"/>
        </w:rPr>
        <w:t>’</w:t>
      </w:r>
      <w:r>
        <w:rPr>
          <w:rFonts w:cs="Arial"/>
        </w:rPr>
        <w:t xml:space="preserve"> approaches.</w:t>
      </w:r>
      <w:r w:rsidR="00232BAD">
        <w:rPr>
          <w:rStyle w:val="FootnoteReference"/>
          <w:rFonts w:cs="Arial"/>
        </w:rPr>
        <w:footnoteReference w:id="18"/>
      </w:r>
      <w:r>
        <w:rPr>
          <w:rFonts w:cs="Arial"/>
        </w:rPr>
        <w:t xml:space="preserve"> Staff indicated that this is often due to </w:t>
      </w:r>
      <w:r w:rsidRPr="00B9575D">
        <w:rPr>
          <w:rFonts w:cs="Arial"/>
        </w:rPr>
        <w:t>legislative</w:t>
      </w:r>
      <w:r w:rsidR="00BB3D10">
        <w:rPr>
          <w:rFonts w:cs="Arial"/>
        </w:rPr>
        <w:t xml:space="preserve"> limitations. For example, m</w:t>
      </w:r>
      <w:r w:rsidR="00BB3D10" w:rsidRPr="00017CF2">
        <w:rPr>
          <w:rFonts w:cs="Arial"/>
        </w:rPr>
        <w:t xml:space="preserve">uch of the current legislation administered by </w:t>
      </w:r>
      <w:r w:rsidR="00BB3D10">
        <w:rPr>
          <w:rFonts w:cs="Arial"/>
        </w:rPr>
        <w:t>EPG</w:t>
      </w:r>
      <w:r w:rsidR="00BB3D10" w:rsidRPr="00017CF2">
        <w:rPr>
          <w:rFonts w:cs="Arial"/>
        </w:rPr>
        <w:t xml:space="preserve"> is prescriptive and lacks fle</w:t>
      </w:r>
      <w:r w:rsidR="00BB3D10">
        <w:rPr>
          <w:rFonts w:cs="Arial"/>
        </w:rPr>
        <w:t xml:space="preserve">xibility to adopt the most </w:t>
      </w:r>
      <w:r w:rsidR="00BB3D10" w:rsidRPr="00017CF2">
        <w:rPr>
          <w:rFonts w:cs="Arial"/>
        </w:rPr>
        <w:t>effective approach to achie</w:t>
      </w:r>
      <w:r w:rsidR="00BB3D10">
        <w:rPr>
          <w:rFonts w:cs="Arial"/>
        </w:rPr>
        <w:t>ving</w:t>
      </w:r>
      <w:r w:rsidR="00BB3D10" w:rsidRPr="00017CF2">
        <w:rPr>
          <w:rFonts w:cs="Arial"/>
        </w:rPr>
        <w:t xml:space="preserve"> the objectives.</w:t>
      </w:r>
      <w:r w:rsidR="00BB3D10">
        <w:rPr>
          <w:rFonts w:cs="Arial"/>
        </w:rPr>
        <w:t xml:space="preserve"> Staff also </w:t>
      </w:r>
      <w:r w:rsidR="00232BAD">
        <w:rPr>
          <w:rFonts w:cs="Arial"/>
        </w:rPr>
        <w:t xml:space="preserve">noted that </w:t>
      </w:r>
      <w:r w:rsidRPr="00B9575D">
        <w:rPr>
          <w:rFonts w:cs="Arial"/>
        </w:rPr>
        <w:t>resourcing</w:t>
      </w:r>
      <w:r w:rsidR="000712D7">
        <w:rPr>
          <w:rFonts w:cs="Arial"/>
        </w:rPr>
        <w:t xml:space="preserve"> and</w:t>
      </w:r>
      <w:r w:rsidR="00232BAD">
        <w:rPr>
          <w:rFonts w:cs="Arial"/>
        </w:rPr>
        <w:t xml:space="preserve"> </w:t>
      </w:r>
      <w:r w:rsidRPr="00B9575D">
        <w:rPr>
          <w:rFonts w:cs="Arial"/>
        </w:rPr>
        <w:t>time restrictions</w:t>
      </w:r>
      <w:r w:rsidR="00232BAD">
        <w:rPr>
          <w:rFonts w:cs="Arial"/>
        </w:rPr>
        <w:t>,</w:t>
      </w:r>
      <w:r w:rsidRPr="00B9575D">
        <w:rPr>
          <w:rFonts w:cs="Arial"/>
        </w:rPr>
        <w:t xml:space="preserve"> </w:t>
      </w:r>
      <w:r w:rsidR="00BB3D10">
        <w:rPr>
          <w:rFonts w:cs="Arial"/>
        </w:rPr>
        <w:t xml:space="preserve">and a lack of understanding of the full range of potential regulatory responses </w:t>
      </w:r>
      <w:r w:rsidR="000712D7">
        <w:rPr>
          <w:rFonts w:cs="Arial"/>
        </w:rPr>
        <w:t xml:space="preserve">has limited </w:t>
      </w:r>
      <w:r w:rsidRPr="00B9575D">
        <w:rPr>
          <w:rFonts w:cs="Arial"/>
        </w:rPr>
        <w:t xml:space="preserve">analysis and </w:t>
      </w:r>
      <w:r>
        <w:rPr>
          <w:rFonts w:cs="Arial"/>
        </w:rPr>
        <w:t xml:space="preserve">creative </w:t>
      </w:r>
      <w:r w:rsidRPr="00B9575D">
        <w:rPr>
          <w:rFonts w:cs="Arial"/>
        </w:rPr>
        <w:t>response</w:t>
      </w:r>
      <w:r>
        <w:rPr>
          <w:rFonts w:cs="Arial"/>
        </w:rPr>
        <w:t>s</w:t>
      </w:r>
      <w:r w:rsidRPr="00B9575D">
        <w:rPr>
          <w:rFonts w:cs="Arial"/>
        </w:rPr>
        <w:t xml:space="preserve"> to challenges</w:t>
      </w:r>
      <w:r w:rsidR="00185B9F">
        <w:rPr>
          <w:rFonts w:cs="Arial"/>
        </w:rPr>
        <w:t>. In moving to become a mature regulator, EPG and the Department should further expand its regulatory ‘toolbox’, and ensure</w:t>
      </w:r>
      <w:r w:rsidR="003A1259">
        <w:rPr>
          <w:rFonts w:cs="Arial"/>
        </w:rPr>
        <w:t xml:space="preserve"> that</w:t>
      </w:r>
      <w:r w:rsidR="00185B9F">
        <w:rPr>
          <w:rFonts w:cs="Arial"/>
        </w:rPr>
        <w:t xml:space="preserve"> relevant staff are aware of all regulatory tools available to them</w:t>
      </w:r>
      <w:r w:rsidR="00674066">
        <w:rPr>
          <w:rFonts w:cs="Arial"/>
        </w:rPr>
        <w:t>, and the circumstances in which they should be considered</w:t>
      </w:r>
      <w:r w:rsidR="00185B9F">
        <w:rPr>
          <w:rFonts w:cs="Arial"/>
        </w:rPr>
        <w:t xml:space="preserve">. The Project has prepared a list of regulatory tools at </w:t>
      </w:r>
      <w:r w:rsidR="00185B9F">
        <w:rPr>
          <w:rFonts w:cs="Arial"/>
          <w:b/>
        </w:rPr>
        <w:t xml:space="preserve">Appendix 4 </w:t>
      </w:r>
      <w:r w:rsidR="00185B9F">
        <w:rPr>
          <w:rFonts w:cs="Arial"/>
        </w:rPr>
        <w:t>that the Department should consider including in its ‘toolbox’ of available regulatory responses.</w:t>
      </w:r>
    </w:p>
    <w:p w:rsidR="003A007F" w:rsidRDefault="003A007F" w:rsidP="003A007F">
      <w:pPr>
        <w:pStyle w:val="ListBullet"/>
        <w:numPr>
          <w:ilvl w:val="0"/>
          <w:numId w:val="0"/>
        </w:numPr>
        <w:rPr>
          <w:rFonts w:cs="Arial"/>
        </w:rPr>
      </w:pPr>
      <w:r>
        <w:rPr>
          <w:rFonts w:cs="Arial"/>
        </w:rPr>
        <w:t>While there are a number of innovative approaches under development across EPG</w:t>
      </w:r>
      <w:r w:rsidR="000712D7">
        <w:rPr>
          <w:rFonts w:cs="Arial"/>
        </w:rPr>
        <w:t>,</w:t>
      </w:r>
      <w:r>
        <w:rPr>
          <w:rFonts w:cs="Arial"/>
        </w:rPr>
        <w:t xml:space="preserve"> </w:t>
      </w:r>
      <w:r w:rsidR="000712D7">
        <w:rPr>
          <w:rFonts w:cs="Arial"/>
        </w:rPr>
        <w:t xml:space="preserve">EPG </w:t>
      </w:r>
      <w:r>
        <w:rPr>
          <w:rFonts w:cs="Arial"/>
        </w:rPr>
        <w:t>does not have a systematic approach for monitoring the effectiveness of its activities or identifying new issues and building innovative responses.</w:t>
      </w:r>
    </w:p>
    <w:tbl>
      <w:tblPr>
        <w:tblStyle w:val="TableGrid"/>
        <w:tblW w:w="0" w:type="auto"/>
        <w:tblLook w:val="04A0" w:firstRow="1" w:lastRow="0" w:firstColumn="1" w:lastColumn="0" w:noHBand="0" w:noVBand="1"/>
      </w:tblPr>
      <w:tblGrid>
        <w:gridCol w:w="9212"/>
      </w:tblGrid>
      <w:tr w:rsidR="005B1AFF" w:rsidTr="005B1AFF">
        <w:trPr>
          <w:cnfStyle w:val="100000000000" w:firstRow="1" w:lastRow="0" w:firstColumn="0" w:lastColumn="0" w:oddVBand="0" w:evenVBand="0" w:oddHBand="0" w:evenHBand="0" w:firstRowFirstColumn="0" w:firstRowLastColumn="0" w:lastRowFirstColumn="0" w:lastRowLastColumn="0"/>
        </w:trPr>
        <w:tc>
          <w:tcPr>
            <w:tcW w:w="9428" w:type="dxa"/>
            <w:tcBorders>
              <w:top w:val="nil"/>
              <w:left w:val="nil"/>
              <w:bottom w:val="nil"/>
              <w:right w:val="nil"/>
            </w:tcBorders>
            <w:shd w:val="clear" w:color="auto" w:fill="C7E2FA" w:themeFill="accent1" w:themeFillTint="33"/>
          </w:tcPr>
          <w:p w:rsidR="005B1AFF" w:rsidRDefault="005B1AFF" w:rsidP="005B1AFF">
            <w:pPr>
              <w:pStyle w:val="ListBullet"/>
              <w:numPr>
                <w:ilvl w:val="0"/>
                <w:numId w:val="0"/>
              </w:numPr>
              <w:spacing w:before="240"/>
              <w:rPr>
                <w:rFonts w:cs="Arial"/>
                <w:b/>
              </w:rPr>
            </w:pPr>
            <w:r w:rsidRPr="007D71B7">
              <w:rPr>
                <w:rFonts w:cs="Arial"/>
                <w:b/>
              </w:rPr>
              <w:t xml:space="preserve">Recommendation </w:t>
            </w:r>
            <w:r>
              <w:rPr>
                <w:rFonts w:cs="Arial"/>
                <w:b/>
              </w:rPr>
              <w:t>2</w:t>
            </w:r>
            <w:r w:rsidRPr="007D71B7">
              <w:rPr>
                <w:rFonts w:cs="Arial"/>
                <w:b/>
              </w:rPr>
              <w:t>.2 (</w:t>
            </w:r>
            <w:r w:rsidRPr="003A007F">
              <w:rPr>
                <w:b/>
              </w:rPr>
              <w:t>Understanding regulation and using the right tools</w:t>
            </w:r>
            <w:r w:rsidRPr="007D71B7">
              <w:rPr>
                <w:rFonts w:cs="Arial"/>
                <w:b/>
              </w:rPr>
              <w:t>)</w:t>
            </w:r>
          </w:p>
          <w:p w:rsidR="005B1AFF" w:rsidRPr="00A26037" w:rsidRDefault="005B1AFF" w:rsidP="005B1AFF">
            <w:pPr>
              <w:pStyle w:val="ListBullet"/>
              <w:numPr>
                <w:ilvl w:val="0"/>
                <w:numId w:val="0"/>
              </w:numPr>
              <w:rPr>
                <w:rFonts w:cs="Arial"/>
                <w:i/>
              </w:rPr>
            </w:pPr>
            <w:r w:rsidRPr="00A26037">
              <w:rPr>
                <w:rFonts w:cs="Arial"/>
                <w:i/>
              </w:rPr>
              <w:t xml:space="preserve">Importance: </w:t>
            </w:r>
            <w:r w:rsidR="00A26037" w:rsidRPr="00CD0707">
              <w:rPr>
                <w:rFonts w:cs="Arial"/>
              </w:rPr>
              <w:t>1</w:t>
            </w:r>
          </w:p>
          <w:p w:rsidR="005B1AFF" w:rsidRPr="000834AC" w:rsidRDefault="005B1AFF" w:rsidP="005B1AFF">
            <w:pPr>
              <w:pStyle w:val="ListBullet"/>
              <w:numPr>
                <w:ilvl w:val="0"/>
                <w:numId w:val="0"/>
              </w:numPr>
              <w:rPr>
                <w:rFonts w:cs="Arial"/>
                <w:i/>
              </w:rPr>
            </w:pPr>
            <w:r w:rsidRPr="00A26037">
              <w:rPr>
                <w:rFonts w:cs="Arial"/>
                <w:i/>
              </w:rPr>
              <w:t>Timing:</w:t>
            </w:r>
            <w:r w:rsidR="00A26037">
              <w:rPr>
                <w:rFonts w:cs="Arial"/>
                <w:i/>
              </w:rPr>
              <w:t xml:space="preserve"> </w:t>
            </w:r>
            <w:r w:rsidR="00A26037" w:rsidRPr="00CD0707">
              <w:rPr>
                <w:rFonts w:cs="Arial"/>
              </w:rPr>
              <w:t>2 and ongoing</w:t>
            </w:r>
            <w:r w:rsidRPr="00CD0707">
              <w:rPr>
                <w:rFonts w:cs="Arial"/>
              </w:rPr>
              <w:t xml:space="preserve"> </w:t>
            </w:r>
          </w:p>
          <w:p w:rsidR="005B1AFF" w:rsidRDefault="005B1AFF" w:rsidP="005B1AFF">
            <w:pPr>
              <w:rPr>
                <w:rFonts w:cs="Arial"/>
              </w:rPr>
            </w:pPr>
            <w:r>
              <w:rPr>
                <w:rFonts w:cs="Arial"/>
              </w:rPr>
              <w:t xml:space="preserve">EPG should </w:t>
            </w:r>
            <w:r w:rsidR="00CC738F">
              <w:rPr>
                <w:rFonts w:cs="Arial"/>
              </w:rPr>
              <w:t xml:space="preserve">use </w:t>
            </w:r>
            <w:r>
              <w:rPr>
                <w:rFonts w:cs="Arial"/>
              </w:rPr>
              <w:t>objectives, strategies and training</w:t>
            </w:r>
            <w:r w:rsidR="00CC738F">
              <w:rPr>
                <w:rFonts w:cs="Arial"/>
              </w:rPr>
              <w:t xml:space="preserve"> to</w:t>
            </w:r>
            <w:r>
              <w:rPr>
                <w:rFonts w:cs="Arial"/>
              </w:rPr>
              <w:t xml:space="preserve"> articulate that r</w:t>
            </w:r>
            <w:r w:rsidRPr="007D71B7">
              <w:rPr>
                <w:rFonts w:cs="Arial"/>
              </w:rPr>
              <w:t xml:space="preserve">egulation </w:t>
            </w:r>
            <w:r>
              <w:rPr>
                <w:rFonts w:cs="Arial"/>
              </w:rPr>
              <w:t>i</w:t>
            </w:r>
            <w:r w:rsidRPr="007D71B7">
              <w:rPr>
                <w:rFonts w:cs="Arial"/>
              </w:rPr>
              <w:t>s a broad suite of measures</w:t>
            </w:r>
            <w:r w:rsidR="00DC5413">
              <w:rPr>
                <w:rFonts w:cs="Arial"/>
              </w:rPr>
              <w:t xml:space="preserve"> that should be</w:t>
            </w:r>
            <w:r w:rsidRPr="007D71B7">
              <w:rPr>
                <w:rFonts w:cs="Arial"/>
              </w:rPr>
              <w:t xml:space="preserve"> used flexibly to achieve the objectives of the legislation. </w:t>
            </w:r>
            <w:r>
              <w:rPr>
                <w:rFonts w:cs="Arial"/>
              </w:rPr>
              <w:t>EPG should also acknowledge the</w:t>
            </w:r>
            <w:r w:rsidRPr="007D71B7">
              <w:rPr>
                <w:rFonts w:cs="Arial"/>
              </w:rPr>
              <w:t xml:space="preserve"> continuum between policy and regulation, with constant two way communication</w:t>
            </w:r>
            <w:r>
              <w:rPr>
                <w:rFonts w:cs="Arial"/>
              </w:rPr>
              <w:t xml:space="preserve"> between those developing policy and those implementing it. </w:t>
            </w:r>
          </w:p>
          <w:p w:rsidR="009551C2" w:rsidRPr="002E110E" w:rsidRDefault="009551C2" w:rsidP="009551C2">
            <w:pPr>
              <w:rPr>
                <w:rFonts w:cs="Arial"/>
              </w:rPr>
            </w:pPr>
            <w:r>
              <w:rPr>
                <w:rFonts w:cs="Arial"/>
              </w:rPr>
              <w:t xml:space="preserve">The Department should build and maintain a regulatory toolbox of legislative, policy, economic, informative, public reporting and other incentives or disincentives to achieve desired outcomes. </w:t>
            </w:r>
          </w:p>
          <w:p w:rsidR="005B1AFF" w:rsidRDefault="005B1AFF" w:rsidP="005B1AFF">
            <w:pPr>
              <w:contextualSpacing/>
              <w:rPr>
                <w:rFonts w:cs="Arial"/>
              </w:rPr>
            </w:pPr>
            <w:r w:rsidRPr="007D71B7">
              <w:rPr>
                <w:rFonts w:cs="Arial"/>
              </w:rPr>
              <w:t>The Department should look for opportunities</w:t>
            </w:r>
            <w:r w:rsidR="00E82806">
              <w:rPr>
                <w:rFonts w:cs="Arial"/>
              </w:rPr>
              <w:t>,</w:t>
            </w:r>
            <w:r w:rsidRPr="007D71B7">
              <w:rPr>
                <w:rFonts w:cs="Arial"/>
              </w:rPr>
              <w:t xml:space="preserve"> both within the current legislative framework and through future legislative amendments</w:t>
            </w:r>
            <w:r w:rsidR="00E82806">
              <w:rPr>
                <w:rFonts w:cs="Arial"/>
              </w:rPr>
              <w:t>,</w:t>
            </w:r>
            <w:r w:rsidRPr="007D71B7">
              <w:rPr>
                <w:rFonts w:cs="Arial"/>
              </w:rPr>
              <w:t xml:space="preserve"> to use innovative approaches to achieve the relevant objectives, such as self-certification, third party </w:t>
            </w:r>
            <w:r w:rsidR="008D7088">
              <w:rPr>
                <w:rFonts w:cs="Arial"/>
              </w:rPr>
              <w:t xml:space="preserve">certification and co-regulation. </w:t>
            </w:r>
            <w:r w:rsidRPr="007D71B7">
              <w:rPr>
                <w:rFonts w:cs="Arial"/>
              </w:rPr>
              <w:t xml:space="preserve">The Department should however be cautious of relying on full self-regulation as this is often not accepted by the community and there are many examples of serious failures across regulatory agencies where this has been adopted. </w:t>
            </w:r>
          </w:p>
          <w:p w:rsidR="00674066" w:rsidRDefault="00674066" w:rsidP="005B1AFF">
            <w:pPr>
              <w:contextualSpacing/>
              <w:rPr>
                <w:rFonts w:cs="Arial"/>
              </w:rPr>
            </w:pPr>
          </w:p>
          <w:p w:rsidR="00674066" w:rsidRDefault="00674066" w:rsidP="005B1AFF">
            <w:pPr>
              <w:contextualSpacing/>
              <w:rPr>
                <w:rFonts w:cs="Arial"/>
              </w:rPr>
            </w:pPr>
            <w:r>
              <w:rPr>
                <w:rFonts w:cs="Arial"/>
              </w:rPr>
              <w:t>The Department should ensure that relevant staff are aware of all regulatory tools available to them, and the circumstances in which they should be considered.</w:t>
            </w:r>
          </w:p>
          <w:p w:rsidR="005B1AFF" w:rsidRPr="007D71B7" w:rsidRDefault="005B1AFF" w:rsidP="005B1AFF">
            <w:pPr>
              <w:pStyle w:val="ListBullet"/>
              <w:numPr>
                <w:ilvl w:val="0"/>
                <w:numId w:val="0"/>
              </w:numPr>
              <w:rPr>
                <w:rFonts w:cs="Arial"/>
              </w:rPr>
            </w:pPr>
            <w:r w:rsidRPr="007D71B7">
              <w:rPr>
                <w:rFonts w:cs="Arial"/>
              </w:rPr>
              <w:t>Any future review of legislation should:</w:t>
            </w:r>
          </w:p>
          <w:p w:rsidR="005B1AFF" w:rsidRPr="007D71B7" w:rsidRDefault="005B1AFF" w:rsidP="00E65120">
            <w:pPr>
              <w:pStyle w:val="ListBullet"/>
              <w:numPr>
                <w:ilvl w:val="0"/>
                <w:numId w:val="12"/>
              </w:numPr>
              <w:spacing w:after="0" w:line="240" w:lineRule="auto"/>
              <w:rPr>
                <w:rFonts w:cs="Arial"/>
              </w:rPr>
            </w:pPr>
            <w:r w:rsidRPr="007D71B7">
              <w:rPr>
                <w:rFonts w:cs="Arial"/>
              </w:rPr>
              <w:t xml:space="preserve">include an analysis of all potentially available incentives and disincentives to achieve desired policy outcomes;  </w:t>
            </w:r>
          </w:p>
          <w:p w:rsidR="005B1AFF" w:rsidRDefault="005B1AFF" w:rsidP="00E65120">
            <w:pPr>
              <w:pStyle w:val="ListBullet"/>
              <w:numPr>
                <w:ilvl w:val="0"/>
                <w:numId w:val="12"/>
              </w:numPr>
              <w:spacing w:after="0" w:line="240" w:lineRule="auto"/>
              <w:rPr>
                <w:rFonts w:cs="Arial"/>
              </w:rPr>
            </w:pPr>
            <w:r w:rsidRPr="007D71B7">
              <w:rPr>
                <w:rFonts w:cs="Arial"/>
              </w:rPr>
              <w:t>provide flexibility in the legislation for the Department to adopt the most cost effective regulatory approach in each case;</w:t>
            </w:r>
          </w:p>
          <w:p w:rsidR="005B1AFF" w:rsidRDefault="005B1AFF" w:rsidP="00E65120">
            <w:pPr>
              <w:pStyle w:val="ListBullet"/>
              <w:numPr>
                <w:ilvl w:val="0"/>
                <w:numId w:val="12"/>
              </w:numPr>
              <w:spacing w:after="0" w:line="240" w:lineRule="auto"/>
              <w:rPr>
                <w:rFonts w:cs="Arial"/>
              </w:rPr>
            </w:pPr>
            <w:r w:rsidRPr="007D71B7">
              <w:rPr>
                <w:rFonts w:cs="Arial"/>
              </w:rPr>
              <w:lastRenderedPageBreak/>
              <w:t>make greater use of regulations and other subordinate instruments to set out the detailed requirements. This can provide more flexibility of approaches to solve problems as it can be amended more readily to respond to new technology or information and changes in Government policy and priorities.</w:t>
            </w:r>
          </w:p>
          <w:p w:rsidR="005B1AFF" w:rsidRPr="003A007F" w:rsidRDefault="005B1AFF" w:rsidP="005B1AFF">
            <w:pPr>
              <w:pStyle w:val="ListBullet"/>
              <w:numPr>
                <w:ilvl w:val="0"/>
                <w:numId w:val="0"/>
              </w:numPr>
              <w:spacing w:after="0" w:line="240" w:lineRule="auto"/>
              <w:ind w:left="765"/>
              <w:rPr>
                <w:rFonts w:cs="Arial"/>
              </w:rPr>
            </w:pPr>
          </w:p>
          <w:p w:rsidR="005B1AFF" w:rsidRPr="007D71B7" w:rsidRDefault="005B1AFF" w:rsidP="005B1AFF">
            <w:pPr>
              <w:pStyle w:val="ListBullet"/>
              <w:numPr>
                <w:ilvl w:val="0"/>
                <w:numId w:val="0"/>
              </w:numPr>
              <w:spacing w:after="120"/>
              <w:rPr>
                <w:rFonts w:cs="Arial"/>
              </w:rPr>
            </w:pPr>
            <w:r>
              <w:rPr>
                <w:rFonts w:cs="Arial"/>
              </w:rPr>
              <w:t>T</w:t>
            </w:r>
            <w:r w:rsidRPr="007D71B7">
              <w:rPr>
                <w:rFonts w:cs="Arial"/>
              </w:rPr>
              <w:t xml:space="preserve">he Department should </w:t>
            </w:r>
            <w:r>
              <w:rPr>
                <w:rFonts w:cs="Arial"/>
              </w:rPr>
              <w:t>expand the problem-solving working groups established in ESD to</w:t>
            </w:r>
            <w:r w:rsidRPr="007D71B7">
              <w:rPr>
                <w:rFonts w:cs="Arial"/>
              </w:rPr>
              <w:t xml:space="preserve"> cross-divisional working group</w:t>
            </w:r>
            <w:r>
              <w:rPr>
                <w:rFonts w:cs="Arial"/>
              </w:rPr>
              <w:t>s</w:t>
            </w:r>
            <w:r w:rsidRPr="007D71B7">
              <w:rPr>
                <w:rFonts w:cs="Arial"/>
              </w:rPr>
              <w:t xml:space="preserve">, </w:t>
            </w:r>
            <w:r w:rsidR="00E82806">
              <w:rPr>
                <w:rFonts w:cs="Arial"/>
              </w:rPr>
              <w:t>coordinated</w:t>
            </w:r>
            <w:r w:rsidR="00E82806" w:rsidRPr="007D71B7">
              <w:rPr>
                <w:rFonts w:cs="Arial"/>
              </w:rPr>
              <w:t xml:space="preserve"> </w:t>
            </w:r>
            <w:r w:rsidRPr="007D71B7">
              <w:rPr>
                <w:rFonts w:cs="Arial"/>
              </w:rPr>
              <w:t>by an SES officer, to explore innovative approaches to achieve desired legislative outcomes</w:t>
            </w:r>
            <w:r>
              <w:rPr>
                <w:rFonts w:cs="Arial"/>
              </w:rPr>
              <w:t>. These working groups should be multi-disciplinary and strive to analyse problems and devise creative and effective solutions. These groups</w:t>
            </w:r>
            <w:r w:rsidRPr="007D71B7">
              <w:rPr>
                <w:rFonts w:cs="Arial"/>
              </w:rPr>
              <w:t xml:space="preserve"> should:</w:t>
            </w:r>
          </w:p>
          <w:p w:rsidR="005B1AFF" w:rsidRPr="007D71B7" w:rsidRDefault="005B1AFF" w:rsidP="00E65120">
            <w:pPr>
              <w:pStyle w:val="ListBullet"/>
              <w:numPr>
                <w:ilvl w:val="0"/>
                <w:numId w:val="11"/>
              </w:numPr>
              <w:spacing w:after="0" w:line="240" w:lineRule="auto"/>
              <w:rPr>
                <w:rFonts w:cs="Arial"/>
              </w:rPr>
            </w:pPr>
            <w:r w:rsidRPr="007D71B7">
              <w:rPr>
                <w:rFonts w:cs="Arial"/>
              </w:rPr>
              <w:t>be limited to the scope of the current legislation; and</w:t>
            </w:r>
          </w:p>
          <w:p w:rsidR="005B1AFF" w:rsidRPr="007D71B7" w:rsidRDefault="005B1AFF" w:rsidP="00E65120">
            <w:pPr>
              <w:pStyle w:val="ListBullet"/>
              <w:numPr>
                <w:ilvl w:val="0"/>
                <w:numId w:val="11"/>
              </w:numPr>
              <w:spacing w:after="0" w:line="240" w:lineRule="auto"/>
              <w:rPr>
                <w:rFonts w:cs="Arial"/>
              </w:rPr>
            </w:pPr>
            <w:r w:rsidRPr="007D71B7">
              <w:rPr>
                <w:rFonts w:cs="Arial"/>
              </w:rPr>
              <w:t xml:space="preserve">not be limited to compliance and enforcement, but include upfront incentives and disincentives.  </w:t>
            </w:r>
          </w:p>
          <w:p w:rsidR="005B1AFF" w:rsidRPr="007D71B7" w:rsidRDefault="005B1AFF" w:rsidP="005B1AFF">
            <w:pPr>
              <w:contextualSpacing/>
              <w:rPr>
                <w:rFonts w:cs="Arial"/>
              </w:rPr>
            </w:pPr>
          </w:p>
          <w:p w:rsidR="005B1AFF" w:rsidRPr="005B1AFF" w:rsidRDefault="005B1AFF" w:rsidP="00CD0707">
            <w:r w:rsidRPr="007D71B7">
              <w:rPr>
                <w:rFonts w:cs="Arial"/>
              </w:rPr>
              <w:t>Th</w:t>
            </w:r>
            <w:r>
              <w:rPr>
                <w:rFonts w:cs="Arial"/>
              </w:rPr>
              <w:t>e Senior Executive should build-</w:t>
            </w:r>
            <w:r w:rsidRPr="007D71B7">
              <w:rPr>
                <w:rFonts w:cs="Arial"/>
              </w:rPr>
              <w:t>in resources and time to properly analyse regulatory probl</w:t>
            </w:r>
            <w:r>
              <w:rPr>
                <w:rFonts w:cs="Arial"/>
              </w:rPr>
              <w:t>ems and explore innovative cost-</w:t>
            </w:r>
            <w:r w:rsidRPr="007D71B7">
              <w:rPr>
                <w:rFonts w:cs="Arial"/>
              </w:rPr>
              <w:t>effective responses.</w:t>
            </w:r>
          </w:p>
        </w:tc>
      </w:tr>
    </w:tbl>
    <w:p w:rsidR="007649EB" w:rsidRDefault="007649EB" w:rsidP="00E01832">
      <w:pPr>
        <w:pStyle w:val="Heading1"/>
        <w:spacing w:after="120"/>
        <w:rPr>
          <w:caps w:val="0"/>
          <w:color w:val="0B5294" w:themeColor="accent1" w:themeShade="BF"/>
          <w:sz w:val="24"/>
          <w:szCs w:val="24"/>
        </w:rPr>
      </w:pPr>
    </w:p>
    <w:p w:rsidR="003A007F" w:rsidRPr="0042419C" w:rsidRDefault="003A007F" w:rsidP="00E01832">
      <w:pPr>
        <w:pStyle w:val="Heading1"/>
        <w:spacing w:after="120"/>
        <w:rPr>
          <w:caps w:val="0"/>
          <w:color w:val="0B5294" w:themeColor="accent1" w:themeShade="BF"/>
          <w:sz w:val="24"/>
          <w:szCs w:val="24"/>
        </w:rPr>
      </w:pPr>
      <w:bookmarkStart w:id="23" w:name="_Toc443405160"/>
      <w:r w:rsidRPr="0042419C">
        <w:rPr>
          <w:caps w:val="0"/>
          <w:color w:val="0B5294" w:themeColor="accent1" w:themeShade="BF"/>
          <w:sz w:val="24"/>
          <w:szCs w:val="24"/>
        </w:rPr>
        <w:t>Compliance and Enforcement</w:t>
      </w:r>
      <w:bookmarkEnd w:id="23"/>
    </w:p>
    <w:p w:rsidR="003A007F" w:rsidRDefault="003A007F" w:rsidP="003A007F">
      <w:pPr>
        <w:pStyle w:val="ListBullet"/>
        <w:numPr>
          <w:ilvl w:val="0"/>
          <w:numId w:val="0"/>
        </w:numPr>
        <w:rPr>
          <w:rFonts w:cs="Arial"/>
        </w:rPr>
      </w:pPr>
      <w:r>
        <w:rPr>
          <w:rFonts w:cs="Arial"/>
        </w:rPr>
        <w:t>Effective compliance</w:t>
      </w:r>
      <w:r w:rsidR="00F53B67">
        <w:rPr>
          <w:rFonts w:cs="Arial"/>
        </w:rPr>
        <w:t xml:space="preserve"> and enforcement</w:t>
      </w:r>
      <w:r>
        <w:rPr>
          <w:rFonts w:cs="Arial"/>
        </w:rPr>
        <w:t xml:space="preserve"> is an important component of regulation</w:t>
      </w:r>
      <w:r w:rsidR="00E82806">
        <w:rPr>
          <w:rFonts w:cs="Arial"/>
        </w:rPr>
        <w:t xml:space="preserve">. When </w:t>
      </w:r>
      <w:r w:rsidR="00F53B67">
        <w:rPr>
          <w:rFonts w:cs="Arial"/>
        </w:rPr>
        <w:t>enforced consistently</w:t>
      </w:r>
      <w:r w:rsidR="00E82806">
        <w:rPr>
          <w:rFonts w:cs="Arial"/>
        </w:rPr>
        <w:t xml:space="preserve">, </w:t>
      </w:r>
      <w:r w:rsidR="00F53B67">
        <w:rPr>
          <w:rFonts w:cs="Arial"/>
        </w:rPr>
        <w:t>regulation</w:t>
      </w:r>
      <w:r w:rsidR="00E82806">
        <w:rPr>
          <w:rFonts w:cs="Arial"/>
        </w:rPr>
        <w:t xml:space="preserve"> generates certainty for industry and the broader public, and </w:t>
      </w:r>
      <w:r w:rsidR="00F53B67">
        <w:rPr>
          <w:rFonts w:cs="Arial"/>
        </w:rPr>
        <w:t>creates a level playing field.</w:t>
      </w:r>
      <w:r>
        <w:rPr>
          <w:rStyle w:val="FootnoteReference"/>
          <w:rFonts w:cs="Arial"/>
        </w:rPr>
        <w:footnoteReference w:id="19"/>
      </w:r>
      <w:r>
        <w:rPr>
          <w:rFonts w:cs="Arial"/>
        </w:rPr>
        <w:t xml:space="preserve">  </w:t>
      </w:r>
      <w:r w:rsidR="00F53B67">
        <w:rPr>
          <w:rFonts w:cs="Arial"/>
        </w:rPr>
        <w:t xml:space="preserve">Best practice </w:t>
      </w:r>
      <w:r>
        <w:rPr>
          <w:rFonts w:cs="Arial"/>
        </w:rPr>
        <w:t xml:space="preserve">regulators understand that there are significant challenges in achieving compliance with regulation while simultaneously reducing unnecessary burden on both the agency and the regulated entities. </w:t>
      </w:r>
    </w:p>
    <w:p w:rsidR="003A007F" w:rsidRDefault="003A007F" w:rsidP="003A007F">
      <w:pPr>
        <w:pStyle w:val="ListBullet"/>
        <w:numPr>
          <w:ilvl w:val="0"/>
          <w:numId w:val="0"/>
        </w:numPr>
        <w:rPr>
          <w:rFonts w:cs="Arial"/>
        </w:rPr>
      </w:pPr>
      <w:r>
        <w:rPr>
          <w:rFonts w:cs="Arial"/>
        </w:rPr>
        <w:t>Best practice regulatory compliance and enforcement principles include:</w:t>
      </w:r>
    </w:p>
    <w:p w:rsidR="003A007F" w:rsidRDefault="003A007F" w:rsidP="00E01832">
      <w:pPr>
        <w:pStyle w:val="ListParagraph"/>
        <w:numPr>
          <w:ilvl w:val="0"/>
          <w:numId w:val="7"/>
        </w:numPr>
        <w:spacing w:after="0"/>
        <w:ind w:left="360"/>
        <w:contextualSpacing/>
        <w:rPr>
          <w:rFonts w:cs="Arial"/>
        </w:rPr>
      </w:pPr>
      <w:r>
        <w:rPr>
          <w:rFonts w:cs="Arial"/>
        </w:rPr>
        <w:t xml:space="preserve">compliance activities are responsive and consider the profile and behaviour of specific businesses and industries; </w:t>
      </w:r>
    </w:p>
    <w:p w:rsidR="003A007F" w:rsidRDefault="003A007F" w:rsidP="00E01832">
      <w:pPr>
        <w:pStyle w:val="ListParagraph"/>
        <w:numPr>
          <w:ilvl w:val="0"/>
          <w:numId w:val="7"/>
        </w:numPr>
        <w:spacing w:after="0"/>
        <w:ind w:left="360"/>
        <w:contextualSpacing/>
        <w:rPr>
          <w:rFonts w:cs="Arial"/>
        </w:rPr>
      </w:pPr>
      <w:r>
        <w:rPr>
          <w:rFonts w:cs="Arial"/>
        </w:rPr>
        <w:t>inspections and enforcement activities are evidence-based, risk</w:t>
      </w:r>
      <w:r w:rsidR="00CC738F">
        <w:rPr>
          <w:rFonts w:cs="Arial"/>
        </w:rPr>
        <w:t>-</w:t>
      </w:r>
      <w:r>
        <w:rPr>
          <w:rFonts w:cs="Arial"/>
        </w:rPr>
        <w:t>based and proportionate;</w:t>
      </w:r>
    </w:p>
    <w:p w:rsidR="003A007F" w:rsidRPr="00216227" w:rsidRDefault="003A007F" w:rsidP="00E01832">
      <w:pPr>
        <w:pStyle w:val="ListParagraph"/>
        <w:numPr>
          <w:ilvl w:val="0"/>
          <w:numId w:val="7"/>
        </w:numPr>
        <w:spacing w:after="0"/>
        <w:ind w:left="360"/>
        <w:contextualSpacing/>
        <w:rPr>
          <w:rFonts w:cs="Arial"/>
        </w:rPr>
      </w:pPr>
      <w:r w:rsidRPr="00216227">
        <w:rPr>
          <w:rFonts w:cs="Arial"/>
        </w:rPr>
        <w:t xml:space="preserve">inspections are coordinated and consolidated to reduce duplication and increase cost-effectiveness; </w:t>
      </w:r>
    </w:p>
    <w:p w:rsidR="003A007F" w:rsidRDefault="003A007F" w:rsidP="00E01832">
      <w:pPr>
        <w:pStyle w:val="ListParagraph"/>
        <w:numPr>
          <w:ilvl w:val="0"/>
          <w:numId w:val="7"/>
        </w:numPr>
        <w:spacing w:after="0"/>
        <w:ind w:left="360"/>
        <w:contextualSpacing/>
        <w:rPr>
          <w:rFonts w:cs="Arial"/>
        </w:rPr>
      </w:pPr>
      <w:r>
        <w:rPr>
          <w:rFonts w:cs="Arial"/>
        </w:rPr>
        <w:t xml:space="preserve">regulatory strategies, risk assessments and compliance plans are informed by robust data and information, which is collected and shared with other appropriate regulators; </w:t>
      </w:r>
    </w:p>
    <w:p w:rsidR="003A007F" w:rsidRDefault="003A007F" w:rsidP="00E01832">
      <w:pPr>
        <w:pStyle w:val="ListParagraph"/>
        <w:numPr>
          <w:ilvl w:val="0"/>
          <w:numId w:val="7"/>
        </w:numPr>
        <w:spacing w:after="0"/>
        <w:ind w:left="360"/>
        <w:contextualSpacing/>
        <w:rPr>
          <w:rFonts w:cs="Arial"/>
        </w:rPr>
      </w:pPr>
      <w:r>
        <w:rPr>
          <w:rFonts w:cs="Arial"/>
        </w:rPr>
        <w:t>the regulator is transparent and fair and clearly articulates rights and obligations for officials and regulated entities;</w:t>
      </w:r>
    </w:p>
    <w:p w:rsidR="008A3FE0" w:rsidRDefault="003A007F" w:rsidP="00E01832">
      <w:pPr>
        <w:pStyle w:val="ListParagraph"/>
        <w:numPr>
          <w:ilvl w:val="0"/>
          <w:numId w:val="7"/>
        </w:numPr>
        <w:spacing w:after="0"/>
        <w:ind w:left="360"/>
        <w:contextualSpacing/>
        <w:rPr>
          <w:rFonts w:cs="Arial"/>
        </w:rPr>
      </w:pPr>
      <w:r>
        <w:rPr>
          <w:rFonts w:cs="Arial"/>
        </w:rPr>
        <w:t>the regulated community is supported through the availability of guidance, toolkits and checklists for regulated entities.</w:t>
      </w:r>
    </w:p>
    <w:p w:rsidR="00AD5A35" w:rsidRPr="00AD5A35" w:rsidRDefault="00AD5A35" w:rsidP="00AD5A35">
      <w:pPr>
        <w:pStyle w:val="ListParagraph"/>
        <w:numPr>
          <w:ilvl w:val="0"/>
          <w:numId w:val="0"/>
        </w:numPr>
        <w:spacing w:after="0" w:line="240" w:lineRule="auto"/>
        <w:ind w:left="360"/>
        <w:contextualSpacing/>
        <w:rPr>
          <w:rFonts w:cs="Arial"/>
        </w:rPr>
      </w:pPr>
    </w:p>
    <w:p w:rsidR="003A007F" w:rsidRDefault="003A007F" w:rsidP="003A007F">
      <w:pPr>
        <w:pStyle w:val="ListBullet"/>
        <w:numPr>
          <w:ilvl w:val="0"/>
          <w:numId w:val="0"/>
        </w:numPr>
        <w:rPr>
          <w:rFonts w:cs="Arial"/>
        </w:rPr>
      </w:pPr>
      <w:r>
        <w:rPr>
          <w:rFonts w:cs="Arial"/>
        </w:rPr>
        <w:t>A</w:t>
      </w:r>
      <w:r w:rsidRPr="00B9575D">
        <w:rPr>
          <w:rFonts w:cs="Arial"/>
        </w:rPr>
        <w:t xml:space="preserve"> </w:t>
      </w:r>
      <w:r w:rsidR="00F53B67">
        <w:rPr>
          <w:rFonts w:cs="Arial"/>
        </w:rPr>
        <w:t>best practice</w:t>
      </w:r>
      <w:r w:rsidR="00F53B67" w:rsidRPr="00B9575D">
        <w:rPr>
          <w:rFonts w:cs="Arial"/>
        </w:rPr>
        <w:t xml:space="preserve"> </w:t>
      </w:r>
      <w:r w:rsidRPr="00B9575D">
        <w:rPr>
          <w:rFonts w:cs="Arial"/>
        </w:rPr>
        <w:t>regul</w:t>
      </w:r>
      <w:r>
        <w:rPr>
          <w:rFonts w:cs="Arial"/>
        </w:rPr>
        <w:t>ator continually builds its tool</w:t>
      </w:r>
      <w:r w:rsidRPr="00B9575D">
        <w:rPr>
          <w:rFonts w:cs="Arial"/>
        </w:rPr>
        <w:t xml:space="preserve">kit of </w:t>
      </w:r>
      <w:r>
        <w:rPr>
          <w:rFonts w:cs="Arial"/>
        </w:rPr>
        <w:t>compliance</w:t>
      </w:r>
      <w:r w:rsidRPr="00B9575D">
        <w:rPr>
          <w:rFonts w:cs="Arial"/>
        </w:rPr>
        <w:t xml:space="preserve"> responses, and consciously chooses the most</w:t>
      </w:r>
      <w:r>
        <w:rPr>
          <w:rFonts w:cs="Arial"/>
        </w:rPr>
        <w:t xml:space="preserve"> appropriate and </w:t>
      </w:r>
      <w:r w:rsidRPr="00B9575D">
        <w:rPr>
          <w:rFonts w:cs="Arial"/>
        </w:rPr>
        <w:t>effective tool</w:t>
      </w:r>
      <w:r w:rsidR="00F53B67">
        <w:rPr>
          <w:rFonts w:cs="Arial"/>
        </w:rPr>
        <w:t xml:space="preserve"> to address a particular issue</w:t>
      </w:r>
      <w:r>
        <w:rPr>
          <w:rFonts w:cs="Arial"/>
        </w:rPr>
        <w:t xml:space="preserve">. </w:t>
      </w:r>
      <w:r w:rsidR="00F53B67">
        <w:rPr>
          <w:rFonts w:cs="Arial"/>
        </w:rPr>
        <w:t>Modern c</w:t>
      </w:r>
      <w:r>
        <w:rPr>
          <w:rFonts w:cs="Arial"/>
        </w:rPr>
        <w:t>ompliance responses include restorative justice tools, public accountability (e.g. name and shame), and administrative</w:t>
      </w:r>
      <w:r w:rsidR="00A6701B">
        <w:rPr>
          <w:rFonts w:cs="Arial"/>
        </w:rPr>
        <w:t xml:space="preserve"> or </w:t>
      </w:r>
      <w:r>
        <w:rPr>
          <w:rFonts w:cs="Arial"/>
        </w:rPr>
        <w:t>civil tools such as orders, agreements, contracts and undertakings</w:t>
      </w:r>
      <w:r w:rsidR="00F53B67">
        <w:rPr>
          <w:rFonts w:cs="Arial"/>
        </w:rPr>
        <w:t>. An</w:t>
      </w:r>
      <w:r>
        <w:rPr>
          <w:rFonts w:cs="Arial"/>
        </w:rPr>
        <w:t xml:space="preserve"> indicative list of compliance tools is at </w:t>
      </w:r>
      <w:r w:rsidR="00093323" w:rsidRPr="00695372">
        <w:rPr>
          <w:rFonts w:cs="Arial"/>
          <w:b/>
        </w:rPr>
        <w:t>Appendix 4</w:t>
      </w:r>
      <w:r w:rsidRPr="00695372">
        <w:rPr>
          <w:rFonts w:cs="Arial"/>
          <w:b/>
        </w:rPr>
        <w:t>.</w:t>
      </w:r>
      <w:r>
        <w:rPr>
          <w:rFonts w:cs="Arial"/>
        </w:rPr>
        <w:t xml:space="preserve"> </w:t>
      </w:r>
    </w:p>
    <w:p w:rsidR="003A007F" w:rsidRDefault="003A007F" w:rsidP="003A007F">
      <w:pPr>
        <w:pStyle w:val="ListBullet"/>
        <w:numPr>
          <w:ilvl w:val="0"/>
          <w:numId w:val="0"/>
        </w:numPr>
        <w:rPr>
          <w:rFonts w:cs="Arial"/>
        </w:rPr>
      </w:pPr>
      <w:r>
        <w:rPr>
          <w:rFonts w:cs="Arial"/>
        </w:rPr>
        <w:t xml:space="preserve">Best practice regulators </w:t>
      </w:r>
      <w:r w:rsidR="00E9342C">
        <w:rPr>
          <w:rFonts w:cs="Arial"/>
        </w:rPr>
        <w:t>undertake a</w:t>
      </w:r>
      <w:r>
        <w:rPr>
          <w:rFonts w:cs="Arial"/>
        </w:rPr>
        <w:t xml:space="preserve"> range of activities </w:t>
      </w:r>
      <w:r w:rsidR="00E9342C">
        <w:rPr>
          <w:rFonts w:cs="Arial"/>
        </w:rPr>
        <w:t xml:space="preserve">to </w:t>
      </w:r>
      <w:r>
        <w:rPr>
          <w:rFonts w:cs="Arial"/>
        </w:rPr>
        <w:t>monitor</w:t>
      </w:r>
      <w:r w:rsidR="00E9342C">
        <w:rPr>
          <w:rFonts w:cs="Arial"/>
        </w:rPr>
        <w:t xml:space="preserve"> compliance with,</w:t>
      </w:r>
      <w:r>
        <w:rPr>
          <w:rFonts w:cs="Arial"/>
        </w:rPr>
        <w:t xml:space="preserve"> and </w:t>
      </w:r>
      <w:r w:rsidR="008A3FE0">
        <w:rPr>
          <w:rFonts w:cs="Arial"/>
        </w:rPr>
        <w:t>enforc</w:t>
      </w:r>
      <w:r w:rsidR="00E9342C">
        <w:rPr>
          <w:rFonts w:cs="Arial"/>
        </w:rPr>
        <w:t>e,</w:t>
      </w:r>
      <w:r>
        <w:rPr>
          <w:rFonts w:cs="Arial"/>
        </w:rPr>
        <w:t xml:space="preserve"> </w:t>
      </w:r>
      <w:r w:rsidR="00E9342C">
        <w:rPr>
          <w:rFonts w:cs="Arial"/>
        </w:rPr>
        <w:t>legislation</w:t>
      </w:r>
      <w:r>
        <w:rPr>
          <w:rFonts w:cs="Arial"/>
        </w:rPr>
        <w:t xml:space="preserve">. </w:t>
      </w:r>
      <w:r w:rsidR="00E9342C">
        <w:rPr>
          <w:rFonts w:cs="Arial"/>
        </w:rPr>
        <w:t>Best practice regulators have</w:t>
      </w:r>
      <w:r>
        <w:rPr>
          <w:rFonts w:cs="Arial"/>
        </w:rPr>
        <w:t xml:space="preserve"> compliance </w:t>
      </w:r>
      <w:r w:rsidR="00E3593E">
        <w:rPr>
          <w:rFonts w:cs="Arial"/>
        </w:rPr>
        <w:t>program</w:t>
      </w:r>
      <w:r w:rsidR="00E9342C">
        <w:rPr>
          <w:rFonts w:cs="Arial"/>
        </w:rPr>
        <w:t>s</w:t>
      </w:r>
      <w:r>
        <w:rPr>
          <w:rFonts w:cs="Arial"/>
        </w:rPr>
        <w:t xml:space="preserve"> that account for both high and low risk incidents</w:t>
      </w:r>
      <w:r w:rsidR="00440F2B">
        <w:rPr>
          <w:rFonts w:cs="Arial"/>
        </w:rPr>
        <w:t xml:space="preserve"> and </w:t>
      </w:r>
      <w:r>
        <w:rPr>
          <w:rFonts w:cs="Arial"/>
        </w:rPr>
        <w:t xml:space="preserve">entities, target </w:t>
      </w:r>
      <w:r w:rsidR="008A3FE0">
        <w:rPr>
          <w:rFonts w:cs="Arial"/>
        </w:rPr>
        <w:t>industry</w:t>
      </w:r>
      <w:r>
        <w:rPr>
          <w:rFonts w:cs="Arial"/>
        </w:rPr>
        <w:t xml:space="preserve"> sectors and geographic areas</w:t>
      </w:r>
      <w:r w:rsidR="00E9342C">
        <w:rPr>
          <w:rFonts w:cs="Arial"/>
        </w:rPr>
        <w:t>,</w:t>
      </w:r>
      <w:r>
        <w:rPr>
          <w:rFonts w:cs="Arial"/>
        </w:rPr>
        <w:t xml:space="preserve"> and </w:t>
      </w:r>
      <w:r>
        <w:rPr>
          <w:rFonts w:cs="Arial"/>
        </w:rPr>
        <w:lastRenderedPageBreak/>
        <w:t xml:space="preserve">undertake both scheduled and unscheduled inspections. </w:t>
      </w:r>
      <w:r w:rsidR="00E9342C">
        <w:rPr>
          <w:rFonts w:cs="Arial"/>
        </w:rPr>
        <w:t xml:space="preserve">Best practice regulators also publish the details of </w:t>
      </w:r>
      <w:r>
        <w:rPr>
          <w:rFonts w:cs="Arial"/>
        </w:rPr>
        <w:t xml:space="preserve">planned inspections and the results of audits </w:t>
      </w:r>
      <w:r w:rsidR="00E9342C">
        <w:rPr>
          <w:rFonts w:cs="Arial"/>
        </w:rPr>
        <w:t xml:space="preserve">to </w:t>
      </w:r>
      <w:r>
        <w:rPr>
          <w:rFonts w:cs="Arial"/>
        </w:rPr>
        <w:t xml:space="preserve">increase transparency and encourage ‘self-checks’ by regulated </w:t>
      </w:r>
      <w:r w:rsidR="008A3FE0">
        <w:rPr>
          <w:rFonts w:cs="Arial"/>
        </w:rPr>
        <w:t>entities</w:t>
      </w:r>
      <w:r>
        <w:rPr>
          <w:rFonts w:cs="Arial"/>
        </w:rPr>
        <w:t xml:space="preserve">. </w:t>
      </w:r>
      <w:r w:rsidR="008A3FE0">
        <w:rPr>
          <w:rFonts w:cs="Arial"/>
        </w:rPr>
        <w:t>Targeted</w:t>
      </w:r>
      <w:r>
        <w:rPr>
          <w:rFonts w:cs="Arial"/>
        </w:rPr>
        <w:t xml:space="preserve"> audits and/or studies of regulated communities </w:t>
      </w:r>
      <w:r w:rsidR="00E9342C">
        <w:rPr>
          <w:rFonts w:cs="Arial"/>
        </w:rPr>
        <w:t xml:space="preserve">are </w:t>
      </w:r>
      <w:r>
        <w:rPr>
          <w:rFonts w:cs="Arial"/>
        </w:rPr>
        <w:t>also</w:t>
      </w:r>
      <w:r w:rsidR="00E9342C">
        <w:rPr>
          <w:rFonts w:cs="Arial"/>
        </w:rPr>
        <w:t xml:space="preserve"> often used by best practice regulators to</w:t>
      </w:r>
      <w:r>
        <w:rPr>
          <w:rFonts w:cs="Arial"/>
        </w:rPr>
        <w:t xml:space="preserve"> assess the effectiveness of a regime while also increasing awareness of obligations.</w:t>
      </w:r>
      <w:r w:rsidR="00E27F7D">
        <w:rPr>
          <w:rFonts w:cs="Arial"/>
        </w:rPr>
        <w:t xml:space="preserve"> Best practice regulators also undertake unannounced compliance inspections to deter non-compliance and maintain regulatory credibility. </w:t>
      </w:r>
    </w:p>
    <w:p w:rsidR="003A007F" w:rsidRDefault="00E9342C" w:rsidP="008A3FE0">
      <w:pPr>
        <w:rPr>
          <w:rFonts w:cs="Arial"/>
        </w:rPr>
      </w:pPr>
      <w:r>
        <w:rPr>
          <w:rFonts w:cs="Arial"/>
        </w:rPr>
        <w:t>The Project found that EPG</w:t>
      </w:r>
      <w:r w:rsidR="003A007F">
        <w:rPr>
          <w:rFonts w:cs="Arial"/>
        </w:rPr>
        <w:t xml:space="preserve"> does not have an up to date, comprehensive and consistent compliance and enforcement strategy which covers all</w:t>
      </w:r>
      <w:r>
        <w:rPr>
          <w:rFonts w:cs="Arial"/>
        </w:rPr>
        <w:t xml:space="preserve"> of its</w:t>
      </w:r>
      <w:r w:rsidR="003A007F">
        <w:rPr>
          <w:rFonts w:cs="Arial"/>
        </w:rPr>
        <w:t xml:space="preserve"> regulatory activities. The Department’s overarching </w:t>
      </w:r>
      <w:r w:rsidR="003A007F" w:rsidRPr="00C32C54">
        <w:rPr>
          <w:rFonts w:cs="Arial"/>
          <w:i/>
        </w:rPr>
        <w:t>Compliance and Enforcement Policy</w:t>
      </w:r>
      <w:r w:rsidR="003A007F">
        <w:rPr>
          <w:rFonts w:cs="Arial"/>
        </w:rPr>
        <w:t xml:space="preserve"> was last substantively updated in December 2009</w:t>
      </w:r>
      <w:r w:rsidR="00257779">
        <w:rPr>
          <w:rFonts w:cs="Arial"/>
        </w:rPr>
        <w:t>, although s</w:t>
      </w:r>
      <w:r w:rsidR="003A007F">
        <w:rPr>
          <w:rFonts w:cs="Arial"/>
        </w:rPr>
        <w:t xml:space="preserve">ome areas have more recent policies, such as the </w:t>
      </w:r>
      <w:r w:rsidR="003A007F">
        <w:rPr>
          <w:rFonts w:cs="Arial"/>
          <w:i/>
        </w:rPr>
        <w:t>EPBC Act</w:t>
      </w:r>
      <w:r w:rsidR="003A007F" w:rsidRPr="00AC3C1C">
        <w:rPr>
          <w:rFonts w:cs="Arial"/>
          <w:i/>
        </w:rPr>
        <w:t xml:space="preserve"> Compliance and Enforcement Policy</w:t>
      </w:r>
      <w:r w:rsidR="003A007F">
        <w:rPr>
          <w:rFonts w:cs="Arial"/>
        </w:rPr>
        <w:t xml:space="preserve"> (2013). </w:t>
      </w:r>
      <w:r w:rsidR="003A007F" w:rsidRPr="00B9575D">
        <w:rPr>
          <w:rFonts w:cs="Arial"/>
        </w:rPr>
        <w:t xml:space="preserve">Some </w:t>
      </w:r>
      <w:r w:rsidR="003A007F">
        <w:rPr>
          <w:rFonts w:cs="Arial"/>
        </w:rPr>
        <w:t>external stakeholders</w:t>
      </w:r>
      <w:r w:rsidR="003A007F" w:rsidRPr="00B9575D">
        <w:rPr>
          <w:rFonts w:cs="Arial"/>
        </w:rPr>
        <w:t xml:space="preserve"> </w:t>
      </w:r>
      <w:r w:rsidR="003A007F">
        <w:rPr>
          <w:rFonts w:cs="Arial"/>
        </w:rPr>
        <w:t>expressed frustration at what they perceived to be a lack of consistency in compliance and enforcement actions. Stakeholders did not understand the reasons why some enforcement action</w:t>
      </w:r>
      <w:r w:rsidR="0084036E">
        <w:rPr>
          <w:rFonts w:cs="Arial"/>
        </w:rPr>
        <w:t>s</w:t>
      </w:r>
      <w:r w:rsidR="003A007F">
        <w:rPr>
          <w:rFonts w:cs="Arial"/>
        </w:rPr>
        <w:t xml:space="preserve"> (e.g. a prosecution) was or was not taken. </w:t>
      </w:r>
      <w:r w:rsidR="00180FC5">
        <w:rPr>
          <w:rFonts w:cs="Arial"/>
        </w:rPr>
        <w:t>Staff do not have a clear framework for explaining how the Department makes choices about compliance and enforcement activities. Given the politicly charged environment the Department is operating in, t</w:t>
      </w:r>
      <w:r w:rsidR="003A007F" w:rsidRPr="00B9575D">
        <w:rPr>
          <w:rFonts w:cs="Arial"/>
        </w:rPr>
        <w:t xml:space="preserve">his </w:t>
      </w:r>
      <w:r w:rsidR="003A007F">
        <w:rPr>
          <w:rFonts w:cs="Arial"/>
        </w:rPr>
        <w:t>can</w:t>
      </w:r>
      <w:r w:rsidR="003A007F" w:rsidRPr="00B9575D">
        <w:rPr>
          <w:rFonts w:cs="Arial"/>
        </w:rPr>
        <w:t xml:space="preserve"> </w:t>
      </w:r>
      <w:r w:rsidR="003A007F">
        <w:rPr>
          <w:rFonts w:cs="Arial"/>
        </w:rPr>
        <w:t>lead</w:t>
      </w:r>
      <w:r w:rsidR="003A007F" w:rsidRPr="00B9575D">
        <w:rPr>
          <w:rFonts w:cs="Arial"/>
        </w:rPr>
        <w:t xml:space="preserve"> to a lack of trust in the Department’s mandate and </w:t>
      </w:r>
      <w:r w:rsidR="0084036E">
        <w:rPr>
          <w:rFonts w:cs="Arial"/>
        </w:rPr>
        <w:t xml:space="preserve">may </w:t>
      </w:r>
      <w:r w:rsidR="003A007F" w:rsidRPr="00B9575D">
        <w:rPr>
          <w:rFonts w:cs="Arial"/>
        </w:rPr>
        <w:t>encourag</w:t>
      </w:r>
      <w:r w:rsidR="0084036E">
        <w:rPr>
          <w:rFonts w:cs="Arial"/>
        </w:rPr>
        <w:t>e</w:t>
      </w:r>
      <w:r w:rsidR="003A007F" w:rsidRPr="00B9575D">
        <w:rPr>
          <w:rFonts w:cs="Arial"/>
        </w:rPr>
        <w:t xml:space="preserve"> </w:t>
      </w:r>
      <w:r w:rsidR="003A007F">
        <w:rPr>
          <w:rFonts w:cs="Arial"/>
        </w:rPr>
        <w:t>instances</w:t>
      </w:r>
      <w:r w:rsidR="003A007F" w:rsidRPr="00B9575D">
        <w:rPr>
          <w:rFonts w:cs="Arial"/>
        </w:rPr>
        <w:t xml:space="preserve"> of non-compliance due to a</w:t>
      </w:r>
      <w:r w:rsidR="003A007F">
        <w:rPr>
          <w:rFonts w:cs="Arial"/>
        </w:rPr>
        <w:t xml:space="preserve"> perceived</w:t>
      </w:r>
      <w:r w:rsidR="003A007F" w:rsidRPr="00B9575D">
        <w:rPr>
          <w:rFonts w:cs="Arial"/>
        </w:rPr>
        <w:t xml:space="preserve"> lack of enforcement action.</w:t>
      </w:r>
      <w:r w:rsidR="00180FC5">
        <w:rPr>
          <w:rFonts w:cs="Arial"/>
        </w:rPr>
        <w:t xml:space="preserve"> </w:t>
      </w:r>
    </w:p>
    <w:p w:rsidR="003A007F" w:rsidRDefault="003A007F" w:rsidP="003A007F">
      <w:pPr>
        <w:pStyle w:val="ListBullet"/>
        <w:numPr>
          <w:ilvl w:val="0"/>
          <w:numId w:val="0"/>
        </w:numPr>
        <w:rPr>
          <w:rFonts w:cs="Arial"/>
        </w:rPr>
      </w:pPr>
      <w:r>
        <w:rPr>
          <w:rFonts w:cs="Arial"/>
        </w:rPr>
        <w:t>The</w:t>
      </w:r>
      <w:r w:rsidR="00A74175">
        <w:rPr>
          <w:rFonts w:cs="Arial"/>
        </w:rPr>
        <w:t xml:space="preserve"> recently established</w:t>
      </w:r>
      <w:r>
        <w:rPr>
          <w:rFonts w:cs="Arial"/>
        </w:rPr>
        <w:t xml:space="preserve"> Regulatory Advisory Panel provides some centralised guidance on compliance activities, but not all compliance activities are referred to the </w:t>
      </w:r>
      <w:r w:rsidR="0084036E">
        <w:rPr>
          <w:rFonts w:cs="Arial"/>
        </w:rPr>
        <w:t xml:space="preserve">Panel </w:t>
      </w:r>
      <w:r w:rsidR="00A74175">
        <w:rPr>
          <w:rFonts w:cs="Arial"/>
        </w:rPr>
        <w:t>by regulatory areas</w:t>
      </w:r>
      <w:r w:rsidRPr="00E272B1">
        <w:rPr>
          <w:rFonts w:cs="Arial"/>
        </w:rPr>
        <w:t xml:space="preserve"> (</w:t>
      </w:r>
      <w:r w:rsidR="008D7088">
        <w:rPr>
          <w:rFonts w:cs="Arial"/>
        </w:rPr>
        <w:t xml:space="preserve">see the </w:t>
      </w:r>
      <w:r w:rsidR="008D7088">
        <w:rPr>
          <w:rFonts w:cs="Arial"/>
          <w:i/>
        </w:rPr>
        <w:t xml:space="preserve">Governance </w:t>
      </w:r>
      <w:r w:rsidR="008D7088">
        <w:rPr>
          <w:rFonts w:cs="Arial"/>
        </w:rPr>
        <w:t xml:space="preserve">section in </w:t>
      </w:r>
      <w:r w:rsidR="009B05E8" w:rsidRPr="00440F2B">
        <w:rPr>
          <w:rFonts w:cs="Arial"/>
        </w:rPr>
        <w:t>Chapter 1</w:t>
      </w:r>
      <w:r w:rsidRPr="00E272B1">
        <w:rPr>
          <w:rFonts w:cs="Arial"/>
        </w:rPr>
        <w:t>).</w:t>
      </w:r>
      <w:r>
        <w:rPr>
          <w:rFonts w:cs="Arial"/>
        </w:rPr>
        <w:t xml:space="preserve"> </w:t>
      </w:r>
      <w:r w:rsidR="008B0CE5">
        <w:rPr>
          <w:rFonts w:cs="Arial"/>
        </w:rPr>
        <w:t>Further, t</w:t>
      </w:r>
      <w:r w:rsidR="003210FA">
        <w:rPr>
          <w:rFonts w:cs="Arial"/>
        </w:rPr>
        <w:t>he Regulatory Advisory Panel</w:t>
      </w:r>
      <w:r>
        <w:rPr>
          <w:rFonts w:cs="Arial"/>
        </w:rPr>
        <w:t xml:space="preserve"> does not </w:t>
      </w:r>
      <w:r w:rsidR="00440F2B">
        <w:rPr>
          <w:rFonts w:cs="Arial"/>
        </w:rPr>
        <w:t xml:space="preserve">yet </w:t>
      </w:r>
      <w:r w:rsidR="00A74175">
        <w:rPr>
          <w:rFonts w:cs="Arial"/>
        </w:rPr>
        <w:t xml:space="preserve">have </w:t>
      </w:r>
      <w:r w:rsidR="00440F2B">
        <w:rPr>
          <w:rFonts w:cs="Arial"/>
        </w:rPr>
        <w:t xml:space="preserve">the </w:t>
      </w:r>
      <w:r w:rsidR="00A74175">
        <w:rPr>
          <w:rFonts w:cs="Arial"/>
        </w:rPr>
        <w:t xml:space="preserve">capacity </w:t>
      </w:r>
      <w:r>
        <w:rPr>
          <w:rFonts w:cs="Arial"/>
        </w:rPr>
        <w:t>to proactively set standards for commencing or escalating compliance activities</w:t>
      </w:r>
      <w:r w:rsidR="00A74175">
        <w:rPr>
          <w:rFonts w:cs="Arial"/>
        </w:rPr>
        <w:t>, given the current limitations around its role</w:t>
      </w:r>
      <w:r>
        <w:rPr>
          <w:rFonts w:cs="Arial"/>
        </w:rPr>
        <w:t>.</w:t>
      </w:r>
    </w:p>
    <w:p w:rsidR="003A007F" w:rsidRDefault="003A007F" w:rsidP="003A007F">
      <w:pPr>
        <w:pStyle w:val="ListBullet"/>
        <w:numPr>
          <w:ilvl w:val="0"/>
          <w:numId w:val="0"/>
        </w:numPr>
        <w:rPr>
          <w:rFonts w:cs="Arial"/>
        </w:rPr>
      </w:pPr>
      <w:r>
        <w:rPr>
          <w:rFonts w:cs="Arial"/>
        </w:rPr>
        <w:t xml:space="preserve">There does not appear to be a mechanism for ensuring that compliance activities across EPG or the Department are consistent, proportionate and risk-based. While EPG has developed NESTRA for compliance monitoring and is in the process of developing a similar tool for wildlife trade activities, these tools identify priorities for resources within </w:t>
      </w:r>
      <w:r w:rsidR="008B0CE5">
        <w:rPr>
          <w:rFonts w:cs="Arial"/>
        </w:rPr>
        <w:t xml:space="preserve">individual </w:t>
      </w:r>
      <w:r>
        <w:rPr>
          <w:rFonts w:cs="Arial"/>
        </w:rPr>
        <w:t>regulatory schemes but do not allow for the analysis of needs across the schemes. Consolidation of EPG’s compliance functions (see</w:t>
      </w:r>
      <w:r w:rsidR="008D7088">
        <w:rPr>
          <w:rFonts w:cs="Arial"/>
        </w:rPr>
        <w:t xml:space="preserve"> </w:t>
      </w:r>
      <w:r w:rsidR="008D7088">
        <w:rPr>
          <w:rFonts w:cs="Arial"/>
          <w:i/>
        </w:rPr>
        <w:t>Recommendation 3.4 (Compliance Functions)</w:t>
      </w:r>
      <w:r>
        <w:rPr>
          <w:rFonts w:cs="Arial"/>
        </w:rPr>
        <w:t>) should increase consistency of approach and facilitate the prioritisation of resources. This would be further enhanced by the development of a</w:t>
      </w:r>
      <w:r w:rsidR="00440F2B">
        <w:rPr>
          <w:rFonts w:cs="Arial"/>
        </w:rPr>
        <w:t xml:space="preserve"> renewed</w:t>
      </w:r>
      <w:r>
        <w:rPr>
          <w:rFonts w:cs="Arial"/>
        </w:rPr>
        <w:t xml:space="preserve"> compliance and enforcement strategy as part of the Regulatory Framework (</w:t>
      </w:r>
      <w:r w:rsidR="008D7088">
        <w:rPr>
          <w:rFonts w:cs="Arial"/>
        </w:rPr>
        <w:t xml:space="preserve">see </w:t>
      </w:r>
      <w:r w:rsidR="008D7088">
        <w:rPr>
          <w:rFonts w:cs="Arial"/>
          <w:i/>
        </w:rPr>
        <w:t>Recommendation 1.1 (Regulatory Framework)</w:t>
      </w:r>
      <w:r>
        <w:rPr>
          <w:rFonts w:cs="Arial"/>
        </w:rPr>
        <w:t xml:space="preserve">). </w:t>
      </w:r>
    </w:p>
    <w:p w:rsidR="003A007F" w:rsidRDefault="003A007F" w:rsidP="003A007F">
      <w:pPr>
        <w:pStyle w:val="ListBullet"/>
        <w:numPr>
          <w:ilvl w:val="0"/>
          <w:numId w:val="0"/>
        </w:numPr>
        <w:rPr>
          <w:rFonts w:cs="Arial"/>
        </w:rPr>
      </w:pPr>
      <w:r>
        <w:rPr>
          <w:rFonts w:cs="Arial"/>
        </w:rPr>
        <w:t xml:space="preserve">Building consistency across compliance activities in EPG and the Department is also difficult because the </w:t>
      </w:r>
      <w:r w:rsidR="008B0CE5">
        <w:rPr>
          <w:rFonts w:cs="Arial"/>
        </w:rPr>
        <w:t xml:space="preserve">available </w:t>
      </w:r>
      <w:r>
        <w:rPr>
          <w:rFonts w:cs="Arial"/>
        </w:rPr>
        <w:t xml:space="preserve">compliance tools vary substantially across the </w:t>
      </w:r>
      <w:r w:rsidR="008B0CE5">
        <w:rPr>
          <w:rFonts w:cs="Arial"/>
        </w:rPr>
        <w:t>regulation</w:t>
      </w:r>
      <w:r>
        <w:rPr>
          <w:rFonts w:cs="Arial"/>
        </w:rPr>
        <w:t xml:space="preserve"> it administers. </w:t>
      </w:r>
      <w:r w:rsidR="00D347CA">
        <w:rPr>
          <w:rFonts w:cs="Arial"/>
        </w:rPr>
        <w:t xml:space="preserve">In addition, </w:t>
      </w:r>
      <w:r>
        <w:rPr>
          <w:rFonts w:cs="Arial"/>
        </w:rPr>
        <w:t xml:space="preserve">officers are not always aware of the full range of tools available to them, or their benefits or limitations. This can mean that officers inadvertently lose access to particular compliance and enforcement tools, </w:t>
      </w:r>
      <w:r w:rsidR="00D347CA">
        <w:rPr>
          <w:rFonts w:cs="Arial"/>
        </w:rPr>
        <w:t>for example because</w:t>
      </w:r>
      <w:r>
        <w:rPr>
          <w:rFonts w:cs="Arial"/>
        </w:rPr>
        <w:t xml:space="preserve"> the timeframe for using an option has expired.</w:t>
      </w:r>
      <w:r w:rsidRPr="00765585">
        <w:rPr>
          <w:rFonts w:cs="Arial"/>
        </w:rPr>
        <w:t xml:space="preserve"> </w:t>
      </w:r>
      <w:r w:rsidR="00117BDF">
        <w:rPr>
          <w:rFonts w:cs="Arial"/>
        </w:rPr>
        <w:t xml:space="preserve">The </w:t>
      </w:r>
      <w:r w:rsidR="00440F2B">
        <w:rPr>
          <w:rFonts w:cs="Arial"/>
        </w:rPr>
        <w:t>limited</w:t>
      </w:r>
      <w:r w:rsidRPr="008A3FE0">
        <w:rPr>
          <w:rFonts w:cs="Arial"/>
        </w:rPr>
        <w:t xml:space="preserve"> compliance </w:t>
      </w:r>
      <w:r w:rsidR="00117BDF">
        <w:rPr>
          <w:rFonts w:cs="Arial"/>
        </w:rPr>
        <w:t>and enforcement responses</w:t>
      </w:r>
      <w:r w:rsidR="00440F2B">
        <w:rPr>
          <w:rFonts w:cs="Arial"/>
        </w:rPr>
        <w:t xml:space="preserve"> under some schemes</w:t>
      </w:r>
      <w:r w:rsidR="00117BDF">
        <w:rPr>
          <w:rFonts w:cs="Arial"/>
        </w:rPr>
        <w:t xml:space="preserve"> also raises challenges. </w:t>
      </w:r>
      <w:r w:rsidRPr="008A3FE0">
        <w:rPr>
          <w:rFonts w:cs="Arial"/>
        </w:rPr>
        <w:t xml:space="preserve">For example the legislation underpinning the regulation of hazardous waste significantly limits the compliance options available to the Department. </w:t>
      </w:r>
      <w:r w:rsidR="00117BDF">
        <w:rPr>
          <w:rFonts w:cs="Arial"/>
        </w:rPr>
        <w:t>To address these types of issues, a</w:t>
      </w:r>
      <w:r w:rsidRPr="008A3FE0">
        <w:rPr>
          <w:rFonts w:cs="Arial"/>
        </w:rPr>
        <w:t xml:space="preserve"> working group of policy</w:t>
      </w:r>
      <w:r w:rsidR="00E27F7D">
        <w:rPr>
          <w:rFonts w:cs="Arial"/>
        </w:rPr>
        <w:t>, legal</w:t>
      </w:r>
      <w:r w:rsidRPr="008A3FE0">
        <w:rPr>
          <w:rFonts w:cs="Arial"/>
        </w:rPr>
        <w:t xml:space="preserve"> and compliance officers could be formed to identify the best compliance options under </w:t>
      </w:r>
      <w:r w:rsidR="00117BDF">
        <w:rPr>
          <w:rFonts w:cs="Arial"/>
        </w:rPr>
        <w:t>current legislation</w:t>
      </w:r>
      <w:r w:rsidRPr="008A3FE0">
        <w:rPr>
          <w:rFonts w:cs="Arial"/>
        </w:rPr>
        <w:t>, as well as improvements to legislation to allow for better compliance</w:t>
      </w:r>
      <w:r w:rsidR="00117BDF">
        <w:rPr>
          <w:rFonts w:cs="Arial"/>
        </w:rPr>
        <w:t xml:space="preserve"> and enforcement</w:t>
      </w:r>
      <w:r w:rsidRPr="008A3FE0">
        <w:rPr>
          <w:rFonts w:cs="Arial"/>
        </w:rPr>
        <w:t xml:space="preserve"> options in the future.</w:t>
      </w:r>
    </w:p>
    <w:p w:rsidR="003A007F" w:rsidRDefault="003A007F" w:rsidP="003A007F">
      <w:pPr>
        <w:pStyle w:val="ListBullet"/>
        <w:numPr>
          <w:ilvl w:val="0"/>
          <w:numId w:val="0"/>
        </w:numPr>
        <w:rPr>
          <w:rFonts w:cs="Arial"/>
        </w:rPr>
      </w:pPr>
      <w:r>
        <w:rPr>
          <w:rFonts w:cs="Arial"/>
        </w:rPr>
        <w:t xml:space="preserve">The </w:t>
      </w:r>
      <w:r w:rsidRPr="000D71F6">
        <w:rPr>
          <w:rFonts w:cs="Arial"/>
          <w:i/>
        </w:rPr>
        <w:t>Regulatory Powers (S</w:t>
      </w:r>
      <w:r>
        <w:rPr>
          <w:rFonts w:cs="Arial"/>
          <w:i/>
        </w:rPr>
        <w:t>tandard</w:t>
      </w:r>
      <w:r w:rsidRPr="000D71F6">
        <w:rPr>
          <w:rFonts w:cs="Arial"/>
          <w:i/>
        </w:rPr>
        <w:t xml:space="preserve"> Provisions) Act 2014</w:t>
      </w:r>
      <w:r>
        <w:rPr>
          <w:rFonts w:cs="Arial"/>
          <w:i/>
        </w:rPr>
        <w:t xml:space="preserve"> </w:t>
      </w:r>
      <w:r>
        <w:rPr>
          <w:rFonts w:cs="Arial"/>
        </w:rPr>
        <w:t xml:space="preserve">creates a single set of standardised regulatory powers which could improve consistency in the Department’s compliance activities. </w:t>
      </w:r>
      <w:r>
        <w:rPr>
          <w:rFonts w:cs="Arial"/>
        </w:rPr>
        <w:lastRenderedPageBreak/>
        <w:t>The Department has done some preliminary work to understand the scope of that Act and the implications of using it for relevant regulatory schemes.</w:t>
      </w:r>
    </w:p>
    <w:tbl>
      <w:tblPr>
        <w:tblStyle w:val="TableGrid"/>
        <w:tblW w:w="0" w:type="auto"/>
        <w:tblLook w:val="04A0" w:firstRow="1" w:lastRow="0" w:firstColumn="1" w:lastColumn="0" w:noHBand="0" w:noVBand="1"/>
      </w:tblPr>
      <w:tblGrid>
        <w:gridCol w:w="9212"/>
      </w:tblGrid>
      <w:tr w:rsidR="005B1AFF" w:rsidTr="005B1AFF">
        <w:trPr>
          <w:cnfStyle w:val="100000000000" w:firstRow="1" w:lastRow="0" w:firstColumn="0" w:lastColumn="0" w:oddVBand="0" w:evenVBand="0" w:oddHBand="0" w:evenHBand="0" w:firstRowFirstColumn="0" w:firstRowLastColumn="0" w:lastRowFirstColumn="0" w:lastRowLastColumn="0"/>
        </w:trPr>
        <w:tc>
          <w:tcPr>
            <w:tcW w:w="9428" w:type="dxa"/>
            <w:tcBorders>
              <w:top w:val="nil"/>
              <w:left w:val="nil"/>
              <w:bottom w:val="nil"/>
              <w:right w:val="nil"/>
            </w:tcBorders>
            <w:shd w:val="clear" w:color="auto" w:fill="C7E2FA" w:themeFill="accent1" w:themeFillTint="33"/>
          </w:tcPr>
          <w:p w:rsidR="005B1AFF" w:rsidRPr="00AE4C79" w:rsidRDefault="005B1AFF" w:rsidP="005B1AFF">
            <w:pPr>
              <w:pStyle w:val="ListBullet"/>
              <w:numPr>
                <w:ilvl w:val="0"/>
                <w:numId w:val="0"/>
              </w:numPr>
              <w:spacing w:before="240"/>
              <w:rPr>
                <w:rFonts w:cs="Arial"/>
                <w:b/>
              </w:rPr>
            </w:pPr>
            <w:r>
              <w:rPr>
                <w:rFonts w:cs="Arial"/>
                <w:b/>
              </w:rPr>
              <w:t>Recommendation 2.3 (Compliance and enforcement)</w:t>
            </w:r>
          </w:p>
          <w:p w:rsidR="005B1AFF" w:rsidRPr="00A26037" w:rsidRDefault="005B1AFF" w:rsidP="005B1AFF">
            <w:pPr>
              <w:pStyle w:val="ListBullet"/>
              <w:numPr>
                <w:ilvl w:val="0"/>
                <w:numId w:val="0"/>
              </w:numPr>
              <w:rPr>
                <w:rFonts w:cs="Arial"/>
                <w:i/>
              </w:rPr>
            </w:pPr>
            <w:r w:rsidRPr="00A26037">
              <w:rPr>
                <w:rFonts w:cs="Arial"/>
                <w:i/>
              </w:rPr>
              <w:t xml:space="preserve">Importance: </w:t>
            </w:r>
            <w:r w:rsidR="00A26037" w:rsidRPr="00A75DFB">
              <w:rPr>
                <w:rFonts w:cs="Arial"/>
              </w:rPr>
              <w:t>2</w:t>
            </w:r>
          </w:p>
          <w:p w:rsidR="005B1AFF" w:rsidRPr="000834AC" w:rsidRDefault="005B1AFF" w:rsidP="005B1AFF">
            <w:pPr>
              <w:pStyle w:val="ListBullet"/>
              <w:numPr>
                <w:ilvl w:val="0"/>
                <w:numId w:val="0"/>
              </w:numPr>
              <w:rPr>
                <w:rFonts w:cs="Arial"/>
                <w:i/>
              </w:rPr>
            </w:pPr>
            <w:r w:rsidRPr="00F105E8">
              <w:rPr>
                <w:rFonts w:cs="Arial"/>
                <w:i/>
              </w:rPr>
              <w:t xml:space="preserve">Timing: </w:t>
            </w:r>
            <w:r w:rsidR="00A26037" w:rsidRPr="00A75DFB">
              <w:rPr>
                <w:rFonts w:cs="Arial"/>
              </w:rPr>
              <w:t>2</w:t>
            </w:r>
          </w:p>
          <w:p w:rsidR="00CD6C7A" w:rsidRPr="00AE4C79" w:rsidRDefault="005B3348" w:rsidP="005B1AFF">
            <w:pPr>
              <w:pStyle w:val="ListBullet"/>
              <w:numPr>
                <w:ilvl w:val="0"/>
                <w:numId w:val="0"/>
              </w:numPr>
              <w:rPr>
                <w:rFonts w:cs="Arial"/>
              </w:rPr>
            </w:pPr>
            <w:r>
              <w:rPr>
                <w:rFonts w:cs="Arial"/>
              </w:rPr>
              <w:t>The Department</w:t>
            </w:r>
            <w:r w:rsidRPr="00AE4C79">
              <w:rPr>
                <w:rFonts w:cs="Arial"/>
              </w:rPr>
              <w:t xml:space="preserve"> </w:t>
            </w:r>
            <w:r w:rsidR="005B1AFF" w:rsidRPr="00AE4C79">
              <w:rPr>
                <w:rFonts w:cs="Arial"/>
              </w:rPr>
              <w:t xml:space="preserve">should develop, </w:t>
            </w:r>
            <w:r w:rsidR="005B1AFF">
              <w:rPr>
                <w:rFonts w:cs="Arial"/>
              </w:rPr>
              <w:t>maintain</w:t>
            </w:r>
            <w:r w:rsidR="000052B5">
              <w:rPr>
                <w:rFonts w:cs="Arial"/>
              </w:rPr>
              <w:t>, and communicate</w:t>
            </w:r>
            <w:r w:rsidR="005B1AFF">
              <w:rPr>
                <w:rFonts w:cs="Arial"/>
              </w:rPr>
              <w:t xml:space="preserve"> a </w:t>
            </w:r>
            <w:r w:rsidR="00440F2B">
              <w:rPr>
                <w:rFonts w:cs="Arial"/>
              </w:rPr>
              <w:t xml:space="preserve">renewed </w:t>
            </w:r>
            <w:r w:rsidR="005B1AFF">
              <w:rPr>
                <w:rFonts w:cs="Arial"/>
              </w:rPr>
              <w:t>Compliance</w:t>
            </w:r>
            <w:r w:rsidR="00440F2B">
              <w:rPr>
                <w:rFonts w:cs="Arial"/>
              </w:rPr>
              <w:t xml:space="preserve"> and Enforcement</w:t>
            </w:r>
            <w:r w:rsidR="005B1AFF">
              <w:rPr>
                <w:rFonts w:cs="Arial"/>
              </w:rPr>
              <w:t xml:space="preserve"> S</w:t>
            </w:r>
            <w:r w:rsidR="005B1AFF" w:rsidRPr="00AE4C79">
              <w:rPr>
                <w:rFonts w:cs="Arial"/>
              </w:rPr>
              <w:t xml:space="preserve">trategy </w:t>
            </w:r>
            <w:r w:rsidR="005B1AFF">
              <w:rPr>
                <w:rFonts w:cs="Arial"/>
              </w:rPr>
              <w:t>as part of th</w:t>
            </w:r>
            <w:r w:rsidR="008D7088">
              <w:rPr>
                <w:rFonts w:cs="Arial"/>
              </w:rPr>
              <w:t xml:space="preserve">e Regulatory Framework (see </w:t>
            </w:r>
            <w:r w:rsidR="008D7088">
              <w:rPr>
                <w:rFonts w:cs="Arial"/>
                <w:i/>
              </w:rPr>
              <w:t>Recommendation 1.1 (Regulatory Framework)</w:t>
            </w:r>
            <w:r w:rsidR="005B1AFF">
              <w:rPr>
                <w:rFonts w:cs="Arial"/>
              </w:rPr>
              <w:t>)</w:t>
            </w:r>
            <w:r w:rsidR="008D7088">
              <w:rPr>
                <w:rFonts w:cs="Arial"/>
              </w:rPr>
              <w:t>.</w:t>
            </w:r>
            <w:r w:rsidR="005B1AFF" w:rsidRPr="00AE4C79">
              <w:rPr>
                <w:rFonts w:cs="Arial"/>
              </w:rPr>
              <w:t xml:space="preserve"> The strategy should:</w:t>
            </w:r>
          </w:p>
          <w:p w:rsidR="005B1AFF" w:rsidRPr="00AE4C79" w:rsidRDefault="005B1AFF" w:rsidP="00E65120">
            <w:pPr>
              <w:pStyle w:val="ListBullet"/>
              <w:numPr>
                <w:ilvl w:val="0"/>
                <w:numId w:val="13"/>
              </w:numPr>
              <w:spacing w:after="0" w:line="240" w:lineRule="auto"/>
              <w:rPr>
                <w:rFonts w:cs="Arial"/>
              </w:rPr>
            </w:pPr>
            <w:r w:rsidRPr="00AE4C79">
              <w:rPr>
                <w:rFonts w:cs="Arial"/>
              </w:rPr>
              <w:t>use a risk-approach to allocation of resources (including consideration of proponent history and risks to the environment and the Department’s reputation from non-compliance);</w:t>
            </w:r>
          </w:p>
          <w:p w:rsidR="005B1AFF" w:rsidRDefault="005B1AFF" w:rsidP="00E65120">
            <w:pPr>
              <w:pStyle w:val="ListBullet"/>
              <w:numPr>
                <w:ilvl w:val="0"/>
                <w:numId w:val="13"/>
              </w:numPr>
              <w:spacing w:after="0" w:line="240" w:lineRule="auto"/>
              <w:rPr>
                <w:rFonts w:cs="Arial"/>
              </w:rPr>
            </w:pPr>
            <w:r>
              <w:rPr>
                <w:rFonts w:cs="Arial"/>
              </w:rPr>
              <w:t xml:space="preserve">identify all </w:t>
            </w:r>
            <w:r w:rsidR="000052B5">
              <w:rPr>
                <w:rFonts w:cs="Arial"/>
              </w:rPr>
              <w:t xml:space="preserve">available </w:t>
            </w:r>
            <w:r>
              <w:rPr>
                <w:rFonts w:cs="Arial"/>
              </w:rPr>
              <w:t>legislative and non legislative compliance tools and provide guidance on their requirements and appropriate use;</w:t>
            </w:r>
          </w:p>
          <w:p w:rsidR="005B1AFF" w:rsidRPr="00AE4C79" w:rsidRDefault="005B1AFF" w:rsidP="00E65120">
            <w:pPr>
              <w:pStyle w:val="ListBullet"/>
              <w:numPr>
                <w:ilvl w:val="0"/>
                <w:numId w:val="13"/>
              </w:numPr>
              <w:spacing w:after="0" w:line="240" w:lineRule="auto"/>
              <w:rPr>
                <w:rFonts w:cs="Arial"/>
              </w:rPr>
            </w:pPr>
            <w:r w:rsidRPr="00AE4C79">
              <w:rPr>
                <w:rFonts w:cs="Arial"/>
              </w:rPr>
              <w:t>have graduated</w:t>
            </w:r>
            <w:r w:rsidR="000052B5">
              <w:rPr>
                <w:rFonts w:cs="Arial"/>
              </w:rPr>
              <w:t>,</w:t>
            </w:r>
            <w:r w:rsidRPr="00AE4C79">
              <w:rPr>
                <w:rFonts w:cs="Arial"/>
              </w:rPr>
              <w:t xml:space="preserve"> proportionate responses to non-compliance;</w:t>
            </w:r>
          </w:p>
          <w:p w:rsidR="005B1AFF" w:rsidRDefault="005B1AFF" w:rsidP="00E65120">
            <w:pPr>
              <w:pStyle w:val="ListBullet"/>
              <w:numPr>
                <w:ilvl w:val="0"/>
                <w:numId w:val="13"/>
              </w:numPr>
              <w:spacing w:after="0" w:line="240" w:lineRule="auto"/>
              <w:rPr>
                <w:rFonts w:cs="Arial"/>
              </w:rPr>
            </w:pPr>
            <w:r w:rsidRPr="00AE4C79">
              <w:rPr>
                <w:rFonts w:cs="Arial"/>
              </w:rPr>
              <w:t>have clear criteria for</w:t>
            </w:r>
            <w:r>
              <w:rPr>
                <w:rFonts w:cs="Arial"/>
              </w:rPr>
              <w:t xml:space="preserve"> using and</w:t>
            </w:r>
            <w:r w:rsidRPr="00AE4C79">
              <w:rPr>
                <w:rFonts w:cs="Arial"/>
              </w:rPr>
              <w:t xml:space="preserve"> escalating compliance responses</w:t>
            </w:r>
            <w:r>
              <w:rPr>
                <w:rFonts w:cs="Arial"/>
              </w:rPr>
              <w:t xml:space="preserve"> up to and including prosecutions</w:t>
            </w:r>
            <w:r w:rsidRPr="00AE4C79">
              <w:rPr>
                <w:rFonts w:cs="Arial"/>
              </w:rPr>
              <w:t>;</w:t>
            </w:r>
          </w:p>
          <w:p w:rsidR="005B1AFF" w:rsidRPr="001E002D" w:rsidRDefault="005B1AFF" w:rsidP="00E65120">
            <w:pPr>
              <w:pStyle w:val="ListBullet"/>
              <w:numPr>
                <w:ilvl w:val="0"/>
                <w:numId w:val="13"/>
              </w:numPr>
              <w:spacing w:after="0" w:line="240" w:lineRule="auto"/>
              <w:rPr>
                <w:rFonts w:cs="Arial"/>
              </w:rPr>
            </w:pPr>
            <w:r>
              <w:rPr>
                <w:rFonts w:cs="Arial"/>
              </w:rPr>
              <w:t>potentially include an objective for the success rate for prosecutions (for example some regulatory agencies aim to achieve a 90% success rate)</w:t>
            </w:r>
            <w:r w:rsidRPr="001E002D">
              <w:rPr>
                <w:rFonts w:cs="Arial"/>
              </w:rPr>
              <w:t xml:space="preserve"> and</w:t>
            </w:r>
          </w:p>
          <w:p w:rsidR="005B1AFF" w:rsidRDefault="005B1AFF" w:rsidP="00E65120">
            <w:pPr>
              <w:pStyle w:val="ListBullet"/>
              <w:numPr>
                <w:ilvl w:val="0"/>
                <w:numId w:val="13"/>
              </w:numPr>
              <w:spacing w:after="0" w:line="240" w:lineRule="auto"/>
              <w:rPr>
                <w:rFonts w:cs="Arial"/>
              </w:rPr>
            </w:pPr>
            <w:r w:rsidRPr="00AE4C79">
              <w:rPr>
                <w:rFonts w:cs="Arial"/>
              </w:rPr>
              <w:t xml:space="preserve">articulate the circumstances in which the Department could reasonably not take compliance action. </w:t>
            </w:r>
          </w:p>
          <w:p w:rsidR="005B1AFF" w:rsidRPr="008A3FE0" w:rsidRDefault="005B1AFF" w:rsidP="005B1AFF">
            <w:pPr>
              <w:pStyle w:val="ListBullet"/>
              <w:numPr>
                <w:ilvl w:val="0"/>
                <w:numId w:val="0"/>
              </w:numPr>
              <w:spacing w:after="0" w:line="240" w:lineRule="auto"/>
              <w:ind w:left="720"/>
              <w:rPr>
                <w:rFonts w:cs="Arial"/>
              </w:rPr>
            </w:pPr>
          </w:p>
          <w:p w:rsidR="005B1AFF" w:rsidRDefault="005B1AFF" w:rsidP="005B1AFF">
            <w:pPr>
              <w:pStyle w:val="ListBullet"/>
              <w:numPr>
                <w:ilvl w:val="0"/>
                <w:numId w:val="0"/>
              </w:numPr>
              <w:rPr>
                <w:rFonts w:cs="Arial"/>
              </w:rPr>
            </w:pPr>
            <w:r w:rsidRPr="00AE4C79">
              <w:rPr>
                <w:rFonts w:cs="Arial"/>
              </w:rPr>
              <w:t>This approach can then be tailored to each regulatory scheme</w:t>
            </w:r>
            <w:r w:rsidR="005B3348">
              <w:rPr>
                <w:rFonts w:cs="Arial"/>
              </w:rPr>
              <w:t>, including those in EPG,</w:t>
            </w:r>
            <w:r w:rsidRPr="00AE4C79">
              <w:rPr>
                <w:rFonts w:cs="Arial"/>
              </w:rPr>
              <w:t xml:space="preserve"> reflecting their relative risks and available tools.</w:t>
            </w:r>
          </w:p>
          <w:p w:rsidR="005B1AFF" w:rsidRDefault="005B1AFF" w:rsidP="005B1AFF">
            <w:pPr>
              <w:pStyle w:val="ListBullet"/>
              <w:numPr>
                <w:ilvl w:val="0"/>
                <w:numId w:val="0"/>
              </w:numPr>
              <w:rPr>
                <w:rFonts w:cs="Arial"/>
              </w:rPr>
            </w:pPr>
            <w:r>
              <w:rPr>
                <w:rFonts w:cs="Arial"/>
              </w:rPr>
              <w:t>The Department should ensure that all relevant s</w:t>
            </w:r>
            <w:r w:rsidRPr="001E478E">
              <w:rPr>
                <w:rFonts w:cs="Arial"/>
              </w:rPr>
              <w:t xml:space="preserve">taff </w:t>
            </w:r>
            <w:r>
              <w:rPr>
                <w:rFonts w:cs="Arial"/>
              </w:rPr>
              <w:t xml:space="preserve">understand the strategy and </w:t>
            </w:r>
            <w:r w:rsidRPr="001E478E">
              <w:rPr>
                <w:rFonts w:cs="Arial"/>
              </w:rPr>
              <w:t>the objective target and the reasons behind it. This will help staff to prioritise efforts</w:t>
            </w:r>
            <w:r w:rsidR="005B3348">
              <w:rPr>
                <w:rFonts w:cs="Arial"/>
              </w:rPr>
              <w:t xml:space="preserve"> and</w:t>
            </w:r>
            <w:r w:rsidRPr="001E478E">
              <w:rPr>
                <w:rFonts w:cs="Arial"/>
              </w:rPr>
              <w:t xml:space="preserve"> choose the </w:t>
            </w:r>
            <w:r w:rsidR="005B3348">
              <w:rPr>
                <w:rFonts w:cs="Arial"/>
              </w:rPr>
              <w:t xml:space="preserve">most </w:t>
            </w:r>
            <w:r w:rsidRPr="001E478E">
              <w:rPr>
                <w:rFonts w:cs="Arial"/>
              </w:rPr>
              <w:t>appropriate responses</w:t>
            </w:r>
            <w:r w:rsidR="005B3348">
              <w:rPr>
                <w:rFonts w:cs="Arial"/>
              </w:rPr>
              <w:t>.</w:t>
            </w:r>
          </w:p>
          <w:p w:rsidR="005B1AFF" w:rsidRPr="00AE4C79" w:rsidRDefault="005B1AFF" w:rsidP="005B1AFF">
            <w:pPr>
              <w:pStyle w:val="ListBullet"/>
              <w:numPr>
                <w:ilvl w:val="0"/>
                <w:numId w:val="0"/>
              </w:numPr>
              <w:rPr>
                <w:rFonts w:cs="Arial"/>
              </w:rPr>
            </w:pPr>
            <w:r w:rsidRPr="00AE4C79">
              <w:rPr>
                <w:rFonts w:cs="Arial"/>
              </w:rPr>
              <w:t xml:space="preserve">While it is appropriate to target the majority of compliance resources to the highest risk projects, </w:t>
            </w:r>
            <w:r>
              <w:rPr>
                <w:rFonts w:cs="Arial"/>
              </w:rPr>
              <w:t>EPG</w:t>
            </w:r>
            <w:r w:rsidRPr="00AE4C79">
              <w:rPr>
                <w:rFonts w:cs="Arial"/>
              </w:rPr>
              <w:t xml:space="preserve"> should </w:t>
            </w:r>
            <w:r>
              <w:rPr>
                <w:rFonts w:cs="Arial"/>
              </w:rPr>
              <w:t xml:space="preserve">continue to </w:t>
            </w:r>
            <w:r w:rsidRPr="00AE4C79">
              <w:rPr>
                <w:rFonts w:cs="Arial"/>
              </w:rPr>
              <w:t xml:space="preserve">develop and communicate a regulatory response to low-risk activities so that they do not fall out of the system.  </w:t>
            </w:r>
          </w:p>
          <w:p w:rsidR="005B1AFF" w:rsidRDefault="005B1AFF" w:rsidP="005B1AFF">
            <w:pPr>
              <w:pStyle w:val="ListBullet"/>
              <w:numPr>
                <w:ilvl w:val="0"/>
                <w:numId w:val="0"/>
              </w:numPr>
              <w:rPr>
                <w:rFonts w:cs="Arial"/>
              </w:rPr>
            </w:pPr>
            <w:r>
              <w:rPr>
                <w:rFonts w:cs="Arial"/>
              </w:rPr>
              <w:t>In developing the strategy</w:t>
            </w:r>
            <w:r w:rsidR="005B3348">
              <w:rPr>
                <w:rFonts w:cs="Arial"/>
              </w:rPr>
              <w:t>,</w:t>
            </w:r>
            <w:r>
              <w:rPr>
                <w:rFonts w:cs="Arial"/>
              </w:rPr>
              <w:t xml:space="preserve"> the</w:t>
            </w:r>
            <w:r w:rsidRPr="00AE4C79">
              <w:rPr>
                <w:rFonts w:cs="Arial"/>
              </w:rPr>
              <w:t xml:space="preserve"> Department should </w:t>
            </w:r>
            <w:r>
              <w:rPr>
                <w:rFonts w:cs="Arial"/>
              </w:rPr>
              <w:t xml:space="preserve">consult with </w:t>
            </w:r>
            <w:r w:rsidRPr="00AE4C79">
              <w:rPr>
                <w:rFonts w:cs="Arial"/>
              </w:rPr>
              <w:t xml:space="preserve">the Clean Energy Regulator and the Australian Taxation Office, who have both developed tailored risk management approaches to </w:t>
            </w:r>
            <w:r w:rsidR="005B3348">
              <w:rPr>
                <w:rFonts w:cs="Arial"/>
              </w:rPr>
              <w:t>compliance</w:t>
            </w:r>
            <w:r w:rsidR="005B3348" w:rsidRPr="00AE4C79">
              <w:rPr>
                <w:rFonts w:cs="Arial"/>
              </w:rPr>
              <w:t xml:space="preserve"> </w:t>
            </w:r>
            <w:r w:rsidRPr="00AE4C79">
              <w:rPr>
                <w:rFonts w:cs="Arial"/>
              </w:rPr>
              <w:t>and communicated their approaches internally and externally.</w:t>
            </w:r>
          </w:p>
          <w:p w:rsidR="00CD6C7A" w:rsidRDefault="005B1AFF">
            <w:r w:rsidRPr="00A6494E">
              <w:rPr>
                <w:rFonts w:cs="Arial"/>
              </w:rPr>
              <w:t xml:space="preserve">The Department should continue work in relation to the </w:t>
            </w:r>
            <w:r w:rsidRPr="00A6494E">
              <w:rPr>
                <w:rFonts w:cs="Arial"/>
                <w:i/>
              </w:rPr>
              <w:t>Regulatory Powers (Standard Provisions) Act 2014</w:t>
            </w:r>
            <w:r>
              <w:rPr>
                <w:rFonts w:cs="Arial"/>
              </w:rPr>
              <w:t>, and consider on a case-by-</w:t>
            </w:r>
            <w:r w:rsidRPr="00A6494E">
              <w:rPr>
                <w:rFonts w:cs="Arial"/>
              </w:rPr>
              <w:t xml:space="preserve">case basis whether it should be triggered under EPG legislation. </w:t>
            </w:r>
          </w:p>
        </w:tc>
      </w:tr>
    </w:tbl>
    <w:p w:rsidR="00E01832" w:rsidRDefault="00E01832" w:rsidP="003A007F">
      <w:pPr>
        <w:pStyle w:val="ListBullet"/>
        <w:numPr>
          <w:ilvl w:val="0"/>
          <w:numId w:val="0"/>
        </w:numPr>
        <w:rPr>
          <w:rFonts w:cs="Arial"/>
        </w:rPr>
      </w:pPr>
    </w:p>
    <w:p w:rsidR="003A007F" w:rsidRPr="0042419C" w:rsidRDefault="003A007F" w:rsidP="00AE79C6">
      <w:pPr>
        <w:pStyle w:val="Heading1"/>
        <w:spacing w:after="120"/>
        <w:rPr>
          <w:caps w:val="0"/>
          <w:color w:val="0B5294" w:themeColor="accent1" w:themeShade="BF"/>
          <w:sz w:val="24"/>
          <w:szCs w:val="24"/>
        </w:rPr>
      </w:pPr>
      <w:bookmarkStart w:id="24" w:name="_Toc443405161"/>
      <w:r w:rsidRPr="0042419C">
        <w:rPr>
          <w:caps w:val="0"/>
          <w:color w:val="0B5294" w:themeColor="accent1" w:themeShade="BF"/>
          <w:sz w:val="24"/>
          <w:szCs w:val="24"/>
        </w:rPr>
        <w:t>Communicating compliance</w:t>
      </w:r>
      <w:bookmarkEnd w:id="24"/>
      <w:r w:rsidRPr="0042419C">
        <w:rPr>
          <w:caps w:val="0"/>
          <w:color w:val="0B5294" w:themeColor="accent1" w:themeShade="BF"/>
          <w:sz w:val="24"/>
          <w:szCs w:val="24"/>
        </w:rPr>
        <w:t xml:space="preserve"> </w:t>
      </w:r>
    </w:p>
    <w:p w:rsidR="003A007F" w:rsidRDefault="003A007F" w:rsidP="003A007F">
      <w:pPr>
        <w:pStyle w:val="ListBullet"/>
        <w:numPr>
          <w:ilvl w:val="0"/>
          <w:numId w:val="0"/>
        </w:numPr>
        <w:rPr>
          <w:rFonts w:cs="Arial"/>
        </w:rPr>
      </w:pPr>
      <w:r>
        <w:rPr>
          <w:rFonts w:cs="Arial"/>
        </w:rPr>
        <w:t>Best practice regulators communicate effectively with both the regulated and broader communities about their compliance activities. This builds confidence, creates certainty and stability and can improve compliance. Fo</w:t>
      </w:r>
      <w:r w:rsidR="008A3FE0">
        <w:rPr>
          <w:rFonts w:cs="Arial"/>
        </w:rPr>
        <w:t>r example, publishing an agency’</w:t>
      </w:r>
      <w:r>
        <w:rPr>
          <w:rFonts w:cs="Arial"/>
        </w:rPr>
        <w:t>s priorities for inspections and monitoring can encourage industries to ensure they meet their obligations. Publicising compliance activities and inspection results can act as a strong deterrent both</w:t>
      </w:r>
      <w:r w:rsidR="000E4266">
        <w:rPr>
          <w:rFonts w:cs="Arial"/>
        </w:rPr>
        <w:t xml:space="preserve"> to individual entities (who lo</w:t>
      </w:r>
      <w:r>
        <w:rPr>
          <w:rFonts w:cs="Arial"/>
        </w:rPr>
        <w:t xml:space="preserve">se social license) and the broader regulated community (who may </w:t>
      </w:r>
      <w:r>
        <w:rPr>
          <w:rFonts w:cs="Arial"/>
        </w:rPr>
        <w:lastRenderedPageBreak/>
        <w:t xml:space="preserve">have an increased fear of detection). Mature regulators also use ‘service standards’ to articulate how </w:t>
      </w:r>
      <w:r w:rsidR="000A2F4B">
        <w:rPr>
          <w:rFonts w:cs="Arial"/>
        </w:rPr>
        <w:t xml:space="preserve">they </w:t>
      </w:r>
      <w:r>
        <w:rPr>
          <w:rFonts w:cs="Arial"/>
        </w:rPr>
        <w:t xml:space="preserve">will communicate with regulated entities, avenues for complaints and appeals, and other advice around its compliance and enforcement activities. For example, the NSW EPA has published its compliance policy as well as the outcomes of compliance activities on its website.  </w:t>
      </w:r>
    </w:p>
    <w:p w:rsidR="003A007F" w:rsidRDefault="003A007F" w:rsidP="003A007F">
      <w:pPr>
        <w:rPr>
          <w:rFonts w:cs="Arial"/>
        </w:rPr>
      </w:pPr>
      <w:r w:rsidRPr="00A37C31">
        <w:rPr>
          <w:rFonts w:cs="Arial"/>
        </w:rPr>
        <w:t>EPG does promote some of its compliance and enforcement activities through policies</w:t>
      </w:r>
      <w:r>
        <w:rPr>
          <w:rFonts w:cs="Arial"/>
        </w:rPr>
        <w:t xml:space="preserve"> such as the </w:t>
      </w:r>
      <w:r w:rsidRPr="00AC3C1C">
        <w:rPr>
          <w:rFonts w:cs="Arial"/>
          <w:i/>
        </w:rPr>
        <w:t>EPBC A</w:t>
      </w:r>
      <w:r w:rsidR="0042419C">
        <w:rPr>
          <w:rFonts w:cs="Arial"/>
          <w:i/>
        </w:rPr>
        <w:t>ct</w:t>
      </w:r>
      <w:r w:rsidRPr="00AC3C1C">
        <w:rPr>
          <w:rFonts w:cs="Arial"/>
          <w:i/>
        </w:rPr>
        <w:t xml:space="preserve"> Compliance and Enforcement Policy</w:t>
      </w:r>
      <w:r>
        <w:rPr>
          <w:rFonts w:cs="Arial"/>
        </w:rPr>
        <w:t xml:space="preserve"> (2013)</w:t>
      </w:r>
      <w:r w:rsidR="000A2F4B">
        <w:rPr>
          <w:rFonts w:cs="Arial"/>
        </w:rPr>
        <w:t xml:space="preserve"> </w:t>
      </w:r>
      <w:r w:rsidRPr="00A37C31">
        <w:rPr>
          <w:rFonts w:cs="Arial"/>
        </w:rPr>
        <w:t xml:space="preserve">and updates to the Department’s website. </w:t>
      </w:r>
      <w:r>
        <w:rPr>
          <w:rFonts w:cs="Arial"/>
        </w:rPr>
        <w:t>T</w:t>
      </w:r>
      <w:r w:rsidRPr="00A37C31">
        <w:rPr>
          <w:rFonts w:cs="Arial"/>
        </w:rPr>
        <w:t>he Department</w:t>
      </w:r>
      <w:r>
        <w:rPr>
          <w:rFonts w:cs="Arial"/>
        </w:rPr>
        <w:t xml:space="preserve"> also</w:t>
      </w:r>
      <w:r w:rsidRPr="00A37C31">
        <w:rPr>
          <w:rFonts w:cs="Arial"/>
        </w:rPr>
        <w:t xml:space="preserve"> publishes an annual Compliance Monitoring </w:t>
      </w:r>
      <w:r w:rsidR="00E3593E">
        <w:rPr>
          <w:rFonts w:cs="Arial"/>
        </w:rPr>
        <w:t>Program</w:t>
      </w:r>
      <w:r w:rsidRPr="00A37C31">
        <w:rPr>
          <w:rFonts w:cs="Arial"/>
        </w:rPr>
        <w:t xml:space="preserve"> for Part</w:t>
      </w:r>
      <w:r>
        <w:rPr>
          <w:rFonts w:cs="Arial"/>
        </w:rPr>
        <w:t>s</w:t>
      </w:r>
      <w:r w:rsidR="0042419C">
        <w:rPr>
          <w:rFonts w:cs="Arial"/>
        </w:rPr>
        <w:t> </w:t>
      </w:r>
      <w:r w:rsidRPr="00A37C31">
        <w:rPr>
          <w:rFonts w:cs="Arial"/>
        </w:rPr>
        <w:t xml:space="preserve">7, 8 and 9 of the </w:t>
      </w:r>
      <w:r w:rsidR="005A4278" w:rsidRPr="005A4278">
        <w:rPr>
          <w:rFonts w:cs="Arial"/>
        </w:rPr>
        <w:t>EPBC</w:t>
      </w:r>
      <w:r w:rsidRPr="000A2F4B">
        <w:rPr>
          <w:rFonts w:cs="Arial"/>
        </w:rPr>
        <w:t xml:space="preserve"> </w:t>
      </w:r>
      <w:r w:rsidRPr="0042419C">
        <w:rPr>
          <w:rFonts w:cs="Arial"/>
        </w:rPr>
        <w:t>Act</w:t>
      </w:r>
      <w:r w:rsidRPr="00A37C31">
        <w:rPr>
          <w:rFonts w:cs="Arial"/>
        </w:rPr>
        <w:t xml:space="preserve"> and for the </w:t>
      </w:r>
      <w:r w:rsidRPr="0042419C">
        <w:rPr>
          <w:rFonts w:cs="Arial"/>
        </w:rPr>
        <w:t>Sea Dumping Act</w:t>
      </w:r>
      <w:r w:rsidRPr="00A37C31">
        <w:rPr>
          <w:rFonts w:cs="Arial"/>
        </w:rPr>
        <w:t>. This sets out achievements from the previous year</w:t>
      </w:r>
      <w:r>
        <w:rPr>
          <w:rFonts w:cs="Arial"/>
        </w:rPr>
        <w:t>,</w:t>
      </w:r>
      <w:r w:rsidRPr="00A37C31">
        <w:rPr>
          <w:rFonts w:cs="Arial"/>
        </w:rPr>
        <w:t xml:space="preserve"> </w:t>
      </w:r>
      <w:r>
        <w:rPr>
          <w:rFonts w:cs="Arial"/>
        </w:rPr>
        <w:t xml:space="preserve">as well as </w:t>
      </w:r>
      <w:r w:rsidRPr="00A37C31">
        <w:rPr>
          <w:rFonts w:cs="Arial"/>
        </w:rPr>
        <w:t xml:space="preserve">objectives and priorities for the coming year. Documented </w:t>
      </w:r>
      <w:r>
        <w:rPr>
          <w:rFonts w:cs="Arial"/>
        </w:rPr>
        <w:t xml:space="preserve">plans for </w:t>
      </w:r>
      <w:r w:rsidRPr="00A37C31">
        <w:rPr>
          <w:rFonts w:cs="Arial"/>
        </w:rPr>
        <w:t>compliance activities and reports under other</w:t>
      </w:r>
      <w:r>
        <w:rPr>
          <w:rFonts w:cs="Arial"/>
        </w:rPr>
        <w:t xml:space="preserve"> legislation administered by EPG are not current or publicly</w:t>
      </w:r>
      <w:r w:rsidR="000A2F4B">
        <w:rPr>
          <w:rFonts w:cs="Arial"/>
        </w:rPr>
        <w:t xml:space="preserve"> available</w:t>
      </w:r>
      <w:r>
        <w:rPr>
          <w:rFonts w:cs="Arial"/>
        </w:rPr>
        <w:t xml:space="preserve">.  </w:t>
      </w:r>
    </w:p>
    <w:p w:rsidR="003A007F" w:rsidRDefault="003A007F" w:rsidP="003A007F">
      <w:pPr>
        <w:pStyle w:val="ListBullet"/>
        <w:numPr>
          <w:ilvl w:val="0"/>
          <w:numId w:val="0"/>
        </w:numPr>
        <w:rPr>
          <w:rFonts w:cs="Arial"/>
        </w:rPr>
      </w:pPr>
      <w:r>
        <w:rPr>
          <w:rFonts w:cs="Arial"/>
        </w:rPr>
        <w:t>While the Department sometimes publicises specific compliance activities</w:t>
      </w:r>
      <w:r w:rsidR="000A2F4B">
        <w:rPr>
          <w:rFonts w:cs="Arial"/>
        </w:rPr>
        <w:t>,</w:t>
      </w:r>
      <w:r>
        <w:rPr>
          <w:rFonts w:cs="Arial"/>
        </w:rPr>
        <w:t xml:space="preserve"> it does not routinely issue press releases or information about its compliance activities. The EPBC Case Judgements page of the</w:t>
      </w:r>
      <w:r w:rsidR="000A2F4B">
        <w:rPr>
          <w:rFonts w:cs="Arial"/>
        </w:rPr>
        <w:t xml:space="preserve"> Department’s</w:t>
      </w:r>
      <w:r>
        <w:rPr>
          <w:rFonts w:cs="Arial"/>
        </w:rPr>
        <w:t xml:space="preserve"> website has not been updated since November 2013, and the page is difficult to locate. The Department also lacks contemporary avenues for releasing information via social media. Mature regulators such as the US EPA regularly use websites like Facebook to promote good news stories about regulatory activities, as well as compliance information to act as </w:t>
      </w:r>
      <w:r w:rsidR="000A2F4B">
        <w:rPr>
          <w:rFonts w:cs="Arial"/>
        </w:rPr>
        <w:t xml:space="preserve">a </w:t>
      </w:r>
      <w:r w:rsidR="008B3627">
        <w:rPr>
          <w:rFonts w:cs="Arial"/>
        </w:rPr>
        <w:t>deterrent</w:t>
      </w:r>
      <w:r>
        <w:rPr>
          <w:rFonts w:cs="Arial"/>
        </w:rPr>
        <w:t xml:space="preserve">.  </w:t>
      </w:r>
    </w:p>
    <w:p w:rsidR="003A007F" w:rsidRDefault="003A007F" w:rsidP="003A007F">
      <w:pPr>
        <w:pStyle w:val="ListBullet"/>
        <w:numPr>
          <w:ilvl w:val="0"/>
          <w:numId w:val="0"/>
        </w:numPr>
        <w:rPr>
          <w:rFonts w:cs="Arial"/>
        </w:rPr>
      </w:pPr>
      <w:r>
        <w:rPr>
          <w:rFonts w:cs="Arial"/>
        </w:rPr>
        <w:t>I</w:t>
      </w:r>
      <w:r w:rsidRPr="00B9575D">
        <w:rPr>
          <w:rFonts w:cs="Arial"/>
        </w:rPr>
        <w:t>ncreas</w:t>
      </w:r>
      <w:r>
        <w:rPr>
          <w:rFonts w:cs="Arial"/>
        </w:rPr>
        <w:t>ing the</w:t>
      </w:r>
      <w:r w:rsidRPr="00B9575D">
        <w:rPr>
          <w:rFonts w:cs="Arial"/>
        </w:rPr>
        <w:t xml:space="preserve"> visibility of </w:t>
      </w:r>
      <w:r>
        <w:rPr>
          <w:rFonts w:cs="Arial"/>
        </w:rPr>
        <w:t>EPG</w:t>
      </w:r>
      <w:r w:rsidR="000A2F4B">
        <w:rPr>
          <w:rFonts w:cs="Arial"/>
        </w:rPr>
        <w:t>’s</w:t>
      </w:r>
      <w:r>
        <w:rPr>
          <w:rFonts w:cs="Arial"/>
        </w:rPr>
        <w:t xml:space="preserve"> regulatory activities </w:t>
      </w:r>
      <w:r w:rsidR="000A2F4B">
        <w:rPr>
          <w:rFonts w:cs="Arial"/>
        </w:rPr>
        <w:t xml:space="preserve">would </w:t>
      </w:r>
      <w:r>
        <w:rPr>
          <w:rFonts w:cs="Arial"/>
        </w:rPr>
        <w:t xml:space="preserve">create greater community confidence that the Department is fulfilling its regulatory </w:t>
      </w:r>
      <w:r w:rsidR="000A2F4B">
        <w:rPr>
          <w:rFonts w:cs="Arial"/>
        </w:rPr>
        <w:t>responsibilities</w:t>
      </w:r>
      <w:r>
        <w:rPr>
          <w:rFonts w:cs="Arial"/>
        </w:rPr>
        <w:t>,</w:t>
      </w:r>
      <w:r w:rsidR="000A2F4B">
        <w:rPr>
          <w:rFonts w:cs="Arial"/>
        </w:rPr>
        <w:t xml:space="preserve"> </w:t>
      </w:r>
      <w:r>
        <w:rPr>
          <w:rFonts w:cs="Arial"/>
        </w:rPr>
        <w:t>deter non-compliance by regulated entities</w:t>
      </w:r>
      <w:r w:rsidR="00645BC7">
        <w:rPr>
          <w:rFonts w:cs="Arial"/>
        </w:rPr>
        <w:t>,</w:t>
      </w:r>
      <w:r>
        <w:rPr>
          <w:rFonts w:cs="Arial"/>
        </w:rPr>
        <w:t xml:space="preserve"> and</w:t>
      </w:r>
      <w:r w:rsidR="008B3627">
        <w:rPr>
          <w:rFonts w:cs="Arial"/>
        </w:rPr>
        <w:t xml:space="preserve"> create</w:t>
      </w:r>
      <w:r>
        <w:rPr>
          <w:rFonts w:cs="Arial"/>
        </w:rPr>
        <w:t xml:space="preserve"> greater </w:t>
      </w:r>
      <w:r w:rsidR="008B3627">
        <w:rPr>
          <w:rFonts w:cs="Arial"/>
        </w:rPr>
        <w:t xml:space="preserve">community </w:t>
      </w:r>
      <w:r>
        <w:rPr>
          <w:rFonts w:cs="Arial"/>
        </w:rPr>
        <w:t xml:space="preserve">awareness of </w:t>
      </w:r>
      <w:r w:rsidR="008B3627">
        <w:rPr>
          <w:rFonts w:cs="Arial"/>
        </w:rPr>
        <w:t xml:space="preserve">regulatory </w:t>
      </w:r>
      <w:r>
        <w:rPr>
          <w:rFonts w:cs="Arial"/>
        </w:rPr>
        <w:t xml:space="preserve">obligations.  </w:t>
      </w:r>
    </w:p>
    <w:tbl>
      <w:tblPr>
        <w:tblStyle w:val="TableGrid"/>
        <w:tblW w:w="0" w:type="auto"/>
        <w:tblLook w:val="04A0" w:firstRow="1" w:lastRow="0" w:firstColumn="1" w:lastColumn="0" w:noHBand="0" w:noVBand="1"/>
      </w:tblPr>
      <w:tblGrid>
        <w:gridCol w:w="9212"/>
      </w:tblGrid>
      <w:tr w:rsidR="003A007F" w:rsidTr="0042419C">
        <w:trPr>
          <w:cnfStyle w:val="100000000000" w:firstRow="1" w:lastRow="0" w:firstColumn="0" w:lastColumn="0" w:oddVBand="0" w:evenVBand="0" w:oddHBand="0" w:evenHBand="0" w:firstRowFirstColumn="0" w:firstRowLastColumn="0" w:lastRowFirstColumn="0" w:lastRowLastColumn="0"/>
        </w:trPr>
        <w:tc>
          <w:tcPr>
            <w:tcW w:w="9242" w:type="dxa"/>
            <w:tcBorders>
              <w:top w:val="nil"/>
              <w:left w:val="nil"/>
              <w:bottom w:val="nil"/>
              <w:right w:val="nil"/>
            </w:tcBorders>
            <w:shd w:val="clear" w:color="auto" w:fill="C7E2FA" w:themeFill="accent1" w:themeFillTint="33"/>
          </w:tcPr>
          <w:p w:rsidR="003A007F" w:rsidRDefault="003A007F" w:rsidP="0042419C">
            <w:pPr>
              <w:pStyle w:val="ListBullet"/>
              <w:numPr>
                <w:ilvl w:val="0"/>
                <w:numId w:val="0"/>
              </w:numPr>
              <w:spacing w:before="240"/>
              <w:rPr>
                <w:rFonts w:cs="Arial"/>
                <w:b/>
              </w:rPr>
            </w:pPr>
            <w:r>
              <w:rPr>
                <w:rFonts w:cs="Arial"/>
                <w:b/>
              </w:rPr>
              <w:t xml:space="preserve">Recommendation </w:t>
            </w:r>
            <w:r w:rsidR="008A3FE0">
              <w:rPr>
                <w:rFonts w:cs="Arial"/>
                <w:b/>
              </w:rPr>
              <w:t>2</w:t>
            </w:r>
            <w:r w:rsidRPr="0052493E">
              <w:rPr>
                <w:rFonts w:cs="Arial"/>
                <w:b/>
              </w:rPr>
              <w:t>.</w:t>
            </w:r>
            <w:r>
              <w:rPr>
                <w:rFonts w:cs="Arial"/>
                <w:b/>
              </w:rPr>
              <w:t>4</w:t>
            </w:r>
            <w:r w:rsidRPr="0052493E">
              <w:rPr>
                <w:rFonts w:cs="Arial"/>
                <w:b/>
              </w:rPr>
              <w:t xml:space="preserve"> (Communicating compliance) </w:t>
            </w:r>
          </w:p>
          <w:p w:rsidR="008A3FE0" w:rsidRPr="00A26037" w:rsidRDefault="008A3FE0" w:rsidP="008A3FE0">
            <w:pPr>
              <w:pStyle w:val="ListBullet"/>
              <w:numPr>
                <w:ilvl w:val="0"/>
                <w:numId w:val="0"/>
              </w:numPr>
              <w:rPr>
                <w:rFonts w:cs="Arial"/>
                <w:i/>
              </w:rPr>
            </w:pPr>
            <w:r w:rsidRPr="00A26037">
              <w:rPr>
                <w:rFonts w:cs="Arial"/>
                <w:i/>
              </w:rPr>
              <w:t xml:space="preserve">Importance: </w:t>
            </w:r>
            <w:r w:rsidR="00A75DFB">
              <w:rPr>
                <w:rFonts w:cs="Arial"/>
              </w:rPr>
              <w:t>3</w:t>
            </w:r>
          </w:p>
          <w:p w:rsidR="008A3FE0" w:rsidRPr="000834AC" w:rsidRDefault="008A3FE0" w:rsidP="008A3FE0">
            <w:pPr>
              <w:pStyle w:val="ListBullet"/>
              <w:numPr>
                <w:ilvl w:val="0"/>
                <w:numId w:val="0"/>
              </w:numPr>
              <w:rPr>
                <w:rFonts w:cs="Arial"/>
                <w:i/>
              </w:rPr>
            </w:pPr>
            <w:r w:rsidRPr="00A26037">
              <w:rPr>
                <w:rFonts w:cs="Arial"/>
                <w:i/>
              </w:rPr>
              <w:t>Timing:</w:t>
            </w:r>
            <w:r>
              <w:rPr>
                <w:rFonts w:cs="Arial"/>
                <w:i/>
              </w:rPr>
              <w:t xml:space="preserve"> </w:t>
            </w:r>
            <w:r w:rsidR="00A75DFB">
              <w:rPr>
                <w:rFonts w:cs="Arial"/>
              </w:rPr>
              <w:t>3</w:t>
            </w:r>
          </w:p>
          <w:p w:rsidR="003A007F" w:rsidRPr="0052493E" w:rsidRDefault="008B3627" w:rsidP="003A007F">
            <w:pPr>
              <w:pStyle w:val="ListBullet"/>
              <w:numPr>
                <w:ilvl w:val="0"/>
                <w:numId w:val="0"/>
              </w:numPr>
              <w:rPr>
                <w:rFonts w:cs="Arial"/>
              </w:rPr>
            </w:pPr>
            <w:r>
              <w:rPr>
                <w:rFonts w:cs="Arial"/>
              </w:rPr>
              <w:t>EPG and t</w:t>
            </w:r>
            <w:r w:rsidR="003A007F" w:rsidRPr="0052493E">
              <w:rPr>
                <w:rFonts w:cs="Arial"/>
              </w:rPr>
              <w:t xml:space="preserve">he Department should communicate the compliance strategy developed under </w:t>
            </w:r>
            <w:r w:rsidR="000E4266">
              <w:rPr>
                <w:rFonts w:cs="Arial"/>
                <w:i/>
              </w:rPr>
              <w:t>Recommendation 2.3 (Compliance and Enforcement)</w:t>
            </w:r>
            <w:r w:rsidR="003A007F" w:rsidRPr="0052493E">
              <w:rPr>
                <w:rFonts w:cs="Arial"/>
              </w:rPr>
              <w:t xml:space="preserve"> with its full range of stakeholders.</w:t>
            </w:r>
          </w:p>
          <w:p w:rsidR="003A007F" w:rsidRPr="0052493E" w:rsidRDefault="008B3627" w:rsidP="003A007F">
            <w:pPr>
              <w:rPr>
                <w:rFonts w:cs="Arial"/>
              </w:rPr>
            </w:pPr>
            <w:r>
              <w:rPr>
                <w:rFonts w:cs="Arial"/>
              </w:rPr>
              <w:t>EPG and t</w:t>
            </w:r>
            <w:r w:rsidR="003A007F" w:rsidRPr="0052493E">
              <w:rPr>
                <w:rFonts w:cs="Arial"/>
              </w:rPr>
              <w:t>he Department should provide targeted information about compliance and enforcement activities to the regulated community at key points in the process</w:t>
            </w:r>
            <w:r>
              <w:rPr>
                <w:rFonts w:cs="Arial"/>
              </w:rPr>
              <w:t>.</w:t>
            </w:r>
          </w:p>
          <w:p w:rsidR="003A007F" w:rsidRDefault="003A007F" w:rsidP="003A007F">
            <w:pPr>
              <w:pStyle w:val="ListBullet"/>
              <w:numPr>
                <w:ilvl w:val="0"/>
                <w:numId w:val="0"/>
              </w:numPr>
              <w:rPr>
                <w:rFonts w:cs="Arial"/>
              </w:rPr>
            </w:pPr>
            <w:r>
              <w:rPr>
                <w:rFonts w:cs="Arial"/>
              </w:rPr>
              <w:t>EPG</w:t>
            </w:r>
            <w:r w:rsidRPr="0052493E">
              <w:rPr>
                <w:rFonts w:cs="Arial"/>
              </w:rPr>
              <w:t xml:space="preserve"> should consider mechanisms to better promote its regulatory role and compliance and enforcement activities. </w:t>
            </w:r>
            <w:r w:rsidR="008B3627">
              <w:rPr>
                <w:rFonts w:cs="Arial"/>
              </w:rPr>
              <w:t>Potential mechanisms</w:t>
            </w:r>
            <w:r w:rsidR="008B3627" w:rsidRPr="0052493E">
              <w:rPr>
                <w:rFonts w:cs="Arial"/>
              </w:rPr>
              <w:t xml:space="preserve"> </w:t>
            </w:r>
            <w:r w:rsidRPr="0052493E">
              <w:rPr>
                <w:rFonts w:cs="Arial"/>
              </w:rPr>
              <w:t>include:</w:t>
            </w:r>
          </w:p>
          <w:p w:rsidR="003A007F" w:rsidRDefault="006A5A65" w:rsidP="00E65120">
            <w:pPr>
              <w:pStyle w:val="ListBullet"/>
              <w:numPr>
                <w:ilvl w:val="0"/>
                <w:numId w:val="14"/>
              </w:numPr>
              <w:spacing w:after="0" w:line="240" w:lineRule="auto"/>
              <w:rPr>
                <w:rFonts w:cs="Arial"/>
              </w:rPr>
            </w:pPr>
            <w:r>
              <w:rPr>
                <w:rFonts w:cs="Arial"/>
              </w:rPr>
              <w:t>providing information</w:t>
            </w:r>
            <w:r w:rsidRPr="0052493E">
              <w:rPr>
                <w:rFonts w:cs="Arial"/>
              </w:rPr>
              <w:t xml:space="preserve"> </w:t>
            </w:r>
            <w:r w:rsidR="003A007F" w:rsidRPr="0052493E">
              <w:rPr>
                <w:rFonts w:cs="Arial"/>
              </w:rPr>
              <w:t xml:space="preserve">on </w:t>
            </w:r>
            <w:r w:rsidR="00CB1560">
              <w:rPr>
                <w:rFonts w:cs="Arial"/>
              </w:rPr>
              <w:t xml:space="preserve">the </w:t>
            </w:r>
            <w:r w:rsidR="003A007F" w:rsidRPr="0052493E">
              <w:rPr>
                <w:rFonts w:cs="Arial"/>
              </w:rPr>
              <w:t xml:space="preserve">legislation </w:t>
            </w:r>
            <w:r w:rsidR="003A007F">
              <w:rPr>
                <w:rFonts w:cs="Arial"/>
              </w:rPr>
              <w:t>EPG</w:t>
            </w:r>
            <w:r w:rsidR="003A007F" w:rsidRPr="0052493E">
              <w:rPr>
                <w:rFonts w:cs="Arial"/>
              </w:rPr>
              <w:t xml:space="preserve"> administers and what this means for the community</w:t>
            </w:r>
            <w:r w:rsidR="00645BC7">
              <w:rPr>
                <w:rFonts w:cs="Arial"/>
              </w:rPr>
              <w:t>. For example,</w:t>
            </w:r>
            <w:r w:rsidR="003A007F" w:rsidRPr="0052493E">
              <w:rPr>
                <w:rFonts w:cs="Arial"/>
              </w:rPr>
              <w:t xml:space="preserve"> publications developed for the launch of the EPBC Act were well received by stakeholders;</w:t>
            </w:r>
          </w:p>
          <w:p w:rsidR="00CB1560" w:rsidRDefault="00CB1560" w:rsidP="00E65120">
            <w:pPr>
              <w:pStyle w:val="ListBullet"/>
              <w:numPr>
                <w:ilvl w:val="0"/>
                <w:numId w:val="14"/>
              </w:numPr>
              <w:spacing w:after="0" w:line="240" w:lineRule="auto"/>
              <w:rPr>
                <w:rFonts w:cs="Arial"/>
              </w:rPr>
            </w:pPr>
            <w:r>
              <w:rPr>
                <w:rFonts w:cs="Arial"/>
              </w:rPr>
              <w:t>guidance material (such as self-check tools) to improve transparency and the ability for entities to comply;</w:t>
            </w:r>
          </w:p>
          <w:p w:rsidR="00CB1560" w:rsidRDefault="00CB1560" w:rsidP="00E65120">
            <w:pPr>
              <w:pStyle w:val="ListBullet"/>
              <w:numPr>
                <w:ilvl w:val="0"/>
                <w:numId w:val="14"/>
              </w:numPr>
              <w:spacing w:after="0" w:line="240" w:lineRule="auto"/>
              <w:rPr>
                <w:rFonts w:cs="Arial"/>
              </w:rPr>
            </w:pPr>
            <w:r>
              <w:rPr>
                <w:rFonts w:cs="Arial"/>
              </w:rPr>
              <w:t xml:space="preserve">regular updates on compliance and enforcement activities through the internet, including the Department’s website and social media; </w:t>
            </w:r>
          </w:p>
          <w:p w:rsidR="00CB1560" w:rsidRPr="0052493E" w:rsidRDefault="00CB1560" w:rsidP="00E65120">
            <w:pPr>
              <w:pStyle w:val="ListBullet"/>
              <w:numPr>
                <w:ilvl w:val="0"/>
                <w:numId w:val="14"/>
              </w:numPr>
              <w:spacing w:after="0" w:line="240" w:lineRule="auto"/>
              <w:rPr>
                <w:rFonts w:cs="Arial"/>
              </w:rPr>
            </w:pPr>
            <w:r w:rsidRPr="00436669">
              <w:rPr>
                <w:rFonts w:cs="Arial"/>
              </w:rPr>
              <w:t>the publication of inspection reports and compliance ratings</w:t>
            </w:r>
            <w:r>
              <w:rPr>
                <w:rFonts w:cs="Arial"/>
              </w:rPr>
              <w:t>; and</w:t>
            </w:r>
          </w:p>
          <w:p w:rsidR="003A007F" w:rsidRPr="008A3FE0" w:rsidRDefault="003A007F" w:rsidP="00E65120">
            <w:pPr>
              <w:pStyle w:val="ListBullet"/>
              <w:numPr>
                <w:ilvl w:val="0"/>
                <w:numId w:val="14"/>
              </w:numPr>
              <w:spacing w:after="0" w:line="240" w:lineRule="auto"/>
              <w:rPr>
                <w:rFonts w:cs="Arial"/>
              </w:rPr>
            </w:pPr>
            <w:r w:rsidRPr="0052493E">
              <w:rPr>
                <w:rFonts w:cs="Arial"/>
              </w:rPr>
              <w:t>‘good news’ stories about regulatory activi</w:t>
            </w:r>
            <w:r>
              <w:rPr>
                <w:rFonts w:cs="Arial"/>
              </w:rPr>
              <w:t>ties</w:t>
            </w:r>
            <w:r w:rsidR="00645BC7">
              <w:rPr>
                <w:rFonts w:cs="Arial"/>
              </w:rPr>
              <w:t>.</w:t>
            </w:r>
          </w:p>
        </w:tc>
      </w:tr>
    </w:tbl>
    <w:p w:rsidR="001427B2" w:rsidRDefault="001427B2" w:rsidP="0042419C">
      <w:pPr>
        <w:pStyle w:val="Heading1"/>
        <w:spacing w:after="120"/>
        <w:rPr>
          <w:caps w:val="0"/>
          <w:color w:val="0B5294" w:themeColor="accent1" w:themeShade="BF"/>
          <w:sz w:val="24"/>
          <w:szCs w:val="24"/>
        </w:rPr>
      </w:pPr>
      <w:bookmarkStart w:id="25" w:name="_Toc443405162"/>
    </w:p>
    <w:p w:rsidR="003A007F" w:rsidRPr="0042419C" w:rsidRDefault="003A007F" w:rsidP="0042419C">
      <w:pPr>
        <w:pStyle w:val="Heading1"/>
        <w:spacing w:after="120"/>
        <w:rPr>
          <w:caps w:val="0"/>
          <w:color w:val="0B5294" w:themeColor="accent1" w:themeShade="BF"/>
          <w:sz w:val="24"/>
          <w:szCs w:val="24"/>
        </w:rPr>
      </w:pPr>
      <w:r w:rsidRPr="0042419C">
        <w:rPr>
          <w:caps w:val="0"/>
          <w:color w:val="0B5294" w:themeColor="accent1" w:themeShade="BF"/>
          <w:sz w:val="24"/>
          <w:szCs w:val="24"/>
        </w:rPr>
        <w:t>Consistent Outcomes</w:t>
      </w:r>
      <w:r w:rsidR="00CB1560">
        <w:rPr>
          <w:caps w:val="0"/>
          <w:color w:val="0B5294" w:themeColor="accent1" w:themeShade="BF"/>
          <w:sz w:val="24"/>
          <w:szCs w:val="24"/>
        </w:rPr>
        <w:t>-</w:t>
      </w:r>
      <w:r w:rsidRPr="0042419C">
        <w:rPr>
          <w:caps w:val="0"/>
          <w:color w:val="0B5294" w:themeColor="accent1" w:themeShade="BF"/>
          <w:sz w:val="24"/>
          <w:szCs w:val="24"/>
        </w:rPr>
        <w:t>Focused Conditions</w:t>
      </w:r>
      <w:bookmarkEnd w:id="25"/>
    </w:p>
    <w:p w:rsidR="003A007F" w:rsidRDefault="003A007F" w:rsidP="008A3FE0">
      <w:pPr>
        <w:rPr>
          <w:rFonts w:cs="Arial"/>
          <w:color w:val="000000"/>
        </w:rPr>
      </w:pPr>
      <w:r>
        <w:rPr>
          <w:rFonts w:cs="Arial"/>
          <w:color w:val="000000"/>
        </w:rPr>
        <w:t xml:space="preserve">Best practice regulators ensure that conditions attached to licenses and approvals are clear, enforceable, focussed on the desired outcome and allow the license holder to achieve that outcome in the most cost-effective way. They also ensure that conditions are applied consistently and are predictable. This allows regulated entities to build these requirements into their early planning. </w:t>
      </w:r>
    </w:p>
    <w:p w:rsidR="003A007F" w:rsidRPr="009574E0" w:rsidRDefault="003A007F" w:rsidP="003A007F">
      <w:pPr>
        <w:pStyle w:val="ListBullet"/>
        <w:numPr>
          <w:ilvl w:val="0"/>
          <w:numId w:val="0"/>
        </w:numPr>
        <w:rPr>
          <w:rFonts w:cs="Arial"/>
        </w:rPr>
      </w:pPr>
      <w:r w:rsidRPr="009574E0">
        <w:rPr>
          <w:rFonts w:cs="Arial"/>
        </w:rPr>
        <w:t>ESD is actively developing policies to ensure that conditions are outcomes-focussed and do not unnecessarily duplicate other approval conditions. The</w:t>
      </w:r>
      <w:r>
        <w:rPr>
          <w:rFonts w:cs="Arial"/>
        </w:rPr>
        <w:t>se</w:t>
      </w:r>
      <w:r w:rsidRPr="009574E0">
        <w:rPr>
          <w:rFonts w:cs="Arial"/>
        </w:rPr>
        <w:t xml:space="preserve"> policies are good and consistent with contemporary regulatory practice. They have been well received by industry bodies such as the Minerals Council of Australia and the Business Council of Australia</w:t>
      </w:r>
      <w:r w:rsidR="00180FC5">
        <w:rPr>
          <w:rFonts w:cs="Arial"/>
        </w:rPr>
        <w:t>, though they have also been criticised by environmental NGOs</w:t>
      </w:r>
      <w:r w:rsidRPr="009574E0">
        <w:rPr>
          <w:rFonts w:cs="Arial"/>
        </w:rPr>
        <w:t>. Their success</w:t>
      </w:r>
      <w:r w:rsidR="00CB1560">
        <w:rPr>
          <w:rFonts w:cs="Arial"/>
        </w:rPr>
        <w:t xml:space="preserve"> </w:t>
      </w:r>
      <w:r w:rsidRPr="009574E0">
        <w:rPr>
          <w:rFonts w:cs="Arial"/>
        </w:rPr>
        <w:t xml:space="preserve">will rely on </w:t>
      </w:r>
      <w:r w:rsidR="0022100A">
        <w:rPr>
          <w:rFonts w:cs="Arial"/>
        </w:rPr>
        <w:t xml:space="preserve">good </w:t>
      </w:r>
      <w:r w:rsidRPr="009574E0">
        <w:rPr>
          <w:rFonts w:cs="Arial"/>
        </w:rPr>
        <w:t>implementation and ongoing monitoring and review.</w:t>
      </w:r>
    </w:p>
    <w:p w:rsidR="003A007F" w:rsidRPr="00B9575D" w:rsidRDefault="00645BC7" w:rsidP="003A007F">
      <w:pPr>
        <w:pStyle w:val="ListBullet"/>
        <w:numPr>
          <w:ilvl w:val="0"/>
          <w:numId w:val="0"/>
        </w:numPr>
        <w:rPr>
          <w:rFonts w:cs="Arial"/>
        </w:rPr>
      </w:pPr>
      <w:r>
        <w:rPr>
          <w:rFonts w:cs="Arial"/>
        </w:rPr>
        <w:t xml:space="preserve">Currently, </w:t>
      </w:r>
      <w:r w:rsidR="003A007F">
        <w:rPr>
          <w:rFonts w:cs="Arial"/>
        </w:rPr>
        <w:t xml:space="preserve">EPBC approval conditions routinely rely on </w:t>
      </w:r>
      <w:r w:rsidR="003A007F" w:rsidRPr="00B9575D">
        <w:rPr>
          <w:rFonts w:cs="Arial"/>
        </w:rPr>
        <w:t xml:space="preserve">management plans </w:t>
      </w:r>
      <w:r w:rsidR="003A007F">
        <w:rPr>
          <w:rFonts w:cs="Arial"/>
        </w:rPr>
        <w:t>which must be approved separately after the approval is granted.</w:t>
      </w:r>
      <w:r w:rsidR="0022100A">
        <w:rPr>
          <w:rFonts w:cs="Arial"/>
        </w:rPr>
        <w:t xml:space="preserve"> </w:t>
      </w:r>
      <w:r w:rsidR="003A007F">
        <w:rPr>
          <w:rFonts w:cs="Arial"/>
        </w:rPr>
        <w:t>This is a common approach and also a common problem across many environmental regulators</w:t>
      </w:r>
      <w:r>
        <w:rPr>
          <w:rFonts w:cs="Arial"/>
        </w:rPr>
        <w:t>. A</w:t>
      </w:r>
      <w:r w:rsidR="003A007F">
        <w:rPr>
          <w:rFonts w:cs="Arial"/>
        </w:rPr>
        <w:t>s a result</w:t>
      </w:r>
      <w:r>
        <w:rPr>
          <w:rFonts w:cs="Arial"/>
        </w:rPr>
        <w:t>,</w:t>
      </w:r>
      <w:r w:rsidR="003A007F">
        <w:rPr>
          <w:rFonts w:cs="Arial"/>
        </w:rPr>
        <w:t xml:space="preserve"> a number of agencies</w:t>
      </w:r>
      <w:r w:rsidR="0022100A">
        <w:rPr>
          <w:rFonts w:cs="Arial"/>
        </w:rPr>
        <w:t xml:space="preserve"> </w:t>
      </w:r>
      <w:r w:rsidR="003A007F">
        <w:rPr>
          <w:rFonts w:cs="Arial"/>
        </w:rPr>
        <w:t xml:space="preserve">are reviewing this approach. Management plans are often used because of time pressures, insufficient information, as a means of supporting adaptive management and </w:t>
      </w:r>
      <w:r w:rsidR="0022100A">
        <w:rPr>
          <w:rFonts w:cs="Arial"/>
        </w:rPr>
        <w:t xml:space="preserve">due to a </w:t>
      </w:r>
      <w:r w:rsidR="003A007F">
        <w:rPr>
          <w:rFonts w:cs="Arial"/>
        </w:rPr>
        <w:t>sense that management plans increase the Department’s oversight of projects.</w:t>
      </w:r>
    </w:p>
    <w:p w:rsidR="003A007F" w:rsidRDefault="0022100A" w:rsidP="003A007F">
      <w:pPr>
        <w:pStyle w:val="ListBullet"/>
        <w:numPr>
          <w:ilvl w:val="0"/>
          <w:numId w:val="0"/>
        </w:numPr>
        <w:rPr>
          <w:rFonts w:cs="Arial"/>
        </w:rPr>
      </w:pPr>
      <w:r>
        <w:rPr>
          <w:rFonts w:cs="Arial"/>
        </w:rPr>
        <w:t>However, o</w:t>
      </w:r>
      <w:r w:rsidR="003A007F" w:rsidRPr="00B9575D">
        <w:rPr>
          <w:rFonts w:cs="Arial"/>
        </w:rPr>
        <w:t>ver</w:t>
      </w:r>
      <w:r w:rsidR="003A007F">
        <w:rPr>
          <w:rFonts w:cs="Arial"/>
        </w:rPr>
        <w:t>-</w:t>
      </w:r>
      <w:r w:rsidR="003A007F" w:rsidRPr="00B9575D">
        <w:rPr>
          <w:rFonts w:cs="Arial"/>
        </w:rPr>
        <w:t>reliance on management plans</w:t>
      </w:r>
      <w:r w:rsidR="003A007F">
        <w:rPr>
          <w:rFonts w:cs="Arial"/>
        </w:rPr>
        <w:t xml:space="preserve"> creates risk for the Department because</w:t>
      </w:r>
      <w:r w:rsidR="003A007F" w:rsidRPr="00B9575D">
        <w:rPr>
          <w:rFonts w:cs="Arial"/>
        </w:rPr>
        <w:t xml:space="preserve">: </w:t>
      </w:r>
    </w:p>
    <w:p w:rsidR="003A007F" w:rsidRDefault="0022100A" w:rsidP="0042419C">
      <w:pPr>
        <w:pStyle w:val="ListParagraph"/>
        <w:numPr>
          <w:ilvl w:val="0"/>
          <w:numId w:val="7"/>
        </w:numPr>
        <w:spacing w:after="0"/>
        <w:ind w:left="360"/>
        <w:contextualSpacing/>
        <w:rPr>
          <w:rFonts w:cs="Arial"/>
        </w:rPr>
      </w:pPr>
      <w:r>
        <w:rPr>
          <w:rFonts w:cs="Arial"/>
        </w:rPr>
        <w:t xml:space="preserve">management </w:t>
      </w:r>
      <w:r w:rsidR="003A007F">
        <w:rPr>
          <w:rFonts w:cs="Arial"/>
        </w:rPr>
        <w:t xml:space="preserve">plans focus both industry and </w:t>
      </w:r>
      <w:r>
        <w:rPr>
          <w:rFonts w:cs="Arial"/>
        </w:rPr>
        <w:t xml:space="preserve">Departmental </w:t>
      </w:r>
      <w:r w:rsidR="003A007F">
        <w:rPr>
          <w:rFonts w:cs="Arial"/>
        </w:rPr>
        <w:t>resources on processes rather than outcomes;</w:t>
      </w:r>
    </w:p>
    <w:p w:rsidR="003A007F" w:rsidRPr="00B9575D" w:rsidRDefault="003A007F" w:rsidP="0042419C">
      <w:pPr>
        <w:pStyle w:val="ListParagraph"/>
        <w:numPr>
          <w:ilvl w:val="0"/>
          <w:numId w:val="7"/>
        </w:numPr>
        <w:spacing w:after="0"/>
        <w:ind w:left="360"/>
        <w:contextualSpacing/>
        <w:rPr>
          <w:rFonts w:cs="Arial"/>
        </w:rPr>
      </w:pPr>
      <w:r>
        <w:rPr>
          <w:rFonts w:cs="Arial"/>
        </w:rPr>
        <w:t>t</w:t>
      </w:r>
      <w:r w:rsidRPr="00B9575D">
        <w:rPr>
          <w:rFonts w:cs="Arial"/>
        </w:rPr>
        <w:t>he Department has more</w:t>
      </w:r>
      <w:r w:rsidR="0022100A">
        <w:rPr>
          <w:rFonts w:cs="Arial"/>
        </w:rPr>
        <w:t xml:space="preserve"> management</w:t>
      </w:r>
      <w:r w:rsidRPr="00B9575D">
        <w:rPr>
          <w:rFonts w:cs="Arial"/>
        </w:rPr>
        <w:t xml:space="preserve"> plans to review than available resources</w:t>
      </w:r>
      <w:r w:rsidR="0022100A">
        <w:rPr>
          <w:rFonts w:cs="Arial"/>
        </w:rPr>
        <w:t xml:space="preserve"> (the Department estimates </w:t>
      </w:r>
      <w:r w:rsidR="006F1673">
        <w:rPr>
          <w:rFonts w:cs="Arial"/>
        </w:rPr>
        <w:t>it approved approximately 100 management plans in the past 12 months)</w:t>
      </w:r>
      <w:r>
        <w:rPr>
          <w:rFonts w:cs="Arial"/>
        </w:rPr>
        <w:t>;</w:t>
      </w:r>
    </w:p>
    <w:p w:rsidR="00E27F7D" w:rsidRDefault="003A007F" w:rsidP="0042419C">
      <w:pPr>
        <w:pStyle w:val="ListParagraph"/>
        <w:numPr>
          <w:ilvl w:val="0"/>
          <w:numId w:val="7"/>
        </w:numPr>
        <w:spacing w:after="0"/>
        <w:ind w:left="360"/>
        <w:contextualSpacing/>
        <w:rPr>
          <w:rFonts w:cs="Arial"/>
        </w:rPr>
      </w:pPr>
      <w:r>
        <w:rPr>
          <w:rFonts w:cs="Arial"/>
        </w:rPr>
        <w:t>t</w:t>
      </w:r>
      <w:r w:rsidRPr="00B9575D">
        <w:rPr>
          <w:rFonts w:cs="Arial"/>
        </w:rPr>
        <w:t>he de</w:t>
      </w:r>
      <w:r>
        <w:rPr>
          <w:rFonts w:cs="Arial"/>
        </w:rPr>
        <w:t>l</w:t>
      </w:r>
      <w:r w:rsidRPr="00B9575D">
        <w:rPr>
          <w:rFonts w:cs="Arial"/>
        </w:rPr>
        <w:t xml:space="preserve">ay in </w:t>
      </w:r>
      <w:r w:rsidR="0022100A">
        <w:rPr>
          <w:rFonts w:cs="Arial"/>
        </w:rPr>
        <w:t xml:space="preserve">reviewing and </w:t>
      </w:r>
      <w:r w:rsidRPr="00B9575D">
        <w:rPr>
          <w:rFonts w:cs="Arial"/>
        </w:rPr>
        <w:t>approving</w:t>
      </w:r>
      <w:r w:rsidR="0022100A">
        <w:rPr>
          <w:rFonts w:cs="Arial"/>
        </w:rPr>
        <w:t xml:space="preserve"> management</w:t>
      </w:r>
      <w:r w:rsidRPr="00B9575D">
        <w:rPr>
          <w:rFonts w:cs="Arial"/>
        </w:rPr>
        <w:t xml:space="preserve"> plans is effectively a de</w:t>
      </w:r>
      <w:r>
        <w:rPr>
          <w:rFonts w:cs="Arial"/>
        </w:rPr>
        <w:t>l</w:t>
      </w:r>
      <w:r w:rsidRPr="00B9575D">
        <w:rPr>
          <w:rFonts w:cs="Arial"/>
        </w:rPr>
        <w:t>a</w:t>
      </w:r>
      <w:r>
        <w:rPr>
          <w:rFonts w:cs="Arial"/>
        </w:rPr>
        <w:t xml:space="preserve">y in approval for the proponent; </w:t>
      </w:r>
    </w:p>
    <w:p w:rsidR="003A007F" w:rsidRDefault="00E27F7D" w:rsidP="0042419C">
      <w:pPr>
        <w:pStyle w:val="ListParagraph"/>
        <w:numPr>
          <w:ilvl w:val="0"/>
          <w:numId w:val="7"/>
        </w:numPr>
        <w:spacing w:after="0"/>
        <w:ind w:left="360"/>
        <w:contextualSpacing/>
        <w:rPr>
          <w:rFonts w:cs="Arial"/>
        </w:rPr>
      </w:pPr>
      <w:r>
        <w:rPr>
          <w:rFonts w:cs="Arial"/>
        </w:rPr>
        <w:t xml:space="preserve">the lack of a response from the Department can be construed as </w:t>
      </w:r>
      <w:r w:rsidR="00CF1F9B">
        <w:rPr>
          <w:rFonts w:cs="Arial"/>
        </w:rPr>
        <w:t>an implied endorsement of the management plan; and</w:t>
      </w:r>
    </w:p>
    <w:p w:rsidR="003A007F" w:rsidRDefault="0022100A" w:rsidP="0042419C">
      <w:pPr>
        <w:pStyle w:val="ListParagraph"/>
        <w:numPr>
          <w:ilvl w:val="0"/>
          <w:numId w:val="7"/>
        </w:numPr>
        <w:spacing w:after="0"/>
        <w:ind w:left="360"/>
        <w:contextualSpacing/>
        <w:rPr>
          <w:rFonts w:cs="Arial"/>
        </w:rPr>
      </w:pPr>
      <w:r>
        <w:rPr>
          <w:rFonts w:cs="Arial"/>
        </w:rPr>
        <w:t xml:space="preserve">management </w:t>
      </w:r>
      <w:r w:rsidR="003A007F" w:rsidRPr="00410E8E">
        <w:rPr>
          <w:rFonts w:cs="Arial"/>
        </w:rPr>
        <w:t xml:space="preserve">plans are written by proponents who </w:t>
      </w:r>
      <w:r w:rsidR="003A007F">
        <w:rPr>
          <w:rFonts w:cs="Arial"/>
        </w:rPr>
        <w:t xml:space="preserve">often use unenforceable language and </w:t>
      </w:r>
      <w:r w:rsidR="003A007F" w:rsidRPr="00410E8E">
        <w:rPr>
          <w:rFonts w:cs="Arial"/>
        </w:rPr>
        <w:t>may try to minimise their commitments</w:t>
      </w:r>
      <w:r w:rsidR="003A007F">
        <w:rPr>
          <w:rFonts w:cs="Arial"/>
        </w:rPr>
        <w:t>.</w:t>
      </w:r>
    </w:p>
    <w:p w:rsidR="00AD5A35" w:rsidRPr="007A5FC7" w:rsidRDefault="00AD5A35" w:rsidP="00AD5A35">
      <w:pPr>
        <w:pStyle w:val="ListParagraph"/>
        <w:numPr>
          <w:ilvl w:val="0"/>
          <w:numId w:val="0"/>
        </w:numPr>
        <w:spacing w:after="0" w:line="240" w:lineRule="auto"/>
        <w:ind w:left="360"/>
        <w:contextualSpacing/>
        <w:rPr>
          <w:rFonts w:cs="Arial"/>
        </w:rPr>
      </w:pPr>
    </w:p>
    <w:p w:rsidR="003A007F" w:rsidRDefault="003A007F" w:rsidP="003A007F">
      <w:pPr>
        <w:pStyle w:val="ListBullet"/>
        <w:numPr>
          <w:ilvl w:val="0"/>
          <w:numId w:val="0"/>
        </w:numPr>
        <w:rPr>
          <w:rFonts w:cs="Arial"/>
        </w:rPr>
      </w:pPr>
      <w:r w:rsidRPr="00B9575D">
        <w:rPr>
          <w:rFonts w:cs="Arial"/>
        </w:rPr>
        <w:t xml:space="preserve">Requesting management plans when the Department does not have capacity to </w:t>
      </w:r>
      <w:r>
        <w:rPr>
          <w:rFonts w:cs="Arial"/>
        </w:rPr>
        <w:t xml:space="preserve">adequately </w:t>
      </w:r>
      <w:r w:rsidRPr="00B9575D">
        <w:rPr>
          <w:rFonts w:cs="Arial"/>
        </w:rPr>
        <w:t xml:space="preserve">review them exposes the Department to risk. </w:t>
      </w:r>
      <w:r>
        <w:rPr>
          <w:rFonts w:cs="Arial"/>
        </w:rPr>
        <w:t xml:space="preserve">Once approved, </w:t>
      </w:r>
      <w:r w:rsidR="0022100A">
        <w:rPr>
          <w:rFonts w:cs="Arial"/>
        </w:rPr>
        <w:t xml:space="preserve">a proponent </w:t>
      </w:r>
      <w:r>
        <w:rPr>
          <w:rFonts w:cs="Arial"/>
        </w:rPr>
        <w:t>is entitled to assume that the measures in the</w:t>
      </w:r>
      <w:r w:rsidR="0022100A">
        <w:rPr>
          <w:rFonts w:cs="Arial"/>
        </w:rPr>
        <w:t>ir management</w:t>
      </w:r>
      <w:r>
        <w:rPr>
          <w:rFonts w:cs="Arial"/>
        </w:rPr>
        <w:t xml:space="preserve"> plan are adequate, whether or not they achieve the desired outcome.</w:t>
      </w:r>
    </w:p>
    <w:p w:rsidR="003A007F" w:rsidRDefault="003A007F" w:rsidP="003A007F">
      <w:pPr>
        <w:pStyle w:val="ListBullet"/>
        <w:numPr>
          <w:ilvl w:val="0"/>
          <w:numId w:val="0"/>
        </w:numPr>
        <w:rPr>
          <w:rFonts w:cs="Arial"/>
        </w:rPr>
      </w:pPr>
      <w:r>
        <w:rPr>
          <w:rFonts w:cs="Arial"/>
        </w:rPr>
        <w:t>The Department has recently developed draft policy and guidance for increasing the use of outcomes</w:t>
      </w:r>
      <w:r w:rsidR="0022100A">
        <w:rPr>
          <w:rFonts w:cs="Arial"/>
        </w:rPr>
        <w:t>-</w:t>
      </w:r>
      <w:r>
        <w:rPr>
          <w:rFonts w:cs="Arial"/>
        </w:rPr>
        <w:t xml:space="preserve">based conditions. The policy aims to ensure conditions specify the relevant environmental outcome, without prescribing how that outcome should be achieved. The policy provides a useful framework for reducing reliance on management plans. </w:t>
      </w:r>
    </w:p>
    <w:p w:rsidR="003A007F" w:rsidRDefault="0022100A" w:rsidP="003A007F">
      <w:pPr>
        <w:pStyle w:val="ListBullet"/>
        <w:numPr>
          <w:ilvl w:val="0"/>
          <w:numId w:val="0"/>
        </w:numPr>
        <w:rPr>
          <w:rFonts w:cs="Arial"/>
        </w:rPr>
      </w:pPr>
      <w:r>
        <w:rPr>
          <w:rFonts w:cs="Arial"/>
        </w:rPr>
        <w:t>During consultation, t</w:t>
      </w:r>
      <w:r w:rsidR="003A007F">
        <w:rPr>
          <w:rFonts w:cs="Arial"/>
        </w:rPr>
        <w:t xml:space="preserve">he </w:t>
      </w:r>
      <w:r>
        <w:rPr>
          <w:rFonts w:cs="Arial"/>
        </w:rPr>
        <w:t>Minerals Council of Australia</w:t>
      </w:r>
      <w:r w:rsidR="003A007F">
        <w:rPr>
          <w:rFonts w:cs="Arial"/>
        </w:rPr>
        <w:t xml:space="preserve"> indicated that it would be interested in a reduction in the reliance on management plans, but would not want to see a delay in approvals as a result. Contingent conditions can be useful in this context, where information is not yet available, or best practice may change over time. This involves setting an appropriate </w:t>
      </w:r>
      <w:r w:rsidR="003A007F">
        <w:rPr>
          <w:rFonts w:cs="Arial"/>
        </w:rPr>
        <w:lastRenderedPageBreak/>
        <w:t>condition but allowing the approval holder to use a different approach if they can demonstrate to the Department that it will achieve the outcome.</w:t>
      </w:r>
    </w:p>
    <w:p w:rsidR="001427B2" w:rsidRDefault="001427B2" w:rsidP="003A007F">
      <w:pPr>
        <w:pStyle w:val="ListBullet"/>
        <w:numPr>
          <w:ilvl w:val="0"/>
          <w:numId w:val="0"/>
        </w:numPr>
        <w:rPr>
          <w:rFonts w:cs="Arial"/>
        </w:rPr>
      </w:pPr>
    </w:p>
    <w:p w:rsidR="001427B2" w:rsidRDefault="001427B2" w:rsidP="003A007F">
      <w:pPr>
        <w:pStyle w:val="ListBullet"/>
        <w:numPr>
          <w:ilvl w:val="0"/>
          <w:numId w:val="0"/>
        </w:numPr>
        <w:rPr>
          <w:rFonts w:cs="Arial"/>
        </w:rPr>
      </w:pPr>
    </w:p>
    <w:p w:rsidR="001427B2" w:rsidRDefault="001427B2" w:rsidP="003A007F">
      <w:pPr>
        <w:pStyle w:val="ListBullet"/>
        <w:numPr>
          <w:ilvl w:val="0"/>
          <w:numId w:val="0"/>
        </w:numPr>
        <w:rPr>
          <w:rFonts w:cs="Arial"/>
        </w:rPr>
      </w:pPr>
    </w:p>
    <w:p w:rsidR="003A007F" w:rsidRPr="008A3FE0" w:rsidRDefault="003A007F" w:rsidP="0042419C">
      <w:pPr>
        <w:pStyle w:val="ListBullet"/>
        <w:numPr>
          <w:ilvl w:val="0"/>
          <w:numId w:val="0"/>
        </w:numPr>
        <w:shd w:val="clear" w:color="auto" w:fill="C7E2FA" w:themeFill="accent1" w:themeFillTint="33"/>
        <w:spacing w:before="240"/>
        <w:rPr>
          <w:rFonts w:cs="Arial"/>
          <w:b/>
        </w:rPr>
      </w:pPr>
      <w:r w:rsidRPr="008A3FE0">
        <w:rPr>
          <w:rFonts w:cs="Arial"/>
          <w:b/>
        </w:rPr>
        <w:t xml:space="preserve">Recommendation </w:t>
      </w:r>
      <w:r w:rsidR="008A3FE0" w:rsidRPr="008A3FE0">
        <w:rPr>
          <w:rFonts w:cs="Arial"/>
          <w:b/>
        </w:rPr>
        <w:t>2</w:t>
      </w:r>
      <w:r w:rsidRPr="008A3FE0">
        <w:rPr>
          <w:rFonts w:cs="Arial"/>
          <w:b/>
        </w:rPr>
        <w:t>.5 </w:t>
      </w:r>
      <w:r w:rsidR="008A3FE0" w:rsidRPr="008A3FE0">
        <w:rPr>
          <w:rFonts w:cs="Arial"/>
          <w:b/>
        </w:rPr>
        <w:t>(Outcomes Focused Conditions)</w:t>
      </w:r>
    </w:p>
    <w:p w:rsidR="003A007F" w:rsidRPr="00A26037" w:rsidRDefault="008A3FE0" w:rsidP="0042419C">
      <w:pPr>
        <w:pStyle w:val="ListBullet"/>
        <w:numPr>
          <w:ilvl w:val="0"/>
          <w:numId w:val="0"/>
        </w:numPr>
        <w:shd w:val="clear" w:color="auto" w:fill="C7E2FA" w:themeFill="accent1" w:themeFillTint="33"/>
        <w:rPr>
          <w:rFonts w:cs="Arial"/>
          <w:bCs/>
          <w:i/>
        </w:rPr>
      </w:pPr>
      <w:r w:rsidRPr="00A26037">
        <w:rPr>
          <w:rFonts w:cs="Arial"/>
          <w:bCs/>
          <w:i/>
        </w:rPr>
        <w:t>Importance:</w:t>
      </w:r>
      <w:r w:rsidR="00A75DFB">
        <w:rPr>
          <w:rFonts w:cs="Arial"/>
          <w:bCs/>
          <w:i/>
        </w:rPr>
        <w:t xml:space="preserve"> </w:t>
      </w:r>
      <w:r w:rsidR="00A26037" w:rsidRPr="00A75DFB">
        <w:rPr>
          <w:rFonts w:cs="Arial"/>
          <w:bCs/>
        </w:rPr>
        <w:t>1</w:t>
      </w:r>
    </w:p>
    <w:p w:rsidR="008A3FE0" w:rsidRDefault="008A3FE0" w:rsidP="0042419C">
      <w:pPr>
        <w:pStyle w:val="ListBullet"/>
        <w:numPr>
          <w:ilvl w:val="0"/>
          <w:numId w:val="0"/>
        </w:numPr>
        <w:shd w:val="clear" w:color="auto" w:fill="C7E2FA" w:themeFill="accent1" w:themeFillTint="33"/>
        <w:rPr>
          <w:rFonts w:cs="Arial"/>
          <w:b/>
          <w:bCs/>
        </w:rPr>
      </w:pPr>
      <w:r w:rsidRPr="00A26037">
        <w:rPr>
          <w:rFonts w:cs="Arial"/>
          <w:bCs/>
          <w:i/>
        </w:rPr>
        <w:t>Timing:</w:t>
      </w:r>
      <w:r w:rsidR="00A75DFB">
        <w:rPr>
          <w:rFonts w:cs="Arial"/>
          <w:bCs/>
          <w:i/>
        </w:rPr>
        <w:t xml:space="preserve"> </w:t>
      </w:r>
      <w:r w:rsidR="00A26037" w:rsidRPr="00A75DFB">
        <w:rPr>
          <w:rFonts w:cs="Arial"/>
          <w:bCs/>
        </w:rPr>
        <w:t>1 and ongoing</w:t>
      </w:r>
    </w:p>
    <w:p w:rsidR="003A007F" w:rsidRPr="0055699B" w:rsidRDefault="006F1673" w:rsidP="0042419C">
      <w:pPr>
        <w:pStyle w:val="ListBullet"/>
        <w:numPr>
          <w:ilvl w:val="0"/>
          <w:numId w:val="0"/>
        </w:numPr>
        <w:shd w:val="clear" w:color="auto" w:fill="C7E2FA" w:themeFill="accent1" w:themeFillTint="33"/>
        <w:rPr>
          <w:rFonts w:cs="Arial"/>
        </w:rPr>
      </w:pPr>
      <w:r>
        <w:rPr>
          <w:rFonts w:cs="Arial"/>
        </w:rPr>
        <w:t>EPG</w:t>
      </w:r>
      <w:r w:rsidR="003A007F" w:rsidRPr="0055699B">
        <w:rPr>
          <w:rFonts w:cs="Arial"/>
        </w:rPr>
        <w:t xml:space="preserve"> should reduce the reliance on management plans in EPBC Approvals. </w:t>
      </w:r>
      <w:r>
        <w:rPr>
          <w:rFonts w:cs="Arial"/>
        </w:rPr>
        <w:t>EPG</w:t>
      </w:r>
      <w:r w:rsidR="003A007F" w:rsidRPr="009574E0">
        <w:rPr>
          <w:rFonts w:cs="Arial"/>
        </w:rPr>
        <w:t xml:space="preserve"> should </w:t>
      </w:r>
      <w:r w:rsidR="00CF1F9B">
        <w:rPr>
          <w:rFonts w:cs="Arial"/>
        </w:rPr>
        <w:t xml:space="preserve">initiate a working group </w:t>
      </w:r>
      <w:r w:rsidR="003A007F" w:rsidRPr="009574E0">
        <w:rPr>
          <w:rFonts w:cs="Arial"/>
        </w:rPr>
        <w:t>with Commonwealth, state and territory co</w:t>
      </w:r>
      <w:r w:rsidR="003A007F" w:rsidRPr="009574E0">
        <w:rPr>
          <w:rFonts w:cs="Arial"/>
        </w:rPr>
        <w:noBreakHyphen/>
        <w:t>regulator</w:t>
      </w:r>
      <w:r w:rsidR="003A007F">
        <w:rPr>
          <w:rFonts w:cs="Arial"/>
        </w:rPr>
        <w:t>s</w:t>
      </w:r>
      <w:r w:rsidR="003A007F" w:rsidRPr="009574E0">
        <w:rPr>
          <w:rFonts w:cs="Arial"/>
        </w:rPr>
        <w:t xml:space="preserve"> on this project</w:t>
      </w:r>
      <w:r w:rsidR="003A007F">
        <w:rPr>
          <w:rFonts w:cs="Arial"/>
        </w:rPr>
        <w:t>.</w:t>
      </w:r>
    </w:p>
    <w:p w:rsidR="003A007F" w:rsidRPr="0055699B" w:rsidRDefault="003A007F" w:rsidP="0042419C">
      <w:pPr>
        <w:pStyle w:val="ListBullet"/>
        <w:numPr>
          <w:ilvl w:val="0"/>
          <w:numId w:val="0"/>
        </w:numPr>
        <w:shd w:val="clear" w:color="auto" w:fill="C7E2FA" w:themeFill="accent1" w:themeFillTint="33"/>
        <w:rPr>
          <w:rFonts w:cs="Arial"/>
        </w:rPr>
      </w:pPr>
      <w:r w:rsidRPr="0055699B">
        <w:rPr>
          <w:rFonts w:cs="Arial"/>
        </w:rPr>
        <w:t>Conditions should only require management plans where it is not practical to specify outcome</w:t>
      </w:r>
      <w:r w:rsidR="006F1673">
        <w:rPr>
          <w:rFonts w:cs="Arial"/>
        </w:rPr>
        <w:t>s-based</w:t>
      </w:r>
      <w:r w:rsidRPr="0055699B">
        <w:rPr>
          <w:rFonts w:cs="Arial"/>
        </w:rPr>
        <w:t xml:space="preserve"> conditions that are measureable and enforceable, or where more detail is required to demonstrate that the desired outcome will be achieved.</w:t>
      </w:r>
    </w:p>
    <w:p w:rsidR="003A007F" w:rsidRPr="009574E0" w:rsidRDefault="003A007F" w:rsidP="0042419C">
      <w:pPr>
        <w:pStyle w:val="ListBullet"/>
        <w:numPr>
          <w:ilvl w:val="0"/>
          <w:numId w:val="0"/>
        </w:numPr>
        <w:shd w:val="clear" w:color="auto" w:fill="C7E2FA" w:themeFill="accent1" w:themeFillTint="33"/>
        <w:rPr>
          <w:rFonts w:cs="Arial"/>
        </w:rPr>
      </w:pPr>
      <w:r w:rsidRPr="009574E0">
        <w:rPr>
          <w:rFonts w:cs="Arial"/>
        </w:rPr>
        <w:t xml:space="preserve">Outcomes in conditions should be time-bound, measurable and enforceable, and where an outcome cannot be specified adequately, the Department should consider specifying surrogate outcomes.  </w:t>
      </w:r>
    </w:p>
    <w:p w:rsidR="00917C5C" w:rsidRDefault="003A007F" w:rsidP="0042419C">
      <w:pPr>
        <w:pStyle w:val="ListBullet"/>
        <w:numPr>
          <w:ilvl w:val="0"/>
          <w:numId w:val="0"/>
        </w:numPr>
        <w:shd w:val="clear" w:color="auto" w:fill="C7E2FA" w:themeFill="accent1" w:themeFillTint="33"/>
        <w:rPr>
          <w:rFonts w:cs="Arial"/>
        </w:rPr>
      </w:pPr>
      <w:r w:rsidRPr="009574E0">
        <w:rPr>
          <w:rFonts w:cs="Arial"/>
        </w:rPr>
        <w:t>Where there is uncertainty about the proponent’s capacity or capability to achieve an outcome</w:t>
      </w:r>
      <w:r>
        <w:rPr>
          <w:rFonts w:cs="Arial"/>
        </w:rPr>
        <w:t>,</w:t>
      </w:r>
      <w:r w:rsidRPr="009574E0">
        <w:rPr>
          <w:rFonts w:cs="Arial"/>
        </w:rPr>
        <w:t xml:space="preserve"> </w:t>
      </w:r>
      <w:r w:rsidR="00A75DFB">
        <w:rPr>
          <w:rFonts w:cs="Arial"/>
        </w:rPr>
        <w:t>EPG</w:t>
      </w:r>
      <w:r w:rsidRPr="009574E0">
        <w:rPr>
          <w:rFonts w:cs="Arial"/>
        </w:rPr>
        <w:t xml:space="preserve"> should consider using a </w:t>
      </w:r>
      <w:r>
        <w:rPr>
          <w:rFonts w:cs="Arial"/>
        </w:rPr>
        <w:t>contingent condition</w:t>
      </w:r>
      <w:r w:rsidRPr="009574E0">
        <w:rPr>
          <w:rFonts w:cs="Arial"/>
        </w:rPr>
        <w:t xml:space="preserve">. For example, this could be achieved by specifying </w:t>
      </w:r>
      <w:r w:rsidR="00917C5C">
        <w:rPr>
          <w:rFonts w:cs="Arial"/>
        </w:rPr>
        <w:t>an action to achieve an outcome, but allowing the approval holder to use a different approach if they can demonstrate to the Department that the different approach will achieve the outcome.</w:t>
      </w:r>
    </w:p>
    <w:p w:rsidR="008A3FE0" w:rsidRPr="0042419C" w:rsidRDefault="008A3FE0" w:rsidP="0042419C">
      <w:pPr>
        <w:pStyle w:val="Heading1"/>
        <w:spacing w:after="120"/>
        <w:rPr>
          <w:caps w:val="0"/>
          <w:color w:val="0B5294" w:themeColor="accent1" w:themeShade="BF"/>
          <w:sz w:val="24"/>
          <w:szCs w:val="24"/>
        </w:rPr>
      </w:pPr>
      <w:bookmarkStart w:id="26" w:name="_Toc443405163"/>
      <w:r w:rsidRPr="0042419C">
        <w:rPr>
          <w:caps w:val="0"/>
          <w:color w:val="0B5294" w:themeColor="accent1" w:themeShade="BF"/>
          <w:sz w:val="24"/>
          <w:szCs w:val="24"/>
        </w:rPr>
        <w:t>Consistent Conditions</w:t>
      </w:r>
      <w:bookmarkEnd w:id="26"/>
    </w:p>
    <w:p w:rsidR="003A007F" w:rsidRDefault="005A4278" w:rsidP="003A007F">
      <w:pPr>
        <w:pStyle w:val="ListBullet"/>
        <w:numPr>
          <w:ilvl w:val="0"/>
          <w:numId w:val="0"/>
        </w:numPr>
        <w:rPr>
          <w:rFonts w:cs="Arial"/>
        </w:rPr>
      </w:pPr>
      <w:r w:rsidRPr="005A4278">
        <w:rPr>
          <w:rFonts w:cs="Arial"/>
        </w:rPr>
        <w:t xml:space="preserve">EPBC Part </w:t>
      </w:r>
      <w:r w:rsidR="00917C5C">
        <w:rPr>
          <w:rFonts w:cs="Arial"/>
        </w:rPr>
        <w:t>9</w:t>
      </w:r>
      <w:r w:rsidR="00917C5C" w:rsidRPr="009574E0">
        <w:rPr>
          <w:rFonts w:cs="Arial"/>
        </w:rPr>
        <w:t xml:space="preserve"> </w:t>
      </w:r>
      <w:r w:rsidR="003A007F" w:rsidRPr="009574E0">
        <w:rPr>
          <w:rFonts w:cs="Arial"/>
        </w:rPr>
        <w:t xml:space="preserve">approval conditions vary greatly in number and content. To some degree this reflects the wide variety of projects approved under the </w:t>
      </w:r>
      <w:r w:rsidRPr="005A4278">
        <w:rPr>
          <w:rFonts w:cs="Arial"/>
        </w:rPr>
        <w:t>EPBC Act</w:t>
      </w:r>
      <w:r w:rsidR="003A007F" w:rsidRPr="009574E0">
        <w:rPr>
          <w:rFonts w:cs="Arial"/>
        </w:rPr>
        <w:t>, but staff</w:t>
      </w:r>
      <w:r w:rsidR="003A007F">
        <w:rPr>
          <w:rFonts w:cs="Arial"/>
        </w:rPr>
        <w:t xml:space="preserve"> also</w:t>
      </w:r>
      <w:r w:rsidR="003A007F" w:rsidRPr="009574E0">
        <w:rPr>
          <w:rFonts w:cs="Arial"/>
        </w:rPr>
        <w:t xml:space="preserve"> indicated that some differences may be due to the understanding and approach taken by </w:t>
      </w:r>
      <w:r w:rsidR="00917C5C">
        <w:rPr>
          <w:rFonts w:cs="Arial"/>
        </w:rPr>
        <w:t>different officers</w:t>
      </w:r>
      <w:r w:rsidR="003A007F" w:rsidRPr="009574E0">
        <w:rPr>
          <w:rFonts w:cs="Arial"/>
        </w:rPr>
        <w:t>. An inconsistent approach to conditioning is frustrating for stakeholders and creates potential problems with compliance and enforceability. To address this issue</w:t>
      </w:r>
      <w:r w:rsidR="003A007F">
        <w:rPr>
          <w:rFonts w:cs="Arial"/>
        </w:rPr>
        <w:t>,</w:t>
      </w:r>
      <w:r w:rsidR="003A007F" w:rsidRPr="009574E0">
        <w:rPr>
          <w:rFonts w:cs="Arial"/>
        </w:rPr>
        <w:t xml:space="preserve"> ESD has developed template administrative conditions which are attached to most approvals. These are currently under review. ESD is also considering opportunities to develop further model conditions</w:t>
      </w:r>
      <w:r w:rsidR="003A007F">
        <w:rPr>
          <w:rFonts w:cs="Arial"/>
        </w:rPr>
        <w:t>, and are currently focussing on developing model outcomes</w:t>
      </w:r>
      <w:r w:rsidR="00917C5C">
        <w:rPr>
          <w:rFonts w:cs="Arial"/>
        </w:rPr>
        <w:t>-</w:t>
      </w:r>
      <w:r w:rsidR="003A007F">
        <w:rPr>
          <w:rFonts w:cs="Arial"/>
        </w:rPr>
        <w:t>based conditions</w:t>
      </w:r>
      <w:r w:rsidR="003A007F" w:rsidRPr="009574E0">
        <w:rPr>
          <w:rFonts w:cs="Arial"/>
        </w:rPr>
        <w:t xml:space="preserve">. WHaM </w:t>
      </w:r>
      <w:r w:rsidR="00CF1F9B">
        <w:rPr>
          <w:rFonts w:cs="Arial"/>
        </w:rPr>
        <w:t xml:space="preserve">has </w:t>
      </w:r>
      <w:r w:rsidR="003A007F" w:rsidRPr="009574E0">
        <w:rPr>
          <w:rFonts w:cs="Arial"/>
        </w:rPr>
        <w:t>developed standard and model conditions for particular categories of wildlife trade permits, though these are not publicly available.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212"/>
      </w:tblGrid>
      <w:tr w:rsidR="003A007F" w:rsidRPr="009574E0" w:rsidTr="0042419C">
        <w:trPr>
          <w:cnfStyle w:val="100000000000" w:firstRow="1" w:lastRow="0" w:firstColumn="0" w:lastColumn="0" w:oddVBand="0" w:evenVBand="0" w:oddHBand="0" w:evenHBand="0" w:firstRowFirstColumn="0" w:firstRowLastColumn="0" w:lastRowFirstColumn="0" w:lastRowLastColumn="0"/>
        </w:trPr>
        <w:tc>
          <w:tcPr>
            <w:tcW w:w="9242" w:type="dxa"/>
            <w:tcBorders>
              <w:top w:val="nil"/>
              <w:left w:val="nil"/>
              <w:bottom w:val="nil"/>
              <w:right w:val="nil"/>
            </w:tcBorders>
            <w:shd w:val="clear" w:color="auto" w:fill="C7E2FA" w:themeFill="accent1" w:themeFillTint="33"/>
          </w:tcPr>
          <w:p w:rsidR="003A007F" w:rsidRPr="003E0E30" w:rsidRDefault="003A007F" w:rsidP="0042419C">
            <w:pPr>
              <w:pStyle w:val="ListBullet"/>
              <w:numPr>
                <w:ilvl w:val="0"/>
                <w:numId w:val="0"/>
              </w:numPr>
              <w:spacing w:before="240"/>
              <w:rPr>
                <w:rFonts w:cs="Arial"/>
                <w:b/>
              </w:rPr>
            </w:pPr>
            <w:r w:rsidRPr="003E0E30">
              <w:rPr>
                <w:rFonts w:cs="Arial"/>
                <w:b/>
              </w:rPr>
              <w:t xml:space="preserve">Recommendation </w:t>
            </w:r>
            <w:r w:rsidR="004365C5">
              <w:rPr>
                <w:rFonts w:cs="Arial"/>
                <w:b/>
              </w:rPr>
              <w:t>2</w:t>
            </w:r>
            <w:r w:rsidRPr="003E0E30">
              <w:rPr>
                <w:rFonts w:cs="Arial"/>
                <w:b/>
              </w:rPr>
              <w:t>.6 (</w:t>
            </w:r>
            <w:r w:rsidR="004365C5">
              <w:rPr>
                <w:rFonts w:cs="Arial"/>
                <w:b/>
              </w:rPr>
              <w:t>Consistent conditions)</w:t>
            </w:r>
          </w:p>
          <w:p w:rsidR="003A007F" w:rsidRPr="00A26037" w:rsidRDefault="004365C5" w:rsidP="003A007F">
            <w:pPr>
              <w:pStyle w:val="ListBullet"/>
              <w:numPr>
                <w:ilvl w:val="0"/>
                <w:numId w:val="0"/>
              </w:numPr>
              <w:rPr>
                <w:rFonts w:cs="Arial"/>
                <w:i/>
              </w:rPr>
            </w:pPr>
            <w:r w:rsidRPr="00A26037">
              <w:rPr>
                <w:rFonts w:cs="Arial"/>
                <w:i/>
              </w:rPr>
              <w:t>Importance:</w:t>
            </w:r>
            <w:r w:rsidR="00A75DFB">
              <w:rPr>
                <w:rFonts w:cs="Arial"/>
                <w:i/>
              </w:rPr>
              <w:t xml:space="preserve"> </w:t>
            </w:r>
            <w:r w:rsidR="00A75DFB">
              <w:rPr>
                <w:rFonts w:cs="Arial"/>
              </w:rPr>
              <w:t>3</w:t>
            </w:r>
          </w:p>
          <w:p w:rsidR="004365C5" w:rsidRPr="004365C5" w:rsidRDefault="004365C5" w:rsidP="003A007F">
            <w:pPr>
              <w:pStyle w:val="ListBullet"/>
              <w:numPr>
                <w:ilvl w:val="0"/>
                <w:numId w:val="0"/>
              </w:numPr>
              <w:rPr>
                <w:rFonts w:cs="Arial"/>
                <w:i/>
              </w:rPr>
            </w:pPr>
            <w:r w:rsidRPr="00A26037">
              <w:rPr>
                <w:rFonts w:cs="Arial"/>
                <w:i/>
              </w:rPr>
              <w:t>Timing:</w:t>
            </w:r>
            <w:r w:rsidR="00A75DFB">
              <w:rPr>
                <w:rFonts w:cs="Arial"/>
              </w:rPr>
              <w:t xml:space="preserve"> 3</w:t>
            </w:r>
          </w:p>
          <w:p w:rsidR="003A007F" w:rsidRPr="009574E0" w:rsidRDefault="00917C5C" w:rsidP="003A007F">
            <w:pPr>
              <w:pStyle w:val="ListBullet"/>
              <w:numPr>
                <w:ilvl w:val="0"/>
                <w:numId w:val="0"/>
              </w:numPr>
              <w:rPr>
                <w:rFonts w:cs="Arial"/>
              </w:rPr>
            </w:pPr>
            <w:r>
              <w:rPr>
                <w:rFonts w:cs="Arial"/>
              </w:rPr>
              <w:t>EPG</w:t>
            </w:r>
            <w:r w:rsidR="003A007F" w:rsidRPr="009574E0">
              <w:rPr>
                <w:rFonts w:cs="Arial"/>
              </w:rPr>
              <w:t xml:space="preserve"> should develop model conditions (to be tailored to particular projects) for key areas of environmental regulation. Where possible</w:t>
            </w:r>
            <w:r>
              <w:rPr>
                <w:rFonts w:cs="Arial"/>
              </w:rPr>
              <w:t>,</w:t>
            </w:r>
            <w:r w:rsidR="003A007F" w:rsidRPr="009574E0">
              <w:rPr>
                <w:rFonts w:cs="Arial"/>
              </w:rPr>
              <w:t xml:space="preserve"> these conditions should be outcomes</w:t>
            </w:r>
            <w:r>
              <w:rPr>
                <w:rFonts w:cs="Arial"/>
              </w:rPr>
              <w:t>-</w:t>
            </w:r>
            <w:r w:rsidR="003A007F" w:rsidRPr="009574E0">
              <w:rPr>
                <w:rFonts w:cs="Arial"/>
              </w:rPr>
              <w:t xml:space="preserve">based (see </w:t>
            </w:r>
            <w:r w:rsidR="000E4266">
              <w:rPr>
                <w:rFonts w:cs="Arial"/>
                <w:i/>
              </w:rPr>
              <w:t>Recommendation 2.5 (Consistent Outcomes Focused Conditions)</w:t>
            </w:r>
            <w:r w:rsidR="003A007F" w:rsidRPr="009574E0">
              <w:rPr>
                <w:rFonts w:cs="Arial"/>
              </w:rPr>
              <w:t>).</w:t>
            </w:r>
          </w:p>
          <w:p w:rsidR="003A007F" w:rsidRPr="009574E0" w:rsidRDefault="003A007F" w:rsidP="003A007F">
            <w:pPr>
              <w:pStyle w:val="ListBullet"/>
              <w:numPr>
                <w:ilvl w:val="0"/>
                <w:numId w:val="0"/>
              </w:numPr>
              <w:rPr>
                <w:rFonts w:cs="Arial"/>
              </w:rPr>
            </w:pPr>
            <w:r w:rsidRPr="009574E0">
              <w:rPr>
                <w:rFonts w:cs="Arial"/>
              </w:rPr>
              <w:lastRenderedPageBreak/>
              <w:t>Model conditions should be agreed by the relevant assessment</w:t>
            </w:r>
            <w:r w:rsidR="00A6701B">
              <w:rPr>
                <w:rFonts w:cs="Arial"/>
              </w:rPr>
              <w:t xml:space="preserve"> and </w:t>
            </w:r>
            <w:r w:rsidRPr="009574E0">
              <w:rPr>
                <w:rFonts w:cs="Arial"/>
              </w:rPr>
              <w:t xml:space="preserve">approval areas, the Compliance and Enforcement Branch and the General Counsel Branch. </w:t>
            </w:r>
          </w:p>
          <w:p w:rsidR="003A007F" w:rsidRPr="009574E0" w:rsidRDefault="003A007F" w:rsidP="003A007F">
            <w:pPr>
              <w:pStyle w:val="ListBullet"/>
              <w:numPr>
                <w:ilvl w:val="0"/>
                <w:numId w:val="0"/>
              </w:numPr>
              <w:rPr>
                <w:rFonts w:cs="Arial"/>
              </w:rPr>
            </w:pPr>
            <w:r w:rsidRPr="009574E0">
              <w:rPr>
                <w:rFonts w:cs="Arial"/>
              </w:rPr>
              <w:t>Model conditions should be publicly available with an explanation of how and when they will be used.</w:t>
            </w:r>
          </w:p>
          <w:p w:rsidR="003A007F" w:rsidRPr="009574E0" w:rsidRDefault="003A007F" w:rsidP="00345736">
            <w:pPr>
              <w:pStyle w:val="ListBullet"/>
              <w:numPr>
                <w:ilvl w:val="0"/>
                <w:numId w:val="0"/>
              </w:numPr>
              <w:pBdr>
                <w:left w:val="single" w:sz="4" w:space="4" w:color="auto"/>
                <w:right w:val="single" w:sz="4" w:space="4" w:color="auto"/>
              </w:pBdr>
              <w:rPr>
                <w:rFonts w:cs="Arial"/>
              </w:rPr>
            </w:pPr>
            <w:r w:rsidRPr="0055699B">
              <w:rPr>
                <w:rFonts w:cs="Arial"/>
              </w:rPr>
              <w:t>ESD should continue to develop and implement training and support for staff on the conditions policies, with clear messaging about the reasons and need for adoption. ESD should monitor the implementation of the polic</w:t>
            </w:r>
            <w:r w:rsidR="00E366CB">
              <w:rPr>
                <w:rFonts w:cs="Arial"/>
              </w:rPr>
              <w:t>ies</w:t>
            </w:r>
            <w:r w:rsidRPr="0055699B">
              <w:rPr>
                <w:rFonts w:cs="Arial"/>
              </w:rPr>
              <w:t xml:space="preserve"> by reviewing approval decisions at regular intervals</w:t>
            </w:r>
            <w:r w:rsidR="00345736">
              <w:rPr>
                <w:rFonts w:cs="Arial"/>
              </w:rPr>
              <w:t xml:space="preserve"> - f</w:t>
            </w:r>
            <w:r w:rsidRPr="0055699B">
              <w:rPr>
                <w:rFonts w:cs="Arial"/>
              </w:rPr>
              <w:t xml:space="preserve">or example, at six-month intervals until the Department is satisfied that policies have become common practice in the Department. </w:t>
            </w:r>
          </w:p>
        </w:tc>
      </w:tr>
    </w:tbl>
    <w:p w:rsidR="0042419C" w:rsidRDefault="0042419C" w:rsidP="0042419C">
      <w:pPr>
        <w:pStyle w:val="Heading1"/>
        <w:spacing w:after="120"/>
        <w:rPr>
          <w:caps w:val="0"/>
          <w:color w:val="089BA2" w:themeColor="accent3" w:themeShade="BF"/>
          <w:sz w:val="24"/>
          <w:szCs w:val="24"/>
        </w:rPr>
      </w:pPr>
    </w:p>
    <w:p w:rsidR="003A007F" w:rsidRPr="0042419C" w:rsidRDefault="003A007F" w:rsidP="0042419C">
      <w:pPr>
        <w:pStyle w:val="Heading1"/>
        <w:spacing w:after="120"/>
        <w:rPr>
          <w:caps w:val="0"/>
          <w:color w:val="0B5294" w:themeColor="accent1" w:themeShade="BF"/>
          <w:sz w:val="24"/>
          <w:szCs w:val="24"/>
        </w:rPr>
      </w:pPr>
      <w:bookmarkStart w:id="27" w:name="_Toc443405164"/>
      <w:r w:rsidRPr="0042419C">
        <w:rPr>
          <w:caps w:val="0"/>
          <w:color w:val="0B5294" w:themeColor="accent1" w:themeShade="BF"/>
          <w:sz w:val="24"/>
          <w:szCs w:val="24"/>
        </w:rPr>
        <w:t xml:space="preserve">Responsibility for </w:t>
      </w:r>
      <w:r w:rsidR="00A437AB">
        <w:rPr>
          <w:caps w:val="0"/>
          <w:color w:val="0B5294" w:themeColor="accent1" w:themeShade="BF"/>
          <w:sz w:val="24"/>
          <w:szCs w:val="24"/>
        </w:rPr>
        <w:t>p</w:t>
      </w:r>
      <w:r w:rsidR="00A437AB" w:rsidRPr="0042419C">
        <w:rPr>
          <w:caps w:val="0"/>
          <w:color w:val="0B5294" w:themeColor="accent1" w:themeShade="BF"/>
          <w:sz w:val="24"/>
          <w:szCs w:val="24"/>
        </w:rPr>
        <w:t>ost</w:t>
      </w:r>
      <w:r w:rsidRPr="0042419C">
        <w:rPr>
          <w:caps w:val="0"/>
          <w:color w:val="0B5294" w:themeColor="accent1" w:themeShade="BF"/>
          <w:sz w:val="24"/>
          <w:szCs w:val="24"/>
        </w:rPr>
        <w:t>-approvals functions for environmental impact approvals</w:t>
      </w:r>
      <w:bookmarkEnd w:id="27"/>
    </w:p>
    <w:p w:rsidR="00A437AB" w:rsidRDefault="00982741" w:rsidP="003A007F">
      <w:pPr>
        <w:pStyle w:val="ListBullet"/>
        <w:numPr>
          <w:ilvl w:val="0"/>
          <w:numId w:val="0"/>
        </w:numPr>
        <w:rPr>
          <w:rFonts w:cs="Arial"/>
        </w:rPr>
      </w:pPr>
      <w:r>
        <w:rPr>
          <w:rFonts w:cs="Arial"/>
        </w:rPr>
        <w:t>In ESD, the approval of management plans and the varying of approval conditions is not undertaken by the same area that sets</w:t>
      </w:r>
      <w:r w:rsidR="00A437AB">
        <w:rPr>
          <w:rFonts w:cs="Arial"/>
        </w:rPr>
        <w:t xml:space="preserve"> the</w:t>
      </w:r>
      <w:r>
        <w:rPr>
          <w:rFonts w:cs="Arial"/>
        </w:rPr>
        <w:t xml:space="preserve"> approval conditions and requires </w:t>
      </w:r>
      <w:r w:rsidR="00A437AB">
        <w:rPr>
          <w:rFonts w:cs="Arial"/>
        </w:rPr>
        <w:t xml:space="preserve">the </w:t>
      </w:r>
      <w:r>
        <w:rPr>
          <w:rFonts w:cs="Arial"/>
        </w:rPr>
        <w:t xml:space="preserve">management plans. </w:t>
      </w:r>
      <w:r w:rsidR="003A007F">
        <w:rPr>
          <w:rFonts w:cs="Arial"/>
        </w:rPr>
        <w:t xml:space="preserve">This can create </w:t>
      </w:r>
      <w:r w:rsidR="00A437AB">
        <w:rPr>
          <w:rFonts w:cs="Arial"/>
        </w:rPr>
        <w:t>inefficiencies</w:t>
      </w:r>
      <w:r>
        <w:rPr>
          <w:rFonts w:cs="Arial"/>
        </w:rPr>
        <w:t xml:space="preserve"> by requiring new officers to become familiar with the relevant project and approval holder, and to </w:t>
      </w:r>
      <w:r w:rsidR="003A007F">
        <w:rPr>
          <w:rFonts w:cs="Arial"/>
        </w:rPr>
        <w:t>understand the intent of</w:t>
      </w:r>
      <w:r>
        <w:rPr>
          <w:rFonts w:cs="Arial"/>
        </w:rPr>
        <w:t xml:space="preserve"> a </w:t>
      </w:r>
      <w:r w:rsidR="003A007F">
        <w:rPr>
          <w:rFonts w:cs="Arial"/>
        </w:rPr>
        <w:t>requir</w:t>
      </w:r>
      <w:r>
        <w:rPr>
          <w:rFonts w:cs="Arial"/>
        </w:rPr>
        <w:t>ed</w:t>
      </w:r>
      <w:r w:rsidR="003A007F">
        <w:rPr>
          <w:rFonts w:cs="Arial"/>
        </w:rPr>
        <w:t xml:space="preserve"> management plan. </w:t>
      </w:r>
    </w:p>
    <w:p w:rsidR="00CD6C7A" w:rsidRDefault="00A437AB">
      <w:pPr>
        <w:contextualSpacing/>
        <w:rPr>
          <w:rFonts w:cs="Arial"/>
        </w:rPr>
      </w:pPr>
      <w:r>
        <w:rPr>
          <w:rFonts w:cs="Arial"/>
        </w:rPr>
        <w:t>To address this issue, ESD</w:t>
      </w:r>
      <w:r w:rsidRPr="00610B87">
        <w:rPr>
          <w:rFonts w:cs="Arial"/>
        </w:rPr>
        <w:t xml:space="preserve"> should move t</w:t>
      </w:r>
      <w:r>
        <w:rPr>
          <w:rFonts w:cs="Arial"/>
        </w:rPr>
        <w:t xml:space="preserve">he responsibility for </w:t>
      </w:r>
      <w:r w:rsidR="005A4278" w:rsidRPr="005A4278">
        <w:rPr>
          <w:rFonts w:cs="Arial"/>
        </w:rPr>
        <w:t>EPBC</w:t>
      </w:r>
      <w:r w:rsidRPr="00A437AB">
        <w:rPr>
          <w:rFonts w:cs="Arial"/>
        </w:rPr>
        <w:t xml:space="preserve"> </w:t>
      </w:r>
      <w:r>
        <w:rPr>
          <w:rFonts w:cs="Arial"/>
        </w:rPr>
        <w:t>post-</w:t>
      </w:r>
      <w:r w:rsidRPr="00610B87">
        <w:rPr>
          <w:rFonts w:cs="Arial"/>
        </w:rPr>
        <w:t xml:space="preserve">approval work from the Compliance and Enforcement Branch to the relevant </w:t>
      </w:r>
      <w:r w:rsidR="005A4278" w:rsidRPr="005A4278">
        <w:rPr>
          <w:rFonts w:cs="Arial"/>
        </w:rPr>
        <w:t>EPBC</w:t>
      </w:r>
      <w:r w:rsidRPr="00610B87">
        <w:rPr>
          <w:rFonts w:cs="Arial"/>
        </w:rPr>
        <w:t xml:space="preserve"> assessment branches.</w:t>
      </w:r>
      <w:r>
        <w:rPr>
          <w:rFonts w:cs="Arial"/>
        </w:rPr>
        <w:t xml:space="preserve"> </w:t>
      </w:r>
      <w:r w:rsidR="003A007F">
        <w:rPr>
          <w:rFonts w:cs="Arial"/>
        </w:rPr>
        <w:t>This will establish and maintain a critical</w:t>
      </w:r>
      <w:r w:rsidR="003A007F" w:rsidRPr="00706701">
        <w:rPr>
          <w:rFonts w:cs="Arial"/>
        </w:rPr>
        <w:t xml:space="preserve"> </w:t>
      </w:r>
      <w:r w:rsidR="003A007F">
        <w:rPr>
          <w:rFonts w:cs="Arial"/>
        </w:rPr>
        <w:t xml:space="preserve">feedback loop that will allow officers in the assessment branches to better understand the post-approval process and </w:t>
      </w:r>
      <w:r w:rsidR="004365C5">
        <w:rPr>
          <w:rFonts w:cs="Arial"/>
        </w:rPr>
        <w:t>incorporate</w:t>
      </w:r>
      <w:r w:rsidR="003A007F">
        <w:rPr>
          <w:rFonts w:cs="Arial"/>
        </w:rPr>
        <w:t xml:space="preserve"> lessons learnt.</w:t>
      </w:r>
      <w:r w:rsidR="006740FB">
        <w:rPr>
          <w:rFonts w:cs="Arial"/>
        </w:rPr>
        <w:t xml:space="preserve"> The workload associated with this function should reduce over time, as conditions become outcomes-focused (see </w:t>
      </w:r>
      <w:r w:rsidR="006740FB">
        <w:rPr>
          <w:rFonts w:cs="Arial"/>
          <w:i/>
        </w:rPr>
        <w:t>Recommendation 2.6</w:t>
      </w:r>
      <w:r w:rsidR="00E366CB">
        <w:rPr>
          <w:rFonts w:cs="Arial"/>
          <w:i/>
        </w:rPr>
        <w:t xml:space="preserve"> (Consistent conditions)</w:t>
      </w:r>
      <w:r w:rsidR="006740FB">
        <w:rPr>
          <w:rFonts w:cs="Arial"/>
        </w:rPr>
        <w:t>).</w:t>
      </w:r>
    </w:p>
    <w:p w:rsidR="00CD6C7A" w:rsidRDefault="00CD6C7A">
      <w:pPr>
        <w:contextualSpacing/>
        <w:rPr>
          <w:rFonts w:cs="Arial"/>
        </w:rPr>
      </w:pPr>
    </w:p>
    <w:p w:rsidR="00CD6C7A" w:rsidRDefault="003A007F">
      <w:pPr>
        <w:contextualSpacing/>
        <w:rPr>
          <w:rFonts w:cs="Arial"/>
        </w:rPr>
      </w:pPr>
      <w:r>
        <w:rPr>
          <w:rFonts w:cs="Arial"/>
        </w:rPr>
        <w:t xml:space="preserve">There is a risk that statutory timeframe pressures for </w:t>
      </w:r>
      <w:r w:rsidR="00A437AB">
        <w:rPr>
          <w:rFonts w:cs="Arial"/>
        </w:rPr>
        <w:t xml:space="preserve">assessment work </w:t>
      </w:r>
      <w:r>
        <w:rPr>
          <w:rFonts w:cs="Arial"/>
        </w:rPr>
        <w:t xml:space="preserve">may result in de-prioritising </w:t>
      </w:r>
      <w:r w:rsidR="00A437AB">
        <w:rPr>
          <w:rFonts w:cs="Arial"/>
        </w:rPr>
        <w:t xml:space="preserve">review and </w:t>
      </w:r>
      <w:r>
        <w:rPr>
          <w:rFonts w:cs="Arial"/>
        </w:rPr>
        <w:t xml:space="preserve">approval of management plans, causing greater delays. </w:t>
      </w:r>
      <w:r w:rsidR="00A437AB">
        <w:rPr>
          <w:rFonts w:cs="Arial"/>
        </w:rPr>
        <w:t>However, t</w:t>
      </w:r>
      <w:r>
        <w:rPr>
          <w:rFonts w:cs="Arial"/>
        </w:rPr>
        <w:t xml:space="preserve">his could be </w:t>
      </w:r>
      <w:r w:rsidR="00CF1F9B">
        <w:rPr>
          <w:rFonts w:cs="Arial"/>
        </w:rPr>
        <w:t xml:space="preserve">managed </w:t>
      </w:r>
      <w:r>
        <w:rPr>
          <w:rFonts w:cs="Arial"/>
        </w:rPr>
        <w:t>by setting and reporting on timeframes for the approval of management plans</w:t>
      </w:r>
      <w:r w:rsidR="00A437AB">
        <w:rPr>
          <w:rFonts w:cs="Arial"/>
        </w:rPr>
        <w:t>.</w:t>
      </w:r>
      <w:r>
        <w:rPr>
          <w:rFonts w:cs="Arial"/>
        </w:rPr>
        <w:t xml:space="preserve">  </w:t>
      </w:r>
    </w:p>
    <w:tbl>
      <w:tblPr>
        <w:tblStyle w:val="TableGrid"/>
        <w:tblW w:w="0" w:type="auto"/>
        <w:tblLook w:val="04A0" w:firstRow="1" w:lastRow="0" w:firstColumn="1" w:lastColumn="0" w:noHBand="0" w:noVBand="1"/>
      </w:tblPr>
      <w:tblGrid>
        <w:gridCol w:w="9212"/>
      </w:tblGrid>
      <w:tr w:rsidR="003A007F" w:rsidTr="0042419C">
        <w:trPr>
          <w:cnfStyle w:val="100000000000" w:firstRow="1" w:lastRow="0" w:firstColumn="0" w:lastColumn="0" w:oddVBand="0" w:evenVBand="0" w:oddHBand="0" w:evenHBand="0" w:firstRowFirstColumn="0" w:firstRowLastColumn="0" w:lastRowFirstColumn="0" w:lastRowLastColumn="0"/>
        </w:trPr>
        <w:tc>
          <w:tcPr>
            <w:tcW w:w="9242" w:type="dxa"/>
            <w:tcBorders>
              <w:top w:val="nil"/>
              <w:left w:val="nil"/>
              <w:bottom w:val="nil"/>
              <w:right w:val="nil"/>
            </w:tcBorders>
            <w:shd w:val="clear" w:color="auto" w:fill="C7E2FA" w:themeFill="accent1" w:themeFillTint="33"/>
          </w:tcPr>
          <w:p w:rsidR="003A007F" w:rsidRPr="004365C5" w:rsidRDefault="003A007F" w:rsidP="0042419C">
            <w:pPr>
              <w:pStyle w:val="Heading2"/>
              <w:spacing w:before="240"/>
              <w:outlineLvl w:val="1"/>
            </w:pPr>
            <w:bookmarkStart w:id="28" w:name="_Toc442970840"/>
            <w:bookmarkStart w:id="29" w:name="_Toc443039984"/>
            <w:bookmarkStart w:id="30" w:name="_Toc443405165"/>
            <w:r w:rsidRPr="004365C5">
              <w:t xml:space="preserve">Recommendation </w:t>
            </w:r>
            <w:r w:rsidR="004365C5" w:rsidRPr="004365C5">
              <w:t>2</w:t>
            </w:r>
            <w:r w:rsidRPr="004365C5">
              <w:t>.7</w:t>
            </w:r>
            <w:r w:rsidRPr="00610B87">
              <w:rPr>
                <w:b w:val="0"/>
              </w:rPr>
              <w:t xml:space="preserve"> (</w:t>
            </w:r>
            <w:r w:rsidR="004365C5" w:rsidRPr="00EC7468">
              <w:t xml:space="preserve">Responsibility for </w:t>
            </w:r>
            <w:r w:rsidR="00A437AB">
              <w:t>p</w:t>
            </w:r>
            <w:r w:rsidR="00A437AB" w:rsidRPr="00EC7468">
              <w:t>ost</w:t>
            </w:r>
            <w:r w:rsidR="004365C5" w:rsidRPr="00EC7468">
              <w:t>-approvals functions for environmental impact approvals</w:t>
            </w:r>
            <w:r w:rsidR="004365C5">
              <w:t>)</w:t>
            </w:r>
            <w:bookmarkEnd w:id="28"/>
            <w:bookmarkEnd w:id="29"/>
            <w:bookmarkEnd w:id="30"/>
          </w:p>
          <w:p w:rsidR="004365C5" w:rsidRPr="00A75DFB" w:rsidRDefault="004365C5" w:rsidP="003A007F">
            <w:pPr>
              <w:pStyle w:val="ListBullet"/>
              <w:numPr>
                <w:ilvl w:val="0"/>
                <w:numId w:val="0"/>
              </w:numPr>
              <w:rPr>
                <w:rFonts w:cs="Arial"/>
              </w:rPr>
            </w:pPr>
            <w:r w:rsidRPr="00A26037">
              <w:rPr>
                <w:rFonts w:cs="Arial"/>
                <w:i/>
              </w:rPr>
              <w:t>Importance:</w:t>
            </w:r>
            <w:r w:rsidR="00A26037" w:rsidRPr="00A26037">
              <w:rPr>
                <w:rFonts w:cs="Arial"/>
                <w:i/>
              </w:rPr>
              <w:t xml:space="preserve"> </w:t>
            </w:r>
            <w:r w:rsidR="00A26037" w:rsidRPr="00A75DFB">
              <w:rPr>
                <w:rFonts w:cs="Arial"/>
              </w:rPr>
              <w:t>2</w:t>
            </w:r>
          </w:p>
          <w:p w:rsidR="004365C5" w:rsidRPr="004365C5" w:rsidRDefault="004365C5" w:rsidP="003A007F">
            <w:pPr>
              <w:pStyle w:val="ListBullet"/>
              <w:numPr>
                <w:ilvl w:val="0"/>
                <w:numId w:val="0"/>
              </w:numPr>
              <w:rPr>
                <w:rFonts w:cs="Arial"/>
                <w:i/>
              </w:rPr>
            </w:pPr>
            <w:r w:rsidRPr="00A26037">
              <w:rPr>
                <w:rFonts w:cs="Arial"/>
                <w:i/>
              </w:rPr>
              <w:t>Timing</w:t>
            </w:r>
            <w:r w:rsidRPr="00F105E8">
              <w:rPr>
                <w:rFonts w:cs="Arial"/>
                <w:i/>
              </w:rPr>
              <w:t>:</w:t>
            </w:r>
            <w:r w:rsidR="00A75DFB">
              <w:rPr>
                <w:rFonts w:cs="Arial"/>
                <w:i/>
              </w:rPr>
              <w:t xml:space="preserve"> </w:t>
            </w:r>
            <w:r w:rsidR="005A4278" w:rsidRPr="005A4278">
              <w:rPr>
                <w:rFonts w:cs="Arial"/>
              </w:rPr>
              <w:t>1</w:t>
            </w:r>
          </w:p>
          <w:p w:rsidR="003A007F" w:rsidRDefault="00A437AB" w:rsidP="003A007F">
            <w:pPr>
              <w:contextualSpacing/>
              <w:rPr>
                <w:rFonts w:cs="Arial"/>
              </w:rPr>
            </w:pPr>
            <w:r>
              <w:rPr>
                <w:rFonts w:cs="Arial"/>
              </w:rPr>
              <w:t>ESD</w:t>
            </w:r>
            <w:r w:rsidRPr="00610B87">
              <w:rPr>
                <w:rFonts w:cs="Arial"/>
              </w:rPr>
              <w:t xml:space="preserve"> </w:t>
            </w:r>
            <w:r w:rsidR="003A007F" w:rsidRPr="00610B87">
              <w:rPr>
                <w:rFonts w:cs="Arial"/>
              </w:rPr>
              <w:t>should move t</w:t>
            </w:r>
            <w:r w:rsidR="003A007F">
              <w:rPr>
                <w:rFonts w:cs="Arial"/>
              </w:rPr>
              <w:t xml:space="preserve">he responsibility for </w:t>
            </w:r>
            <w:r w:rsidR="005A4278" w:rsidRPr="005A4278">
              <w:rPr>
                <w:rFonts w:cs="Arial"/>
              </w:rPr>
              <w:t>EPBC</w:t>
            </w:r>
            <w:r w:rsidR="003A007F" w:rsidRPr="00A437AB">
              <w:rPr>
                <w:rFonts w:cs="Arial"/>
              </w:rPr>
              <w:t xml:space="preserve"> </w:t>
            </w:r>
            <w:r w:rsidR="003A007F">
              <w:rPr>
                <w:rFonts w:cs="Arial"/>
              </w:rPr>
              <w:t>post-</w:t>
            </w:r>
            <w:r w:rsidR="003A007F" w:rsidRPr="00610B87">
              <w:rPr>
                <w:rFonts w:cs="Arial"/>
              </w:rPr>
              <w:t xml:space="preserve">approval work from the Compliance and Enforcement Branch to the relevant </w:t>
            </w:r>
            <w:r w:rsidR="005A4278" w:rsidRPr="005A4278">
              <w:rPr>
                <w:rFonts w:cs="Arial"/>
              </w:rPr>
              <w:t>EPBC</w:t>
            </w:r>
            <w:r w:rsidR="003A007F" w:rsidRPr="00610B87">
              <w:rPr>
                <w:rFonts w:cs="Arial"/>
              </w:rPr>
              <w:t xml:space="preserve"> assessment branches</w:t>
            </w:r>
            <w:r w:rsidR="00401631">
              <w:rPr>
                <w:rFonts w:cs="Arial"/>
              </w:rPr>
              <w:t xml:space="preserve"> (</w:t>
            </w:r>
            <w:r w:rsidR="00A86C46">
              <w:rPr>
                <w:rFonts w:cs="Arial"/>
              </w:rPr>
              <w:t xml:space="preserve">(see also </w:t>
            </w:r>
            <w:r w:rsidR="00A86C46">
              <w:rPr>
                <w:rFonts w:cs="Arial"/>
                <w:i/>
              </w:rPr>
              <w:t>Recommendation 2.5 (Outcomes focused conditions)</w:t>
            </w:r>
            <w:r w:rsidR="00A86C46">
              <w:rPr>
                <w:rFonts w:cs="Arial"/>
              </w:rPr>
              <w:t xml:space="preserve"> on reducing EPG’s reliance on management plans in EPBC approvals including the Commonwealth initiating a working group with States and Territories on this issue )</w:t>
            </w:r>
          </w:p>
          <w:p w:rsidR="003A007F" w:rsidRDefault="003A007F" w:rsidP="003A007F">
            <w:pPr>
              <w:contextualSpacing/>
              <w:rPr>
                <w:rFonts w:cs="Arial"/>
              </w:rPr>
            </w:pPr>
            <w:r>
              <w:rPr>
                <w:rFonts w:cs="Arial"/>
              </w:rPr>
              <w:t xml:space="preserve">ESD should monitor the timeframes for approving management plans, and if there is a significant increase consider setting and publishing target timeframes for this process.  </w:t>
            </w:r>
          </w:p>
          <w:p w:rsidR="003A007F" w:rsidRDefault="003A007F" w:rsidP="003A007F">
            <w:pPr>
              <w:contextualSpacing/>
              <w:rPr>
                <w:rFonts w:cs="Arial"/>
              </w:rPr>
            </w:pPr>
          </w:p>
          <w:p w:rsidR="003A007F" w:rsidRDefault="003A007F" w:rsidP="00A437AB">
            <w:pPr>
              <w:contextualSpacing/>
              <w:rPr>
                <w:rFonts w:cs="Arial"/>
                <w:b/>
                <w:color w:val="0B5294" w:themeColor="accent1" w:themeShade="BF"/>
                <w:sz w:val="32"/>
                <w:szCs w:val="32"/>
              </w:rPr>
            </w:pPr>
            <w:r>
              <w:rPr>
                <w:rFonts w:cs="Arial"/>
              </w:rPr>
              <w:t>The ESD executive should also note the importance of maintaining strong linkages between the assessment branches and the compliance areas to ensure gaps between these areas are not created or exacerbated</w:t>
            </w:r>
            <w:r w:rsidR="00797C11">
              <w:rPr>
                <w:rFonts w:cs="Arial"/>
              </w:rPr>
              <w:t>.</w:t>
            </w:r>
          </w:p>
        </w:tc>
      </w:tr>
    </w:tbl>
    <w:p w:rsidR="003A007F" w:rsidRDefault="003A007F" w:rsidP="003A007F">
      <w:pPr>
        <w:pStyle w:val="ListBullet"/>
        <w:numPr>
          <w:ilvl w:val="0"/>
          <w:numId w:val="0"/>
        </w:numPr>
        <w:rPr>
          <w:rFonts w:cs="Arial"/>
        </w:rPr>
      </w:pPr>
    </w:p>
    <w:p w:rsidR="004365C5" w:rsidRPr="0042419C" w:rsidRDefault="004365C5" w:rsidP="0042419C">
      <w:pPr>
        <w:pStyle w:val="Heading1"/>
        <w:spacing w:after="120"/>
        <w:rPr>
          <w:caps w:val="0"/>
          <w:color w:val="0B5294" w:themeColor="accent1" w:themeShade="BF"/>
          <w:sz w:val="24"/>
          <w:szCs w:val="24"/>
        </w:rPr>
      </w:pPr>
      <w:bookmarkStart w:id="31" w:name="_Toc443405166"/>
      <w:r w:rsidRPr="0042419C">
        <w:rPr>
          <w:caps w:val="0"/>
          <w:color w:val="0B5294" w:themeColor="accent1" w:themeShade="BF"/>
          <w:sz w:val="24"/>
          <w:szCs w:val="24"/>
        </w:rPr>
        <w:lastRenderedPageBreak/>
        <w:t>Making it easier to comply through consistent and proactive stakeholder engagement</w:t>
      </w:r>
      <w:bookmarkEnd w:id="31"/>
      <w:r w:rsidRPr="0042419C">
        <w:rPr>
          <w:caps w:val="0"/>
          <w:color w:val="0B5294" w:themeColor="accent1" w:themeShade="BF"/>
          <w:sz w:val="24"/>
          <w:szCs w:val="24"/>
        </w:rPr>
        <w:t xml:space="preserve"> </w:t>
      </w:r>
    </w:p>
    <w:p w:rsidR="003A007F" w:rsidRDefault="003A007F" w:rsidP="003A007F">
      <w:pPr>
        <w:rPr>
          <w:rFonts w:cs="Arial"/>
        </w:rPr>
      </w:pPr>
      <w:r>
        <w:rPr>
          <w:rFonts w:cs="Arial"/>
        </w:rPr>
        <w:t>Modern regulators recognise that t</w:t>
      </w:r>
      <w:r w:rsidRPr="001E0FBD">
        <w:rPr>
          <w:rFonts w:cs="Arial"/>
        </w:rPr>
        <w:t>he majority of the regulated community try to meet their legal obligations, but can find it difficult to do so for a number of reasons, including:</w:t>
      </w:r>
    </w:p>
    <w:p w:rsidR="003A007F" w:rsidRPr="001E0FBD" w:rsidRDefault="003A007F" w:rsidP="00AD5A35">
      <w:pPr>
        <w:pStyle w:val="ListParagraph"/>
        <w:numPr>
          <w:ilvl w:val="0"/>
          <w:numId w:val="7"/>
        </w:numPr>
        <w:spacing w:after="0" w:line="240" w:lineRule="auto"/>
        <w:ind w:left="360"/>
        <w:contextualSpacing/>
        <w:rPr>
          <w:rFonts w:cs="Arial"/>
        </w:rPr>
      </w:pPr>
      <w:r w:rsidRPr="001E0FBD">
        <w:rPr>
          <w:rFonts w:cs="Arial"/>
        </w:rPr>
        <w:t xml:space="preserve">uncertainty about </w:t>
      </w:r>
      <w:r>
        <w:rPr>
          <w:rFonts w:cs="Arial"/>
        </w:rPr>
        <w:t>regulatory</w:t>
      </w:r>
      <w:r w:rsidRPr="001E0FBD">
        <w:rPr>
          <w:rFonts w:cs="Arial"/>
        </w:rPr>
        <w:t xml:space="preserve"> requirements;</w:t>
      </w:r>
    </w:p>
    <w:p w:rsidR="003A007F" w:rsidRPr="001E0FBD" w:rsidRDefault="003A007F" w:rsidP="00AD5A35">
      <w:pPr>
        <w:pStyle w:val="ListParagraph"/>
        <w:numPr>
          <w:ilvl w:val="0"/>
          <w:numId w:val="7"/>
        </w:numPr>
        <w:spacing w:after="0" w:line="240" w:lineRule="auto"/>
        <w:ind w:left="360"/>
        <w:contextualSpacing/>
        <w:rPr>
          <w:rFonts w:cs="Arial"/>
        </w:rPr>
      </w:pPr>
      <w:r w:rsidRPr="001E0FBD">
        <w:rPr>
          <w:rFonts w:cs="Arial"/>
        </w:rPr>
        <w:t>a lack of understanding of the purpose of the requirement</w:t>
      </w:r>
      <w:r w:rsidR="00193E74">
        <w:rPr>
          <w:rFonts w:cs="Arial"/>
        </w:rPr>
        <w:t>s</w:t>
      </w:r>
      <w:r w:rsidRPr="001E0FBD">
        <w:rPr>
          <w:rFonts w:cs="Arial"/>
        </w:rPr>
        <w:t xml:space="preserve">; </w:t>
      </w:r>
    </w:p>
    <w:p w:rsidR="003A007F" w:rsidRPr="001E0FBD" w:rsidRDefault="003A007F" w:rsidP="00AD5A35">
      <w:pPr>
        <w:pStyle w:val="ListParagraph"/>
        <w:numPr>
          <w:ilvl w:val="0"/>
          <w:numId w:val="7"/>
        </w:numPr>
        <w:spacing w:after="0" w:line="240" w:lineRule="auto"/>
        <w:ind w:left="360"/>
        <w:contextualSpacing/>
        <w:rPr>
          <w:rFonts w:cs="Arial"/>
        </w:rPr>
      </w:pPr>
      <w:r w:rsidRPr="001E0FBD">
        <w:rPr>
          <w:rFonts w:cs="Arial"/>
        </w:rPr>
        <w:t>not accepting the validity or reasonableness of some requirements; and</w:t>
      </w:r>
    </w:p>
    <w:p w:rsidR="003A007F" w:rsidRDefault="003A007F" w:rsidP="00AD5A35">
      <w:pPr>
        <w:pStyle w:val="ListParagraph"/>
        <w:numPr>
          <w:ilvl w:val="0"/>
          <w:numId w:val="7"/>
        </w:numPr>
        <w:spacing w:after="0" w:line="240" w:lineRule="auto"/>
        <w:ind w:left="360"/>
        <w:contextualSpacing/>
        <w:rPr>
          <w:rFonts w:cs="Arial"/>
        </w:rPr>
      </w:pPr>
      <w:r w:rsidRPr="001E0FBD">
        <w:rPr>
          <w:rFonts w:cs="Arial"/>
        </w:rPr>
        <w:t>complicated or unclear methods</w:t>
      </w:r>
      <w:r w:rsidR="00A6701B">
        <w:rPr>
          <w:rFonts w:cs="Arial"/>
        </w:rPr>
        <w:t xml:space="preserve"> or </w:t>
      </w:r>
      <w:r w:rsidRPr="001E0FBD">
        <w:rPr>
          <w:rFonts w:cs="Arial"/>
        </w:rPr>
        <w:t xml:space="preserve">tools for providing information (friction points). </w:t>
      </w:r>
    </w:p>
    <w:p w:rsidR="004365C5" w:rsidRPr="001E0FBD" w:rsidRDefault="004365C5" w:rsidP="004365C5">
      <w:pPr>
        <w:pStyle w:val="ListParagraph"/>
        <w:numPr>
          <w:ilvl w:val="0"/>
          <w:numId w:val="0"/>
        </w:numPr>
        <w:spacing w:after="0" w:line="240" w:lineRule="auto"/>
        <w:ind w:left="760"/>
        <w:rPr>
          <w:rFonts w:cs="Arial"/>
        </w:rPr>
      </w:pPr>
    </w:p>
    <w:p w:rsidR="003A007F" w:rsidRPr="001E0FBD" w:rsidRDefault="003A007F" w:rsidP="003A007F">
      <w:pPr>
        <w:rPr>
          <w:rFonts w:cs="Arial"/>
        </w:rPr>
      </w:pPr>
      <w:r w:rsidRPr="001E0FBD">
        <w:rPr>
          <w:rFonts w:cs="Arial"/>
        </w:rPr>
        <w:t xml:space="preserve">This can lead to </w:t>
      </w:r>
      <w:r w:rsidR="00E366CB">
        <w:rPr>
          <w:rFonts w:cs="Arial"/>
        </w:rPr>
        <w:t xml:space="preserve">accidental non-compliance, </w:t>
      </w:r>
      <w:r w:rsidRPr="001E0FBD">
        <w:rPr>
          <w:rFonts w:cs="Arial"/>
        </w:rPr>
        <w:t>disengagement</w:t>
      </w:r>
      <w:r w:rsidR="00A74175">
        <w:rPr>
          <w:rFonts w:cs="Arial"/>
        </w:rPr>
        <w:t>,</w:t>
      </w:r>
      <w:r w:rsidR="00E366CB">
        <w:rPr>
          <w:rFonts w:cs="Arial"/>
        </w:rPr>
        <w:t xml:space="preserve"> or</w:t>
      </w:r>
      <w:r w:rsidR="00A74175">
        <w:rPr>
          <w:rFonts w:cs="Arial"/>
        </w:rPr>
        <w:t xml:space="preserve"> active resistance to regulation</w:t>
      </w:r>
      <w:r w:rsidRPr="001E0FBD">
        <w:rPr>
          <w:rFonts w:cs="Arial"/>
        </w:rPr>
        <w:t>.</w:t>
      </w:r>
      <w:r w:rsidR="00A74175">
        <w:rPr>
          <w:rFonts w:cs="Arial"/>
        </w:rPr>
        <w:t xml:space="preserve"> These are all issues encountered by EPG. </w:t>
      </w:r>
    </w:p>
    <w:p w:rsidR="003A007F" w:rsidRPr="00AB0A3B" w:rsidRDefault="003A007F" w:rsidP="003A007F">
      <w:r>
        <w:t xml:space="preserve">Best practice regulators work with regulated industries and entities to improve voluntary compliance. This includes ensuring regulatory requirements are clear and easy to understand, proactively </w:t>
      </w:r>
      <w:r w:rsidR="006A5A65">
        <w:t xml:space="preserve">providing information to </w:t>
      </w:r>
      <w:r>
        <w:t>relevant industries and groups about their obligations, and using tools such as behavioural insights to reduce friction points and influence behaviour. Officers across these agencies understand the need to consider the regulated entity’s perspective and ensure requirements are clear and achievable.</w:t>
      </w:r>
    </w:p>
    <w:p w:rsidR="003A007F" w:rsidRDefault="00193E74" w:rsidP="003A007F">
      <w:pPr>
        <w:rPr>
          <w:rFonts w:cs="Arial"/>
        </w:rPr>
      </w:pPr>
      <w:r>
        <w:rPr>
          <w:rFonts w:cs="Arial"/>
        </w:rPr>
        <w:t>During consultation, i</w:t>
      </w:r>
      <w:r w:rsidR="003A007F" w:rsidRPr="001E0FBD">
        <w:rPr>
          <w:rFonts w:cs="Arial"/>
        </w:rPr>
        <w:t>ndustry groups noted that Departmental officers are professional and dedicated, and attempt to work constructively with the regulated community throughout regulatory processes.</w:t>
      </w:r>
    </w:p>
    <w:p w:rsidR="003A007F" w:rsidRDefault="003A007F" w:rsidP="003A007F">
      <w:pPr>
        <w:rPr>
          <w:rFonts w:cs="Arial"/>
        </w:rPr>
      </w:pPr>
      <w:r>
        <w:rPr>
          <w:rFonts w:cs="Arial"/>
        </w:rPr>
        <w:t>Some st</w:t>
      </w:r>
      <w:r w:rsidRPr="001E0FBD">
        <w:rPr>
          <w:rFonts w:cs="Arial"/>
        </w:rPr>
        <w:t>akeholders noted</w:t>
      </w:r>
      <w:r>
        <w:rPr>
          <w:rFonts w:cs="Arial"/>
        </w:rPr>
        <w:t xml:space="preserve"> that</w:t>
      </w:r>
      <w:r w:rsidRPr="001E0FBD">
        <w:rPr>
          <w:rFonts w:cs="Arial"/>
        </w:rPr>
        <w:t xml:space="preserve"> better access to information would increase voluntary compliance. </w:t>
      </w:r>
      <w:r>
        <w:rPr>
          <w:rFonts w:cs="Arial"/>
        </w:rPr>
        <w:t>F</w:t>
      </w:r>
      <w:r w:rsidRPr="001E0FBD">
        <w:rPr>
          <w:rFonts w:cs="Arial"/>
        </w:rPr>
        <w:t>or example</w:t>
      </w:r>
      <w:r>
        <w:rPr>
          <w:rFonts w:cs="Arial"/>
        </w:rPr>
        <w:t>,</w:t>
      </w:r>
      <w:r w:rsidRPr="001E0FBD">
        <w:rPr>
          <w:rFonts w:cs="Arial"/>
        </w:rPr>
        <w:t xml:space="preserve"> one industry group advised that it would be useful to be aware of potential future listings (e.g. protected species) that may impact on planned projects so that they can factor regulatory requirements into their plans. They suggested the Protected Matters Search Tool (PMST) could be a useful mechanism to draw information on future and imminent listings.</w:t>
      </w:r>
    </w:p>
    <w:p w:rsidR="003A007F" w:rsidRDefault="003A007F" w:rsidP="003A007F">
      <w:pPr>
        <w:rPr>
          <w:rFonts w:cs="Arial"/>
        </w:rPr>
      </w:pPr>
      <w:r w:rsidRPr="001E0FBD">
        <w:rPr>
          <w:rFonts w:cs="Arial"/>
        </w:rPr>
        <w:t>There is currently no area</w:t>
      </w:r>
      <w:r w:rsidR="00193E74">
        <w:rPr>
          <w:rFonts w:cs="Arial"/>
        </w:rPr>
        <w:t xml:space="preserve"> in EPG</w:t>
      </w:r>
      <w:r w:rsidRPr="001E0FBD">
        <w:rPr>
          <w:rFonts w:cs="Arial"/>
        </w:rPr>
        <w:t xml:space="preserve"> with clear responsibility </w:t>
      </w:r>
      <w:r>
        <w:rPr>
          <w:rFonts w:cs="Arial"/>
        </w:rPr>
        <w:t xml:space="preserve">for </w:t>
      </w:r>
      <w:r w:rsidR="00193E74">
        <w:rPr>
          <w:rFonts w:cs="Arial"/>
        </w:rPr>
        <w:t xml:space="preserve">proactive </w:t>
      </w:r>
      <w:r w:rsidR="00A75DFB">
        <w:rPr>
          <w:rFonts w:cs="Arial"/>
        </w:rPr>
        <w:t>engagement</w:t>
      </w:r>
      <w:r>
        <w:rPr>
          <w:rFonts w:cs="Arial"/>
        </w:rPr>
        <w:t xml:space="preserve"> with the regulated community about requirements or helping approval holders comply with conditions</w:t>
      </w:r>
      <w:r w:rsidR="00193E74">
        <w:rPr>
          <w:rFonts w:cs="Arial"/>
        </w:rPr>
        <w:t>, due in part to limited resources.</w:t>
      </w:r>
    </w:p>
    <w:p w:rsidR="003A007F" w:rsidRDefault="003A007F" w:rsidP="003A007F">
      <w:pPr>
        <w:rPr>
          <w:rFonts w:cs="Arial"/>
        </w:rPr>
      </w:pPr>
      <w:r>
        <w:rPr>
          <w:rFonts w:cs="Arial"/>
        </w:rPr>
        <w:t xml:space="preserve">Officers from across the Department suggested that guidance material should be revised to be more </w:t>
      </w:r>
      <w:r w:rsidRPr="001E0FBD">
        <w:rPr>
          <w:rFonts w:cs="Arial"/>
        </w:rPr>
        <w:t xml:space="preserve">clear and useful to its target audience. This </w:t>
      </w:r>
      <w:r w:rsidR="00193E74">
        <w:rPr>
          <w:rFonts w:cs="Arial"/>
        </w:rPr>
        <w:t>would</w:t>
      </w:r>
      <w:r w:rsidR="00193E74" w:rsidRPr="001E0FBD">
        <w:rPr>
          <w:rFonts w:cs="Arial"/>
        </w:rPr>
        <w:t xml:space="preserve"> </w:t>
      </w:r>
      <w:r w:rsidRPr="001E0FBD">
        <w:rPr>
          <w:rFonts w:cs="Arial"/>
        </w:rPr>
        <w:t>likely increase voluntary compliance</w:t>
      </w:r>
      <w:r w:rsidR="00193E74">
        <w:rPr>
          <w:rFonts w:cs="Arial"/>
        </w:rPr>
        <w:t>.</w:t>
      </w:r>
      <w:r w:rsidRPr="001E0FBD">
        <w:rPr>
          <w:rFonts w:cs="Arial"/>
        </w:rPr>
        <w:t xml:space="preserve"> </w:t>
      </w:r>
      <w:r>
        <w:rPr>
          <w:rFonts w:cs="Arial"/>
        </w:rPr>
        <w:t>Additional training may</w:t>
      </w:r>
      <w:r w:rsidR="00193E74">
        <w:rPr>
          <w:rFonts w:cs="Arial"/>
        </w:rPr>
        <w:t xml:space="preserve"> also</w:t>
      </w:r>
      <w:r>
        <w:rPr>
          <w:rFonts w:cs="Arial"/>
        </w:rPr>
        <w:t xml:space="preserve"> be necessary to equip officers to </w:t>
      </w:r>
      <w:r w:rsidRPr="001E0FBD">
        <w:rPr>
          <w:rFonts w:cs="Arial"/>
        </w:rPr>
        <w:t>provide clear an</w:t>
      </w:r>
      <w:r>
        <w:rPr>
          <w:rFonts w:cs="Arial"/>
        </w:rPr>
        <w:t>d useful guidance at all stages of the regulatory process</w:t>
      </w:r>
      <w:r w:rsidRPr="001E0FBD">
        <w:rPr>
          <w:rFonts w:cs="Arial"/>
        </w:rPr>
        <w:t xml:space="preserve">. </w:t>
      </w:r>
    </w:p>
    <w:p w:rsidR="003A007F" w:rsidRDefault="003A007F" w:rsidP="003A007F">
      <w:pPr>
        <w:rPr>
          <w:rFonts w:cs="Arial"/>
        </w:rPr>
      </w:pPr>
      <w:r w:rsidRPr="001E0FBD">
        <w:rPr>
          <w:rFonts w:cs="Arial"/>
        </w:rPr>
        <w:t xml:space="preserve">Some areas of </w:t>
      </w:r>
      <w:r>
        <w:rPr>
          <w:rFonts w:cs="Arial"/>
        </w:rPr>
        <w:t>EPG</w:t>
      </w:r>
      <w:r w:rsidRPr="001E0FBD">
        <w:rPr>
          <w:rFonts w:cs="Arial"/>
        </w:rPr>
        <w:t xml:space="preserve"> have </w:t>
      </w:r>
      <w:r w:rsidR="00193E74">
        <w:rPr>
          <w:rFonts w:cs="Arial"/>
        </w:rPr>
        <w:t>started</w:t>
      </w:r>
      <w:r w:rsidR="00193E74" w:rsidRPr="001E0FBD">
        <w:rPr>
          <w:rFonts w:cs="Arial"/>
        </w:rPr>
        <w:t xml:space="preserve"> </w:t>
      </w:r>
      <w:r w:rsidR="00193E74">
        <w:rPr>
          <w:rFonts w:cs="Arial"/>
        </w:rPr>
        <w:t>using</w:t>
      </w:r>
      <w:r w:rsidR="00193E74" w:rsidRPr="001E0FBD">
        <w:rPr>
          <w:rFonts w:cs="Arial"/>
        </w:rPr>
        <w:t xml:space="preserve"> </w:t>
      </w:r>
      <w:r w:rsidRPr="001E0FBD">
        <w:rPr>
          <w:rFonts w:cs="Arial"/>
        </w:rPr>
        <w:t>behavioural insights to improve levels of voluntary compliance. Behaviour</w:t>
      </w:r>
      <w:r>
        <w:rPr>
          <w:rFonts w:cs="Arial"/>
        </w:rPr>
        <w:t>al</w:t>
      </w:r>
      <w:r w:rsidRPr="001E0FBD">
        <w:rPr>
          <w:rFonts w:cs="Arial"/>
        </w:rPr>
        <w:t xml:space="preserve"> insights seeks to find the most effective tools for influencing targeted behaviour. This could involve changing </w:t>
      </w:r>
      <w:r w:rsidR="005A46B5">
        <w:rPr>
          <w:rFonts w:cs="Arial"/>
        </w:rPr>
        <w:t xml:space="preserve">official correspondence </w:t>
      </w:r>
      <w:r w:rsidRPr="001E0FBD">
        <w:rPr>
          <w:rFonts w:cs="Arial"/>
        </w:rPr>
        <w:t xml:space="preserve">to make </w:t>
      </w:r>
      <w:r w:rsidR="005A46B5">
        <w:rPr>
          <w:rFonts w:cs="Arial"/>
        </w:rPr>
        <w:t xml:space="preserve">it </w:t>
      </w:r>
      <w:r w:rsidRPr="001E0FBD">
        <w:rPr>
          <w:rFonts w:cs="Arial"/>
        </w:rPr>
        <w:t>more user friendly, or sending reminders at key points in the process. EPG should continue to work with the behavioural insights team</w:t>
      </w:r>
      <w:r w:rsidR="005A46B5">
        <w:rPr>
          <w:rFonts w:cs="Arial"/>
        </w:rPr>
        <w:t xml:space="preserve"> in PAID</w:t>
      </w:r>
      <w:r w:rsidRPr="001E0FBD">
        <w:rPr>
          <w:rFonts w:cs="Arial"/>
        </w:rPr>
        <w:t xml:space="preserve"> to explore opportunities for improvement</w:t>
      </w:r>
      <w:r w:rsidR="00A74175">
        <w:rPr>
          <w:rFonts w:cs="Arial"/>
        </w:rPr>
        <w:t xml:space="preserve"> within the bounds of existing legislative frameworks</w:t>
      </w:r>
      <w:r w:rsidRPr="001E0FBD">
        <w:rPr>
          <w:rFonts w:cs="Arial"/>
        </w:rPr>
        <w:t xml:space="preserve">. </w:t>
      </w:r>
    </w:p>
    <w:tbl>
      <w:tblPr>
        <w:tblStyle w:val="TableGrid"/>
        <w:tblW w:w="0" w:type="auto"/>
        <w:tblInd w:w="-34" w:type="dxa"/>
        <w:tblLook w:val="04A0" w:firstRow="1" w:lastRow="0" w:firstColumn="1" w:lastColumn="0" w:noHBand="0" w:noVBand="1"/>
      </w:tblPr>
      <w:tblGrid>
        <w:gridCol w:w="9214"/>
      </w:tblGrid>
      <w:tr w:rsidR="003A007F" w:rsidRPr="001E0FBD" w:rsidTr="0042419C">
        <w:trPr>
          <w:cnfStyle w:val="100000000000" w:firstRow="1" w:lastRow="0" w:firstColumn="0" w:lastColumn="0" w:oddVBand="0" w:evenVBand="0" w:oddHBand="0" w:evenHBand="0" w:firstRowFirstColumn="0" w:firstRowLastColumn="0" w:lastRowFirstColumn="0" w:lastRowLastColumn="0"/>
        </w:trPr>
        <w:tc>
          <w:tcPr>
            <w:tcW w:w="9214" w:type="dxa"/>
            <w:tcBorders>
              <w:top w:val="nil"/>
              <w:left w:val="nil"/>
              <w:bottom w:val="nil"/>
              <w:right w:val="nil"/>
            </w:tcBorders>
            <w:shd w:val="clear" w:color="auto" w:fill="E4F4DF" w:themeFill="accent5" w:themeFillTint="33"/>
          </w:tcPr>
          <w:p w:rsidR="003A007F" w:rsidRPr="004365C5" w:rsidRDefault="003A007F" w:rsidP="0042419C">
            <w:pPr>
              <w:pStyle w:val="ListBullet"/>
              <w:numPr>
                <w:ilvl w:val="0"/>
                <w:numId w:val="0"/>
              </w:numPr>
              <w:spacing w:before="240" w:after="120"/>
              <w:rPr>
                <w:rFonts w:cs="Arial"/>
                <w:b/>
              </w:rPr>
            </w:pPr>
            <w:r w:rsidRPr="004365C5">
              <w:rPr>
                <w:rFonts w:cs="Arial"/>
                <w:b/>
              </w:rPr>
              <w:t>Case Study – Using behavioural insights to increase compliance</w:t>
            </w:r>
          </w:p>
          <w:p w:rsidR="0017305D" w:rsidRDefault="005A46B5" w:rsidP="0017305D">
            <w:r>
              <w:t xml:space="preserve">Behavioural insights is a discipline that </w:t>
            </w:r>
            <w:r w:rsidR="0017305D">
              <w:t xml:space="preserve">uses research from behavioural economics, social psychology, and neuroscience to understand how humans behave and make decisions. </w:t>
            </w:r>
            <w:r w:rsidR="0017305D">
              <w:lastRenderedPageBreak/>
              <w:t xml:space="preserve">These critical insights can then be used to understand friction points and barriers that may influence how businesses and individuals comply with regulation. </w:t>
            </w:r>
          </w:p>
          <w:p w:rsidR="0017305D" w:rsidRDefault="0017305D" w:rsidP="0017305D">
            <w:pPr>
              <w:rPr>
                <w:rFonts w:ascii="Times New Roman" w:hAnsi="Times New Roman"/>
                <w:sz w:val="24"/>
                <w:szCs w:val="24"/>
              </w:rPr>
            </w:pPr>
            <w:r>
              <w:t xml:space="preserve">Recently, the Ozone Protection and Synthetic Greenhouse Gases – International Section in ESD noted </w:t>
            </w:r>
            <w:r w:rsidRPr="0017305D">
              <w:t>less than full compliance</w:t>
            </w:r>
            <w:r>
              <w:t xml:space="preserve"> when it came to regulated entities’ reporting requirements. The Section asked the </w:t>
            </w:r>
            <w:r w:rsidR="005A46B5">
              <w:t>Design and Analytics Section</w:t>
            </w:r>
            <w:r>
              <w:t xml:space="preserve"> in </w:t>
            </w:r>
            <w:r w:rsidR="005A46B5">
              <w:t>PAID</w:t>
            </w:r>
            <w:r>
              <w:t xml:space="preserve"> to investigate what </w:t>
            </w:r>
            <w:r w:rsidR="005A46B5">
              <w:t>could be done</w:t>
            </w:r>
            <w:r>
              <w:t xml:space="preserve"> to achieve better compliance. Following a study and control trial, the </w:t>
            </w:r>
            <w:r w:rsidR="005E2DE0">
              <w:t>Design and Analytics Section</w:t>
            </w:r>
            <w:r>
              <w:t xml:space="preserve"> recommended a redesigned reminder email that was simpler and clearly specified the required action</w:t>
            </w:r>
            <w:r w:rsidR="005A46B5">
              <w:t>;</w:t>
            </w:r>
            <w:r>
              <w:t xml:space="preserve"> as well as early and last-minute reminders.   </w:t>
            </w:r>
          </w:p>
          <w:p w:rsidR="003A007F" w:rsidRPr="001E0FBD" w:rsidRDefault="0017305D" w:rsidP="005E2DE0">
            <w:pPr>
              <w:rPr>
                <w:rFonts w:cs="Arial"/>
              </w:rPr>
            </w:pPr>
            <w:r>
              <w:t>Following the trial,</w:t>
            </w:r>
            <w:r w:rsidR="005A46B5">
              <w:t xml:space="preserve"> new</w:t>
            </w:r>
            <w:r>
              <w:t xml:space="preserve"> language and the timing of notifications were incorporated into the standard reporting procedures. The Section will continue to monitor compliance rates and consult with the </w:t>
            </w:r>
            <w:r w:rsidR="005A46B5">
              <w:t>Design and Analytics</w:t>
            </w:r>
            <w:r>
              <w:t xml:space="preserve"> Section on opportunities to enhance the approach.</w:t>
            </w:r>
          </w:p>
        </w:tc>
      </w:tr>
    </w:tbl>
    <w:p w:rsidR="003A007F" w:rsidRDefault="003A007F" w:rsidP="003A007F">
      <w:pPr>
        <w:rPr>
          <w:rFonts w:cs="Arial"/>
        </w:rPr>
      </w:pPr>
    </w:p>
    <w:tbl>
      <w:tblPr>
        <w:tblStyle w:val="TableGrid"/>
        <w:tblW w:w="0" w:type="auto"/>
        <w:tblLook w:val="04A0" w:firstRow="1" w:lastRow="0" w:firstColumn="1" w:lastColumn="0" w:noHBand="0" w:noVBand="1"/>
      </w:tblPr>
      <w:tblGrid>
        <w:gridCol w:w="9212"/>
      </w:tblGrid>
      <w:tr w:rsidR="003A007F" w:rsidTr="0042419C">
        <w:trPr>
          <w:cnfStyle w:val="100000000000" w:firstRow="1" w:lastRow="0" w:firstColumn="0" w:lastColumn="0" w:oddVBand="0" w:evenVBand="0" w:oddHBand="0" w:evenHBand="0" w:firstRowFirstColumn="0" w:firstRowLastColumn="0" w:lastRowFirstColumn="0" w:lastRowLastColumn="0"/>
        </w:trPr>
        <w:tc>
          <w:tcPr>
            <w:tcW w:w="9242" w:type="dxa"/>
            <w:tcBorders>
              <w:top w:val="nil"/>
              <w:left w:val="nil"/>
              <w:bottom w:val="nil"/>
              <w:right w:val="nil"/>
            </w:tcBorders>
            <w:shd w:val="clear" w:color="auto" w:fill="C7E2FA" w:themeFill="accent1" w:themeFillTint="33"/>
          </w:tcPr>
          <w:p w:rsidR="003A007F" w:rsidRPr="008059C7" w:rsidRDefault="003A007F" w:rsidP="0042419C">
            <w:pPr>
              <w:pStyle w:val="ListBullet"/>
              <w:numPr>
                <w:ilvl w:val="0"/>
                <w:numId w:val="0"/>
              </w:numPr>
              <w:spacing w:before="240"/>
              <w:rPr>
                <w:rFonts w:cs="Arial"/>
                <w:b/>
              </w:rPr>
            </w:pPr>
            <w:r>
              <w:rPr>
                <w:rFonts w:cs="Arial"/>
                <w:b/>
              </w:rPr>
              <w:t xml:space="preserve">Recommendation </w:t>
            </w:r>
            <w:r w:rsidR="004365C5">
              <w:rPr>
                <w:rFonts w:cs="Arial"/>
                <w:b/>
              </w:rPr>
              <w:t>2</w:t>
            </w:r>
            <w:r>
              <w:rPr>
                <w:rFonts w:cs="Arial"/>
                <w:b/>
              </w:rPr>
              <w:t>.8</w:t>
            </w:r>
            <w:r w:rsidRPr="008059C7">
              <w:rPr>
                <w:rFonts w:cs="Arial"/>
                <w:b/>
              </w:rPr>
              <w:t xml:space="preserve">  (Making it easier to comply through consistent and proactive st</w:t>
            </w:r>
            <w:r>
              <w:rPr>
                <w:rFonts w:cs="Arial"/>
                <w:b/>
              </w:rPr>
              <w:t>akeholder engagement)</w:t>
            </w:r>
          </w:p>
          <w:p w:rsidR="003A007F" w:rsidRPr="00A26037" w:rsidRDefault="004365C5" w:rsidP="003A007F">
            <w:pPr>
              <w:rPr>
                <w:rFonts w:cs="Arial"/>
                <w:i/>
              </w:rPr>
            </w:pPr>
            <w:r w:rsidRPr="00A26037">
              <w:rPr>
                <w:rFonts w:cs="Arial"/>
                <w:i/>
              </w:rPr>
              <w:t>Importance:</w:t>
            </w:r>
            <w:r w:rsidR="00A75DFB">
              <w:rPr>
                <w:rFonts w:cs="Arial"/>
                <w:i/>
              </w:rPr>
              <w:t xml:space="preserve"> </w:t>
            </w:r>
            <w:r w:rsidR="00A26037" w:rsidRPr="00A75DFB">
              <w:rPr>
                <w:rFonts w:cs="Arial"/>
              </w:rPr>
              <w:t>2</w:t>
            </w:r>
          </w:p>
          <w:p w:rsidR="004365C5" w:rsidRPr="004365C5" w:rsidRDefault="004365C5" w:rsidP="003A007F">
            <w:pPr>
              <w:rPr>
                <w:rFonts w:cs="Arial"/>
                <w:i/>
              </w:rPr>
            </w:pPr>
            <w:r w:rsidRPr="00A26037">
              <w:rPr>
                <w:rFonts w:cs="Arial"/>
                <w:i/>
              </w:rPr>
              <w:t>Timing:</w:t>
            </w:r>
            <w:r w:rsidR="00A75DFB">
              <w:rPr>
                <w:rFonts w:cs="Arial"/>
                <w:i/>
              </w:rPr>
              <w:t xml:space="preserve"> </w:t>
            </w:r>
            <w:r w:rsidR="00A75DFB" w:rsidRPr="00A75DFB">
              <w:rPr>
                <w:rFonts w:cs="Arial"/>
              </w:rPr>
              <w:t>3</w:t>
            </w:r>
          </w:p>
          <w:p w:rsidR="003A007F" w:rsidRPr="008059C7" w:rsidRDefault="003A007F" w:rsidP="003A007F">
            <w:pPr>
              <w:rPr>
                <w:rFonts w:cs="Arial"/>
              </w:rPr>
            </w:pPr>
            <w:r>
              <w:rPr>
                <w:rFonts w:cs="Arial"/>
              </w:rPr>
              <w:t>EPG</w:t>
            </w:r>
            <w:r w:rsidRPr="008059C7">
              <w:rPr>
                <w:rFonts w:cs="Arial"/>
              </w:rPr>
              <w:t xml:space="preserve"> should assist the regulated community to comply with requirements by:</w:t>
            </w:r>
          </w:p>
          <w:p w:rsidR="003A007F" w:rsidRPr="008059C7" w:rsidRDefault="003A007F" w:rsidP="00E65120">
            <w:pPr>
              <w:pStyle w:val="ListParagraph"/>
              <w:numPr>
                <w:ilvl w:val="0"/>
                <w:numId w:val="15"/>
              </w:numPr>
              <w:spacing w:after="0" w:line="240" w:lineRule="auto"/>
              <w:contextualSpacing/>
              <w:rPr>
                <w:rFonts w:cs="Arial"/>
              </w:rPr>
            </w:pPr>
            <w:r w:rsidRPr="008059C7">
              <w:rPr>
                <w:rFonts w:cs="Arial"/>
              </w:rPr>
              <w:t>understanding the entity’s operating environment (e.g. through internal ‘expert’ officer knowledge);</w:t>
            </w:r>
          </w:p>
          <w:p w:rsidR="003A007F" w:rsidRPr="008059C7" w:rsidRDefault="003A007F" w:rsidP="00E65120">
            <w:pPr>
              <w:pStyle w:val="ListParagraph"/>
              <w:numPr>
                <w:ilvl w:val="0"/>
                <w:numId w:val="15"/>
              </w:numPr>
              <w:spacing w:after="0" w:line="240" w:lineRule="auto"/>
              <w:contextualSpacing/>
              <w:rPr>
                <w:rFonts w:cs="Arial"/>
              </w:rPr>
            </w:pPr>
            <w:r w:rsidRPr="008059C7">
              <w:rPr>
                <w:rFonts w:cs="Arial"/>
              </w:rPr>
              <w:t>making requirements clear;</w:t>
            </w:r>
          </w:p>
          <w:p w:rsidR="003A007F" w:rsidRPr="008059C7" w:rsidRDefault="003A007F" w:rsidP="00E65120">
            <w:pPr>
              <w:pStyle w:val="ListParagraph"/>
              <w:numPr>
                <w:ilvl w:val="0"/>
                <w:numId w:val="15"/>
              </w:numPr>
              <w:spacing w:after="0" w:line="240" w:lineRule="auto"/>
              <w:contextualSpacing/>
              <w:rPr>
                <w:rFonts w:cs="Arial"/>
              </w:rPr>
            </w:pPr>
            <w:r w:rsidRPr="008059C7">
              <w:rPr>
                <w:rFonts w:cs="Arial"/>
              </w:rPr>
              <w:t>only requesting information that is necessary;</w:t>
            </w:r>
          </w:p>
          <w:p w:rsidR="003A007F" w:rsidRPr="008059C7" w:rsidRDefault="003A007F" w:rsidP="00E65120">
            <w:pPr>
              <w:pStyle w:val="ListParagraph"/>
              <w:numPr>
                <w:ilvl w:val="0"/>
                <w:numId w:val="15"/>
              </w:numPr>
              <w:spacing w:after="0" w:line="240" w:lineRule="auto"/>
              <w:contextualSpacing/>
              <w:rPr>
                <w:rFonts w:cs="Arial"/>
              </w:rPr>
            </w:pPr>
            <w:r w:rsidRPr="008059C7">
              <w:rPr>
                <w:rFonts w:cs="Arial"/>
              </w:rPr>
              <w:t xml:space="preserve">clearly explaining the reasoning behind requirements; </w:t>
            </w:r>
          </w:p>
          <w:p w:rsidR="003A007F" w:rsidRPr="008059C7" w:rsidRDefault="003A007F" w:rsidP="00E65120">
            <w:pPr>
              <w:pStyle w:val="ListParagraph"/>
              <w:numPr>
                <w:ilvl w:val="0"/>
                <w:numId w:val="15"/>
              </w:numPr>
              <w:spacing w:after="0" w:line="240" w:lineRule="auto"/>
              <w:contextualSpacing/>
              <w:rPr>
                <w:rFonts w:cs="Arial"/>
              </w:rPr>
            </w:pPr>
            <w:r w:rsidRPr="008059C7">
              <w:rPr>
                <w:rFonts w:cs="Arial"/>
              </w:rPr>
              <w:t>maintain</w:t>
            </w:r>
            <w:r w:rsidR="0045626D">
              <w:rPr>
                <w:rFonts w:cs="Arial"/>
              </w:rPr>
              <w:t>ing</w:t>
            </w:r>
            <w:r w:rsidRPr="008059C7">
              <w:rPr>
                <w:rFonts w:cs="Arial"/>
              </w:rPr>
              <w:t xml:space="preserve"> relationships through a single point of contact during licensing</w:t>
            </w:r>
            <w:r w:rsidR="00A6701B">
              <w:rPr>
                <w:rFonts w:cs="Arial"/>
              </w:rPr>
              <w:t xml:space="preserve">, </w:t>
            </w:r>
            <w:r w:rsidRPr="008059C7">
              <w:rPr>
                <w:rFonts w:cs="Arial"/>
              </w:rPr>
              <w:t>permitting</w:t>
            </w:r>
            <w:r w:rsidR="00A6701B">
              <w:rPr>
                <w:rFonts w:cs="Arial"/>
              </w:rPr>
              <w:t xml:space="preserve">, and </w:t>
            </w:r>
            <w:r w:rsidRPr="008059C7">
              <w:rPr>
                <w:rFonts w:cs="Arial"/>
              </w:rPr>
              <w:t>assessment processes, where possible;</w:t>
            </w:r>
          </w:p>
          <w:p w:rsidR="003A007F" w:rsidRPr="008059C7" w:rsidRDefault="003A007F" w:rsidP="00E65120">
            <w:pPr>
              <w:pStyle w:val="ListParagraph"/>
              <w:numPr>
                <w:ilvl w:val="0"/>
                <w:numId w:val="15"/>
              </w:numPr>
              <w:spacing w:after="0" w:line="240" w:lineRule="auto"/>
              <w:contextualSpacing/>
              <w:rPr>
                <w:rFonts w:cs="Arial"/>
              </w:rPr>
            </w:pPr>
            <w:r w:rsidRPr="008059C7">
              <w:rPr>
                <w:rFonts w:cs="Arial"/>
              </w:rPr>
              <w:t xml:space="preserve">utilising behavioural insights and analysis to identify friction points and remove barriers to compliance; and </w:t>
            </w:r>
          </w:p>
          <w:p w:rsidR="003A007F" w:rsidRPr="009F5E9A" w:rsidRDefault="003A007F" w:rsidP="00E65120">
            <w:pPr>
              <w:pStyle w:val="ListParagraph"/>
              <w:numPr>
                <w:ilvl w:val="0"/>
                <w:numId w:val="15"/>
              </w:numPr>
              <w:rPr>
                <w:rFonts w:cs="Arial"/>
              </w:rPr>
            </w:pPr>
            <w:r w:rsidRPr="008059C7">
              <w:rPr>
                <w:rFonts w:cs="Arial"/>
              </w:rPr>
              <w:t>actively seeking feedback</w:t>
            </w:r>
            <w:r w:rsidR="0045626D">
              <w:rPr>
                <w:rFonts w:cs="Arial"/>
              </w:rPr>
              <w:t xml:space="preserve"> from the regulated community</w:t>
            </w:r>
            <w:r w:rsidRPr="008059C7">
              <w:rPr>
                <w:rFonts w:cs="Arial"/>
              </w:rPr>
              <w:t xml:space="preserve"> about what would make it easier to comply.</w:t>
            </w:r>
          </w:p>
        </w:tc>
      </w:tr>
    </w:tbl>
    <w:p w:rsidR="00CF1F9B" w:rsidRDefault="00CF1F9B" w:rsidP="0042419C">
      <w:pPr>
        <w:pStyle w:val="Heading1"/>
        <w:spacing w:after="120"/>
        <w:rPr>
          <w:caps w:val="0"/>
          <w:color w:val="0B5294" w:themeColor="accent1" w:themeShade="BF"/>
          <w:sz w:val="24"/>
          <w:szCs w:val="24"/>
        </w:rPr>
      </w:pPr>
      <w:bookmarkStart w:id="32" w:name="_Toc443405167"/>
    </w:p>
    <w:p w:rsidR="003A007F" w:rsidRPr="0042419C" w:rsidRDefault="003A007F" w:rsidP="0042419C">
      <w:pPr>
        <w:pStyle w:val="Heading1"/>
        <w:spacing w:after="120"/>
        <w:rPr>
          <w:caps w:val="0"/>
          <w:color w:val="0B5294" w:themeColor="accent1" w:themeShade="BF"/>
          <w:sz w:val="24"/>
          <w:szCs w:val="24"/>
        </w:rPr>
      </w:pPr>
      <w:r w:rsidRPr="0042419C">
        <w:rPr>
          <w:caps w:val="0"/>
          <w:color w:val="0B5294" w:themeColor="accent1" w:themeShade="BF"/>
          <w:sz w:val="24"/>
          <w:szCs w:val="24"/>
        </w:rPr>
        <w:t>Transparency and disclosure of information</w:t>
      </w:r>
      <w:bookmarkEnd w:id="32"/>
      <w:r w:rsidRPr="0042419C">
        <w:rPr>
          <w:caps w:val="0"/>
          <w:color w:val="0B5294" w:themeColor="accent1" w:themeShade="BF"/>
          <w:sz w:val="24"/>
          <w:szCs w:val="24"/>
        </w:rPr>
        <w:t xml:space="preserve">  </w:t>
      </w:r>
    </w:p>
    <w:p w:rsidR="003A007F" w:rsidRDefault="003A007F" w:rsidP="003A007F">
      <w:pPr>
        <w:rPr>
          <w:rFonts w:cs="Arial"/>
        </w:rPr>
      </w:pPr>
      <w:r>
        <w:rPr>
          <w:rFonts w:cs="Arial"/>
        </w:rPr>
        <w:t xml:space="preserve">Best practice regulators are transparent about how they make decisions, </w:t>
      </w:r>
      <w:r w:rsidR="00FD337D">
        <w:rPr>
          <w:rFonts w:cs="Arial"/>
        </w:rPr>
        <w:t xml:space="preserve">and </w:t>
      </w:r>
      <w:r>
        <w:rPr>
          <w:rFonts w:cs="Arial"/>
        </w:rPr>
        <w:t>publish information about their policies, guidelines and</w:t>
      </w:r>
      <w:r w:rsidR="00FD337D">
        <w:rPr>
          <w:rFonts w:cs="Arial"/>
        </w:rPr>
        <w:t>,</w:t>
      </w:r>
      <w:r>
        <w:rPr>
          <w:rFonts w:cs="Arial"/>
        </w:rPr>
        <w:t xml:space="preserve"> where appropriate</w:t>
      </w:r>
      <w:r w:rsidR="00FD337D">
        <w:rPr>
          <w:rFonts w:cs="Arial"/>
        </w:rPr>
        <w:t>,</w:t>
      </w:r>
      <w:r>
        <w:rPr>
          <w:rFonts w:cs="Arial"/>
        </w:rPr>
        <w:t xml:space="preserve"> individual decisions. </w:t>
      </w:r>
      <w:r w:rsidR="00FD337D">
        <w:rPr>
          <w:rFonts w:cs="Arial"/>
        </w:rPr>
        <w:t>Publishing this</w:t>
      </w:r>
      <w:r>
        <w:rPr>
          <w:rFonts w:cs="Arial"/>
        </w:rPr>
        <w:t xml:space="preserve"> information promotes transparency, consistency and fairness. It also allows regulated entities and the community to understand how environmental impacts have been considered and addressed, increasing trust in the regulator. Regulated entities can draw upon this information to improve their practices, better understand environmental impacts and ultimately improve their compliance with the regulatory system. </w:t>
      </w:r>
    </w:p>
    <w:p w:rsidR="003A007F" w:rsidRPr="00610B87" w:rsidRDefault="003A007F" w:rsidP="003A007F">
      <w:pPr>
        <w:rPr>
          <w:rFonts w:cs="Arial"/>
        </w:rPr>
      </w:pPr>
      <w:r w:rsidRPr="00610B87">
        <w:rPr>
          <w:rFonts w:cs="Arial"/>
        </w:rPr>
        <w:t>Consultations with NGOs revealed a relatively low level of trust in the Department and its regulatory decisions</w:t>
      </w:r>
      <w:r w:rsidR="00FD337D">
        <w:rPr>
          <w:rFonts w:cs="Arial"/>
        </w:rPr>
        <w:t xml:space="preserve">; an opinion </w:t>
      </w:r>
      <w:r w:rsidRPr="00610B87">
        <w:rPr>
          <w:rFonts w:cs="Arial"/>
        </w:rPr>
        <w:t>which may also be shared by parts of the</w:t>
      </w:r>
      <w:r w:rsidR="00FD337D">
        <w:rPr>
          <w:rFonts w:cs="Arial"/>
        </w:rPr>
        <w:t xml:space="preserve"> broader</w:t>
      </w:r>
      <w:r w:rsidRPr="00610B87">
        <w:rPr>
          <w:rFonts w:cs="Arial"/>
        </w:rPr>
        <w:t xml:space="preserve"> community. Some NGO stakeholders stated that they believe the Department is deliberately secretive about the reasons for decisions.</w:t>
      </w:r>
      <w:r w:rsidR="00FD337D" w:rsidRPr="00FD337D">
        <w:rPr>
          <w:rFonts w:cs="Arial"/>
        </w:rPr>
        <w:t xml:space="preserve"> </w:t>
      </w:r>
      <w:r w:rsidR="00FD337D">
        <w:rPr>
          <w:rFonts w:cs="Arial"/>
        </w:rPr>
        <w:t>Many stakeholders expressed frustration that reasons for decisions are not readily available.</w:t>
      </w:r>
      <w:r w:rsidR="00FD337D" w:rsidRPr="00610B87">
        <w:rPr>
          <w:rFonts w:cs="Arial"/>
        </w:rPr>
        <w:t xml:space="preserve"> </w:t>
      </w:r>
      <w:r w:rsidRPr="00610B87">
        <w:rPr>
          <w:rFonts w:cs="Arial"/>
        </w:rPr>
        <w:t xml:space="preserve">Industry bodies noted that regulated businesses did not </w:t>
      </w:r>
      <w:r w:rsidRPr="00610B87">
        <w:rPr>
          <w:rFonts w:cs="Arial"/>
        </w:rPr>
        <w:lastRenderedPageBreak/>
        <w:t>always understand why the Department had made a particular decision.</w:t>
      </w:r>
      <w:r>
        <w:rPr>
          <w:rFonts w:cs="Arial"/>
        </w:rPr>
        <w:t xml:space="preserve"> For business</w:t>
      </w:r>
      <w:r w:rsidR="00FD337D">
        <w:rPr>
          <w:rFonts w:cs="Arial"/>
        </w:rPr>
        <w:t>,</w:t>
      </w:r>
      <w:r>
        <w:rPr>
          <w:rFonts w:cs="Arial"/>
        </w:rPr>
        <w:t xml:space="preserve"> this confusion was primarily about process decisions (such as choosing an assessment approach) rather than final approval decisions.</w:t>
      </w:r>
      <w:r w:rsidR="001628BA">
        <w:rPr>
          <w:rFonts w:cs="Arial"/>
        </w:rPr>
        <w:t xml:space="preserve"> </w:t>
      </w:r>
      <w:r>
        <w:rPr>
          <w:rFonts w:cs="Arial"/>
        </w:rPr>
        <w:t>EPG</w:t>
      </w:r>
      <w:r w:rsidRPr="00610B87">
        <w:rPr>
          <w:rFonts w:cs="Arial"/>
        </w:rPr>
        <w:t xml:space="preserve"> has recently </w:t>
      </w:r>
      <w:r w:rsidR="00FD337D">
        <w:rPr>
          <w:rFonts w:cs="Arial"/>
        </w:rPr>
        <w:t>started to</w:t>
      </w:r>
      <w:r w:rsidR="00FD337D" w:rsidRPr="00610B87">
        <w:rPr>
          <w:rFonts w:cs="Arial"/>
        </w:rPr>
        <w:t xml:space="preserve"> </w:t>
      </w:r>
      <w:r w:rsidRPr="00610B87">
        <w:rPr>
          <w:rFonts w:cs="Arial"/>
        </w:rPr>
        <w:t xml:space="preserve">develop fact sheets and FAQs to help explain some decisions about particularly contentious projects. </w:t>
      </w:r>
      <w:r w:rsidR="00FD337D">
        <w:rPr>
          <w:rFonts w:cs="Arial"/>
        </w:rPr>
        <w:t>EPG</w:t>
      </w:r>
      <w:r w:rsidRPr="00610B87">
        <w:rPr>
          <w:rFonts w:cs="Arial"/>
        </w:rPr>
        <w:t xml:space="preserve"> does not, however, routinely publish recommendation reports or statements of reasons </w:t>
      </w:r>
      <w:r w:rsidR="00FD337D" w:rsidRPr="00610B87">
        <w:rPr>
          <w:rFonts w:cs="Arial"/>
        </w:rPr>
        <w:t>f</w:t>
      </w:r>
      <w:r w:rsidR="00FD337D">
        <w:rPr>
          <w:rFonts w:cs="Arial"/>
        </w:rPr>
        <w:t>or</w:t>
      </w:r>
      <w:r w:rsidR="00FD337D" w:rsidRPr="00610B87">
        <w:rPr>
          <w:rFonts w:cs="Arial"/>
        </w:rPr>
        <w:t xml:space="preserve"> </w:t>
      </w:r>
      <w:r w:rsidRPr="00610B87">
        <w:rPr>
          <w:rFonts w:cs="Arial"/>
        </w:rPr>
        <w:t xml:space="preserve">environmental impact assessments and other regulatory decisions. Instead, these are </w:t>
      </w:r>
      <w:r w:rsidR="00FD337D">
        <w:rPr>
          <w:rFonts w:cs="Arial"/>
        </w:rPr>
        <w:t xml:space="preserve">only </w:t>
      </w:r>
      <w:r w:rsidRPr="00610B87">
        <w:rPr>
          <w:rFonts w:cs="Arial"/>
        </w:rPr>
        <w:t xml:space="preserve">provided to individual parties upon request. </w:t>
      </w:r>
    </w:p>
    <w:p w:rsidR="003A007F" w:rsidRPr="00610B87" w:rsidRDefault="003A007F" w:rsidP="003A007F">
      <w:pPr>
        <w:rPr>
          <w:rFonts w:cs="Arial"/>
        </w:rPr>
      </w:pPr>
      <w:r w:rsidRPr="00610B87">
        <w:rPr>
          <w:rFonts w:cs="Arial"/>
        </w:rPr>
        <w:t>This is often due to a lack of resources, and the time-consuming nature of preparing legally-robust statements of reasons.</w:t>
      </w:r>
      <w:r w:rsidR="000E0F4F">
        <w:rPr>
          <w:rFonts w:cs="Arial"/>
        </w:rPr>
        <w:t xml:space="preserve"> </w:t>
      </w:r>
      <w:r w:rsidRPr="00610B87">
        <w:rPr>
          <w:rFonts w:cs="Arial"/>
        </w:rPr>
        <w:t>As a result, NGOs, community members, and occasionally regulated entities rely on statutory rights to obtain this information. This can be a time-consuming process for both parties, which may be concerning to stakeholders particularly when a project or activity is about to, or has already, commenced.</w:t>
      </w:r>
      <w:r w:rsidR="00643355">
        <w:rPr>
          <w:rFonts w:cs="Arial"/>
        </w:rPr>
        <w:t xml:space="preserve"> This situation is causing frustration, leading to a lack of community trust and reinforcing an adversarial standpoint.</w:t>
      </w:r>
    </w:p>
    <w:p w:rsidR="00910E28" w:rsidRDefault="003A007F" w:rsidP="003A007F">
      <w:pPr>
        <w:rPr>
          <w:rFonts w:cs="Arial"/>
        </w:rPr>
      </w:pPr>
      <w:r w:rsidRPr="00610B87">
        <w:rPr>
          <w:rFonts w:cs="Arial"/>
        </w:rPr>
        <w:t xml:space="preserve">While the centralised Freedom of Information (FOI) process and Departmental point of contact was viewed as a helpful function, there is a perception among </w:t>
      </w:r>
      <w:r>
        <w:rPr>
          <w:rFonts w:cs="Arial"/>
        </w:rPr>
        <w:t>some groups</w:t>
      </w:r>
      <w:r w:rsidRPr="00610B87">
        <w:rPr>
          <w:rFonts w:cs="Arial"/>
        </w:rPr>
        <w:t xml:space="preserve"> that the Department is reluctant to release documents, forces people to use FOI or other </w:t>
      </w:r>
      <w:r w:rsidR="0046081E">
        <w:rPr>
          <w:rFonts w:cs="Arial"/>
        </w:rPr>
        <w:t>legal</w:t>
      </w:r>
      <w:r w:rsidR="0046081E" w:rsidRPr="00610B87">
        <w:rPr>
          <w:rFonts w:cs="Arial"/>
        </w:rPr>
        <w:t xml:space="preserve"> </w:t>
      </w:r>
      <w:r w:rsidRPr="00610B87">
        <w:rPr>
          <w:rFonts w:cs="Arial"/>
        </w:rPr>
        <w:t xml:space="preserve">means to obtain access to information, and deliberately draws out the FOI process. </w:t>
      </w:r>
      <w:r w:rsidR="00643355">
        <w:rPr>
          <w:rFonts w:cs="Arial"/>
        </w:rPr>
        <w:t>The Project did not find any evidence that the Department inappropriately withholds information or deliberately draws out FOI processes</w:t>
      </w:r>
      <w:r w:rsidR="005E2DE0">
        <w:rPr>
          <w:rFonts w:cs="Arial"/>
        </w:rPr>
        <w:t>. L</w:t>
      </w:r>
      <w:r w:rsidR="00643355">
        <w:rPr>
          <w:rFonts w:cs="Arial"/>
        </w:rPr>
        <w:t>egislative requirements are met</w:t>
      </w:r>
      <w:r w:rsidR="005E2DE0">
        <w:rPr>
          <w:rFonts w:cs="Arial"/>
        </w:rPr>
        <w:t xml:space="preserve"> for FOI requests.</w:t>
      </w:r>
    </w:p>
    <w:p w:rsidR="003A007F" w:rsidRDefault="003A007F" w:rsidP="003A007F">
      <w:pPr>
        <w:rPr>
          <w:rFonts w:cs="Arial"/>
        </w:rPr>
      </w:pPr>
      <w:r w:rsidRPr="00610B87">
        <w:rPr>
          <w:rFonts w:cs="Arial"/>
        </w:rPr>
        <w:t>Proponents, co-regulators, and the broader community all expressed a desire for more information about the status of projects undergoing assessment. For example, the Department’s website gives limited information about the progress of applications. An improvement could be made wherein further detail is provided publicly via the Department’s website regarding the application process. The NSW Department of Planning and Environment’s website is a good example</w:t>
      </w:r>
      <w:r w:rsidR="00093323">
        <w:rPr>
          <w:rStyle w:val="FootnoteReference"/>
          <w:rFonts w:cs="Arial"/>
        </w:rPr>
        <w:footnoteReference w:id="20"/>
      </w:r>
      <w:r w:rsidRPr="00610B87">
        <w:rPr>
          <w:rFonts w:cs="Arial"/>
        </w:rPr>
        <w:t>.</w:t>
      </w:r>
    </w:p>
    <w:p w:rsidR="0046081E" w:rsidRDefault="0046081E" w:rsidP="0046081E">
      <w:pPr>
        <w:rPr>
          <w:rFonts w:cs="Arial"/>
        </w:rPr>
      </w:pPr>
      <w:r>
        <w:rPr>
          <w:rFonts w:cs="Arial"/>
        </w:rPr>
        <w:t xml:space="preserve">As noted above environmental regulation is highly contested and politically charged. This can </w:t>
      </w:r>
      <w:r w:rsidR="001A088C">
        <w:rPr>
          <w:rFonts w:cs="Arial"/>
        </w:rPr>
        <w:t>result in somewhat</w:t>
      </w:r>
      <w:r>
        <w:rPr>
          <w:rFonts w:cs="Arial"/>
        </w:rPr>
        <w:t xml:space="preserve"> adversarial relationships between the Department and stakeholders who </w:t>
      </w:r>
      <w:r w:rsidR="001A088C">
        <w:rPr>
          <w:rFonts w:cs="Arial"/>
        </w:rPr>
        <w:t xml:space="preserve">strongly </w:t>
      </w:r>
      <w:r>
        <w:rPr>
          <w:rFonts w:cs="Arial"/>
        </w:rPr>
        <w:t>disagree with the Government’s approach to regulation</w:t>
      </w:r>
      <w:r w:rsidR="001A088C">
        <w:rPr>
          <w:rFonts w:cs="Arial"/>
        </w:rPr>
        <w:t>. Indeed</w:t>
      </w:r>
      <w:r>
        <w:rPr>
          <w:rFonts w:cs="Arial"/>
        </w:rPr>
        <w:t xml:space="preserve"> the Department has noticed an increase litigation over regulatory decisions over the last </w:t>
      </w:r>
      <w:r w:rsidR="005E2DE0">
        <w:rPr>
          <w:rFonts w:cs="Arial"/>
        </w:rPr>
        <w:t xml:space="preserve">few </w:t>
      </w:r>
      <w:r>
        <w:rPr>
          <w:rFonts w:cs="Arial"/>
        </w:rPr>
        <w:t xml:space="preserve">years, particularly in relation to EPBC Act approvals. </w:t>
      </w:r>
      <w:r w:rsidR="001A088C">
        <w:rPr>
          <w:rFonts w:cs="Arial"/>
        </w:rPr>
        <w:t>The Department will need to carefully consider this context</w:t>
      </w:r>
      <w:r w:rsidR="003308A4">
        <w:rPr>
          <w:rFonts w:cs="Arial"/>
        </w:rPr>
        <w:t xml:space="preserve"> as it works to provide more information about its decisions.</w:t>
      </w:r>
      <w:r>
        <w:rPr>
          <w:rFonts w:cs="Arial"/>
        </w:rPr>
        <w:t xml:space="preserve"> </w:t>
      </w:r>
    </w:p>
    <w:tbl>
      <w:tblPr>
        <w:tblStyle w:val="TableGrid1"/>
        <w:tblW w:w="0" w:type="auto"/>
        <w:tblLook w:val="04A0" w:firstRow="1" w:lastRow="0" w:firstColumn="1" w:lastColumn="0" w:noHBand="0" w:noVBand="1"/>
      </w:tblPr>
      <w:tblGrid>
        <w:gridCol w:w="9212"/>
      </w:tblGrid>
      <w:tr w:rsidR="003A007F" w:rsidRPr="00610B87" w:rsidTr="0042419C">
        <w:trPr>
          <w:cnfStyle w:val="100000000000" w:firstRow="1" w:lastRow="0" w:firstColumn="0" w:lastColumn="0" w:oddVBand="0" w:evenVBand="0" w:oddHBand="0" w:evenHBand="0" w:firstRowFirstColumn="0" w:firstRowLastColumn="0" w:lastRowFirstColumn="0" w:lastRowLastColumn="0"/>
        </w:trPr>
        <w:tc>
          <w:tcPr>
            <w:tcW w:w="9428" w:type="dxa"/>
            <w:tcBorders>
              <w:top w:val="nil"/>
              <w:left w:val="nil"/>
              <w:bottom w:val="nil"/>
              <w:right w:val="nil"/>
            </w:tcBorders>
            <w:shd w:val="clear" w:color="auto" w:fill="C7E2FA" w:themeFill="accent1" w:themeFillTint="33"/>
          </w:tcPr>
          <w:p w:rsidR="003A007F" w:rsidRPr="003E0E30" w:rsidRDefault="003A007F" w:rsidP="0042419C">
            <w:pPr>
              <w:pStyle w:val="ListBullet"/>
              <w:numPr>
                <w:ilvl w:val="0"/>
                <w:numId w:val="0"/>
              </w:numPr>
              <w:spacing w:before="240"/>
              <w:rPr>
                <w:rFonts w:cs="Arial"/>
                <w:b/>
              </w:rPr>
            </w:pPr>
            <w:r w:rsidRPr="003E0E30">
              <w:rPr>
                <w:rFonts w:cs="Arial"/>
                <w:b/>
              </w:rPr>
              <w:t xml:space="preserve">Recommendation </w:t>
            </w:r>
            <w:r w:rsidR="004365C5">
              <w:rPr>
                <w:rFonts w:cs="Arial"/>
                <w:b/>
              </w:rPr>
              <w:t>2</w:t>
            </w:r>
            <w:r w:rsidRPr="003E0E30">
              <w:rPr>
                <w:rFonts w:cs="Arial"/>
                <w:b/>
              </w:rPr>
              <w:t>.9 (Transparency a</w:t>
            </w:r>
            <w:r>
              <w:rPr>
                <w:rFonts w:cs="Arial"/>
                <w:b/>
              </w:rPr>
              <w:t>nd disclosure of information)</w:t>
            </w:r>
          </w:p>
          <w:p w:rsidR="00A26037" w:rsidRDefault="00A26037" w:rsidP="003A007F">
            <w:pPr>
              <w:rPr>
                <w:rFonts w:cs="Arial"/>
                <w:i/>
              </w:rPr>
            </w:pPr>
            <w:r>
              <w:rPr>
                <w:rFonts w:cs="Arial"/>
                <w:i/>
              </w:rPr>
              <w:t xml:space="preserve">Importance: </w:t>
            </w:r>
            <w:r w:rsidRPr="00A75DFB">
              <w:rPr>
                <w:rFonts w:cs="Arial"/>
              </w:rPr>
              <w:t>2</w:t>
            </w:r>
          </w:p>
          <w:p w:rsidR="00A26037" w:rsidRPr="00A26037" w:rsidRDefault="00A26037" w:rsidP="003A007F">
            <w:pPr>
              <w:rPr>
                <w:rFonts w:cs="Arial"/>
                <w:i/>
              </w:rPr>
            </w:pPr>
            <w:r>
              <w:rPr>
                <w:rFonts w:cs="Arial"/>
                <w:i/>
              </w:rPr>
              <w:t xml:space="preserve">Timing: </w:t>
            </w:r>
            <w:r w:rsidRPr="00A75DFB">
              <w:rPr>
                <w:rFonts w:cs="Arial"/>
              </w:rPr>
              <w:t>1</w:t>
            </w:r>
          </w:p>
          <w:p w:rsidR="003A007F" w:rsidRDefault="003A007F" w:rsidP="003A007F">
            <w:pPr>
              <w:rPr>
                <w:rFonts w:cs="Arial"/>
              </w:rPr>
            </w:pPr>
            <w:r w:rsidRPr="00904DD7">
              <w:rPr>
                <w:rFonts w:cs="Arial"/>
              </w:rPr>
              <w:t xml:space="preserve">EPG should proactively provide more information about its decisions and processes. The Department should formalise and commit to this approach (see also </w:t>
            </w:r>
            <w:r w:rsidR="00130799">
              <w:rPr>
                <w:rFonts w:cs="Arial"/>
              </w:rPr>
              <w:t xml:space="preserve">the </w:t>
            </w:r>
            <w:r w:rsidR="00130799">
              <w:rPr>
                <w:rFonts w:cs="Arial"/>
                <w:i/>
              </w:rPr>
              <w:t xml:space="preserve">Proactive Engagement with Community Stakeholders </w:t>
            </w:r>
            <w:r w:rsidR="00130799">
              <w:rPr>
                <w:rFonts w:cs="Arial"/>
              </w:rPr>
              <w:t>section in Chapter 6)</w:t>
            </w:r>
            <w:r w:rsidRPr="00904DD7">
              <w:rPr>
                <w:rFonts w:cs="Arial"/>
              </w:rPr>
              <w:t>.</w:t>
            </w:r>
          </w:p>
          <w:p w:rsidR="003A007F" w:rsidRPr="00904DD7" w:rsidRDefault="003A007F" w:rsidP="003A007F">
            <w:pPr>
              <w:rPr>
                <w:rFonts w:cs="Arial"/>
              </w:rPr>
            </w:pPr>
            <w:r w:rsidRPr="00904DD7">
              <w:rPr>
                <w:rFonts w:cs="Arial"/>
              </w:rPr>
              <w:t xml:space="preserve">Subject to privacy and confidentiality requirements, EPG should routinely publish key documents used to support decisions to help stakeholders understand the reasons for those decisions (for example recommendation reports for environmental impact assessments) </w:t>
            </w:r>
            <w:r w:rsidRPr="00904DD7">
              <w:rPr>
                <w:rFonts w:cs="Arial"/>
              </w:rPr>
              <w:lastRenderedPageBreak/>
              <w:t>and/or fact sheets or statements of reasons for decisions that are likely to be high profile</w:t>
            </w:r>
            <w:r w:rsidR="005E2DE0">
              <w:rPr>
                <w:rFonts w:cs="Arial"/>
              </w:rPr>
              <w:t xml:space="preserve"> or </w:t>
            </w:r>
            <w:r w:rsidRPr="00904DD7">
              <w:rPr>
                <w:rFonts w:cs="Arial"/>
              </w:rPr>
              <w:t>have a large degree of community concern.</w:t>
            </w:r>
          </w:p>
          <w:p w:rsidR="003A007F" w:rsidRPr="00610B87" w:rsidRDefault="003A007F" w:rsidP="003A007F">
            <w:pPr>
              <w:rPr>
                <w:rFonts w:cs="Arial"/>
              </w:rPr>
            </w:pPr>
            <w:r>
              <w:rPr>
                <w:rFonts w:cs="Arial"/>
              </w:rPr>
              <w:t>To address community concerns about the time taken for FOI requests, a</w:t>
            </w:r>
            <w:r w:rsidRPr="00904DD7">
              <w:rPr>
                <w:rFonts w:cs="Arial"/>
              </w:rPr>
              <w:t xml:space="preserve"> fact sheet should be prepared for communities that explain the FOI process, the types of documents that can and cannot be provided, and the likely timing for the process. This could be illustrated through a case study. </w:t>
            </w:r>
          </w:p>
        </w:tc>
      </w:tr>
    </w:tbl>
    <w:p w:rsidR="003A007F" w:rsidRPr="0042419C" w:rsidRDefault="003A007F" w:rsidP="0042419C">
      <w:pPr>
        <w:pStyle w:val="Heading1"/>
        <w:spacing w:after="120"/>
        <w:rPr>
          <w:caps w:val="0"/>
          <w:color w:val="0B5294" w:themeColor="accent1" w:themeShade="BF"/>
          <w:sz w:val="24"/>
          <w:szCs w:val="24"/>
        </w:rPr>
      </w:pPr>
      <w:bookmarkStart w:id="33" w:name="_Toc443405168"/>
      <w:r w:rsidRPr="0042419C">
        <w:rPr>
          <w:caps w:val="0"/>
          <w:color w:val="0B5294" w:themeColor="accent1" w:themeShade="BF"/>
          <w:sz w:val="24"/>
          <w:szCs w:val="24"/>
        </w:rPr>
        <w:lastRenderedPageBreak/>
        <w:t>Intelligence</w:t>
      </w:r>
      <w:bookmarkEnd w:id="33"/>
      <w:r w:rsidRPr="0042419C">
        <w:rPr>
          <w:caps w:val="0"/>
          <w:color w:val="0B5294" w:themeColor="accent1" w:themeShade="BF"/>
          <w:sz w:val="24"/>
          <w:szCs w:val="24"/>
        </w:rPr>
        <w:t xml:space="preserve"> </w:t>
      </w:r>
    </w:p>
    <w:p w:rsidR="003A007F" w:rsidRDefault="003A007F" w:rsidP="003A007F">
      <w:pPr>
        <w:pStyle w:val="ListBullet"/>
        <w:numPr>
          <w:ilvl w:val="0"/>
          <w:numId w:val="0"/>
        </w:numPr>
        <w:rPr>
          <w:rFonts w:cs="Arial"/>
        </w:rPr>
      </w:pPr>
      <w:r>
        <w:rPr>
          <w:rFonts w:cs="Arial"/>
        </w:rPr>
        <w:t xml:space="preserve">Best practice regulators use intelligence to guide their regulatory activities. </w:t>
      </w:r>
      <w:r w:rsidR="004365C5">
        <w:rPr>
          <w:rFonts w:cs="Arial"/>
        </w:rPr>
        <w:t>Intelligence can be used to:</w:t>
      </w:r>
    </w:p>
    <w:p w:rsidR="003A007F" w:rsidRPr="001F59B7" w:rsidRDefault="003A007F" w:rsidP="00AD5A35">
      <w:pPr>
        <w:pStyle w:val="ListParagraph"/>
        <w:numPr>
          <w:ilvl w:val="0"/>
          <w:numId w:val="7"/>
        </w:numPr>
        <w:spacing w:after="0" w:line="240" w:lineRule="auto"/>
        <w:ind w:left="360"/>
        <w:contextualSpacing/>
        <w:rPr>
          <w:rFonts w:cs="Arial"/>
        </w:rPr>
      </w:pPr>
      <w:r w:rsidRPr="001F59B7">
        <w:rPr>
          <w:rFonts w:cs="Arial"/>
        </w:rPr>
        <w:t>identify</w:t>
      </w:r>
      <w:r>
        <w:rPr>
          <w:rFonts w:cs="Arial"/>
        </w:rPr>
        <w:t xml:space="preserve"> emerging</w:t>
      </w:r>
      <w:r w:rsidRPr="001F59B7">
        <w:rPr>
          <w:rFonts w:cs="Arial"/>
        </w:rPr>
        <w:t xml:space="preserve"> issues and trends</w:t>
      </w:r>
      <w:r>
        <w:rPr>
          <w:rFonts w:cs="Arial"/>
        </w:rPr>
        <w:t xml:space="preserve"> by industry or other cohorts</w:t>
      </w:r>
      <w:r w:rsidRPr="001F59B7">
        <w:rPr>
          <w:rFonts w:cs="Arial"/>
        </w:rPr>
        <w:t>;</w:t>
      </w:r>
    </w:p>
    <w:p w:rsidR="003A007F" w:rsidRPr="001F59B7" w:rsidRDefault="003A007F" w:rsidP="00AD5A35">
      <w:pPr>
        <w:pStyle w:val="ListParagraph"/>
        <w:numPr>
          <w:ilvl w:val="0"/>
          <w:numId w:val="7"/>
        </w:numPr>
        <w:spacing w:after="0" w:line="240" w:lineRule="auto"/>
        <w:ind w:left="360"/>
        <w:contextualSpacing/>
        <w:rPr>
          <w:rFonts w:cs="Arial"/>
        </w:rPr>
      </w:pPr>
      <w:r w:rsidRPr="001F59B7">
        <w:rPr>
          <w:rFonts w:cs="Arial"/>
        </w:rPr>
        <w:t>inform risk assessments and analysis</w:t>
      </w:r>
      <w:r>
        <w:rPr>
          <w:rFonts w:cs="Arial"/>
        </w:rPr>
        <w:t xml:space="preserve"> at both operational and organisational level</w:t>
      </w:r>
      <w:r w:rsidRPr="001F59B7">
        <w:rPr>
          <w:rFonts w:cs="Arial"/>
        </w:rPr>
        <w:t>;</w:t>
      </w:r>
    </w:p>
    <w:p w:rsidR="003A007F" w:rsidRDefault="003A007F" w:rsidP="00AD5A35">
      <w:pPr>
        <w:pStyle w:val="ListParagraph"/>
        <w:numPr>
          <w:ilvl w:val="0"/>
          <w:numId w:val="7"/>
        </w:numPr>
        <w:spacing w:after="0" w:line="240" w:lineRule="auto"/>
        <w:ind w:left="360"/>
        <w:contextualSpacing/>
        <w:rPr>
          <w:rFonts w:cs="Arial"/>
        </w:rPr>
      </w:pPr>
      <w:r>
        <w:rPr>
          <w:rFonts w:cs="Arial"/>
        </w:rPr>
        <w:t>identify the most appropriate regulatory responses to influence behaviour;</w:t>
      </w:r>
    </w:p>
    <w:p w:rsidR="003A007F" w:rsidRPr="001F59B7" w:rsidRDefault="003A007F" w:rsidP="00AD5A35">
      <w:pPr>
        <w:pStyle w:val="ListParagraph"/>
        <w:numPr>
          <w:ilvl w:val="0"/>
          <w:numId w:val="7"/>
        </w:numPr>
        <w:spacing w:after="0" w:line="240" w:lineRule="auto"/>
        <w:ind w:left="360"/>
        <w:contextualSpacing/>
        <w:rPr>
          <w:rFonts w:cs="Arial"/>
        </w:rPr>
      </w:pPr>
      <w:r w:rsidRPr="001F59B7">
        <w:rPr>
          <w:rFonts w:cs="Arial"/>
        </w:rPr>
        <w:t>support the decision-making process with regard to policies, regulatory frameworks, objectives and activities; and</w:t>
      </w:r>
    </w:p>
    <w:p w:rsidR="003A007F" w:rsidRDefault="003A007F" w:rsidP="00AD5A35">
      <w:pPr>
        <w:pStyle w:val="ListParagraph"/>
        <w:numPr>
          <w:ilvl w:val="0"/>
          <w:numId w:val="7"/>
        </w:numPr>
        <w:spacing w:after="0" w:line="240" w:lineRule="auto"/>
        <w:ind w:left="360"/>
        <w:contextualSpacing/>
        <w:rPr>
          <w:rFonts w:cs="Arial"/>
        </w:rPr>
      </w:pPr>
      <w:r w:rsidRPr="001F59B7">
        <w:rPr>
          <w:rFonts w:cs="Arial"/>
        </w:rPr>
        <w:t>guide compliance activities by supporting a t</w:t>
      </w:r>
      <w:r>
        <w:rPr>
          <w:rFonts w:cs="Arial"/>
        </w:rPr>
        <w:t>argeted deployment of resources.</w:t>
      </w:r>
    </w:p>
    <w:p w:rsidR="00AD5A35" w:rsidRDefault="00AD5A35" w:rsidP="00AD5A35">
      <w:pPr>
        <w:pStyle w:val="ListParagraph"/>
        <w:numPr>
          <w:ilvl w:val="0"/>
          <w:numId w:val="0"/>
        </w:numPr>
        <w:spacing w:after="0" w:line="240" w:lineRule="auto"/>
        <w:ind w:left="360"/>
        <w:contextualSpacing/>
        <w:rPr>
          <w:rFonts w:cs="Arial"/>
        </w:rPr>
      </w:pPr>
    </w:p>
    <w:p w:rsidR="003A007F" w:rsidRDefault="00FA6FD6" w:rsidP="003A007F">
      <w:pPr>
        <w:pStyle w:val="ListBullet"/>
        <w:numPr>
          <w:ilvl w:val="0"/>
          <w:numId w:val="0"/>
        </w:numPr>
        <w:rPr>
          <w:rFonts w:cs="Arial"/>
        </w:rPr>
      </w:pPr>
      <w:r>
        <w:rPr>
          <w:rFonts w:cs="Arial"/>
        </w:rPr>
        <w:t>Large regulatory agencies such as the ATO and Border</w:t>
      </w:r>
      <w:r w:rsidR="00DA696F">
        <w:rPr>
          <w:rFonts w:cs="Arial"/>
        </w:rPr>
        <w:t xml:space="preserve"> F</w:t>
      </w:r>
      <w:r>
        <w:rPr>
          <w:rFonts w:cs="Arial"/>
        </w:rPr>
        <w:t>orce</w:t>
      </w:r>
      <w:r w:rsidR="004A04F7">
        <w:rPr>
          <w:rFonts w:cs="Arial"/>
        </w:rPr>
        <w:t xml:space="preserve"> are proficient at using</w:t>
      </w:r>
      <w:r>
        <w:rPr>
          <w:rFonts w:cs="Arial"/>
        </w:rPr>
        <w:t xml:space="preserve"> </w:t>
      </w:r>
      <w:r w:rsidR="003A007F">
        <w:rPr>
          <w:rFonts w:cs="Arial"/>
        </w:rPr>
        <w:t>strategic intelligence</w:t>
      </w:r>
      <w:r w:rsidR="004A04F7">
        <w:rPr>
          <w:rFonts w:cs="Arial"/>
        </w:rPr>
        <w:t xml:space="preserve"> to guide their operations, however this is</w:t>
      </w:r>
      <w:r w:rsidR="003A007F">
        <w:rPr>
          <w:rFonts w:cs="Arial"/>
        </w:rPr>
        <w:t xml:space="preserve"> still an emerging function for environmental regulators</w:t>
      </w:r>
      <w:r w:rsidR="004A04F7">
        <w:rPr>
          <w:rFonts w:cs="Arial"/>
        </w:rPr>
        <w:t>,</w:t>
      </w:r>
      <w:r w:rsidR="003A007F">
        <w:rPr>
          <w:rFonts w:cs="Arial"/>
        </w:rPr>
        <w:t xml:space="preserve"> including the Department. The Compliance and Enforcement Branch has a reasonably well established intelligence team with qualified officers providing tactical intelligence to support specific investigations.</w:t>
      </w:r>
      <w:r w:rsidR="004A04F7">
        <w:rPr>
          <w:rFonts w:cs="Arial"/>
        </w:rPr>
        <w:t xml:space="preserve"> However, </w:t>
      </w:r>
      <w:r w:rsidR="003A007F">
        <w:rPr>
          <w:rFonts w:cs="Arial"/>
        </w:rPr>
        <w:t>EPG does not have an appropriately skilled strategic intelligence team</w:t>
      </w:r>
      <w:r w:rsidR="004A04F7">
        <w:rPr>
          <w:rFonts w:cs="Arial"/>
        </w:rPr>
        <w:t xml:space="preserve"> </w:t>
      </w:r>
      <w:r w:rsidR="003A007F">
        <w:rPr>
          <w:rFonts w:cs="Arial"/>
        </w:rPr>
        <w:t>that can analyse data and insights across</w:t>
      </w:r>
      <w:r w:rsidR="004A04F7">
        <w:rPr>
          <w:rFonts w:cs="Arial"/>
        </w:rPr>
        <w:t xml:space="preserve"> all of</w:t>
      </w:r>
      <w:r w:rsidR="003A007F">
        <w:rPr>
          <w:rFonts w:cs="Arial"/>
        </w:rPr>
        <w:t xml:space="preserve"> its regulatory functions to identify emerging issues, trends and risks. While the experience of the ATO and other regulators will be relevant to developing this strategic function, </w:t>
      </w:r>
      <w:r w:rsidR="00540127">
        <w:rPr>
          <w:rFonts w:cs="Arial"/>
        </w:rPr>
        <w:t>it</w:t>
      </w:r>
      <w:r w:rsidR="004A04F7">
        <w:rPr>
          <w:rFonts w:cs="Arial"/>
        </w:rPr>
        <w:t xml:space="preserve"> is </w:t>
      </w:r>
      <w:r w:rsidR="003A007F">
        <w:rPr>
          <w:rFonts w:cs="Arial"/>
        </w:rPr>
        <w:t>unlikely to be directly transferable</w:t>
      </w:r>
      <w:r w:rsidR="004A04F7">
        <w:rPr>
          <w:rFonts w:cs="Arial"/>
        </w:rPr>
        <w:t xml:space="preserve"> to EPG</w:t>
      </w:r>
      <w:r w:rsidR="003A007F">
        <w:rPr>
          <w:rFonts w:cs="Arial"/>
        </w:rPr>
        <w:t xml:space="preserve"> because of differences of scale and Government priority. The Department will need to work with other environmental regulators to develop an approach to strategic intelligence that is workable in the environmental context.</w:t>
      </w:r>
    </w:p>
    <w:p w:rsidR="003A007F" w:rsidRDefault="003A007F" w:rsidP="003A007F">
      <w:pPr>
        <w:pStyle w:val="ListBullet"/>
        <w:numPr>
          <w:ilvl w:val="0"/>
          <w:numId w:val="0"/>
        </w:numPr>
        <w:rPr>
          <w:rFonts w:cs="Arial"/>
        </w:rPr>
      </w:pPr>
      <w:r>
        <w:rPr>
          <w:rFonts w:cs="Arial"/>
        </w:rPr>
        <w:t>The Department currently has limited tools, particularly with regards to IT, to move its intelligence functions toward full maturity. A recent compliance and intelligence capability study</w:t>
      </w:r>
      <w:r w:rsidR="00463F41">
        <w:rPr>
          <w:rStyle w:val="FootnoteReference"/>
          <w:rFonts w:cs="Arial"/>
        </w:rPr>
        <w:footnoteReference w:id="21"/>
      </w:r>
      <w:r>
        <w:rPr>
          <w:rFonts w:cs="Arial"/>
        </w:rPr>
        <w:t xml:space="preserve"> noted that the current Compliance and Enforcement Management System (CEMS) is currently not fit-for-purpose</w:t>
      </w:r>
      <w:r w:rsidR="00540127">
        <w:rPr>
          <w:rFonts w:cs="Arial"/>
        </w:rPr>
        <w:t xml:space="preserve"> </w:t>
      </w:r>
      <w:r>
        <w:rPr>
          <w:rFonts w:cs="Arial"/>
        </w:rPr>
        <w:t>(see</w:t>
      </w:r>
      <w:r w:rsidR="00130799">
        <w:rPr>
          <w:rFonts w:cs="Arial"/>
        </w:rPr>
        <w:t xml:space="preserve"> also the </w:t>
      </w:r>
      <w:r w:rsidR="00130799">
        <w:rPr>
          <w:rFonts w:cs="Arial"/>
          <w:i/>
        </w:rPr>
        <w:t xml:space="preserve">IT Systems </w:t>
      </w:r>
      <w:r w:rsidR="00130799">
        <w:rPr>
          <w:rFonts w:cs="Arial"/>
        </w:rPr>
        <w:t>section in Chapter 4).</w:t>
      </w:r>
      <w:r>
        <w:rPr>
          <w:rFonts w:cs="Arial"/>
        </w:rPr>
        <w:t xml:space="preserve"> In particular</w:t>
      </w:r>
      <w:r w:rsidR="00540127">
        <w:rPr>
          <w:rFonts w:cs="Arial"/>
        </w:rPr>
        <w:t>,</w:t>
      </w:r>
      <w:r>
        <w:rPr>
          <w:rFonts w:cs="Arial"/>
        </w:rPr>
        <w:t xml:space="preserve"> the Department has limited capacity to share protected data with co-regulators and very limited tools for mining and analysing data. </w:t>
      </w:r>
    </w:p>
    <w:p w:rsidR="003A007F" w:rsidRPr="00B07DBF" w:rsidRDefault="003A007F" w:rsidP="003A007F">
      <w:pPr>
        <w:pStyle w:val="ListBullet"/>
        <w:numPr>
          <w:ilvl w:val="0"/>
          <w:numId w:val="0"/>
        </w:numPr>
        <w:rPr>
          <w:rFonts w:cs="Arial"/>
        </w:rPr>
      </w:pPr>
      <w:r w:rsidRPr="00B07DBF">
        <w:rPr>
          <w:rFonts w:cs="Arial"/>
        </w:rPr>
        <w:t xml:space="preserve">In June 2014 the ANAO recommended that the Department develop and implement an annual </w:t>
      </w:r>
      <w:r w:rsidR="00E3593E">
        <w:rPr>
          <w:rFonts w:cs="Arial"/>
        </w:rPr>
        <w:t>program</w:t>
      </w:r>
      <w:r w:rsidRPr="00B07DBF">
        <w:rPr>
          <w:rFonts w:cs="Arial"/>
        </w:rPr>
        <w:t xml:space="preserve"> of compliance activities with respect to EPBC Part 9 approvals, having regard to a structured approach to collect</w:t>
      </w:r>
      <w:r>
        <w:rPr>
          <w:rFonts w:cs="Arial"/>
        </w:rPr>
        <w:t>ing</w:t>
      </w:r>
      <w:r w:rsidRPr="00B07DBF">
        <w:rPr>
          <w:rFonts w:cs="Arial"/>
        </w:rPr>
        <w:t>, retain</w:t>
      </w:r>
      <w:r>
        <w:rPr>
          <w:rFonts w:cs="Arial"/>
        </w:rPr>
        <w:t>ing and regularly analysing</w:t>
      </w:r>
      <w:r w:rsidRPr="00B07DBF">
        <w:rPr>
          <w:rFonts w:cs="Arial"/>
        </w:rPr>
        <w:t xml:space="preserve"> compliance intelligence. In 2015 the ANAO found that the Department had not yet established an effective compliance intelligence strategy for wildlife trade regulation, and that this was significantly hampered by poor IT systems and fragmented risk assessment approaches. </w:t>
      </w:r>
      <w:r w:rsidR="00DA696F">
        <w:rPr>
          <w:rFonts w:cs="Arial"/>
        </w:rPr>
        <w:t xml:space="preserve">The ANAO </w:t>
      </w:r>
      <w:r w:rsidRPr="00B07DBF">
        <w:rPr>
          <w:rFonts w:cs="Arial"/>
        </w:rPr>
        <w:t>recommended that the Department collect, retain and regularly analyse compliance information from its own and Border Force’s holdings.</w:t>
      </w:r>
    </w:p>
    <w:p w:rsidR="003A007F" w:rsidRDefault="003A007F" w:rsidP="003A007F">
      <w:pPr>
        <w:pStyle w:val="ListBullet"/>
        <w:numPr>
          <w:ilvl w:val="0"/>
          <w:numId w:val="0"/>
        </w:numPr>
        <w:rPr>
          <w:rFonts w:cs="Arial"/>
        </w:rPr>
      </w:pPr>
      <w:r w:rsidRPr="00B07DBF">
        <w:rPr>
          <w:rFonts w:cs="Arial"/>
        </w:rPr>
        <w:t xml:space="preserve">The Department is currently working </w:t>
      </w:r>
      <w:r>
        <w:rPr>
          <w:rFonts w:cs="Arial"/>
        </w:rPr>
        <w:t xml:space="preserve">on several projects </w:t>
      </w:r>
      <w:r w:rsidRPr="00B07DBF">
        <w:rPr>
          <w:rFonts w:cs="Arial"/>
        </w:rPr>
        <w:t xml:space="preserve">to improve the Department’s relationship with Border Force, including in relation to sharing </w:t>
      </w:r>
      <w:r>
        <w:rPr>
          <w:rFonts w:cs="Arial"/>
        </w:rPr>
        <w:t xml:space="preserve">data and </w:t>
      </w:r>
      <w:r w:rsidRPr="00B07DBF">
        <w:rPr>
          <w:rFonts w:cs="Arial"/>
        </w:rPr>
        <w:t>intelligence</w:t>
      </w:r>
      <w:r>
        <w:rPr>
          <w:rFonts w:cs="Arial"/>
        </w:rPr>
        <w:t>.</w:t>
      </w:r>
      <w:r w:rsidRPr="00B07DBF">
        <w:rPr>
          <w:rFonts w:cs="Arial"/>
        </w:rPr>
        <w:t xml:space="preserve"> </w:t>
      </w:r>
      <w:r>
        <w:rPr>
          <w:rFonts w:cs="Arial"/>
        </w:rPr>
        <w:t>T</w:t>
      </w:r>
      <w:r w:rsidRPr="00B07DBF">
        <w:rPr>
          <w:rFonts w:cs="Arial"/>
        </w:rPr>
        <w:t xml:space="preserve">his is a </w:t>
      </w:r>
      <w:r w:rsidRPr="00B07DBF">
        <w:rPr>
          <w:rFonts w:cs="Arial"/>
        </w:rPr>
        <w:lastRenderedPageBreak/>
        <w:t xml:space="preserve">positive step. This provides an opportunity to learn from Border Force </w:t>
      </w:r>
      <w:r>
        <w:rPr>
          <w:rFonts w:cs="Arial"/>
        </w:rPr>
        <w:t>which has</w:t>
      </w:r>
      <w:r w:rsidRPr="00B07DBF">
        <w:rPr>
          <w:rFonts w:cs="Arial"/>
        </w:rPr>
        <w:t xml:space="preserve"> a more sophisticated approach to intelligence. </w:t>
      </w:r>
    </w:p>
    <w:p w:rsidR="003A007F" w:rsidRDefault="004365C5" w:rsidP="003A007F">
      <w:pPr>
        <w:pStyle w:val="ListBullet"/>
        <w:numPr>
          <w:ilvl w:val="0"/>
          <w:numId w:val="0"/>
        </w:numPr>
        <w:rPr>
          <w:rFonts w:cs="Arial"/>
        </w:rPr>
      </w:pPr>
      <w:r>
        <w:rPr>
          <w:rFonts w:cs="Arial"/>
        </w:rPr>
        <w:t>See</w:t>
      </w:r>
      <w:r w:rsidR="003A007F">
        <w:rPr>
          <w:rFonts w:cs="Arial"/>
        </w:rPr>
        <w:t xml:space="preserve"> also </w:t>
      </w:r>
      <w:r w:rsidR="00130799">
        <w:rPr>
          <w:rFonts w:cs="Arial"/>
        </w:rPr>
        <w:t xml:space="preserve">the </w:t>
      </w:r>
      <w:r w:rsidR="00130799">
        <w:rPr>
          <w:rFonts w:cs="Arial"/>
          <w:i/>
        </w:rPr>
        <w:t>Working with Other Regulators</w:t>
      </w:r>
      <w:r w:rsidR="00130799">
        <w:rPr>
          <w:rFonts w:cs="Arial"/>
        </w:rPr>
        <w:t xml:space="preserve"> section in Chapter 6.</w:t>
      </w:r>
    </w:p>
    <w:p w:rsidR="001427B2" w:rsidRDefault="001427B2" w:rsidP="003A007F">
      <w:pPr>
        <w:pStyle w:val="ListBullet"/>
        <w:numPr>
          <w:ilvl w:val="0"/>
          <w:numId w:val="0"/>
        </w:numPr>
        <w:rPr>
          <w:rFonts w:cs="Arial"/>
        </w:rPr>
      </w:pPr>
    </w:p>
    <w:p w:rsidR="001427B2" w:rsidRPr="00130799" w:rsidRDefault="001427B2" w:rsidP="003A007F">
      <w:pPr>
        <w:pStyle w:val="ListBullet"/>
        <w:numPr>
          <w:ilvl w:val="0"/>
          <w:numId w:val="0"/>
        </w:numPr>
        <w:rPr>
          <w:rFonts w:cs="Arial"/>
        </w:rPr>
      </w:pPr>
    </w:p>
    <w:tbl>
      <w:tblPr>
        <w:tblStyle w:val="TableGrid"/>
        <w:tblW w:w="0" w:type="auto"/>
        <w:tblLook w:val="04A0" w:firstRow="1" w:lastRow="0" w:firstColumn="1" w:lastColumn="0" w:noHBand="0" w:noVBand="1"/>
      </w:tblPr>
      <w:tblGrid>
        <w:gridCol w:w="9212"/>
      </w:tblGrid>
      <w:tr w:rsidR="003A007F" w:rsidTr="0042419C">
        <w:trPr>
          <w:cnfStyle w:val="100000000000" w:firstRow="1" w:lastRow="0" w:firstColumn="0" w:lastColumn="0" w:oddVBand="0" w:evenVBand="0" w:oddHBand="0" w:evenHBand="0" w:firstRowFirstColumn="0" w:firstRowLastColumn="0" w:lastRowFirstColumn="0" w:lastRowLastColumn="0"/>
        </w:trPr>
        <w:tc>
          <w:tcPr>
            <w:tcW w:w="9242" w:type="dxa"/>
            <w:tcBorders>
              <w:top w:val="nil"/>
              <w:left w:val="nil"/>
              <w:bottom w:val="nil"/>
              <w:right w:val="nil"/>
            </w:tcBorders>
            <w:shd w:val="clear" w:color="auto" w:fill="C7E2FA" w:themeFill="accent1" w:themeFillTint="33"/>
          </w:tcPr>
          <w:p w:rsidR="003A007F" w:rsidRDefault="003A007F" w:rsidP="0042419C">
            <w:pPr>
              <w:pStyle w:val="ListBullet"/>
              <w:numPr>
                <w:ilvl w:val="0"/>
                <w:numId w:val="0"/>
              </w:numPr>
              <w:spacing w:before="240"/>
              <w:rPr>
                <w:rFonts w:cs="Arial"/>
                <w:b/>
              </w:rPr>
            </w:pPr>
            <w:r>
              <w:rPr>
                <w:rFonts w:cs="Arial"/>
                <w:b/>
              </w:rPr>
              <w:t xml:space="preserve">Recommendation </w:t>
            </w:r>
            <w:r w:rsidR="004365C5">
              <w:rPr>
                <w:rFonts w:cs="Arial"/>
                <w:b/>
              </w:rPr>
              <w:t>2</w:t>
            </w:r>
            <w:r w:rsidRPr="00AE4C79">
              <w:rPr>
                <w:rFonts w:cs="Arial"/>
                <w:b/>
              </w:rPr>
              <w:t>.</w:t>
            </w:r>
            <w:r>
              <w:rPr>
                <w:rFonts w:cs="Arial"/>
                <w:b/>
              </w:rPr>
              <w:t>10 (Intelligence)</w:t>
            </w:r>
          </w:p>
          <w:p w:rsidR="00A26037" w:rsidRDefault="00A26037" w:rsidP="00A26037">
            <w:pPr>
              <w:rPr>
                <w:rFonts w:cs="Arial"/>
                <w:i/>
              </w:rPr>
            </w:pPr>
            <w:r>
              <w:rPr>
                <w:rFonts w:cs="Arial"/>
                <w:i/>
              </w:rPr>
              <w:t xml:space="preserve">Importance: </w:t>
            </w:r>
            <w:r w:rsidR="005A4278" w:rsidRPr="005A4278">
              <w:rPr>
                <w:rFonts w:cs="Arial"/>
              </w:rPr>
              <w:t>2</w:t>
            </w:r>
          </w:p>
          <w:p w:rsidR="00A26037" w:rsidRPr="00A26037" w:rsidRDefault="00A26037" w:rsidP="00A26037">
            <w:pPr>
              <w:rPr>
                <w:rFonts w:cs="Arial"/>
                <w:i/>
              </w:rPr>
            </w:pPr>
            <w:r>
              <w:rPr>
                <w:rFonts w:cs="Arial"/>
                <w:i/>
              </w:rPr>
              <w:t xml:space="preserve">Timing: </w:t>
            </w:r>
            <w:r w:rsidR="005A4278" w:rsidRPr="005A4278">
              <w:rPr>
                <w:rFonts w:cs="Arial"/>
              </w:rPr>
              <w:t>1</w:t>
            </w:r>
          </w:p>
          <w:p w:rsidR="003A007F" w:rsidRDefault="003A007F" w:rsidP="003A007F">
            <w:pPr>
              <w:pStyle w:val="ListBullet"/>
              <w:numPr>
                <w:ilvl w:val="0"/>
                <w:numId w:val="0"/>
              </w:numPr>
              <w:rPr>
                <w:rFonts w:cs="Arial"/>
              </w:rPr>
            </w:pPr>
            <w:r w:rsidRPr="00AE4C79">
              <w:rPr>
                <w:rFonts w:cs="Arial"/>
              </w:rPr>
              <w:t>The Department should</w:t>
            </w:r>
            <w:r>
              <w:rPr>
                <w:rFonts w:cs="Arial"/>
              </w:rPr>
              <w:t xml:space="preserve"> work with other environmental regulators to develop an approach</w:t>
            </w:r>
            <w:r w:rsidR="00FA3223">
              <w:rPr>
                <w:rFonts w:cs="Arial"/>
              </w:rPr>
              <w:t xml:space="preserve"> to</w:t>
            </w:r>
            <w:r>
              <w:rPr>
                <w:rFonts w:cs="Arial"/>
              </w:rPr>
              <w:t xml:space="preserve"> strategic intelligence. The Department should consider recruiting specifically for strategic intelligence skills and experience to drive this approach.</w:t>
            </w:r>
          </w:p>
          <w:p w:rsidR="003A007F" w:rsidRPr="00AE4C79" w:rsidRDefault="003A007F" w:rsidP="003A007F">
            <w:pPr>
              <w:pStyle w:val="ListBullet"/>
              <w:numPr>
                <w:ilvl w:val="0"/>
                <w:numId w:val="0"/>
              </w:numPr>
              <w:rPr>
                <w:rFonts w:cs="Arial"/>
              </w:rPr>
            </w:pPr>
            <w:r w:rsidRPr="00AE4C79">
              <w:rPr>
                <w:rFonts w:cs="Arial"/>
              </w:rPr>
              <w:t>The Department should invest in</w:t>
            </w:r>
            <w:r>
              <w:rPr>
                <w:rFonts w:cs="Arial"/>
              </w:rPr>
              <w:t xml:space="preserve"> IT</w:t>
            </w:r>
            <w:r w:rsidRPr="00AE4C79">
              <w:rPr>
                <w:rFonts w:cs="Arial"/>
              </w:rPr>
              <w:t xml:space="preserve"> tools for gathering and analysing intelligence, including d</w:t>
            </w:r>
            <w:r w:rsidR="00130799">
              <w:rPr>
                <w:rFonts w:cs="Arial"/>
              </w:rPr>
              <w:t>ata sharing with other agencies</w:t>
            </w:r>
            <w:r w:rsidR="00FA3223">
              <w:rPr>
                <w:rFonts w:cs="Arial"/>
              </w:rPr>
              <w:t xml:space="preserve"> </w:t>
            </w:r>
            <w:r w:rsidR="00FA3223" w:rsidRPr="00AE4C79">
              <w:rPr>
                <w:rFonts w:cs="Arial"/>
              </w:rPr>
              <w:t xml:space="preserve">(see also </w:t>
            </w:r>
            <w:r w:rsidR="00FA3223">
              <w:rPr>
                <w:rFonts w:cs="Arial"/>
              </w:rPr>
              <w:t xml:space="preserve">the </w:t>
            </w:r>
            <w:r w:rsidR="00FA3223">
              <w:rPr>
                <w:rFonts w:cs="Arial"/>
                <w:i/>
              </w:rPr>
              <w:t xml:space="preserve">IT Systems </w:t>
            </w:r>
            <w:r w:rsidR="00FA3223">
              <w:rPr>
                <w:rFonts w:cs="Arial"/>
              </w:rPr>
              <w:t>section in Chapter 4</w:t>
            </w:r>
            <w:r w:rsidR="00FA3223" w:rsidRPr="00AE4C79">
              <w:rPr>
                <w:rFonts w:cs="Arial"/>
              </w:rPr>
              <w:t>).</w:t>
            </w:r>
          </w:p>
          <w:p w:rsidR="003A007F" w:rsidRDefault="003A007F" w:rsidP="00FA3223">
            <w:pPr>
              <w:pStyle w:val="ListBullet"/>
              <w:numPr>
                <w:ilvl w:val="0"/>
                <w:numId w:val="0"/>
              </w:numPr>
              <w:rPr>
                <w:rFonts w:cs="Arial"/>
                <w:b/>
                <w:color w:val="0B5294" w:themeColor="accent1" w:themeShade="BF"/>
                <w:sz w:val="32"/>
                <w:szCs w:val="32"/>
              </w:rPr>
            </w:pPr>
            <w:r w:rsidRPr="00AE4C79">
              <w:rPr>
                <w:rFonts w:cs="Arial"/>
              </w:rPr>
              <w:t>The Department should formalise its relationships with co-regulators, including in relation to routine data sharing</w:t>
            </w:r>
            <w:r w:rsidR="00130799">
              <w:rPr>
                <w:rFonts w:cs="Arial"/>
              </w:rPr>
              <w:t xml:space="preserve"> </w:t>
            </w:r>
            <w:r w:rsidR="00130799" w:rsidRPr="00AE4C79">
              <w:rPr>
                <w:rFonts w:cs="Arial"/>
              </w:rPr>
              <w:t xml:space="preserve">(see also </w:t>
            </w:r>
            <w:r w:rsidR="00130799">
              <w:rPr>
                <w:rFonts w:cs="Arial"/>
              </w:rPr>
              <w:t xml:space="preserve">the </w:t>
            </w:r>
            <w:r w:rsidR="00130799">
              <w:rPr>
                <w:rFonts w:cs="Arial"/>
                <w:i/>
              </w:rPr>
              <w:t xml:space="preserve">Working with Other Regulators </w:t>
            </w:r>
            <w:r w:rsidR="00130799">
              <w:rPr>
                <w:rFonts w:cs="Arial"/>
              </w:rPr>
              <w:t>section in Chapter 6</w:t>
            </w:r>
            <w:r w:rsidR="00130799" w:rsidRPr="00AE4C79">
              <w:rPr>
                <w:rFonts w:cs="Arial"/>
              </w:rPr>
              <w:t>).</w:t>
            </w:r>
          </w:p>
        </w:tc>
      </w:tr>
    </w:tbl>
    <w:p w:rsidR="003A007F" w:rsidRDefault="003A007F" w:rsidP="003A007F">
      <w:pPr>
        <w:rPr>
          <w:rFonts w:cs="Arial"/>
          <w:b/>
          <w:color w:val="0B5294" w:themeColor="accent1" w:themeShade="BF"/>
          <w:sz w:val="32"/>
          <w:szCs w:val="32"/>
        </w:rPr>
      </w:pPr>
      <w:r>
        <w:rPr>
          <w:rFonts w:cs="Arial"/>
          <w:b/>
          <w:color w:val="0B5294" w:themeColor="accent1" w:themeShade="BF"/>
          <w:sz w:val="32"/>
          <w:szCs w:val="32"/>
        </w:rPr>
        <w:br w:type="page"/>
      </w:r>
    </w:p>
    <w:p w:rsidR="004365C5" w:rsidRPr="009553D3" w:rsidRDefault="004365C5" w:rsidP="004365C5">
      <w:pPr>
        <w:jc w:val="center"/>
        <w:rPr>
          <w:b/>
          <w:color w:val="0B5294" w:themeColor="accent1" w:themeShade="BF"/>
          <w:sz w:val="44"/>
          <w:szCs w:val="44"/>
        </w:rPr>
      </w:pPr>
      <w:r w:rsidRPr="009553D3">
        <w:rPr>
          <w:b/>
          <w:color w:val="0B5294" w:themeColor="accent1" w:themeShade="BF"/>
          <w:sz w:val="44"/>
          <w:szCs w:val="44"/>
        </w:rPr>
        <w:lastRenderedPageBreak/>
        <w:t xml:space="preserve">Chapter 3: Our </w:t>
      </w:r>
      <w:r w:rsidR="00AD5A35" w:rsidRPr="009553D3">
        <w:rPr>
          <w:b/>
          <w:color w:val="0B5294" w:themeColor="accent1" w:themeShade="BF"/>
          <w:sz w:val="44"/>
          <w:szCs w:val="44"/>
        </w:rPr>
        <w:t>People</w:t>
      </w:r>
    </w:p>
    <w:tbl>
      <w:tblPr>
        <w:tblStyle w:val="TableGrid"/>
        <w:tblW w:w="0" w:type="auto"/>
        <w:tblLook w:val="04A0" w:firstRow="1" w:lastRow="0" w:firstColumn="1" w:lastColumn="0" w:noHBand="0" w:noVBand="1"/>
      </w:tblPr>
      <w:tblGrid>
        <w:gridCol w:w="9202"/>
      </w:tblGrid>
      <w:tr w:rsidR="004A1835" w:rsidTr="004A1835">
        <w:trPr>
          <w:cnfStyle w:val="100000000000" w:firstRow="1" w:lastRow="0" w:firstColumn="0" w:lastColumn="0" w:oddVBand="0" w:evenVBand="0" w:oddHBand="0" w:evenHBand="0" w:firstRowFirstColumn="0" w:firstRowLastColumn="0" w:lastRowFirstColumn="0" w:lastRowLastColumn="0"/>
        </w:trPr>
        <w:tc>
          <w:tcPr>
            <w:tcW w:w="9242" w:type="dxa"/>
            <w:shd w:val="clear" w:color="auto" w:fill="D9D9D9" w:themeFill="background1" w:themeFillShade="D9"/>
          </w:tcPr>
          <w:p w:rsidR="004A1835" w:rsidRDefault="004A1835" w:rsidP="004A1835">
            <w:pPr>
              <w:pStyle w:val="Heading1"/>
              <w:spacing w:after="120"/>
              <w:outlineLvl w:val="0"/>
              <w:rPr>
                <w:color w:val="0B5294" w:themeColor="accent1" w:themeShade="BF"/>
                <w:sz w:val="28"/>
                <w:szCs w:val="28"/>
              </w:rPr>
            </w:pPr>
            <w:bookmarkStart w:id="34" w:name="_Toc443405169"/>
            <w:r>
              <w:rPr>
                <w:color w:val="0B5294" w:themeColor="accent1" w:themeShade="BF"/>
                <w:sz w:val="28"/>
                <w:szCs w:val="28"/>
              </w:rPr>
              <w:t>Overview</w:t>
            </w:r>
            <w:bookmarkEnd w:id="34"/>
          </w:p>
          <w:p w:rsidR="004A1835" w:rsidRDefault="004A1835" w:rsidP="004A1835">
            <w:pPr>
              <w:pStyle w:val="ListBullet"/>
              <w:numPr>
                <w:ilvl w:val="0"/>
                <w:numId w:val="0"/>
              </w:numPr>
              <w:rPr>
                <w:rFonts w:cs="Arial"/>
              </w:rPr>
            </w:pPr>
            <w:r>
              <w:rPr>
                <w:rFonts w:cs="Arial"/>
              </w:rPr>
              <w:t>A mature r</w:t>
            </w:r>
            <w:r w:rsidRPr="000E5920">
              <w:rPr>
                <w:rFonts w:cs="Arial"/>
              </w:rPr>
              <w:t>egulator ha</w:t>
            </w:r>
            <w:r>
              <w:rPr>
                <w:rFonts w:cs="Arial"/>
              </w:rPr>
              <w:t>s</w:t>
            </w:r>
            <w:r w:rsidRPr="000E5920">
              <w:rPr>
                <w:rFonts w:cs="Arial"/>
              </w:rPr>
              <w:t xml:space="preserve"> a clear understanding of </w:t>
            </w:r>
            <w:r>
              <w:rPr>
                <w:rFonts w:cs="Arial"/>
              </w:rPr>
              <w:t>its</w:t>
            </w:r>
            <w:r w:rsidRPr="000E5920">
              <w:rPr>
                <w:rFonts w:cs="Arial"/>
              </w:rPr>
              <w:t xml:space="preserve"> role and function, and the skills and capabilities required to achieve the Government’s desired policy objectives. </w:t>
            </w:r>
            <w:r w:rsidR="0058692A">
              <w:rPr>
                <w:rFonts w:cs="Arial"/>
              </w:rPr>
              <w:t>It</w:t>
            </w:r>
            <w:r>
              <w:rPr>
                <w:rFonts w:cs="Arial"/>
              </w:rPr>
              <w:t xml:space="preserve"> uses this </w:t>
            </w:r>
            <w:r w:rsidRPr="000E5920">
              <w:rPr>
                <w:rFonts w:cs="Arial"/>
              </w:rPr>
              <w:t xml:space="preserve">knowledge </w:t>
            </w:r>
            <w:r>
              <w:rPr>
                <w:rFonts w:cs="Arial"/>
              </w:rPr>
              <w:t>to shape its</w:t>
            </w:r>
            <w:r w:rsidRPr="000E5920">
              <w:rPr>
                <w:rFonts w:cs="Arial"/>
              </w:rPr>
              <w:t xml:space="preserve"> workforce planning, including the training, development and retention of its officers, and the targeted recruitment of people with </w:t>
            </w:r>
            <w:r>
              <w:rPr>
                <w:rFonts w:cs="Arial"/>
              </w:rPr>
              <w:t>necessary</w:t>
            </w:r>
            <w:r w:rsidRPr="000E5920">
              <w:rPr>
                <w:rFonts w:cs="Arial"/>
              </w:rPr>
              <w:t xml:space="preserve"> skills.</w:t>
            </w:r>
            <w:r>
              <w:rPr>
                <w:rFonts w:cs="Arial"/>
              </w:rPr>
              <w:t xml:space="preserve"> A mature regulator integrates their business systems and tools</w:t>
            </w:r>
            <w:r w:rsidRPr="00BB2BBF">
              <w:rPr>
                <w:rFonts w:cs="Arial"/>
              </w:rPr>
              <w:t xml:space="preserve"> </w:t>
            </w:r>
            <w:r>
              <w:rPr>
                <w:rFonts w:cs="Arial"/>
              </w:rPr>
              <w:t>with their training, so that officer</w:t>
            </w:r>
            <w:r w:rsidR="0058692A">
              <w:rPr>
                <w:rFonts w:cs="Arial"/>
              </w:rPr>
              <w:t>s are proficient in the process</w:t>
            </w:r>
            <w:r>
              <w:rPr>
                <w:rFonts w:cs="Arial"/>
              </w:rPr>
              <w:t xml:space="preserve"> and have a clear understanding of the judgement and analysis required at each step.</w:t>
            </w:r>
            <w:r w:rsidRPr="000E5920">
              <w:rPr>
                <w:rFonts w:cs="Arial"/>
              </w:rPr>
              <w:t xml:space="preserve"> </w:t>
            </w:r>
            <w:r w:rsidR="0058692A">
              <w:rPr>
                <w:rFonts w:cs="Arial"/>
              </w:rPr>
              <w:t>It also has</w:t>
            </w:r>
            <w:r>
              <w:rPr>
                <w:rFonts w:cs="Arial"/>
              </w:rPr>
              <w:t xml:space="preserve"> a culture that fosters the combination of diverse expertise and skills to develop innovative solutions to identified problems.</w:t>
            </w:r>
          </w:p>
          <w:p w:rsidR="00FF78BB" w:rsidRDefault="00FF78BB" w:rsidP="00FF78BB">
            <w:r>
              <w:t xml:space="preserve">EPG is highly committed to transforming into a best practice regulatory agency, and </w:t>
            </w:r>
            <w:r w:rsidR="0058692A">
              <w:t>staff are committe</w:t>
            </w:r>
            <w:r w:rsidR="00FA3223">
              <w:t>d</w:t>
            </w:r>
            <w:r w:rsidR="0058692A">
              <w:t xml:space="preserve"> and capable.</w:t>
            </w:r>
            <w:r>
              <w:t xml:space="preserve"> However, the transition to best practice is somewhat impeded by a lack of regulatory experience and expertise in EPG and the Department, including in the </w:t>
            </w:r>
            <w:r w:rsidR="00CF3808">
              <w:t>Senior Executive</w:t>
            </w:r>
            <w:r>
              <w:t>.</w:t>
            </w:r>
            <w:r w:rsidR="0058692A">
              <w:t xml:space="preserve"> H</w:t>
            </w:r>
            <w:r w:rsidR="004A1835">
              <w:t xml:space="preserve">istorically, recruitment in EPG has </w:t>
            </w:r>
            <w:r w:rsidR="0058692A">
              <w:t>focus</w:t>
            </w:r>
            <w:r>
              <w:t>ed</w:t>
            </w:r>
            <w:r w:rsidR="0058692A">
              <w:t xml:space="preserve"> on</w:t>
            </w:r>
            <w:r w:rsidR="00A26037">
              <w:t xml:space="preserve"> </w:t>
            </w:r>
            <w:r w:rsidR="0058692A">
              <w:t>subject matter</w:t>
            </w:r>
            <w:r>
              <w:t xml:space="preserve"> expertise or generic government skills, rather than a good understanding of regulation and best practice. </w:t>
            </w:r>
            <w:r w:rsidR="0058692A">
              <w:t xml:space="preserve"> </w:t>
            </w:r>
            <w:r w:rsidR="00CF3808">
              <w:t>EPG</w:t>
            </w:r>
            <w:r>
              <w:t xml:space="preserve"> lacks an integrated capability framework or training program to develop regulatory skills in relevant staff. There </w:t>
            </w:r>
            <w:r w:rsidRPr="00031DF9">
              <w:t>are</w:t>
            </w:r>
            <w:r>
              <w:t xml:space="preserve"> also</w:t>
            </w:r>
            <w:r w:rsidRPr="00031DF9">
              <w:t xml:space="preserve"> gaps in responsibility for the coordination of regulatory policy, guidance material, processes, IT, and training across EPG. </w:t>
            </w:r>
          </w:p>
          <w:p w:rsidR="004A1835" w:rsidRDefault="004A1835" w:rsidP="004A1835">
            <w:r>
              <w:t xml:space="preserve">Recommendations made in </w:t>
            </w:r>
            <w:r w:rsidR="00FF78BB">
              <w:t>Chapter 3</w:t>
            </w:r>
            <w:r>
              <w:t xml:space="preserve"> for EPG include: </w:t>
            </w:r>
          </w:p>
          <w:p w:rsidR="004A1835" w:rsidRDefault="004A1835" w:rsidP="00E65120">
            <w:pPr>
              <w:pStyle w:val="ListParagraph"/>
              <w:numPr>
                <w:ilvl w:val="0"/>
                <w:numId w:val="37"/>
              </w:numPr>
              <w:spacing w:after="0" w:line="240" w:lineRule="auto"/>
            </w:pPr>
            <w:r>
              <w:t>development of a Capability Fr</w:t>
            </w:r>
            <w:r w:rsidR="005D46CF">
              <w:t>amework for regulatory officers;</w:t>
            </w:r>
          </w:p>
          <w:p w:rsidR="004A1835" w:rsidRDefault="004A1835" w:rsidP="00E65120">
            <w:pPr>
              <w:pStyle w:val="ListParagraph"/>
              <w:numPr>
                <w:ilvl w:val="0"/>
                <w:numId w:val="37"/>
              </w:numPr>
              <w:spacing w:after="0" w:line="240" w:lineRule="auto"/>
            </w:pPr>
            <w:r>
              <w:t>establishment of formal</w:t>
            </w:r>
            <w:r w:rsidR="0058692A">
              <w:t xml:space="preserve"> and informal</w:t>
            </w:r>
            <w:r>
              <w:t xml:space="preserve"> tra</w:t>
            </w:r>
            <w:r w:rsidR="005D46CF">
              <w:t>ining and induction pro</w:t>
            </w:r>
            <w:r w:rsidR="0058692A">
              <w:t>gram</w:t>
            </w:r>
            <w:r w:rsidR="005D46CF">
              <w:t>s;</w:t>
            </w:r>
          </w:p>
          <w:p w:rsidR="005D46CF" w:rsidRDefault="005D46CF" w:rsidP="00E65120">
            <w:pPr>
              <w:pStyle w:val="ListParagraph"/>
              <w:numPr>
                <w:ilvl w:val="0"/>
                <w:numId w:val="37"/>
              </w:numPr>
              <w:spacing w:after="0" w:line="240" w:lineRule="auto"/>
            </w:pPr>
            <w:r>
              <w:t>structural changes to improve the coordination of supporting processes across the group, as well as a consolidation of compliance and enforcement functions;</w:t>
            </w:r>
          </w:p>
          <w:p w:rsidR="004A1835" w:rsidRDefault="004A1835" w:rsidP="00E65120">
            <w:pPr>
              <w:pStyle w:val="ListParagraph"/>
              <w:numPr>
                <w:ilvl w:val="0"/>
                <w:numId w:val="37"/>
              </w:numPr>
              <w:spacing w:after="0" w:line="240" w:lineRule="auto"/>
            </w:pPr>
            <w:r>
              <w:t>adoption of a consistent approac</w:t>
            </w:r>
            <w:r w:rsidR="005D46CF">
              <w:t>h with staff in times of change; and</w:t>
            </w:r>
            <w:r>
              <w:t xml:space="preserve"> </w:t>
            </w:r>
          </w:p>
          <w:p w:rsidR="004A1835" w:rsidRDefault="004A1835" w:rsidP="00E65120">
            <w:pPr>
              <w:pStyle w:val="ListParagraph"/>
              <w:numPr>
                <w:ilvl w:val="0"/>
                <w:numId w:val="37"/>
              </w:numPr>
              <w:spacing w:after="0" w:line="240" w:lineRule="auto"/>
            </w:pPr>
            <w:r>
              <w:t>maintaining and enhancing support for innovation</w:t>
            </w:r>
            <w:r w:rsidR="005D46CF">
              <w:t>.</w:t>
            </w:r>
            <w:r>
              <w:t xml:space="preserve"> </w:t>
            </w:r>
          </w:p>
          <w:p w:rsidR="004A1835" w:rsidRPr="00CF386A" w:rsidRDefault="004A1835" w:rsidP="005D46CF">
            <w:pPr>
              <w:pStyle w:val="ListParagraph"/>
              <w:numPr>
                <w:ilvl w:val="0"/>
                <w:numId w:val="0"/>
              </w:numPr>
              <w:spacing w:after="0" w:line="240" w:lineRule="auto"/>
              <w:ind w:left="720"/>
            </w:pPr>
          </w:p>
        </w:tc>
      </w:tr>
    </w:tbl>
    <w:p w:rsidR="003539C5" w:rsidRDefault="003539C5" w:rsidP="0042419C">
      <w:pPr>
        <w:pStyle w:val="Heading1"/>
        <w:spacing w:after="120"/>
        <w:rPr>
          <w:color w:val="0B5294" w:themeColor="accent1" w:themeShade="BF"/>
          <w:sz w:val="28"/>
          <w:szCs w:val="28"/>
        </w:rPr>
      </w:pPr>
      <w:bookmarkStart w:id="35" w:name="_Toc442970845"/>
      <w:bookmarkStart w:id="36" w:name="_Toc443039989"/>
      <w:bookmarkStart w:id="37" w:name="_Toc443405170"/>
    </w:p>
    <w:p w:rsidR="004365C5" w:rsidRPr="0042419C" w:rsidRDefault="004365C5" w:rsidP="0042419C">
      <w:pPr>
        <w:pStyle w:val="Heading1"/>
        <w:spacing w:after="120"/>
        <w:rPr>
          <w:color w:val="0B5294" w:themeColor="accent1" w:themeShade="BF"/>
          <w:sz w:val="28"/>
          <w:szCs w:val="28"/>
        </w:rPr>
      </w:pPr>
      <w:r w:rsidRPr="0042419C">
        <w:rPr>
          <w:color w:val="0B5294" w:themeColor="accent1" w:themeShade="BF"/>
          <w:sz w:val="28"/>
          <w:szCs w:val="28"/>
        </w:rPr>
        <w:t>fINDINGS AND RECOMMENDATIONS</w:t>
      </w:r>
      <w:bookmarkEnd w:id="35"/>
      <w:bookmarkEnd w:id="36"/>
      <w:bookmarkEnd w:id="37"/>
    </w:p>
    <w:p w:rsidR="00AD5A35" w:rsidRPr="0042419C" w:rsidRDefault="00AD5A35" w:rsidP="0042419C">
      <w:pPr>
        <w:pStyle w:val="Heading1"/>
        <w:spacing w:after="120"/>
        <w:rPr>
          <w:caps w:val="0"/>
          <w:color w:val="0B5294" w:themeColor="accent1" w:themeShade="BF"/>
          <w:sz w:val="24"/>
          <w:szCs w:val="24"/>
          <w:u w:val="single"/>
        </w:rPr>
      </w:pPr>
      <w:bookmarkStart w:id="38" w:name="_Toc443405171"/>
      <w:r w:rsidRPr="0042419C">
        <w:rPr>
          <w:caps w:val="0"/>
          <w:color w:val="0B5294" w:themeColor="accent1" w:themeShade="BF"/>
          <w:sz w:val="24"/>
          <w:szCs w:val="24"/>
          <w:u w:val="single"/>
        </w:rPr>
        <w:t>Regulatory skills and capability</w:t>
      </w:r>
      <w:bookmarkEnd w:id="38"/>
    </w:p>
    <w:p w:rsidR="00AD5A35" w:rsidRPr="0042419C" w:rsidRDefault="00AD5A35" w:rsidP="0042419C">
      <w:pPr>
        <w:pStyle w:val="Heading1"/>
        <w:spacing w:after="120"/>
        <w:rPr>
          <w:caps w:val="0"/>
          <w:color w:val="0B5294" w:themeColor="accent1" w:themeShade="BF"/>
          <w:sz w:val="24"/>
          <w:szCs w:val="24"/>
        </w:rPr>
      </w:pPr>
      <w:bookmarkStart w:id="39" w:name="_Toc443405172"/>
      <w:r w:rsidRPr="0042419C">
        <w:rPr>
          <w:caps w:val="0"/>
          <w:color w:val="0B5294" w:themeColor="accent1" w:themeShade="BF"/>
          <w:sz w:val="24"/>
          <w:szCs w:val="24"/>
        </w:rPr>
        <w:t>Skills and training</w:t>
      </w:r>
      <w:bookmarkEnd w:id="39"/>
    </w:p>
    <w:p w:rsidR="00AD5A35" w:rsidRDefault="00AD5A35" w:rsidP="00AD5A35">
      <w:pPr>
        <w:pStyle w:val="ListBullet"/>
        <w:numPr>
          <w:ilvl w:val="0"/>
          <w:numId w:val="0"/>
        </w:numPr>
        <w:contextualSpacing/>
        <w:rPr>
          <w:rFonts w:cs="Arial"/>
        </w:rPr>
      </w:pPr>
      <w:r>
        <w:rPr>
          <w:rFonts w:cs="Arial"/>
        </w:rPr>
        <w:t>People with the required skills, experience and approach are fundamental to successful regulatory administration.</w:t>
      </w:r>
      <w:r>
        <w:rPr>
          <w:rStyle w:val="FootnoteReference"/>
          <w:rFonts w:cs="Arial"/>
        </w:rPr>
        <w:footnoteReference w:id="22"/>
      </w:r>
      <w:r>
        <w:rPr>
          <w:rFonts w:cs="Arial"/>
        </w:rPr>
        <w:t xml:space="preserve"> Even the best designed policies will not achieve desired outcomes if staff do not have the right skills</w:t>
      </w:r>
      <w:r>
        <w:t>,</w:t>
      </w:r>
      <w:r w:rsidRPr="0099108B">
        <w:rPr>
          <w:rFonts w:cs="Arial"/>
        </w:rPr>
        <w:t xml:space="preserve"> or if the right culture is no</w:t>
      </w:r>
      <w:r>
        <w:rPr>
          <w:rFonts w:cs="Arial"/>
        </w:rPr>
        <w:t>t</w:t>
      </w:r>
      <w:r w:rsidRPr="0099108B">
        <w:rPr>
          <w:rFonts w:cs="Arial"/>
        </w:rPr>
        <w:t xml:space="preserve"> present throughout a regulatory agency</w:t>
      </w:r>
      <w:r>
        <w:rPr>
          <w:rFonts w:cs="Arial"/>
        </w:rPr>
        <w:t xml:space="preserve"> to implement the policy appropriately</w:t>
      </w:r>
      <w:r>
        <w:t>.</w:t>
      </w:r>
      <w:r>
        <w:rPr>
          <w:rStyle w:val="FootnoteReference"/>
        </w:rPr>
        <w:footnoteReference w:id="23"/>
      </w:r>
      <w:r>
        <w:t xml:space="preserve"> </w:t>
      </w:r>
      <w:r>
        <w:rPr>
          <w:rFonts w:cs="Arial"/>
        </w:rPr>
        <w:t xml:space="preserve"> While business systems and tools are essential for providing efficiency and consistency, administration of complex regulation will always require professional judgement. There is growing recognition amongst regulators and academia of a professional regulatory craft including good decision making, risk management and stakeholder engagement in a regulatory context.</w:t>
      </w:r>
    </w:p>
    <w:p w:rsidR="00AD5A35" w:rsidRDefault="00AD5A35" w:rsidP="00AD5A35">
      <w:pPr>
        <w:pStyle w:val="ListBullet"/>
        <w:numPr>
          <w:ilvl w:val="0"/>
          <w:numId w:val="0"/>
        </w:numPr>
        <w:contextualSpacing/>
        <w:rPr>
          <w:rFonts w:cs="Arial"/>
        </w:rPr>
      </w:pPr>
    </w:p>
    <w:p w:rsidR="00AD5A35" w:rsidRDefault="004F0184" w:rsidP="00AD5A35">
      <w:pPr>
        <w:pStyle w:val="ListBullet"/>
        <w:numPr>
          <w:ilvl w:val="0"/>
          <w:numId w:val="0"/>
        </w:numPr>
        <w:contextualSpacing/>
        <w:rPr>
          <w:rFonts w:cs="Arial"/>
        </w:rPr>
      </w:pPr>
      <w:r>
        <w:rPr>
          <w:rFonts w:cs="Arial"/>
        </w:rPr>
        <w:t xml:space="preserve">Staff within </w:t>
      </w:r>
      <w:r w:rsidR="00AD5A35">
        <w:rPr>
          <w:rFonts w:cs="Arial"/>
        </w:rPr>
        <w:t>EPG are generally very committed to, and competent in, understanding environmental issues. This is an asset for the Department. However, subject matter expertise is only one element of the skill-set required of a regulatory officer. Officers also need to have regulatory capabilities.</w:t>
      </w:r>
      <w:r w:rsidR="00AD5A35">
        <w:rPr>
          <w:rStyle w:val="FootnoteReference"/>
          <w:rFonts w:cs="Arial"/>
        </w:rPr>
        <w:footnoteReference w:id="24"/>
      </w:r>
      <w:r w:rsidR="00AD5A35" w:rsidRPr="009A073C">
        <w:rPr>
          <w:rFonts w:cs="Arial"/>
        </w:rPr>
        <w:t xml:space="preserve"> </w:t>
      </w:r>
    </w:p>
    <w:p w:rsidR="00AD5A35" w:rsidRDefault="00AD5A35" w:rsidP="00AD5A35">
      <w:pPr>
        <w:pStyle w:val="ListBullet"/>
        <w:numPr>
          <w:ilvl w:val="0"/>
          <w:numId w:val="0"/>
        </w:numPr>
        <w:contextualSpacing/>
        <w:rPr>
          <w:rFonts w:cs="Arial"/>
        </w:rPr>
      </w:pPr>
    </w:p>
    <w:p w:rsidR="00AD5A35" w:rsidRDefault="00AD5A35" w:rsidP="00AD5A35">
      <w:pPr>
        <w:pStyle w:val="ListBullet"/>
        <w:numPr>
          <w:ilvl w:val="0"/>
          <w:numId w:val="0"/>
        </w:numPr>
        <w:contextualSpacing/>
        <w:rPr>
          <w:rFonts w:cs="Arial"/>
        </w:rPr>
      </w:pPr>
      <w:r>
        <w:rPr>
          <w:rFonts w:cs="Arial"/>
        </w:rPr>
        <w:t>Recruitment in the past has focused on subject matter expertise (e.g. chemicals, ecology etc.) or generic government skills, rather than a good understanding of regulation and best regulatory practice. While some staff have developed this knowledge (particularly in the Compliance and Enforcement Branch), this is not consistent ac</w:t>
      </w:r>
      <w:r w:rsidR="004F0184">
        <w:rPr>
          <w:rFonts w:cs="Arial"/>
        </w:rPr>
        <w:t xml:space="preserve">ross all </w:t>
      </w:r>
      <w:r w:rsidR="00D154B9">
        <w:rPr>
          <w:rFonts w:cs="Arial"/>
        </w:rPr>
        <w:t xml:space="preserve">officers or </w:t>
      </w:r>
      <w:r w:rsidR="004F0184">
        <w:rPr>
          <w:rFonts w:cs="Arial"/>
        </w:rPr>
        <w:t xml:space="preserve">areas in </w:t>
      </w:r>
      <w:r>
        <w:rPr>
          <w:rFonts w:cs="Arial"/>
        </w:rPr>
        <w:t>EPG.</w:t>
      </w:r>
      <w:r w:rsidR="003308A4">
        <w:rPr>
          <w:rFonts w:cs="Arial"/>
        </w:rPr>
        <w:t xml:space="preserve"> In addition there is significant turnover in regulatory staff, with many staff moving through regulatory areas as part of gaining broader public service experience</w:t>
      </w:r>
      <w:r w:rsidR="002F621D">
        <w:rPr>
          <w:rFonts w:cs="Arial"/>
        </w:rPr>
        <w:t>.</w:t>
      </w:r>
      <w:r w:rsidR="003308A4">
        <w:rPr>
          <w:rFonts w:cs="Arial"/>
        </w:rPr>
        <w:t xml:space="preserve"> The Department has not historically </w:t>
      </w:r>
      <w:r w:rsidR="002F621D">
        <w:rPr>
          <w:rFonts w:cs="Arial"/>
        </w:rPr>
        <w:t>recognised or promoted a specialist regulatory career path.</w:t>
      </w:r>
    </w:p>
    <w:p w:rsidR="00AD5A35" w:rsidRDefault="00AD5A35" w:rsidP="00AD5A35">
      <w:pPr>
        <w:rPr>
          <w:rFonts w:cs="Arial"/>
        </w:rPr>
      </w:pPr>
      <w:r>
        <w:rPr>
          <w:rFonts w:cs="Arial"/>
        </w:rPr>
        <w:t xml:space="preserve">The Department lacks comprehensive training </w:t>
      </w:r>
      <w:r w:rsidR="00E3593E">
        <w:rPr>
          <w:rFonts w:cs="Arial"/>
        </w:rPr>
        <w:t>program</w:t>
      </w:r>
      <w:r>
        <w:rPr>
          <w:rFonts w:cs="Arial"/>
        </w:rPr>
        <w:t>s to develop regulatory skills. Without these regulatory skills, it can be difficult for officers to perform their regulatory functions in a way that achieves the Government’s desired policy objectives. During consultations, l</w:t>
      </w:r>
      <w:r w:rsidRPr="00B9575D">
        <w:rPr>
          <w:rFonts w:cs="Arial"/>
        </w:rPr>
        <w:t>ack of training was a consistent theme in feedback from staff</w:t>
      </w:r>
      <w:r>
        <w:rPr>
          <w:rFonts w:cs="Arial"/>
        </w:rPr>
        <w:t xml:space="preserve">, with many staff expressing a lack of confidence in performing their duties. </w:t>
      </w:r>
    </w:p>
    <w:p w:rsidR="00AD5A35" w:rsidRDefault="00AD5A35" w:rsidP="00AD5A35">
      <w:pPr>
        <w:pStyle w:val="ListBullet"/>
        <w:numPr>
          <w:ilvl w:val="0"/>
          <w:numId w:val="0"/>
        </w:numPr>
        <w:contextualSpacing/>
        <w:rPr>
          <w:rFonts w:cs="Arial"/>
        </w:rPr>
      </w:pPr>
      <w:r>
        <w:rPr>
          <w:rFonts w:cs="Arial"/>
        </w:rPr>
        <w:t xml:space="preserve">This limited </w:t>
      </w:r>
      <w:r w:rsidRPr="00B9575D">
        <w:rPr>
          <w:rFonts w:cs="Arial"/>
        </w:rPr>
        <w:t>regulatory experience and expertise</w:t>
      </w:r>
      <w:r>
        <w:rPr>
          <w:rFonts w:cs="Arial"/>
        </w:rPr>
        <w:t xml:space="preserve">, including among Senior Executives, has somewhat limited the Department’s transition to best practice. The Project notes, however, that the Senior Executive have demonstrated a strong commitment to transform the Department to be a best practice regulator. For instance, the Department has recently engaged a First Assistant Secretary for </w:t>
      </w:r>
      <w:r w:rsidR="00DB6401">
        <w:rPr>
          <w:rFonts w:cs="Arial"/>
        </w:rPr>
        <w:t xml:space="preserve">ESD </w:t>
      </w:r>
      <w:r>
        <w:rPr>
          <w:rFonts w:cs="Arial"/>
        </w:rPr>
        <w:t>with strong regulatory skills and experience.</w:t>
      </w:r>
    </w:p>
    <w:p w:rsidR="00AD5A35" w:rsidRDefault="00AD5A35" w:rsidP="00AD5A35">
      <w:pPr>
        <w:rPr>
          <w:rFonts w:cs="Arial"/>
        </w:rPr>
      </w:pPr>
      <w:r>
        <w:rPr>
          <w:rFonts w:cs="Arial"/>
        </w:rPr>
        <w:t>Given the need for staff to develop broader regulatory skills, improving EPG’s training and support systems will be critical to</w:t>
      </w:r>
      <w:r w:rsidR="004F0184">
        <w:rPr>
          <w:rFonts w:cs="Arial"/>
        </w:rPr>
        <w:t xml:space="preserve"> the effective operation of </w:t>
      </w:r>
      <w:r>
        <w:rPr>
          <w:rFonts w:cs="Arial"/>
        </w:rPr>
        <w:t xml:space="preserve">EPG. </w:t>
      </w:r>
      <w:r>
        <w:rPr>
          <w:rFonts w:cs="Arial"/>
          <w:bCs/>
        </w:rPr>
        <w:t xml:space="preserve">ESD has dedicated some resources to </w:t>
      </w:r>
      <w:r w:rsidRPr="00B9575D">
        <w:rPr>
          <w:rFonts w:cs="Arial"/>
          <w:bCs/>
        </w:rPr>
        <w:t>developing training and support for staff when new policies are introduced, but there is very little (or no) formal training for ‘business as usua</w:t>
      </w:r>
      <w:r w:rsidR="004F0184">
        <w:rPr>
          <w:rFonts w:cs="Arial"/>
          <w:bCs/>
        </w:rPr>
        <w:t xml:space="preserve">l’ work across the whole of </w:t>
      </w:r>
      <w:r w:rsidRPr="00B9575D">
        <w:rPr>
          <w:rFonts w:cs="Arial"/>
          <w:bCs/>
        </w:rPr>
        <w:t xml:space="preserve">EPG. </w:t>
      </w:r>
      <w:r>
        <w:rPr>
          <w:rFonts w:cs="Arial"/>
          <w:bCs/>
        </w:rPr>
        <w:t>Instead t</w:t>
      </w:r>
      <w:r w:rsidRPr="00B9575D">
        <w:rPr>
          <w:rFonts w:cs="Arial"/>
        </w:rPr>
        <w:t xml:space="preserve">here is a high reliance on on-the-job learning for new </w:t>
      </w:r>
      <w:r>
        <w:rPr>
          <w:rFonts w:cs="Arial"/>
        </w:rPr>
        <w:t xml:space="preserve">or transferring </w:t>
      </w:r>
      <w:r w:rsidRPr="00B9575D">
        <w:rPr>
          <w:rFonts w:cs="Arial"/>
        </w:rPr>
        <w:t xml:space="preserve">staff. </w:t>
      </w:r>
    </w:p>
    <w:p w:rsidR="00AD5A35" w:rsidRPr="00B9575D" w:rsidRDefault="00AD5A35" w:rsidP="00AD5A35">
      <w:pPr>
        <w:rPr>
          <w:rFonts w:cs="Arial"/>
          <w:bCs/>
        </w:rPr>
      </w:pPr>
      <w:r>
        <w:rPr>
          <w:rFonts w:cs="Arial"/>
          <w:bCs/>
        </w:rPr>
        <w:t>While on</w:t>
      </w:r>
      <w:r w:rsidR="00DB6401">
        <w:rPr>
          <w:rFonts w:cs="Arial"/>
          <w:bCs/>
        </w:rPr>
        <w:t>-</w:t>
      </w:r>
      <w:r>
        <w:rPr>
          <w:rFonts w:cs="Arial"/>
          <w:bCs/>
        </w:rPr>
        <w:t>the</w:t>
      </w:r>
      <w:r w:rsidR="00DB6401">
        <w:rPr>
          <w:rFonts w:cs="Arial"/>
          <w:bCs/>
        </w:rPr>
        <w:t>-</w:t>
      </w:r>
      <w:r>
        <w:rPr>
          <w:rFonts w:cs="Arial"/>
          <w:bCs/>
        </w:rPr>
        <w:t>job training is a necessary component of induction, a heavy reliance on on</w:t>
      </w:r>
      <w:r w:rsidR="00DB6401">
        <w:rPr>
          <w:rFonts w:cs="Arial"/>
          <w:bCs/>
        </w:rPr>
        <w:t>-</w:t>
      </w:r>
      <w:r>
        <w:rPr>
          <w:rFonts w:cs="Arial"/>
          <w:bCs/>
        </w:rPr>
        <w:t>the</w:t>
      </w:r>
      <w:r w:rsidR="00DB6401">
        <w:rPr>
          <w:rFonts w:cs="Arial"/>
          <w:bCs/>
        </w:rPr>
        <w:t>-</w:t>
      </w:r>
      <w:r>
        <w:rPr>
          <w:rFonts w:cs="Arial"/>
          <w:bCs/>
        </w:rPr>
        <w:t xml:space="preserve">job </w:t>
      </w:r>
      <w:r w:rsidRPr="00B9575D">
        <w:rPr>
          <w:rFonts w:cs="Arial"/>
          <w:bCs/>
        </w:rPr>
        <w:t>training raises a number of concerns, including:</w:t>
      </w:r>
    </w:p>
    <w:p w:rsidR="00AD5A35" w:rsidRPr="00377D80" w:rsidRDefault="00AD5A35" w:rsidP="00AD5A35">
      <w:pPr>
        <w:pStyle w:val="ListParagraph"/>
        <w:numPr>
          <w:ilvl w:val="0"/>
          <w:numId w:val="7"/>
        </w:numPr>
        <w:spacing w:after="0" w:line="240" w:lineRule="auto"/>
        <w:ind w:left="360"/>
        <w:contextualSpacing/>
        <w:rPr>
          <w:rFonts w:cs="Arial"/>
        </w:rPr>
      </w:pPr>
      <w:r>
        <w:rPr>
          <w:rFonts w:cs="Arial"/>
        </w:rPr>
        <w:t>C</w:t>
      </w:r>
      <w:r w:rsidRPr="00B9575D">
        <w:rPr>
          <w:rFonts w:cs="Arial"/>
        </w:rPr>
        <w:t>orporate knowledge can be lost with staff turnover.</w:t>
      </w:r>
      <w:r>
        <w:rPr>
          <w:rFonts w:cs="Arial"/>
        </w:rPr>
        <w:t xml:space="preserve"> This leads to inefficiencies, inconsistencies, and increases the risk of repeating mistakes. Loss of corporate knowledge was raised as a concern by staff during consultations. </w:t>
      </w:r>
    </w:p>
    <w:p w:rsidR="00AD5A35" w:rsidRPr="00377D80" w:rsidRDefault="00AD5A35" w:rsidP="00AD5A35">
      <w:pPr>
        <w:pStyle w:val="ListParagraph"/>
        <w:numPr>
          <w:ilvl w:val="0"/>
          <w:numId w:val="7"/>
        </w:numPr>
        <w:spacing w:after="0" w:line="240" w:lineRule="auto"/>
        <w:ind w:left="360"/>
        <w:contextualSpacing/>
        <w:rPr>
          <w:rFonts w:cs="Arial"/>
        </w:rPr>
      </w:pPr>
      <w:r>
        <w:rPr>
          <w:rFonts w:cs="Arial"/>
        </w:rPr>
        <w:t>A</w:t>
      </w:r>
      <w:r w:rsidRPr="00B9575D">
        <w:rPr>
          <w:rFonts w:cs="Arial"/>
        </w:rPr>
        <w:t xml:space="preserve"> ‘doing the same as we’ve previously done’ approach </w:t>
      </w:r>
      <w:r w:rsidR="002F621D">
        <w:rPr>
          <w:rFonts w:cs="Arial"/>
        </w:rPr>
        <w:t>does not</w:t>
      </w:r>
      <w:r w:rsidR="002F621D" w:rsidRPr="00B9575D">
        <w:rPr>
          <w:rFonts w:cs="Arial"/>
        </w:rPr>
        <w:t xml:space="preserve"> </w:t>
      </w:r>
      <w:r w:rsidRPr="00B9575D">
        <w:rPr>
          <w:rFonts w:cs="Arial"/>
        </w:rPr>
        <w:t xml:space="preserve">promote innovation or test whether </w:t>
      </w:r>
      <w:r>
        <w:rPr>
          <w:rFonts w:cs="Arial"/>
        </w:rPr>
        <w:t>the approach</w:t>
      </w:r>
      <w:r w:rsidRPr="00B9575D">
        <w:rPr>
          <w:rFonts w:cs="Arial"/>
        </w:rPr>
        <w:t xml:space="preserve"> is best practice. </w:t>
      </w:r>
    </w:p>
    <w:p w:rsidR="002F621D" w:rsidRDefault="00AD5A35" w:rsidP="002F621D">
      <w:pPr>
        <w:pStyle w:val="ListParagraph"/>
        <w:numPr>
          <w:ilvl w:val="0"/>
          <w:numId w:val="7"/>
        </w:numPr>
        <w:spacing w:after="0" w:line="240" w:lineRule="auto"/>
        <w:ind w:left="360"/>
        <w:contextualSpacing/>
        <w:rPr>
          <w:rFonts w:cs="Arial"/>
        </w:rPr>
      </w:pPr>
      <w:r w:rsidRPr="00AD5A35">
        <w:rPr>
          <w:rFonts w:cs="Arial"/>
        </w:rPr>
        <w:t xml:space="preserve">New practices or templates </w:t>
      </w:r>
      <w:r w:rsidR="002F621D">
        <w:rPr>
          <w:rFonts w:cs="Arial"/>
        </w:rPr>
        <w:t>or legal requirements</w:t>
      </w:r>
      <w:r w:rsidR="00DB6401">
        <w:rPr>
          <w:rFonts w:cs="Arial"/>
        </w:rPr>
        <w:t xml:space="preserve"> </w:t>
      </w:r>
      <w:r w:rsidRPr="00AD5A35">
        <w:rPr>
          <w:rFonts w:cs="Arial"/>
        </w:rPr>
        <w:t xml:space="preserve">may be missed. This was raised as a particular issue in ESD, where staff tend to work from previous templates and often ‘copy and paste’ standard words between documents. </w:t>
      </w:r>
    </w:p>
    <w:p w:rsidR="007465A2" w:rsidRDefault="007465A2">
      <w:pPr>
        <w:pStyle w:val="ListBullet"/>
        <w:numPr>
          <w:ilvl w:val="0"/>
          <w:numId w:val="0"/>
        </w:numPr>
        <w:spacing w:after="0" w:line="240" w:lineRule="auto"/>
        <w:rPr>
          <w:rFonts w:cs="Arial"/>
        </w:rPr>
      </w:pPr>
    </w:p>
    <w:p w:rsidR="00AD5A35" w:rsidRPr="00B9575D" w:rsidRDefault="00AD5A35" w:rsidP="00AD5A35">
      <w:pPr>
        <w:pStyle w:val="ListBullet"/>
        <w:numPr>
          <w:ilvl w:val="0"/>
          <w:numId w:val="0"/>
        </w:numPr>
        <w:contextualSpacing/>
        <w:rPr>
          <w:rFonts w:cs="Arial"/>
        </w:rPr>
      </w:pPr>
      <w:r>
        <w:rPr>
          <w:rFonts w:cs="Arial"/>
        </w:rPr>
        <w:t>Neither the Department n</w:t>
      </w:r>
      <w:r w:rsidR="004F0184">
        <w:rPr>
          <w:rFonts w:cs="Arial"/>
        </w:rPr>
        <w:t xml:space="preserve">or </w:t>
      </w:r>
      <w:r>
        <w:rPr>
          <w:rFonts w:cs="Arial"/>
        </w:rPr>
        <w:t xml:space="preserve">EPG has a specific capability framework for regulatory. </w:t>
      </w:r>
      <w:r w:rsidR="00B02B86">
        <w:rPr>
          <w:rFonts w:cs="Arial"/>
        </w:rPr>
        <w:t xml:space="preserve">This makes it difficult for </w:t>
      </w:r>
      <w:r>
        <w:rPr>
          <w:rFonts w:cs="Arial"/>
        </w:rPr>
        <w:t xml:space="preserve">EPG to effectively target </w:t>
      </w:r>
      <w:r w:rsidRPr="00B9575D">
        <w:rPr>
          <w:rFonts w:cs="Arial"/>
        </w:rPr>
        <w:t xml:space="preserve">workforce planning, </w:t>
      </w:r>
      <w:r>
        <w:rPr>
          <w:rFonts w:cs="Arial"/>
        </w:rPr>
        <w:t>recruitment, learning and development.</w:t>
      </w:r>
    </w:p>
    <w:p w:rsidR="00AD5A35" w:rsidRPr="00E2003A" w:rsidRDefault="00AD5A35" w:rsidP="00AD5A35">
      <w:pPr>
        <w:rPr>
          <w:rFonts w:cs="Arial"/>
        </w:rPr>
      </w:pPr>
      <w:r w:rsidRPr="00E2003A">
        <w:rPr>
          <w:rFonts w:cs="Arial"/>
        </w:rPr>
        <w:t xml:space="preserve">The </w:t>
      </w:r>
      <w:r>
        <w:rPr>
          <w:rFonts w:cs="Arial"/>
        </w:rPr>
        <w:t xml:space="preserve">ESD Change Plan prepared by </w:t>
      </w:r>
      <w:r w:rsidR="00264553">
        <w:rPr>
          <w:rFonts w:cs="Arial"/>
        </w:rPr>
        <w:t xml:space="preserve">Nous </w:t>
      </w:r>
      <w:r>
        <w:rPr>
          <w:rFonts w:cs="Arial"/>
        </w:rPr>
        <w:t>Group in 2015</w:t>
      </w:r>
      <w:r w:rsidRPr="00E2003A">
        <w:rPr>
          <w:rFonts w:cs="Arial"/>
        </w:rPr>
        <w:t xml:space="preserve"> recommended that a skills</w:t>
      </w:r>
      <w:r w:rsidR="00A6701B">
        <w:rPr>
          <w:rFonts w:cs="Arial"/>
        </w:rPr>
        <w:t xml:space="preserve"> and </w:t>
      </w:r>
      <w:r w:rsidRPr="00E2003A">
        <w:rPr>
          <w:rFonts w:cs="Arial"/>
        </w:rPr>
        <w:t>capability audit be conducted within 6 months after establishing the new ESD to identify any gaps</w:t>
      </w:r>
      <w:r w:rsidR="00264553">
        <w:rPr>
          <w:rFonts w:cs="Arial"/>
        </w:rPr>
        <w:t xml:space="preserve"> in skills</w:t>
      </w:r>
      <w:r w:rsidRPr="00E2003A">
        <w:rPr>
          <w:rFonts w:cs="Arial"/>
        </w:rPr>
        <w:t xml:space="preserve"> </w:t>
      </w:r>
      <w:r>
        <w:rPr>
          <w:rFonts w:cs="Arial"/>
        </w:rPr>
        <w:t xml:space="preserve">and </w:t>
      </w:r>
      <w:r w:rsidRPr="00E2003A">
        <w:rPr>
          <w:rFonts w:cs="Arial"/>
        </w:rPr>
        <w:t>inves</w:t>
      </w:r>
      <w:r>
        <w:rPr>
          <w:rFonts w:cs="Arial"/>
        </w:rPr>
        <w:t>t</w:t>
      </w:r>
      <w:r w:rsidRPr="00E2003A">
        <w:rPr>
          <w:rFonts w:cs="Arial"/>
        </w:rPr>
        <w:t xml:space="preserve"> in </w:t>
      </w:r>
      <w:r>
        <w:rPr>
          <w:rFonts w:cs="Arial"/>
        </w:rPr>
        <w:t xml:space="preserve">targeted </w:t>
      </w:r>
      <w:r w:rsidRPr="00E2003A">
        <w:rPr>
          <w:rFonts w:cs="Arial"/>
        </w:rPr>
        <w:t>learn</w:t>
      </w:r>
      <w:r>
        <w:rPr>
          <w:rFonts w:cs="Arial"/>
        </w:rPr>
        <w:t xml:space="preserve">ing and development activities. The Change Plan </w:t>
      </w:r>
      <w:r>
        <w:rPr>
          <w:rFonts w:cs="Arial"/>
        </w:rPr>
        <w:lastRenderedPageBreak/>
        <w:t>recommended that t</w:t>
      </w:r>
      <w:r w:rsidRPr="00E2003A">
        <w:rPr>
          <w:rFonts w:cs="Arial"/>
        </w:rPr>
        <w:t xml:space="preserve">he audit consider staff skills, qualifications and experience against the </w:t>
      </w:r>
      <w:r>
        <w:rPr>
          <w:rFonts w:cs="Arial"/>
        </w:rPr>
        <w:t>D</w:t>
      </w:r>
      <w:r w:rsidRPr="00E2003A">
        <w:rPr>
          <w:rFonts w:cs="Arial"/>
        </w:rPr>
        <w:t>ivisional priorities as identified in the environment scan undertaken by NOUS</w:t>
      </w:r>
      <w:r>
        <w:rPr>
          <w:rFonts w:cs="Arial"/>
        </w:rPr>
        <w:t xml:space="preserve"> Group</w:t>
      </w:r>
      <w:r w:rsidRPr="00E2003A">
        <w:rPr>
          <w:rFonts w:cs="Arial"/>
        </w:rPr>
        <w:t xml:space="preserve">, as well as new Departmental and Government priorities. </w:t>
      </w:r>
    </w:p>
    <w:p w:rsidR="00AD5A35" w:rsidRDefault="00AD5A35" w:rsidP="00AD5A35">
      <w:pPr>
        <w:rPr>
          <w:rFonts w:cs="Arial"/>
        </w:rPr>
      </w:pPr>
      <w:r w:rsidRPr="00E2003A">
        <w:rPr>
          <w:rFonts w:cs="Arial"/>
        </w:rPr>
        <w:t>ESD ha</w:t>
      </w:r>
      <w:r>
        <w:rPr>
          <w:rFonts w:cs="Arial"/>
        </w:rPr>
        <w:t>s</w:t>
      </w:r>
      <w:r w:rsidRPr="00E2003A">
        <w:rPr>
          <w:rFonts w:cs="Arial"/>
        </w:rPr>
        <w:t xml:space="preserve"> commenced a process of identifying the requir</w:t>
      </w:r>
      <w:r>
        <w:rPr>
          <w:rFonts w:cs="Arial"/>
        </w:rPr>
        <w:t>ed skills</w:t>
      </w:r>
      <w:r w:rsidR="00A6701B">
        <w:rPr>
          <w:rFonts w:cs="Arial"/>
        </w:rPr>
        <w:t xml:space="preserve"> and </w:t>
      </w:r>
      <w:r>
        <w:rPr>
          <w:rFonts w:cs="Arial"/>
        </w:rPr>
        <w:t>capabilities of regulatory officers</w:t>
      </w:r>
      <w:r w:rsidRPr="00E2003A">
        <w:rPr>
          <w:rFonts w:cs="Arial"/>
        </w:rPr>
        <w:t>, but this</w:t>
      </w:r>
      <w:r>
        <w:rPr>
          <w:rFonts w:cs="Arial"/>
        </w:rPr>
        <w:t xml:space="preserve"> work</w:t>
      </w:r>
      <w:r w:rsidRPr="00E2003A">
        <w:rPr>
          <w:rFonts w:cs="Arial"/>
        </w:rPr>
        <w:t xml:space="preserve"> is still in an early stage.</w:t>
      </w:r>
    </w:p>
    <w:p w:rsidR="00AD5A35" w:rsidRDefault="00AD5A35" w:rsidP="00AD5A35">
      <w:pPr>
        <w:pStyle w:val="ListBullet"/>
        <w:numPr>
          <w:ilvl w:val="0"/>
          <w:numId w:val="0"/>
        </w:numPr>
        <w:contextualSpacing/>
        <w:rPr>
          <w:rFonts w:cs="Arial"/>
        </w:rPr>
      </w:pPr>
      <w:r w:rsidRPr="007B2C7A">
        <w:rPr>
          <w:rFonts w:cs="Arial"/>
        </w:rPr>
        <w:t>A number of other regulators have developed systematic approaches to regulatory capability and training</w:t>
      </w:r>
      <w:r>
        <w:rPr>
          <w:rFonts w:cs="Arial"/>
        </w:rPr>
        <w:t xml:space="preserve">, including the </w:t>
      </w:r>
      <w:r w:rsidRPr="007B2C7A">
        <w:rPr>
          <w:rFonts w:cs="Arial"/>
        </w:rPr>
        <w:t>NSW EPA and the Clean Energy Regulator</w:t>
      </w:r>
      <w:r>
        <w:rPr>
          <w:rFonts w:cs="Arial"/>
        </w:rPr>
        <w:t>. These agencies</w:t>
      </w:r>
      <w:r w:rsidRPr="007B2C7A">
        <w:rPr>
          <w:rFonts w:cs="Arial"/>
        </w:rPr>
        <w:t xml:space="preserve"> have offered to share</w:t>
      </w:r>
      <w:r>
        <w:rPr>
          <w:rFonts w:cs="Arial"/>
        </w:rPr>
        <w:t xml:space="preserve"> with the Department</w:t>
      </w:r>
      <w:r w:rsidRPr="007B2C7A">
        <w:rPr>
          <w:rFonts w:cs="Arial"/>
        </w:rPr>
        <w:t xml:space="preserve"> their experience in developing training. NSW EPA has previously provided regulatory training on a fee</w:t>
      </w:r>
      <w:r w:rsidR="00BB00C9">
        <w:rPr>
          <w:rFonts w:cs="Arial"/>
        </w:rPr>
        <w:t>-</w:t>
      </w:r>
      <w:r w:rsidRPr="007B2C7A">
        <w:rPr>
          <w:rFonts w:cs="Arial"/>
        </w:rPr>
        <w:t>for</w:t>
      </w:r>
      <w:r w:rsidR="00BB00C9">
        <w:rPr>
          <w:rFonts w:cs="Arial"/>
        </w:rPr>
        <w:t>-</w:t>
      </w:r>
      <w:r w:rsidRPr="007B2C7A">
        <w:rPr>
          <w:rFonts w:cs="Arial"/>
        </w:rPr>
        <w:t>service basis and</w:t>
      </w:r>
      <w:r>
        <w:rPr>
          <w:rFonts w:cs="Arial"/>
        </w:rPr>
        <w:t xml:space="preserve"> has providing training to the Department. Alternatively, there are service providers who offer regulatory training, but these are often restricted to compliance and enforcement functions. Although this is important, broader regulatory training is also important. </w:t>
      </w:r>
      <w:r w:rsidRPr="007B2C7A">
        <w:rPr>
          <w:rFonts w:cs="Arial"/>
        </w:rPr>
        <w:t xml:space="preserve"> </w:t>
      </w:r>
    </w:p>
    <w:p w:rsidR="00AD5A35" w:rsidRDefault="00AD5A35" w:rsidP="00AD5A35">
      <w:pPr>
        <w:pStyle w:val="ListBullet"/>
        <w:numPr>
          <w:ilvl w:val="0"/>
          <w:numId w:val="0"/>
        </w:numPr>
        <w:contextualSpacing/>
        <w:rPr>
          <w:rFonts w:cs="Arial"/>
        </w:rPr>
      </w:pPr>
    </w:p>
    <w:tbl>
      <w:tblPr>
        <w:tblStyle w:val="TableGrid"/>
        <w:tblW w:w="0" w:type="auto"/>
        <w:tblLook w:val="04A0" w:firstRow="1" w:lastRow="0" w:firstColumn="1" w:lastColumn="0" w:noHBand="0" w:noVBand="1"/>
      </w:tblPr>
      <w:tblGrid>
        <w:gridCol w:w="9212"/>
      </w:tblGrid>
      <w:tr w:rsidR="00AD5A35" w:rsidTr="00EA42D5">
        <w:trPr>
          <w:cnfStyle w:val="100000000000" w:firstRow="1" w:lastRow="0" w:firstColumn="0" w:lastColumn="0" w:oddVBand="0" w:evenVBand="0" w:oddHBand="0" w:evenHBand="0" w:firstRowFirstColumn="0" w:firstRowLastColumn="0" w:lastRowFirstColumn="0" w:lastRowLastColumn="0"/>
        </w:trPr>
        <w:tc>
          <w:tcPr>
            <w:tcW w:w="9428" w:type="dxa"/>
            <w:tcBorders>
              <w:top w:val="nil"/>
              <w:left w:val="nil"/>
              <w:bottom w:val="nil"/>
              <w:right w:val="nil"/>
            </w:tcBorders>
            <w:shd w:val="clear" w:color="auto" w:fill="C7E2FA" w:themeFill="accent1" w:themeFillTint="33"/>
          </w:tcPr>
          <w:p w:rsidR="00AD5A35" w:rsidRDefault="00AD5A35" w:rsidP="00EA42D5">
            <w:pPr>
              <w:pStyle w:val="ListBullet"/>
              <w:numPr>
                <w:ilvl w:val="0"/>
                <w:numId w:val="0"/>
              </w:numPr>
              <w:spacing w:before="240"/>
              <w:rPr>
                <w:rFonts w:cs="Arial"/>
                <w:b/>
              </w:rPr>
            </w:pPr>
            <w:r w:rsidRPr="00D211C0">
              <w:rPr>
                <w:rFonts w:cs="Arial"/>
                <w:b/>
              </w:rPr>
              <w:t xml:space="preserve">Recommendation </w:t>
            </w:r>
            <w:r>
              <w:rPr>
                <w:rFonts w:cs="Arial"/>
                <w:b/>
              </w:rPr>
              <w:t>3</w:t>
            </w:r>
            <w:r w:rsidRPr="00D211C0">
              <w:rPr>
                <w:rFonts w:cs="Arial"/>
                <w:b/>
              </w:rPr>
              <w:t>.1 (Skills and training)</w:t>
            </w:r>
          </w:p>
          <w:p w:rsidR="00AD5A35" w:rsidRDefault="00AD5A35" w:rsidP="00AD5A35">
            <w:pPr>
              <w:pStyle w:val="ListBullet"/>
              <w:numPr>
                <w:ilvl w:val="0"/>
                <w:numId w:val="0"/>
              </w:numPr>
              <w:rPr>
                <w:rFonts w:cs="Arial"/>
                <w:i/>
              </w:rPr>
            </w:pPr>
            <w:r>
              <w:rPr>
                <w:rFonts w:cs="Arial"/>
                <w:i/>
              </w:rPr>
              <w:t xml:space="preserve">Importance: </w:t>
            </w:r>
            <w:r w:rsidR="005A4278" w:rsidRPr="005A4278">
              <w:rPr>
                <w:rFonts w:cs="Arial"/>
              </w:rPr>
              <w:t>1</w:t>
            </w:r>
          </w:p>
          <w:p w:rsidR="00AD5A35" w:rsidRPr="00083902" w:rsidRDefault="00AD5A35" w:rsidP="00AD5A35">
            <w:pPr>
              <w:pStyle w:val="ListBullet"/>
              <w:numPr>
                <w:ilvl w:val="0"/>
                <w:numId w:val="0"/>
              </w:numPr>
              <w:rPr>
                <w:rFonts w:cs="Arial"/>
                <w:i/>
              </w:rPr>
            </w:pPr>
            <w:r>
              <w:rPr>
                <w:rFonts w:cs="Arial"/>
                <w:i/>
              </w:rPr>
              <w:t>Timing:</w:t>
            </w:r>
            <w:r w:rsidR="0013636F">
              <w:rPr>
                <w:rFonts w:cs="Arial"/>
                <w:i/>
              </w:rPr>
              <w:t xml:space="preserve"> </w:t>
            </w:r>
            <w:r w:rsidR="005A4278" w:rsidRPr="005A4278">
              <w:rPr>
                <w:rFonts w:cs="Arial"/>
              </w:rPr>
              <w:t xml:space="preserve">2 </w:t>
            </w:r>
          </w:p>
          <w:p w:rsidR="00AD5A35" w:rsidRPr="00D211C0" w:rsidRDefault="0013636F" w:rsidP="00AD5A35">
            <w:pPr>
              <w:rPr>
                <w:rFonts w:cs="Arial"/>
              </w:rPr>
            </w:pPr>
            <w:r>
              <w:rPr>
                <w:rFonts w:cs="Arial"/>
              </w:rPr>
              <w:t>EPG</w:t>
            </w:r>
            <w:r w:rsidR="00AD5A35" w:rsidRPr="00D211C0">
              <w:rPr>
                <w:rFonts w:cs="Arial"/>
              </w:rPr>
              <w:t xml:space="preserve"> should identify the specific skills and capabilities necessary for regulatory activities and incorporate these into a Capability Framework for regulatory officer</w:t>
            </w:r>
            <w:r w:rsidR="00AD5A35">
              <w:rPr>
                <w:rFonts w:cs="Arial"/>
              </w:rPr>
              <w:t>s</w:t>
            </w:r>
            <w:r w:rsidR="00AD5A35" w:rsidRPr="00D211C0">
              <w:rPr>
                <w:rFonts w:cs="Arial"/>
              </w:rPr>
              <w:t xml:space="preserve">. </w:t>
            </w:r>
          </w:p>
          <w:p w:rsidR="00AD5A35" w:rsidRPr="00044E02" w:rsidRDefault="00AD5A35" w:rsidP="00E65120">
            <w:pPr>
              <w:pStyle w:val="ListParagraph"/>
              <w:numPr>
                <w:ilvl w:val="0"/>
                <w:numId w:val="19"/>
              </w:numPr>
              <w:spacing w:after="0" w:line="240" w:lineRule="auto"/>
              <w:rPr>
                <w:rFonts w:cs="Arial"/>
              </w:rPr>
            </w:pPr>
            <w:r w:rsidRPr="00044E02">
              <w:rPr>
                <w:rFonts w:cs="Arial"/>
              </w:rPr>
              <w:t xml:space="preserve">Completion of the audit recommended by NOUS Group and the development of a similar process in WHaM may be an appropriate first step. </w:t>
            </w:r>
          </w:p>
          <w:p w:rsidR="00AD5A35" w:rsidRDefault="00AD5A35" w:rsidP="00E65120">
            <w:pPr>
              <w:pStyle w:val="ListParagraph"/>
              <w:numPr>
                <w:ilvl w:val="0"/>
                <w:numId w:val="19"/>
              </w:numPr>
              <w:spacing w:after="0" w:line="240" w:lineRule="auto"/>
              <w:rPr>
                <w:rFonts w:cs="Arial"/>
              </w:rPr>
            </w:pPr>
            <w:r w:rsidRPr="00044E02">
              <w:rPr>
                <w:rFonts w:cs="Arial"/>
              </w:rPr>
              <w:t xml:space="preserve">This process should build on work done by the Clean Energy Regulator and the NSW EPA, who have previously developed systematic approaches to regulatory capability and training. </w:t>
            </w:r>
          </w:p>
          <w:p w:rsidR="00AD5A35" w:rsidRPr="00044E02" w:rsidRDefault="00AD5A35" w:rsidP="00AD5A35">
            <w:pPr>
              <w:pStyle w:val="ListParagraph"/>
              <w:numPr>
                <w:ilvl w:val="0"/>
                <w:numId w:val="0"/>
              </w:numPr>
              <w:spacing w:after="0" w:line="240" w:lineRule="auto"/>
              <w:ind w:left="720"/>
              <w:rPr>
                <w:rFonts w:cs="Arial"/>
              </w:rPr>
            </w:pPr>
          </w:p>
          <w:p w:rsidR="00AD5A35" w:rsidRPr="00D211C0" w:rsidRDefault="00AD5A35" w:rsidP="00AD5A35">
            <w:pPr>
              <w:rPr>
                <w:rFonts w:cs="Arial"/>
                <w:bCs/>
              </w:rPr>
            </w:pPr>
            <w:r w:rsidRPr="00D211C0">
              <w:rPr>
                <w:rFonts w:cs="Arial"/>
                <w:bCs/>
              </w:rPr>
              <w:t>EPG should develop a formal induction</w:t>
            </w:r>
            <w:r w:rsidR="002F621D">
              <w:rPr>
                <w:rFonts w:cs="Arial"/>
                <w:bCs/>
              </w:rPr>
              <w:t xml:space="preserve"> and training</w:t>
            </w:r>
            <w:r w:rsidRPr="00D211C0">
              <w:rPr>
                <w:rFonts w:cs="Arial"/>
                <w:bCs/>
              </w:rPr>
              <w:t xml:space="preserve"> program for all regulatory staff, with specific content for Senior Executives and officer</w:t>
            </w:r>
            <w:r w:rsidR="00240461">
              <w:rPr>
                <w:rFonts w:cs="Arial"/>
                <w:bCs/>
              </w:rPr>
              <w:t>s exercising regulatory powers.</w:t>
            </w:r>
          </w:p>
          <w:p w:rsidR="00AD5A35" w:rsidRDefault="00AD5A35" w:rsidP="00AD5A35">
            <w:pPr>
              <w:pStyle w:val="ListBullet"/>
              <w:numPr>
                <w:ilvl w:val="0"/>
                <w:numId w:val="0"/>
              </w:numPr>
              <w:rPr>
                <w:rFonts w:cs="Arial"/>
                <w:bCs/>
              </w:rPr>
            </w:pPr>
            <w:r w:rsidRPr="00D211C0">
              <w:rPr>
                <w:rFonts w:cs="Arial"/>
                <w:bCs/>
              </w:rPr>
              <w:t xml:space="preserve">All Senior Executives with regulatory responsibilities should also complete the Australian and New Zealand School of Government (ANZSOG) intensive course ‘Managing Regulation Compliance and Enforcement’ intensive </w:t>
            </w:r>
            <w:r w:rsidR="00E3593E">
              <w:rPr>
                <w:rFonts w:cs="Arial"/>
                <w:bCs/>
              </w:rPr>
              <w:t>program</w:t>
            </w:r>
            <w:r w:rsidRPr="00D211C0">
              <w:rPr>
                <w:rFonts w:cs="Arial"/>
                <w:bCs/>
              </w:rPr>
              <w:t xml:space="preserve">. </w:t>
            </w:r>
          </w:p>
          <w:p w:rsidR="002F621D" w:rsidRDefault="002F621D" w:rsidP="00AD5A35">
            <w:pPr>
              <w:pStyle w:val="ListBullet"/>
              <w:numPr>
                <w:ilvl w:val="0"/>
                <w:numId w:val="0"/>
              </w:numPr>
              <w:rPr>
                <w:rFonts w:cs="Arial"/>
                <w:bCs/>
              </w:rPr>
            </w:pPr>
            <w:r>
              <w:rPr>
                <w:rFonts w:cs="Arial"/>
                <w:bCs/>
              </w:rPr>
              <w:t xml:space="preserve">The capability and training </w:t>
            </w:r>
            <w:r w:rsidR="00E3593E">
              <w:rPr>
                <w:rFonts w:cs="Arial"/>
                <w:bCs/>
              </w:rPr>
              <w:t>program</w:t>
            </w:r>
            <w:r>
              <w:rPr>
                <w:rFonts w:cs="Arial"/>
                <w:bCs/>
              </w:rPr>
              <w:t>s should be integrated into staff performance agreements and development plans.</w:t>
            </w:r>
          </w:p>
          <w:p w:rsidR="00AD5A35" w:rsidRPr="00AD5A35" w:rsidRDefault="00AD5A35" w:rsidP="00AD5A35">
            <w:pPr>
              <w:pStyle w:val="ListBullet"/>
              <w:numPr>
                <w:ilvl w:val="0"/>
                <w:numId w:val="0"/>
              </w:numPr>
              <w:rPr>
                <w:rFonts w:cs="Arial"/>
                <w:bCs/>
              </w:rPr>
            </w:pPr>
            <w:r w:rsidRPr="00D211C0">
              <w:rPr>
                <w:rFonts w:cs="Arial"/>
                <w:bCs/>
              </w:rPr>
              <w:t xml:space="preserve">In addition to formal training, EPG should explore </w:t>
            </w:r>
            <w:r>
              <w:rPr>
                <w:rFonts w:cs="Arial"/>
                <w:bCs/>
              </w:rPr>
              <w:t xml:space="preserve">informal development opportunities </w:t>
            </w:r>
            <w:r w:rsidRPr="00D211C0">
              <w:rPr>
                <w:rFonts w:cs="Arial"/>
                <w:bCs/>
              </w:rPr>
              <w:t xml:space="preserve">such as brown bag lunches, communities of practice, seminars, invited speakers, and establishing a mentoring </w:t>
            </w:r>
            <w:r w:rsidR="00E3593E">
              <w:rPr>
                <w:rFonts w:cs="Arial"/>
                <w:bCs/>
              </w:rPr>
              <w:t>program</w:t>
            </w:r>
            <w:r w:rsidRPr="00D211C0">
              <w:rPr>
                <w:rFonts w:cs="Arial"/>
                <w:bCs/>
              </w:rPr>
              <w:t xml:space="preserve">. This will facilitate the </w:t>
            </w:r>
            <w:r w:rsidRPr="00D211C0">
              <w:rPr>
                <w:rFonts w:cs="Arial"/>
              </w:rPr>
              <w:t>sharing of knowledge and experience and build a sense of common purpose among regulatory officers.</w:t>
            </w:r>
          </w:p>
        </w:tc>
      </w:tr>
    </w:tbl>
    <w:p w:rsidR="0013636F" w:rsidRDefault="0013636F" w:rsidP="00EA42D5">
      <w:pPr>
        <w:pStyle w:val="Heading1"/>
        <w:spacing w:after="120"/>
        <w:rPr>
          <w:caps w:val="0"/>
          <w:color w:val="0B5294" w:themeColor="accent1" w:themeShade="BF"/>
          <w:sz w:val="24"/>
          <w:szCs w:val="24"/>
        </w:rPr>
      </w:pPr>
      <w:bookmarkStart w:id="40" w:name="_Toc443405173"/>
    </w:p>
    <w:p w:rsidR="00AD5A35" w:rsidRPr="00EA42D5" w:rsidRDefault="00AD5A35" w:rsidP="00EA42D5">
      <w:pPr>
        <w:pStyle w:val="Heading1"/>
        <w:spacing w:after="120"/>
        <w:rPr>
          <w:caps w:val="0"/>
          <w:color w:val="0B5294" w:themeColor="accent1" w:themeShade="BF"/>
          <w:sz w:val="24"/>
          <w:szCs w:val="24"/>
        </w:rPr>
      </w:pPr>
      <w:r w:rsidRPr="00EA42D5">
        <w:rPr>
          <w:caps w:val="0"/>
          <w:color w:val="0B5294" w:themeColor="accent1" w:themeShade="BF"/>
          <w:sz w:val="24"/>
          <w:szCs w:val="24"/>
        </w:rPr>
        <w:t>Consideration of economic and social impacts</w:t>
      </w:r>
      <w:bookmarkEnd w:id="40"/>
    </w:p>
    <w:p w:rsidR="00AD5A35" w:rsidRDefault="00AD5A35" w:rsidP="00AD5A35">
      <w:pPr>
        <w:rPr>
          <w:rFonts w:cs="Arial"/>
        </w:rPr>
      </w:pPr>
      <w:r>
        <w:rPr>
          <w:rFonts w:cs="Arial"/>
        </w:rPr>
        <w:t>As is often the case in environment agencies,</w:t>
      </w:r>
      <w:r w:rsidRPr="007461E3">
        <w:rPr>
          <w:rFonts w:cs="Arial"/>
        </w:rPr>
        <w:t xml:space="preserve"> economic and social impacts are </w:t>
      </w:r>
      <w:r>
        <w:rPr>
          <w:rFonts w:cs="Arial"/>
        </w:rPr>
        <w:t>not always</w:t>
      </w:r>
      <w:r w:rsidRPr="007461E3">
        <w:rPr>
          <w:rFonts w:cs="Arial"/>
        </w:rPr>
        <w:t xml:space="preserve"> fully considered or addressed</w:t>
      </w:r>
      <w:r>
        <w:rPr>
          <w:rFonts w:cs="Arial"/>
        </w:rPr>
        <w:t xml:space="preserve"> by EPG officers during regulatory decision-making processes. This is often due to a lack of understanding and/or confidence in how and when to appropriately consider these matters. This is further complicated by the fact that some legislation prohibits consideration of these matters for certain decisions, for example listing </w:t>
      </w:r>
      <w:r>
        <w:rPr>
          <w:rFonts w:cs="Arial"/>
        </w:rPr>
        <w:lastRenderedPageBreak/>
        <w:t xml:space="preserve">species as protected under the EPBC Act, while for other decisions it is mandatory, such as approving projects under the EPBC Act. </w:t>
      </w:r>
    </w:p>
    <w:p w:rsidR="00AD5A35" w:rsidRDefault="00AD5A35" w:rsidP="00AD5A35">
      <w:pPr>
        <w:rPr>
          <w:rFonts w:cs="Arial"/>
        </w:rPr>
      </w:pPr>
      <w:r>
        <w:rPr>
          <w:rFonts w:cs="Arial"/>
        </w:rPr>
        <w:t>F</w:t>
      </w:r>
      <w:r w:rsidRPr="007461E3">
        <w:rPr>
          <w:rFonts w:cs="Arial"/>
        </w:rPr>
        <w:t xml:space="preserve">ailure to adequately address </w:t>
      </w:r>
      <w:r>
        <w:rPr>
          <w:rFonts w:cs="Arial"/>
        </w:rPr>
        <w:t>economic and social impacts where this is allowed for or required by legislation</w:t>
      </w:r>
      <w:r w:rsidRPr="007461E3">
        <w:rPr>
          <w:rFonts w:cs="Arial"/>
        </w:rPr>
        <w:t xml:space="preserve"> can result </w:t>
      </w:r>
      <w:r>
        <w:rPr>
          <w:rFonts w:cs="Arial"/>
        </w:rPr>
        <w:t xml:space="preserve">in </w:t>
      </w:r>
      <w:r w:rsidRPr="007461E3">
        <w:rPr>
          <w:rFonts w:cs="Arial"/>
        </w:rPr>
        <w:t xml:space="preserve">loss of </w:t>
      </w:r>
      <w:r>
        <w:rPr>
          <w:rFonts w:cs="Arial"/>
        </w:rPr>
        <w:t>G</w:t>
      </w:r>
      <w:r w:rsidRPr="007461E3">
        <w:rPr>
          <w:rFonts w:cs="Arial"/>
        </w:rPr>
        <w:t>overnment and community</w:t>
      </w:r>
      <w:r>
        <w:rPr>
          <w:rFonts w:cs="Arial"/>
        </w:rPr>
        <w:t xml:space="preserve"> support,</w:t>
      </w:r>
      <w:r w:rsidRPr="007461E3">
        <w:rPr>
          <w:rFonts w:cs="Arial"/>
        </w:rPr>
        <w:t xml:space="preserve"> </w:t>
      </w:r>
      <w:r>
        <w:rPr>
          <w:rFonts w:cs="Arial"/>
        </w:rPr>
        <w:t xml:space="preserve">regardless of whether </w:t>
      </w:r>
      <w:r w:rsidR="007465A2">
        <w:rPr>
          <w:rFonts w:cs="Arial"/>
        </w:rPr>
        <w:t xml:space="preserve">the decision </w:t>
      </w:r>
      <w:r>
        <w:rPr>
          <w:rFonts w:cs="Arial"/>
        </w:rPr>
        <w:t xml:space="preserve">is supported by </w:t>
      </w:r>
      <w:r w:rsidRPr="007461E3">
        <w:rPr>
          <w:rFonts w:cs="Arial"/>
        </w:rPr>
        <w:t xml:space="preserve">sound science </w:t>
      </w:r>
      <w:r>
        <w:rPr>
          <w:rFonts w:cs="Arial"/>
        </w:rPr>
        <w:t>or</w:t>
      </w:r>
      <w:r w:rsidRPr="007461E3">
        <w:rPr>
          <w:rFonts w:cs="Arial"/>
        </w:rPr>
        <w:t xml:space="preserve"> well argued environmental objectives. </w:t>
      </w:r>
    </w:p>
    <w:tbl>
      <w:tblPr>
        <w:tblStyle w:val="TableGrid"/>
        <w:tblW w:w="0" w:type="auto"/>
        <w:tblLook w:val="04A0" w:firstRow="1" w:lastRow="0" w:firstColumn="1" w:lastColumn="0" w:noHBand="0" w:noVBand="1"/>
      </w:tblPr>
      <w:tblGrid>
        <w:gridCol w:w="9212"/>
      </w:tblGrid>
      <w:tr w:rsidR="00AD5A35" w:rsidTr="00EA42D5">
        <w:trPr>
          <w:cnfStyle w:val="100000000000" w:firstRow="1" w:lastRow="0" w:firstColumn="0" w:lastColumn="0" w:oddVBand="0" w:evenVBand="0" w:oddHBand="0" w:evenHBand="0" w:firstRowFirstColumn="0" w:firstRowLastColumn="0" w:lastRowFirstColumn="0" w:lastRowLastColumn="0"/>
        </w:trPr>
        <w:tc>
          <w:tcPr>
            <w:tcW w:w="9428" w:type="dxa"/>
            <w:tcBorders>
              <w:top w:val="nil"/>
              <w:left w:val="nil"/>
              <w:bottom w:val="nil"/>
              <w:right w:val="nil"/>
            </w:tcBorders>
            <w:shd w:val="clear" w:color="auto" w:fill="C7E2FA" w:themeFill="accent1" w:themeFillTint="33"/>
          </w:tcPr>
          <w:p w:rsidR="00AD5A35" w:rsidRPr="00547561" w:rsidRDefault="00AD5A35" w:rsidP="00EA42D5">
            <w:pPr>
              <w:pStyle w:val="ListBullet"/>
              <w:numPr>
                <w:ilvl w:val="0"/>
                <w:numId w:val="0"/>
              </w:numPr>
              <w:spacing w:before="240"/>
              <w:rPr>
                <w:rFonts w:cs="Arial"/>
                <w:b/>
              </w:rPr>
            </w:pPr>
            <w:r w:rsidRPr="00547561">
              <w:rPr>
                <w:rFonts w:cs="Arial"/>
                <w:b/>
              </w:rPr>
              <w:t xml:space="preserve">Recommendation </w:t>
            </w:r>
            <w:r>
              <w:rPr>
                <w:rFonts w:cs="Arial"/>
                <w:b/>
              </w:rPr>
              <w:t>3</w:t>
            </w:r>
            <w:r w:rsidRPr="00547561">
              <w:rPr>
                <w:rFonts w:cs="Arial"/>
                <w:b/>
              </w:rPr>
              <w:t>.2 (Consideration of economic and social impacts)</w:t>
            </w:r>
          </w:p>
          <w:p w:rsidR="00AD5A35" w:rsidRDefault="00AD5A35" w:rsidP="00AD5A35">
            <w:pPr>
              <w:pStyle w:val="ListBullet"/>
              <w:numPr>
                <w:ilvl w:val="0"/>
                <w:numId w:val="0"/>
              </w:numPr>
              <w:rPr>
                <w:rFonts w:cs="Arial"/>
              </w:rPr>
            </w:pPr>
            <w:r w:rsidRPr="00D3155D">
              <w:rPr>
                <w:rFonts w:cs="Arial"/>
                <w:i/>
              </w:rPr>
              <w:t>Importance:</w:t>
            </w:r>
            <w:r>
              <w:rPr>
                <w:rFonts w:cs="Arial"/>
              </w:rPr>
              <w:t xml:space="preserve"> </w:t>
            </w:r>
            <w:r w:rsidR="0013636F">
              <w:rPr>
                <w:rFonts w:cs="Arial"/>
              </w:rPr>
              <w:t>2</w:t>
            </w:r>
          </w:p>
          <w:p w:rsidR="00AD5A35" w:rsidRDefault="00AD5A35" w:rsidP="00AD5A35">
            <w:pPr>
              <w:pStyle w:val="ListBullet"/>
              <w:numPr>
                <w:ilvl w:val="0"/>
                <w:numId w:val="0"/>
              </w:numPr>
              <w:rPr>
                <w:rFonts w:cs="Arial"/>
              </w:rPr>
            </w:pPr>
            <w:r w:rsidRPr="00D3155D">
              <w:rPr>
                <w:rFonts w:cs="Arial"/>
                <w:i/>
              </w:rPr>
              <w:t>Timing:</w:t>
            </w:r>
            <w:r>
              <w:rPr>
                <w:rFonts w:cs="Arial"/>
              </w:rPr>
              <w:t xml:space="preserve"> 2</w:t>
            </w:r>
          </w:p>
          <w:p w:rsidR="00AD5A35" w:rsidRPr="00547561" w:rsidRDefault="00AD5A35" w:rsidP="00AD5A35">
            <w:pPr>
              <w:rPr>
                <w:rFonts w:cs="Arial"/>
              </w:rPr>
            </w:pPr>
            <w:r>
              <w:rPr>
                <w:rFonts w:cs="Arial"/>
              </w:rPr>
              <w:t xml:space="preserve">The </w:t>
            </w:r>
            <w:r w:rsidRPr="00547561">
              <w:rPr>
                <w:rFonts w:cs="Arial"/>
              </w:rPr>
              <w:t xml:space="preserve">Senior Executive should promote a culture within the Department of viewing all problems and proposed solutions through the prism of environmental, economic and social impacts (where this is legally allowable). </w:t>
            </w:r>
          </w:p>
          <w:p w:rsidR="00AD5A35" w:rsidRDefault="007465A2" w:rsidP="00AD5A35">
            <w:pPr>
              <w:rPr>
                <w:rFonts w:cs="Arial"/>
              </w:rPr>
            </w:pPr>
            <w:r>
              <w:rPr>
                <w:rFonts w:cs="Arial"/>
              </w:rPr>
              <w:t>EPG</w:t>
            </w:r>
            <w:r w:rsidR="00AD5A35" w:rsidRPr="00547561">
              <w:rPr>
                <w:rFonts w:cs="Arial"/>
              </w:rPr>
              <w:t xml:space="preserve"> should develop guidance material</w:t>
            </w:r>
            <w:r w:rsidR="00AD5A35">
              <w:rPr>
                <w:rFonts w:cs="Arial"/>
              </w:rPr>
              <w:t>s</w:t>
            </w:r>
            <w:r w:rsidR="00AD5A35" w:rsidRPr="00547561">
              <w:rPr>
                <w:rFonts w:cs="Arial"/>
              </w:rPr>
              <w:t xml:space="preserve"> to assist staff in identifying when economic and social impacts should be considered, and how to adequately consider them.</w:t>
            </w:r>
          </w:p>
        </w:tc>
      </w:tr>
    </w:tbl>
    <w:p w:rsidR="0013636F" w:rsidRDefault="0013636F" w:rsidP="00EA42D5">
      <w:pPr>
        <w:pStyle w:val="Heading1"/>
        <w:spacing w:after="120"/>
        <w:rPr>
          <w:caps w:val="0"/>
          <w:color w:val="0B5294" w:themeColor="accent1" w:themeShade="BF"/>
          <w:sz w:val="24"/>
          <w:szCs w:val="24"/>
          <w:u w:val="single"/>
        </w:rPr>
      </w:pPr>
      <w:bookmarkStart w:id="41" w:name="_Toc443405174"/>
    </w:p>
    <w:p w:rsidR="00AD5A35" w:rsidRPr="00EA42D5" w:rsidRDefault="00AD5A35" w:rsidP="00EA42D5">
      <w:pPr>
        <w:pStyle w:val="Heading1"/>
        <w:spacing w:after="120"/>
        <w:rPr>
          <w:caps w:val="0"/>
          <w:color w:val="0B5294" w:themeColor="accent1" w:themeShade="BF"/>
          <w:sz w:val="24"/>
          <w:szCs w:val="24"/>
          <w:u w:val="single"/>
        </w:rPr>
      </w:pPr>
      <w:r w:rsidRPr="00EA42D5">
        <w:rPr>
          <w:caps w:val="0"/>
          <w:color w:val="0B5294" w:themeColor="accent1" w:themeShade="BF"/>
          <w:sz w:val="24"/>
          <w:szCs w:val="24"/>
          <w:u w:val="single"/>
        </w:rPr>
        <w:t>Structures and Linkages</w:t>
      </w:r>
      <w:bookmarkEnd w:id="41"/>
    </w:p>
    <w:p w:rsidR="00AD5A35" w:rsidRPr="00AB7454" w:rsidRDefault="00AD5A35" w:rsidP="00AD5A35">
      <w:pPr>
        <w:contextualSpacing/>
        <w:rPr>
          <w:rFonts w:cs="Arial"/>
        </w:rPr>
      </w:pPr>
      <w:r>
        <w:rPr>
          <w:rFonts w:cs="Arial"/>
        </w:rPr>
        <w:t>T</w:t>
      </w:r>
      <w:r w:rsidRPr="00AB7454">
        <w:rPr>
          <w:rFonts w:cs="Arial"/>
        </w:rPr>
        <w:t>here is no uniformly ideal structure for a regulator. Indeed, modern regulators are concerned less about formal structures and more about identifying the most important problems and mobilising all relevant areas to work togeth</w:t>
      </w:r>
      <w:r>
        <w:rPr>
          <w:rFonts w:cs="Arial"/>
        </w:rPr>
        <w:t>er to manage issues from an end-</w:t>
      </w:r>
      <w:r w:rsidRPr="00AB7454">
        <w:rPr>
          <w:rFonts w:cs="Arial"/>
        </w:rPr>
        <w:t>to</w:t>
      </w:r>
      <w:r>
        <w:rPr>
          <w:rFonts w:cs="Arial"/>
        </w:rPr>
        <w:t>-</w:t>
      </w:r>
      <w:r w:rsidRPr="00AB7454">
        <w:rPr>
          <w:rFonts w:cs="Arial"/>
        </w:rPr>
        <w:t xml:space="preserve">end perspective.  </w:t>
      </w:r>
    </w:p>
    <w:p w:rsidR="00AD5A35" w:rsidRPr="00AB7454" w:rsidRDefault="00AD5A35" w:rsidP="00AD5A35">
      <w:pPr>
        <w:pStyle w:val="Heading2"/>
        <w:rPr>
          <w:b w:val="0"/>
        </w:rPr>
      </w:pPr>
      <w:bookmarkStart w:id="42" w:name="_Toc442970850"/>
      <w:bookmarkStart w:id="43" w:name="_Toc443039994"/>
      <w:bookmarkStart w:id="44" w:name="_Toc443405175"/>
      <w:r>
        <w:rPr>
          <w:b w:val="0"/>
        </w:rPr>
        <w:t>The Project notes that t</w:t>
      </w:r>
      <w:r w:rsidRPr="00AB7454">
        <w:rPr>
          <w:b w:val="0"/>
        </w:rPr>
        <w:t>here has been considerable structural change</w:t>
      </w:r>
      <w:r>
        <w:rPr>
          <w:b w:val="0"/>
        </w:rPr>
        <w:t xml:space="preserve"> within the Department</w:t>
      </w:r>
      <w:r w:rsidRPr="00AB7454">
        <w:rPr>
          <w:b w:val="0"/>
        </w:rPr>
        <w:t xml:space="preserve"> in recent years, and the transactional costs and impacts on staff are noticeable. The Project is therefore not recommending major structural change. Nonetheless, there are some areas where minor changes to responsibilities and reporting arrangements would be beneficial without significant downside.</w:t>
      </w:r>
      <w:r>
        <w:rPr>
          <w:b w:val="0"/>
        </w:rPr>
        <w:t xml:space="preserve"> These are discussed below.</w:t>
      </w:r>
      <w:bookmarkEnd w:id="42"/>
      <w:bookmarkEnd w:id="43"/>
      <w:bookmarkEnd w:id="44"/>
      <w:r w:rsidRPr="00AB7454">
        <w:rPr>
          <w:b w:val="0"/>
        </w:rPr>
        <w:t xml:space="preserve"> </w:t>
      </w:r>
    </w:p>
    <w:p w:rsidR="00AD5A35" w:rsidRPr="00EA42D5" w:rsidRDefault="00AD5A35" w:rsidP="00EA42D5">
      <w:pPr>
        <w:pStyle w:val="Heading1"/>
        <w:spacing w:after="120"/>
        <w:rPr>
          <w:caps w:val="0"/>
          <w:color w:val="0B5294" w:themeColor="accent1" w:themeShade="BF"/>
          <w:sz w:val="24"/>
          <w:szCs w:val="24"/>
        </w:rPr>
      </w:pPr>
      <w:bookmarkStart w:id="45" w:name="_Toc443405176"/>
      <w:r w:rsidRPr="00EA42D5">
        <w:rPr>
          <w:caps w:val="0"/>
          <w:color w:val="0B5294" w:themeColor="accent1" w:themeShade="BF"/>
          <w:sz w:val="24"/>
          <w:szCs w:val="24"/>
        </w:rPr>
        <w:t>Centralised support</w:t>
      </w:r>
      <w:bookmarkEnd w:id="45"/>
      <w:r w:rsidRPr="00EA42D5">
        <w:rPr>
          <w:caps w:val="0"/>
          <w:color w:val="0B5294" w:themeColor="accent1" w:themeShade="BF"/>
          <w:sz w:val="24"/>
          <w:szCs w:val="24"/>
        </w:rPr>
        <w:t xml:space="preserve"> </w:t>
      </w:r>
    </w:p>
    <w:p w:rsidR="00AD5A35" w:rsidRDefault="00AD5A35" w:rsidP="00AD5A35">
      <w:r>
        <w:t>A best practice regulator should have an integrated approach to supporting and improving its business. By ensuring consistency in the provision and quality of its training, guidance material, business systems and IT support, a regulator can have confidence in its decisions and processes</w:t>
      </w:r>
      <w:r w:rsidR="00DA3648">
        <w:t>,</w:t>
      </w:r>
      <w:r>
        <w:t xml:space="preserve"> and be better placed to effectively and efficiently meet its strategic objectives and deliver its desired regulatory outcomes. </w:t>
      </w:r>
    </w:p>
    <w:p w:rsidR="00AD5A35" w:rsidRPr="005131B6" w:rsidRDefault="00AD5A35" w:rsidP="00AD5A35">
      <w:pPr>
        <w:rPr>
          <w:rFonts w:cs="Arial"/>
        </w:rPr>
      </w:pPr>
      <w:r w:rsidRPr="005131B6">
        <w:rPr>
          <w:rFonts w:cs="Arial"/>
        </w:rPr>
        <w:t>Currently, there is no clear responsibility for support</w:t>
      </w:r>
      <w:r>
        <w:rPr>
          <w:rFonts w:cs="Arial"/>
        </w:rPr>
        <w:t>ing and improving regulatory</w:t>
      </w:r>
      <w:r w:rsidRPr="005131B6">
        <w:rPr>
          <w:rFonts w:cs="Arial"/>
        </w:rPr>
        <w:t xml:space="preserve"> functions</w:t>
      </w:r>
      <w:r>
        <w:rPr>
          <w:rFonts w:cs="Arial"/>
        </w:rPr>
        <w:t xml:space="preserve"> in EPG. Staff expressed concern that there is little or no resourcing for supporting business</w:t>
      </w:r>
      <w:r w:rsidR="00DA3648">
        <w:rPr>
          <w:rFonts w:cs="Arial"/>
        </w:rPr>
        <w:t>-</w:t>
      </w:r>
      <w:r>
        <w:rPr>
          <w:rFonts w:cs="Arial"/>
        </w:rPr>
        <w:t>as</w:t>
      </w:r>
      <w:r w:rsidR="00DA3648">
        <w:rPr>
          <w:rFonts w:cs="Arial"/>
        </w:rPr>
        <w:t>-</w:t>
      </w:r>
      <w:r>
        <w:rPr>
          <w:rFonts w:cs="Arial"/>
        </w:rPr>
        <w:t xml:space="preserve">usual activities (for example through training and manuals). This </w:t>
      </w:r>
      <w:r w:rsidR="00DA3648">
        <w:rPr>
          <w:rFonts w:cs="Arial"/>
        </w:rPr>
        <w:t>R</w:t>
      </w:r>
      <w:r>
        <w:rPr>
          <w:rFonts w:cs="Arial"/>
        </w:rPr>
        <w:t>eport discusses a number of support functions that would benefit from being centralised and resourced to ensure consistency and effective integration across EPG (</w:t>
      </w:r>
      <w:r w:rsidR="00240461">
        <w:rPr>
          <w:rFonts w:cs="Arial"/>
        </w:rPr>
        <w:t>see Recommendation</w:t>
      </w:r>
      <w:r w:rsidR="00DA3648">
        <w:rPr>
          <w:rFonts w:cs="Arial"/>
        </w:rPr>
        <w:t xml:space="preserve"> 3.3</w:t>
      </w:r>
      <w:r w:rsidR="00240461">
        <w:rPr>
          <w:rFonts w:cs="Arial"/>
        </w:rPr>
        <w:t xml:space="preserve"> below for cross-references).</w:t>
      </w:r>
    </w:p>
    <w:tbl>
      <w:tblPr>
        <w:tblStyle w:val="TableGrid"/>
        <w:tblW w:w="0" w:type="auto"/>
        <w:tblLook w:val="04A0" w:firstRow="1" w:lastRow="0" w:firstColumn="1" w:lastColumn="0" w:noHBand="0" w:noVBand="1"/>
      </w:tblPr>
      <w:tblGrid>
        <w:gridCol w:w="9212"/>
      </w:tblGrid>
      <w:tr w:rsidR="00AD5A35" w:rsidTr="00EA42D5">
        <w:trPr>
          <w:cnfStyle w:val="100000000000" w:firstRow="1" w:lastRow="0" w:firstColumn="0" w:lastColumn="0" w:oddVBand="0" w:evenVBand="0" w:oddHBand="0" w:evenHBand="0" w:firstRowFirstColumn="0" w:firstRowLastColumn="0" w:lastRowFirstColumn="0" w:lastRowLastColumn="0"/>
          <w:trHeight w:val="4243"/>
        </w:trPr>
        <w:tc>
          <w:tcPr>
            <w:tcW w:w="9428" w:type="dxa"/>
            <w:tcBorders>
              <w:top w:val="nil"/>
              <w:left w:val="nil"/>
              <w:bottom w:val="nil"/>
              <w:right w:val="nil"/>
            </w:tcBorders>
            <w:shd w:val="clear" w:color="auto" w:fill="C7E2FA" w:themeFill="accent1" w:themeFillTint="33"/>
          </w:tcPr>
          <w:p w:rsidR="00AD5A35" w:rsidRDefault="00AD5A35" w:rsidP="00EA42D5">
            <w:pPr>
              <w:pStyle w:val="ListBullet"/>
              <w:numPr>
                <w:ilvl w:val="0"/>
                <w:numId w:val="0"/>
              </w:numPr>
              <w:spacing w:before="240"/>
              <w:rPr>
                <w:rFonts w:cs="Arial"/>
                <w:b/>
              </w:rPr>
            </w:pPr>
            <w:r w:rsidRPr="00547561">
              <w:rPr>
                <w:rFonts w:cs="Arial"/>
                <w:b/>
              </w:rPr>
              <w:lastRenderedPageBreak/>
              <w:t xml:space="preserve">Recommendation </w:t>
            </w:r>
            <w:r>
              <w:rPr>
                <w:rFonts w:cs="Arial"/>
                <w:b/>
              </w:rPr>
              <w:t>3</w:t>
            </w:r>
            <w:r w:rsidRPr="00547561">
              <w:rPr>
                <w:rFonts w:cs="Arial"/>
                <w:b/>
              </w:rPr>
              <w:t>.</w:t>
            </w:r>
            <w:r>
              <w:rPr>
                <w:rFonts w:cs="Arial"/>
                <w:b/>
              </w:rPr>
              <w:t>3</w:t>
            </w:r>
            <w:r w:rsidRPr="00547561">
              <w:rPr>
                <w:rFonts w:cs="Arial"/>
                <w:b/>
              </w:rPr>
              <w:t xml:space="preserve"> (Centralised support)</w:t>
            </w:r>
          </w:p>
          <w:p w:rsidR="00AD5A35" w:rsidRDefault="00AD5A35" w:rsidP="00AD5A35">
            <w:pPr>
              <w:pStyle w:val="ListBullet"/>
              <w:numPr>
                <w:ilvl w:val="0"/>
                <w:numId w:val="0"/>
              </w:numPr>
              <w:rPr>
                <w:rFonts w:cs="Arial"/>
              </w:rPr>
            </w:pPr>
            <w:r w:rsidRPr="00D3155D">
              <w:rPr>
                <w:rFonts w:cs="Arial"/>
                <w:i/>
              </w:rPr>
              <w:t>Importance:</w:t>
            </w:r>
            <w:r>
              <w:rPr>
                <w:rFonts w:cs="Arial"/>
              </w:rPr>
              <w:t xml:space="preserve"> 1</w:t>
            </w:r>
          </w:p>
          <w:p w:rsidR="00AD5A35" w:rsidRPr="00083902" w:rsidRDefault="00AD5A35" w:rsidP="00AD5A35">
            <w:pPr>
              <w:pStyle w:val="ListBullet"/>
              <w:numPr>
                <w:ilvl w:val="0"/>
                <w:numId w:val="0"/>
              </w:numPr>
              <w:rPr>
                <w:rFonts w:cs="Arial"/>
              </w:rPr>
            </w:pPr>
            <w:r w:rsidRPr="00D3155D">
              <w:rPr>
                <w:rFonts w:cs="Arial"/>
                <w:i/>
              </w:rPr>
              <w:t>Timing:</w:t>
            </w:r>
            <w:r>
              <w:rPr>
                <w:rFonts w:cs="Arial"/>
              </w:rPr>
              <w:t xml:space="preserve"> 1</w:t>
            </w:r>
          </w:p>
          <w:p w:rsidR="00A66D2D" w:rsidRDefault="00A66D2D" w:rsidP="00A66D2D">
            <w:pPr>
              <w:rPr>
                <w:rFonts w:cs="Arial"/>
              </w:rPr>
            </w:pPr>
            <w:r w:rsidRPr="00032874">
              <w:rPr>
                <w:rFonts w:cs="Arial"/>
              </w:rPr>
              <w:t>EPG should centralise responsibility for coordination of training, regulatory policy, guidance, processes, and IT across both ESD and WH</w:t>
            </w:r>
            <w:r>
              <w:rPr>
                <w:rFonts w:cs="Arial"/>
              </w:rPr>
              <w:t>a</w:t>
            </w:r>
            <w:r w:rsidRPr="00032874">
              <w:rPr>
                <w:rFonts w:cs="Arial"/>
              </w:rPr>
              <w:t xml:space="preserve">M, in a </w:t>
            </w:r>
            <w:r>
              <w:rPr>
                <w:rFonts w:cs="Arial"/>
              </w:rPr>
              <w:t>Regulation Reform and</w:t>
            </w:r>
            <w:r w:rsidRPr="00032874">
              <w:rPr>
                <w:rFonts w:cs="Arial"/>
              </w:rPr>
              <w:t xml:space="preserve"> Support Branch. This </w:t>
            </w:r>
            <w:r>
              <w:rPr>
                <w:rFonts w:cs="Arial"/>
              </w:rPr>
              <w:t>Branch</w:t>
            </w:r>
            <w:r w:rsidRPr="00032874">
              <w:rPr>
                <w:rFonts w:cs="Arial"/>
              </w:rPr>
              <w:t xml:space="preserve"> should work closely with the General Counsel Branch and the Department’s Governance Branch.</w:t>
            </w:r>
            <w:r>
              <w:rPr>
                <w:rFonts w:cs="Arial"/>
              </w:rPr>
              <w:t xml:space="preserve"> The governance of the Branch should ensure that it reports to both FASes.</w:t>
            </w:r>
          </w:p>
          <w:p w:rsidR="00A66D2D" w:rsidRDefault="00A66D2D" w:rsidP="00A66D2D">
            <w:pPr>
              <w:rPr>
                <w:rFonts w:cs="Arial"/>
              </w:rPr>
            </w:pPr>
            <w:r w:rsidRPr="00032874">
              <w:rPr>
                <w:rFonts w:cs="Arial"/>
              </w:rPr>
              <w:t xml:space="preserve">This </w:t>
            </w:r>
            <w:r>
              <w:rPr>
                <w:rFonts w:cs="Arial"/>
              </w:rPr>
              <w:t>Branch</w:t>
            </w:r>
            <w:r w:rsidRPr="00032874">
              <w:rPr>
                <w:rFonts w:cs="Arial"/>
              </w:rPr>
              <w:t xml:space="preserve"> should have responsibility for</w:t>
            </w:r>
            <w:r>
              <w:rPr>
                <w:rFonts w:cs="Arial"/>
              </w:rPr>
              <w:t xml:space="preserve"> the following functions in relation to EPG</w:t>
            </w:r>
            <w:r w:rsidRPr="00032874">
              <w:rPr>
                <w:rFonts w:cs="Arial"/>
              </w:rPr>
              <w:t>:</w:t>
            </w:r>
          </w:p>
          <w:p w:rsidR="00A66D2D" w:rsidRPr="00032874" w:rsidRDefault="00A66D2D" w:rsidP="00A66D2D">
            <w:pPr>
              <w:pStyle w:val="ListBullet"/>
              <w:spacing w:after="0" w:line="240" w:lineRule="auto"/>
              <w:rPr>
                <w:rFonts w:cs="Arial"/>
              </w:rPr>
            </w:pPr>
            <w:r w:rsidRPr="00032874">
              <w:rPr>
                <w:rFonts w:cs="Arial"/>
                <w:b/>
              </w:rPr>
              <w:t>Coordinat</w:t>
            </w:r>
            <w:r>
              <w:rPr>
                <w:rFonts w:cs="Arial"/>
                <w:b/>
              </w:rPr>
              <w:t>ion of</w:t>
            </w:r>
            <w:r w:rsidRPr="00032874">
              <w:rPr>
                <w:rFonts w:cs="Arial"/>
                <w:b/>
              </w:rPr>
              <w:t xml:space="preserve"> regulatory capability and training.</w:t>
            </w:r>
            <w:r w:rsidRPr="00032874">
              <w:rPr>
                <w:rFonts w:cs="Arial"/>
              </w:rPr>
              <w:t xml:space="preserve"> This </w:t>
            </w:r>
            <w:r>
              <w:rPr>
                <w:rFonts w:cs="Arial"/>
              </w:rPr>
              <w:t xml:space="preserve">Branch </w:t>
            </w:r>
            <w:r w:rsidRPr="00032874">
              <w:rPr>
                <w:rFonts w:cs="Arial"/>
              </w:rPr>
              <w:t>would not provide all the training, but would be responsible for working across EPG</w:t>
            </w:r>
            <w:r>
              <w:rPr>
                <w:rFonts w:cs="Arial"/>
              </w:rPr>
              <w:t xml:space="preserve"> and with the Department’s central training areas</w:t>
            </w:r>
            <w:r w:rsidRPr="00032874">
              <w:rPr>
                <w:rFonts w:cs="Arial"/>
              </w:rPr>
              <w:t xml:space="preserve"> to:</w:t>
            </w:r>
          </w:p>
          <w:p w:rsidR="00A66D2D" w:rsidRPr="00032874" w:rsidRDefault="00A66D2D" w:rsidP="00A66D2D">
            <w:pPr>
              <w:pStyle w:val="ListBullet2"/>
              <w:spacing w:after="0" w:line="240" w:lineRule="auto"/>
              <w:rPr>
                <w:rFonts w:cs="Arial"/>
              </w:rPr>
            </w:pPr>
            <w:r w:rsidRPr="00032874">
              <w:rPr>
                <w:rFonts w:cs="Arial"/>
              </w:rPr>
              <w:t>articulate the necessary skills and capabilities;</w:t>
            </w:r>
          </w:p>
          <w:p w:rsidR="00A66D2D" w:rsidRPr="00032874" w:rsidRDefault="00A66D2D" w:rsidP="00A66D2D">
            <w:pPr>
              <w:pStyle w:val="ListBullet2"/>
              <w:spacing w:after="0" w:line="240" w:lineRule="auto"/>
              <w:rPr>
                <w:rFonts w:cs="Arial"/>
              </w:rPr>
            </w:pPr>
            <w:r w:rsidRPr="00032874">
              <w:rPr>
                <w:rFonts w:cs="Arial"/>
              </w:rPr>
              <w:t xml:space="preserve">identify priorities for, and gaps in training; </w:t>
            </w:r>
            <w:r w:rsidRPr="00032874">
              <w:rPr>
                <w:rFonts w:cs="Arial"/>
                <w:bCs/>
              </w:rPr>
              <w:t>and</w:t>
            </w:r>
          </w:p>
          <w:p w:rsidR="00A66D2D" w:rsidRPr="00CD6C7A" w:rsidRDefault="00A66D2D" w:rsidP="00A66D2D">
            <w:pPr>
              <w:pStyle w:val="ListBullet2"/>
              <w:numPr>
                <w:ilvl w:val="0"/>
                <w:numId w:val="0"/>
              </w:numPr>
              <w:spacing w:after="0" w:line="240" w:lineRule="auto"/>
              <w:ind w:left="737"/>
              <w:rPr>
                <w:rFonts w:cs="Arial"/>
              </w:rPr>
            </w:pPr>
            <w:r w:rsidRPr="00CD6C7A">
              <w:rPr>
                <w:rFonts w:cs="Arial"/>
                <w:bCs/>
              </w:rPr>
              <w:t>keep track of who requires, and who has completed, training.</w:t>
            </w:r>
          </w:p>
          <w:p w:rsidR="00A66D2D" w:rsidRPr="00563C02" w:rsidRDefault="00A66D2D" w:rsidP="00A66D2D">
            <w:pPr>
              <w:pStyle w:val="ListBullet2"/>
              <w:numPr>
                <w:ilvl w:val="0"/>
                <w:numId w:val="0"/>
              </w:numPr>
              <w:spacing w:after="0" w:line="240" w:lineRule="auto"/>
              <w:ind w:left="737"/>
              <w:rPr>
                <w:rFonts w:cs="Arial"/>
              </w:rPr>
            </w:pPr>
          </w:p>
          <w:p w:rsidR="00A66D2D" w:rsidRPr="00032874" w:rsidRDefault="00A66D2D" w:rsidP="00A66D2D">
            <w:pPr>
              <w:pStyle w:val="ListBullet"/>
              <w:spacing w:after="0" w:line="240" w:lineRule="auto"/>
              <w:rPr>
                <w:rFonts w:cs="Arial"/>
              </w:rPr>
            </w:pPr>
            <w:r w:rsidRPr="00032874">
              <w:rPr>
                <w:rFonts w:cs="Arial"/>
                <w:b/>
              </w:rPr>
              <w:t>Coordination of regulatory policy, guidance and processes.</w:t>
            </w:r>
            <w:r w:rsidRPr="00032874">
              <w:rPr>
                <w:rFonts w:cs="Arial"/>
              </w:rPr>
              <w:t xml:space="preserve"> This </w:t>
            </w:r>
            <w:r>
              <w:rPr>
                <w:rFonts w:cs="Arial"/>
              </w:rPr>
              <w:t>Branch would</w:t>
            </w:r>
            <w:r w:rsidRPr="00032874">
              <w:rPr>
                <w:rFonts w:cs="Arial"/>
              </w:rPr>
              <w:t>:</w:t>
            </w:r>
          </w:p>
          <w:p w:rsidR="00A66D2D" w:rsidRPr="00032874" w:rsidRDefault="00A66D2D" w:rsidP="00A66D2D">
            <w:pPr>
              <w:pStyle w:val="ListBullet2"/>
              <w:spacing w:after="0" w:line="240" w:lineRule="auto"/>
              <w:rPr>
                <w:rFonts w:cs="Arial"/>
              </w:rPr>
            </w:pPr>
            <w:r w:rsidRPr="00032874">
              <w:rPr>
                <w:rFonts w:cs="Arial"/>
              </w:rPr>
              <w:t>develop a cohesive structure for policies, guidance material, templates and other business tools;</w:t>
            </w:r>
          </w:p>
          <w:p w:rsidR="00A66D2D" w:rsidRPr="00032874" w:rsidRDefault="00A66D2D" w:rsidP="00A66D2D">
            <w:pPr>
              <w:pStyle w:val="ListBullet2"/>
              <w:spacing w:after="0" w:line="240" w:lineRule="auto"/>
              <w:rPr>
                <w:rFonts w:cs="Arial"/>
              </w:rPr>
            </w:pPr>
            <w:r w:rsidRPr="00032874">
              <w:rPr>
                <w:rFonts w:cs="Arial"/>
              </w:rPr>
              <w:t>work with line areas, the General Counsel Branch and the Governance Branch</w:t>
            </w:r>
            <w:r>
              <w:rPr>
                <w:rFonts w:cs="Arial"/>
              </w:rPr>
              <w:t>,</w:t>
            </w:r>
            <w:r w:rsidRPr="00032874">
              <w:rPr>
                <w:rFonts w:cs="Arial"/>
              </w:rPr>
              <w:t xml:space="preserve"> to prioritise the creation, maintenance and review of user-focused policies, templates, standard operating procedures and other guidance material to support staff in their regulatory activities (see </w:t>
            </w:r>
            <w:r w:rsidRPr="00032874">
              <w:rPr>
                <w:rFonts w:cs="Arial"/>
                <w:i/>
              </w:rPr>
              <w:t>Recommendation 4.1 (Policies and Guidance Material</w:t>
            </w:r>
            <w:r w:rsidRPr="00032874">
              <w:rPr>
                <w:rFonts w:cs="Arial"/>
              </w:rPr>
              <w:t>).</w:t>
            </w:r>
          </w:p>
          <w:p w:rsidR="00A66D2D" w:rsidRPr="002E7E75" w:rsidRDefault="00A66D2D" w:rsidP="00A66D2D">
            <w:pPr>
              <w:pStyle w:val="ListBullet"/>
              <w:numPr>
                <w:ilvl w:val="0"/>
                <w:numId w:val="0"/>
              </w:numPr>
              <w:spacing w:after="0" w:line="240" w:lineRule="auto"/>
              <w:ind w:left="369"/>
              <w:rPr>
                <w:rFonts w:cs="Arial"/>
              </w:rPr>
            </w:pPr>
          </w:p>
          <w:p w:rsidR="00A66D2D" w:rsidRPr="00032874" w:rsidRDefault="00A66D2D" w:rsidP="00A66D2D">
            <w:pPr>
              <w:pStyle w:val="ListBullet"/>
              <w:spacing w:after="0" w:line="240" w:lineRule="auto"/>
              <w:rPr>
                <w:rFonts w:cs="Arial"/>
              </w:rPr>
            </w:pPr>
            <w:r w:rsidRPr="00032874">
              <w:rPr>
                <w:rFonts w:cs="Arial"/>
                <w:b/>
              </w:rPr>
              <w:t>Coordination of IT</w:t>
            </w:r>
            <w:r w:rsidRPr="00032874">
              <w:rPr>
                <w:rFonts w:cs="Arial"/>
              </w:rPr>
              <w:t xml:space="preserve">. This </w:t>
            </w:r>
            <w:r>
              <w:rPr>
                <w:rFonts w:cs="Arial"/>
              </w:rPr>
              <w:t>Branch</w:t>
            </w:r>
            <w:r w:rsidRPr="00032874">
              <w:rPr>
                <w:rFonts w:cs="Arial"/>
              </w:rPr>
              <w:t xml:space="preserve"> would provide a point of contact, and coordination of IT between </w:t>
            </w:r>
            <w:r>
              <w:rPr>
                <w:rFonts w:cs="Arial"/>
              </w:rPr>
              <w:t>EPG</w:t>
            </w:r>
            <w:r w:rsidRPr="00032874">
              <w:rPr>
                <w:rFonts w:cs="Arial"/>
              </w:rPr>
              <w:t xml:space="preserve"> and the IT Branch</w:t>
            </w:r>
            <w:r>
              <w:rPr>
                <w:rFonts w:cs="Arial"/>
              </w:rPr>
              <w:t>, but would not necessarily be responsible for managing or maintaining systems or databases</w:t>
            </w:r>
            <w:r w:rsidRPr="00032874">
              <w:rPr>
                <w:rFonts w:cs="Arial"/>
              </w:rPr>
              <w:t xml:space="preserve"> (see </w:t>
            </w:r>
            <w:r w:rsidRPr="00032874">
              <w:rPr>
                <w:rFonts w:cs="Arial"/>
                <w:i/>
              </w:rPr>
              <w:t>Recommendation 4.3 (Governance for IT Systems)</w:t>
            </w:r>
            <w:r w:rsidRPr="00032874">
              <w:rPr>
                <w:rFonts w:cs="Arial"/>
              </w:rPr>
              <w:t>).</w:t>
            </w:r>
          </w:p>
          <w:p w:rsidR="00A66D2D" w:rsidRDefault="00A66D2D" w:rsidP="00A66D2D">
            <w:pPr>
              <w:pStyle w:val="ListBullet"/>
              <w:numPr>
                <w:ilvl w:val="0"/>
                <w:numId w:val="0"/>
              </w:numPr>
              <w:spacing w:after="0" w:line="240" w:lineRule="auto"/>
              <w:ind w:left="369"/>
              <w:rPr>
                <w:rFonts w:cs="Arial"/>
              </w:rPr>
            </w:pPr>
          </w:p>
          <w:p w:rsidR="00A66D2D" w:rsidRPr="00032874" w:rsidRDefault="00A66D2D" w:rsidP="00A66D2D">
            <w:pPr>
              <w:pStyle w:val="ListBullet"/>
              <w:spacing w:after="0" w:line="240" w:lineRule="auto"/>
              <w:rPr>
                <w:rFonts w:cs="Arial"/>
              </w:rPr>
            </w:pPr>
            <w:r>
              <w:rPr>
                <w:rFonts w:cs="Arial"/>
                <w:b/>
              </w:rPr>
              <w:t xml:space="preserve">Coordination of </w:t>
            </w:r>
            <w:r w:rsidRPr="00032874">
              <w:rPr>
                <w:rFonts w:cs="Arial"/>
                <w:b/>
              </w:rPr>
              <w:t>delegations.</w:t>
            </w:r>
            <w:r w:rsidRPr="00032874">
              <w:rPr>
                <w:rFonts w:cs="Arial"/>
              </w:rPr>
              <w:t xml:space="preserve"> This </w:t>
            </w:r>
            <w:r>
              <w:rPr>
                <w:rFonts w:cs="Arial"/>
              </w:rPr>
              <w:t>Branch</w:t>
            </w:r>
            <w:r w:rsidRPr="00032874">
              <w:rPr>
                <w:rFonts w:cs="Arial"/>
              </w:rPr>
              <w:t xml:space="preserve"> would also develop guidance on how and when delegations should be exercised</w:t>
            </w:r>
            <w:r>
              <w:rPr>
                <w:rFonts w:cs="Arial"/>
              </w:rPr>
              <w:t>. A central register of delegations would also be managed by PAID</w:t>
            </w:r>
            <w:r w:rsidRPr="00032874">
              <w:rPr>
                <w:rFonts w:cs="Arial"/>
              </w:rPr>
              <w:t xml:space="preserve"> (see </w:t>
            </w:r>
            <w:r w:rsidRPr="00032874">
              <w:rPr>
                <w:rFonts w:cs="Arial"/>
                <w:i/>
              </w:rPr>
              <w:t>Recommendation 3.8 (Delegations and Accountability)</w:t>
            </w:r>
            <w:r w:rsidRPr="00032874">
              <w:rPr>
                <w:rFonts w:cs="Arial"/>
              </w:rPr>
              <w:t>)</w:t>
            </w:r>
            <w:r>
              <w:rPr>
                <w:rFonts w:cs="Arial"/>
              </w:rPr>
              <w:t>.</w:t>
            </w:r>
          </w:p>
          <w:p w:rsidR="00A66D2D" w:rsidRPr="00563C02" w:rsidRDefault="00A66D2D" w:rsidP="00A66D2D">
            <w:pPr>
              <w:pStyle w:val="ListBullet"/>
              <w:numPr>
                <w:ilvl w:val="0"/>
                <w:numId w:val="0"/>
              </w:numPr>
              <w:spacing w:after="0" w:line="240" w:lineRule="auto"/>
              <w:ind w:left="369"/>
              <w:rPr>
                <w:rFonts w:cs="Arial"/>
              </w:rPr>
            </w:pPr>
          </w:p>
          <w:p w:rsidR="00A66D2D" w:rsidRDefault="00A66D2D" w:rsidP="00A66D2D">
            <w:pPr>
              <w:pStyle w:val="ListBullet"/>
              <w:numPr>
                <w:ilvl w:val="0"/>
                <w:numId w:val="42"/>
              </w:numPr>
              <w:spacing w:after="0" w:line="240" w:lineRule="auto"/>
              <w:ind w:left="357" w:hanging="357"/>
              <w:rPr>
                <w:rFonts w:cs="Arial"/>
              </w:rPr>
            </w:pPr>
            <w:r w:rsidRPr="005A4278">
              <w:rPr>
                <w:rFonts w:cs="Arial"/>
                <w:b/>
              </w:rPr>
              <w:t>Coordination of risk management</w:t>
            </w:r>
            <w:r w:rsidRPr="009C3300">
              <w:rPr>
                <w:rFonts w:cs="Arial"/>
              </w:rPr>
              <w:t xml:space="preserve"> (see </w:t>
            </w:r>
            <w:r w:rsidRPr="009C3300">
              <w:rPr>
                <w:rFonts w:cs="Arial"/>
                <w:i/>
              </w:rPr>
              <w:t>Recommendation 5.1 (Risk Management Framework)</w:t>
            </w:r>
            <w:r w:rsidRPr="009C3300">
              <w:rPr>
                <w:rFonts w:cs="Arial"/>
              </w:rPr>
              <w:t>).</w:t>
            </w:r>
          </w:p>
          <w:p w:rsidR="00A66D2D" w:rsidRPr="009C3300" w:rsidRDefault="00A66D2D" w:rsidP="00A66D2D">
            <w:pPr>
              <w:pStyle w:val="ListBullet"/>
              <w:spacing w:after="0" w:line="240" w:lineRule="auto"/>
              <w:rPr>
                <w:rFonts w:cs="Arial"/>
              </w:rPr>
            </w:pPr>
            <w:r w:rsidRPr="002E7E75">
              <w:rPr>
                <w:rFonts w:cs="Arial"/>
                <w:b/>
              </w:rPr>
              <w:t>Coordination of engagement</w:t>
            </w:r>
            <w:r w:rsidRPr="009C3300">
              <w:rPr>
                <w:rFonts w:cs="Arial"/>
              </w:rPr>
              <w:t xml:space="preserve"> (see </w:t>
            </w:r>
            <w:r w:rsidRPr="009C3300">
              <w:rPr>
                <w:rFonts w:cs="Arial"/>
                <w:i/>
              </w:rPr>
              <w:t>Recommendation 6.6 (Speaking with a Single Voice)</w:t>
            </w:r>
            <w:r w:rsidRPr="009C3300">
              <w:rPr>
                <w:rFonts w:cs="Arial"/>
              </w:rPr>
              <w:t>).</w:t>
            </w:r>
          </w:p>
          <w:p w:rsidR="00A66D2D" w:rsidRPr="00563C02" w:rsidRDefault="00A66D2D" w:rsidP="00A66D2D">
            <w:pPr>
              <w:pStyle w:val="ListBullet"/>
              <w:numPr>
                <w:ilvl w:val="0"/>
                <w:numId w:val="0"/>
              </w:numPr>
              <w:spacing w:after="0" w:line="240" w:lineRule="auto"/>
              <w:ind w:left="369"/>
              <w:rPr>
                <w:rFonts w:cs="Arial"/>
              </w:rPr>
            </w:pPr>
          </w:p>
          <w:p w:rsidR="00A66D2D" w:rsidRPr="009C3300" w:rsidRDefault="00A66D2D" w:rsidP="00A66D2D">
            <w:pPr>
              <w:pStyle w:val="ListBullet"/>
              <w:spacing w:after="0" w:line="240" w:lineRule="auto"/>
              <w:rPr>
                <w:rFonts w:cs="Arial"/>
              </w:rPr>
            </w:pPr>
            <w:r w:rsidRPr="002E7E75">
              <w:rPr>
                <w:rFonts w:cs="Arial"/>
                <w:b/>
              </w:rPr>
              <w:t xml:space="preserve">Networking with other states and </w:t>
            </w:r>
            <w:r w:rsidRPr="00401573">
              <w:rPr>
                <w:rFonts w:cs="Arial"/>
                <w:b/>
              </w:rPr>
              <w:t>regulators about regulatory practice (</w:t>
            </w:r>
            <w:r w:rsidRPr="009C3300">
              <w:rPr>
                <w:rFonts w:cs="Arial"/>
              </w:rPr>
              <w:t xml:space="preserve">see </w:t>
            </w:r>
            <w:r w:rsidRPr="009C3300">
              <w:rPr>
                <w:rFonts w:cs="Arial"/>
                <w:i/>
              </w:rPr>
              <w:t>Recommendation 6.4 (Working with Other Regulators)</w:t>
            </w:r>
            <w:r w:rsidRPr="009C3300">
              <w:rPr>
                <w:rFonts w:cs="Arial"/>
              </w:rPr>
              <w:t>).</w:t>
            </w:r>
          </w:p>
          <w:p w:rsidR="00A66D2D" w:rsidRPr="00563C02" w:rsidRDefault="00A66D2D" w:rsidP="00A66D2D">
            <w:pPr>
              <w:pStyle w:val="ListBullet"/>
              <w:numPr>
                <w:ilvl w:val="0"/>
                <w:numId w:val="0"/>
              </w:numPr>
              <w:spacing w:after="0" w:line="240" w:lineRule="auto"/>
              <w:ind w:left="369"/>
              <w:rPr>
                <w:rFonts w:cs="Arial"/>
              </w:rPr>
            </w:pPr>
          </w:p>
          <w:p w:rsidR="00A66D2D" w:rsidRPr="009C3300" w:rsidRDefault="00A66D2D" w:rsidP="00A66D2D">
            <w:pPr>
              <w:pStyle w:val="ListBullet"/>
              <w:spacing w:after="0" w:line="240" w:lineRule="auto"/>
              <w:rPr>
                <w:rFonts w:cs="Arial"/>
              </w:rPr>
            </w:pPr>
            <w:r w:rsidRPr="002E7E75">
              <w:rPr>
                <w:rFonts w:cs="Arial"/>
                <w:b/>
              </w:rPr>
              <w:t xml:space="preserve">Coordination of staff </w:t>
            </w:r>
            <w:r>
              <w:rPr>
                <w:rFonts w:cs="Arial"/>
                <w:b/>
              </w:rPr>
              <w:t>secondments</w:t>
            </w:r>
            <w:r w:rsidRPr="009C3300">
              <w:rPr>
                <w:rFonts w:cs="Arial"/>
              </w:rPr>
              <w:t xml:space="preserve"> (see Recommendation 3.5 (Linkages</w:t>
            </w:r>
            <w:r w:rsidRPr="009C3300">
              <w:rPr>
                <w:rFonts w:cs="Arial"/>
                <w:i/>
              </w:rPr>
              <w:t>)</w:t>
            </w:r>
            <w:r w:rsidRPr="009C3300">
              <w:rPr>
                <w:rFonts w:cs="Arial"/>
              </w:rPr>
              <w:t>).</w:t>
            </w:r>
          </w:p>
          <w:p w:rsidR="00A66D2D" w:rsidRPr="00563C02" w:rsidRDefault="00A66D2D" w:rsidP="00A66D2D">
            <w:pPr>
              <w:pStyle w:val="ListBullet"/>
              <w:numPr>
                <w:ilvl w:val="0"/>
                <w:numId w:val="0"/>
              </w:numPr>
              <w:spacing w:after="0" w:line="240" w:lineRule="auto"/>
              <w:ind w:left="369"/>
              <w:rPr>
                <w:rFonts w:cs="Arial"/>
              </w:rPr>
            </w:pPr>
          </w:p>
          <w:p w:rsidR="00A66D2D" w:rsidRPr="009C3300" w:rsidRDefault="00A66D2D" w:rsidP="00A66D2D">
            <w:pPr>
              <w:pStyle w:val="ListBullet"/>
              <w:numPr>
                <w:ilvl w:val="0"/>
                <w:numId w:val="41"/>
              </w:numPr>
              <w:spacing w:after="0" w:line="240" w:lineRule="auto"/>
              <w:ind w:left="369" w:hanging="369"/>
              <w:rPr>
                <w:rFonts w:cs="Arial"/>
              </w:rPr>
            </w:pPr>
            <w:r w:rsidRPr="005A4278">
              <w:rPr>
                <w:rFonts w:cs="Arial"/>
                <w:b/>
              </w:rPr>
              <w:t>Coordination of performance monitoring and reporting</w:t>
            </w:r>
            <w:r w:rsidRPr="009C3300">
              <w:rPr>
                <w:rFonts w:cs="Arial"/>
              </w:rPr>
              <w:t xml:space="preserve"> (see </w:t>
            </w:r>
            <w:r w:rsidRPr="009C3300">
              <w:rPr>
                <w:rFonts w:cs="Arial"/>
                <w:i/>
              </w:rPr>
              <w:t>Recommendation 1.2 (Performance Monitoring and Communication)</w:t>
            </w:r>
            <w:r w:rsidRPr="009C3300">
              <w:rPr>
                <w:rFonts w:cs="Arial"/>
              </w:rPr>
              <w:t>).</w:t>
            </w:r>
          </w:p>
          <w:p w:rsidR="00A66D2D" w:rsidRPr="002E7E75" w:rsidRDefault="00A66D2D" w:rsidP="00A66D2D">
            <w:pPr>
              <w:pStyle w:val="ListBullet"/>
              <w:numPr>
                <w:ilvl w:val="0"/>
                <w:numId w:val="0"/>
              </w:numPr>
              <w:spacing w:after="0" w:line="240" w:lineRule="auto"/>
              <w:ind w:left="369"/>
              <w:rPr>
                <w:rFonts w:cs="Arial"/>
              </w:rPr>
            </w:pPr>
          </w:p>
          <w:p w:rsidR="00A66D2D" w:rsidRDefault="00A66D2D" w:rsidP="00A66D2D">
            <w:pPr>
              <w:pStyle w:val="ListBullet"/>
              <w:numPr>
                <w:ilvl w:val="0"/>
                <w:numId w:val="40"/>
              </w:numPr>
              <w:spacing w:after="0" w:line="240" w:lineRule="auto"/>
              <w:ind w:left="369" w:hanging="369"/>
              <w:rPr>
                <w:rFonts w:cs="Arial"/>
              </w:rPr>
            </w:pPr>
            <w:r w:rsidRPr="002E7E75">
              <w:rPr>
                <w:rFonts w:cs="Arial"/>
                <w:b/>
              </w:rPr>
              <w:t>Innovation and continuous improvement practices</w:t>
            </w:r>
            <w:r w:rsidRPr="009C3300">
              <w:rPr>
                <w:rFonts w:cs="Arial"/>
              </w:rPr>
              <w:t xml:space="preserve"> (see </w:t>
            </w:r>
            <w:r w:rsidRPr="009C3300">
              <w:rPr>
                <w:rFonts w:cs="Arial"/>
                <w:i/>
              </w:rPr>
              <w:t>Recommendation 1.4 (Continuous Improvement)</w:t>
            </w:r>
            <w:r w:rsidRPr="009C3300">
              <w:rPr>
                <w:rFonts w:cs="Arial"/>
              </w:rPr>
              <w:t xml:space="preserve"> and </w:t>
            </w:r>
            <w:r w:rsidRPr="009C3300">
              <w:rPr>
                <w:rFonts w:cs="Arial"/>
                <w:i/>
              </w:rPr>
              <w:t>Recommendation 3.7 (Innovation)</w:t>
            </w:r>
            <w:r w:rsidRPr="009C3300">
              <w:rPr>
                <w:rFonts w:cs="Arial"/>
              </w:rPr>
              <w:t>).</w:t>
            </w:r>
          </w:p>
          <w:p w:rsidR="00A66D2D" w:rsidRDefault="00A66D2D" w:rsidP="00A66D2D">
            <w:pPr>
              <w:pStyle w:val="ListBullet"/>
              <w:numPr>
                <w:ilvl w:val="0"/>
                <w:numId w:val="0"/>
              </w:numPr>
              <w:spacing w:after="0" w:line="240" w:lineRule="auto"/>
              <w:ind w:left="369"/>
              <w:rPr>
                <w:rFonts w:cs="Arial"/>
              </w:rPr>
            </w:pPr>
          </w:p>
          <w:p w:rsidR="00A66D2D" w:rsidRDefault="00A66D2D" w:rsidP="00A66D2D">
            <w:pPr>
              <w:pStyle w:val="ListBullet"/>
              <w:numPr>
                <w:ilvl w:val="0"/>
                <w:numId w:val="40"/>
              </w:numPr>
              <w:spacing w:after="0" w:line="240" w:lineRule="auto"/>
              <w:ind w:left="369" w:hanging="369"/>
              <w:rPr>
                <w:rFonts w:cs="Arial"/>
                <w:b/>
              </w:rPr>
            </w:pPr>
            <w:r>
              <w:rPr>
                <w:rFonts w:cs="Arial"/>
                <w:b/>
              </w:rPr>
              <w:t>Coordination of the implementation of the recommendations in this Report.</w:t>
            </w:r>
          </w:p>
          <w:p w:rsidR="006740FB" w:rsidRPr="00D3155D" w:rsidRDefault="006740FB" w:rsidP="00A66D2D">
            <w:pPr>
              <w:pStyle w:val="ListBullet"/>
              <w:numPr>
                <w:ilvl w:val="0"/>
                <w:numId w:val="0"/>
              </w:numPr>
              <w:spacing w:after="0" w:line="240" w:lineRule="auto"/>
              <w:ind w:left="369"/>
              <w:rPr>
                <w:rFonts w:cs="Arial"/>
              </w:rPr>
            </w:pPr>
          </w:p>
        </w:tc>
      </w:tr>
    </w:tbl>
    <w:p w:rsidR="00AD5A35" w:rsidRPr="00EA42D5" w:rsidRDefault="00AD5A35" w:rsidP="00EA42D5">
      <w:pPr>
        <w:pStyle w:val="Heading1"/>
        <w:spacing w:after="120"/>
        <w:rPr>
          <w:caps w:val="0"/>
          <w:color w:val="0B5294" w:themeColor="accent1" w:themeShade="BF"/>
          <w:sz w:val="24"/>
          <w:szCs w:val="24"/>
        </w:rPr>
      </w:pPr>
      <w:bookmarkStart w:id="46" w:name="_Toc443405177"/>
      <w:r w:rsidRPr="00EA42D5">
        <w:rPr>
          <w:caps w:val="0"/>
          <w:color w:val="0B5294" w:themeColor="accent1" w:themeShade="BF"/>
          <w:sz w:val="24"/>
          <w:szCs w:val="24"/>
        </w:rPr>
        <w:lastRenderedPageBreak/>
        <w:t>Compliance functions</w:t>
      </w:r>
      <w:bookmarkEnd w:id="46"/>
    </w:p>
    <w:p w:rsidR="00AD5A35" w:rsidRDefault="00AD5A35" w:rsidP="00AD5A35">
      <w:pPr>
        <w:pStyle w:val="ListBullet"/>
        <w:numPr>
          <w:ilvl w:val="0"/>
          <w:numId w:val="0"/>
        </w:numPr>
        <w:rPr>
          <w:rFonts w:cs="Arial"/>
        </w:rPr>
      </w:pPr>
      <w:r>
        <w:rPr>
          <w:rFonts w:cs="Arial"/>
        </w:rPr>
        <w:t>Over recent years, the Department</w:t>
      </w:r>
      <w:r w:rsidR="0067590B">
        <w:rPr>
          <w:rFonts w:cs="Arial"/>
        </w:rPr>
        <w:t xml:space="preserve"> has made considerable effort to improve the maturity of its compliance and enforcement </w:t>
      </w:r>
      <w:r w:rsidR="009C777B">
        <w:rPr>
          <w:rFonts w:cs="Arial"/>
        </w:rPr>
        <w:t xml:space="preserve">functions, following a number of </w:t>
      </w:r>
      <w:r>
        <w:rPr>
          <w:rFonts w:cs="Arial"/>
        </w:rPr>
        <w:t>internal and external reviews and audits</w:t>
      </w:r>
      <w:r w:rsidR="009C777B">
        <w:rPr>
          <w:rFonts w:cs="Arial"/>
        </w:rPr>
        <w:t>. However, t</w:t>
      </w:r>
      <w:r w:rsidR="009C777B" w:rsidRPr="000D71F6">
        <w:rPr>
          <w:rFonts w:cs="Arial"/>
        </w:rPr>
        <w:t xml:space="preserve">he </w:t>
      </w:r>
      <w:r>
        <w:rPr>
          <w:rFonts w:cs="Arial"/>
        </w:rPr>
        <w:t>Project</w:t>
      </w:r>
      <w:r w:rsidRPr="000D71F6">
        <w:rPr>
          <w:rFonts w:cs="Arial"/>
        </w:rPr>
        <w:t xml:space="preserve"> found th</w:t>
      </w:r>
      <w:r>
        <w:rPr>
          <w:rFonts w:cs="Arial"/>
        </w:rPr>
        <w:t xml:space="preserve">at some </w:t>
      </w:r>
      <w:r w:rsidR="009C777B">
        <w:rPr>
          <w:rFonts w:cs="Arial"/>
        </w:rPr>
        <w:t xml:space="preserve">of </w:t>
      </w:r>
      <w:r w:rsidRPr="000D71F6">
        <w:rPr>
          <w:rFonts w:cs="Arial"/>
        </w:rPr>
        <w:t>EPG</w:t>
      </w:r>
      <w:r w:rsidR="009C777B">
        <w:rPr>
          <w:rFonts w:cs="Arial"/>
        </w:rPr>
        <w:t>’s compliance areas</w:t>
      </w:r>
      <w:r w:rsidRPr="000D71F6">
        <w:rPr>
          <w:rFonts w:cs="Arial"/>
        </w:rPr>
        <w:t xml:space="preserve"> are not adequately supported to fulfil their functions</w:t>
      </w:r>
      <w:r>
        <w:rPr>
          <w:rFonts w:cs="Arial"/>
        </w:rPr>
        <w:t xml:space="preserve">, and the scattered locations of these areas has resulted in </w:t>
      </w:r>
      <w:r w:rsidR="009C777B">
        <w:rPr>
          <w:rFonts w:cs="Arial"/>
        </w:rPr>
        <w:t xml:space="preserve">inconsistent approaches to compliance and enforcement </w:t>
      </w:r>
      <w:r>
        <w:rPr>
          <w:rFonts w:cs="Arial"/>
        </w:rPr>
        <w:t xml:space="preserve">across </w:t>
      </w:r>
      <w:r w:rsidRPr="000D71F6">
        <w:rPr>
          <w:rFonts w:cs="Arial"/>
        </w:rPr>
        <w:t xml:space="preserve">EPG. </w:t>
      </w:r>
    </w:p>
    <w:p w:rsidR="00AD5A35" w:rsidRPr="00E26792" w:rsidRDefault="00AD5A35" w:rsidP="00AD5A35">
      <w:pPr>
        <w:pStyle w:val="ListBullet"/>
        <w:numPr>
          <w:ilvl w:val="0"/>
          <w:numId w:val="0"/>
        </w:numPr>
        <w:rPr>
          <w:rFonts w:cs="Arial"/>
        </w:rPr>
      </w:pPr>
      <w:r w:rsidRPr="00E26792">
        <w:rPr>
          <w:rFonts w:cs="Arial"/>
        </w:rPr>
        <w:t>The Department is considering establishing an Office of Compliance and Enforcement with direct reporting lines to the Deputy Secretary</w:t>
      </w:r>
      <w:r w:rsidR="009C777B">
        <w:rPr>
          <w:rFonts w:cs="Arial"/>
        </w:rPr>
        <w:t xml:space="preserve"> </w:t>
      </w:r>
      <w:r w:rsidR="00CF3808">
        <w:rPr>
          <w:rFonts w:cs="Arial"/>
        </w:rPr>
        <w:t>responsible for</w:t>
      </w:r>
      <w:r w:rsidR="009C777B">
        <w:rPr>
          <w:rFonts w:cs="Arial"/>
        </w:rPr>
        <w:t xml:space="preserve"> EPG,</w:t>
      </w:r>
      <w:r w:rsidRPr="00E26792">
        <w:rPr>
          <w:rFonts w:cs="Arial"/>
        </w:rPr>
        <w:t xml:space="preserve"> by transferring most</w:t>
      </w:r>
      <w:r w:rsidR="009C777B">
        <w:rPr>
          <w:rFonts w:cs="Arial"/>
        </w:rPr>
        <w:t xml:space="preserve"> of EPG’s</w:t>
      </w:r>
      <w:r w:rsidRPr="00E26792">
        <w:rPr>
          <w:rFonts w:cs="Arial"/>
        </w:rPr>
        <w:t xml:space="preserve"> compliance and enforcement functions</w:t>
      </w:r>
      <w:r w:rsidR="009C777B">
        <w:rPr>
          <w:rFonts w:cs="Arial"/>
        </w:rPr>
        <w:t xml:space="preserve"> to this Office</w:t>
      </w:r>
      <w:r w:rsidRPr="00E26792">
        <w:rPr>
          <w:rFonts w:cs="Arial"/>
        </w:rPr>
        <w:t>. This would enable a more integrated and strategic approach to compliance and enforcement. However</w:t>
      </w:r>
      <w:r w:rsidR="009C777B">
        <w:rPr>
          <w:rFonts w:cs="Arial"/>
        </w:rPr>
        <w:t>,</w:t>
      </w:r>
      <w:r w:rsidRPr="00E26792">
        <w:rPr>
          <w:rFonts w:cs="Arial"/>
        </w:rPr>
        <w:t xml:space="preserve"> it could widen the gap between assessments and compliance and enforcement, resulting in less focus on assisting the regulated community to avoid breaches </w:t>
      </w:r>
      <w:r w:rsidRPr="00954196">
        <w:rPr>
          <w:rFonts w:cs="Arial"/>
        </w:rPr>
        <w:t xml:space="preserve">(see </w:t>
      </w:r>
      <w:r w:rsidR="00954196" w:rsidRPr="00954196">
        <w:rPr>
          <w:rFonts w:cs="Arial"/>
        </w:rPr>
        <w:t xml:space="preserve">the </w:t>
      </w:r>
      <w:r w:rsidR="00954196" w:rsidRPr="00954196">
        <w:rPr>
          <w:rFonts w:cs="Arial"/>
          <w:i/>
        </w:rPr>
        <w:t xml:space="preserve">Making it easier to comply through consistent and proactive stakeholder engagement </w:t>
      </w:r>
      <w:r w:rsidR="00954196" w:rsidRPr="00954196">
        <w:rPr>
          <w:rFonts w:cs="Arial"/>
        </w:rPr>
        <w:t>section in Chapter 2).</w:t>
      </w:r>
    </w:p>
    <w:p w:rsidR="00CD6C7A" w:rsidRDefault="00AD5A35">
      <w:pPr>
        <w:pStyle w:val="ListBullet"/>
        <w:numPr>
          <w:ilvl w:val="0"/>
          <w:numId w:val="0"/>
        </w:numPr>
        <w:spacing w:before="240"/>
        <w:rPr>
          <w:rFonts w:cs="Arial"/>
        </w:rPr>
      </w:pPr>
      <w:r w:rsidRPr="00E26792">
        <w:rPr>
          <w:rFonts w:cs="Arial"/>
        </w:rPr>
        <w:t xml:space="preserve">On balance, the Project supports the </w:t>
      </w:r>
      <w:r w:rsidR="009C777B">
        <w:rPr>
          <w:rFonts w:cs="Arial"/>
        </w:rPr>
        <w:t xml:space="preserve">proposed </w:t>
      </w:r>
      <w:r w:rsidRPr="00E26792">
        <w:rPr>
          <w:rFonts w:cs="Arial"/>
        </w:rPr>
        <w:t>establishment of the Office of Compliance and Enforcement, but notes that additional effort will be necessary to establish and maintain important linkages with all other relevant regulatory areas in ESD and WHaM.</w:t>
      </w:r>
      <w:r w:rsidR="00DB5ECA">
        <w:rPr>
          <w:rFonts w:cs="Arial"/>
        </w:rPr>
        <w:t xml:space="preserve"> The establishment of the proposed Regulatory Reform and Support Branch should provide some assistance with this (see </w:t>
      </w:r>
      <w:r w:rsidR="00DB5ECA">
        <w:rPr>
          <w:rFonts w:cs="Arial"/>
          <w:i/>
        </w:rPr>
        <w:t xml:space="preserve">Recommendation 3.3 (Centralised support) </w:t>
      </w:r>
      <w:r w:rsidR="00DB5ECA">
        <w:rPr>
          <w:rFonts w:cs="Arial"/>
        </w:rPr>
        <w:t xml:space="preserve">and </w:t>
      </w:r>
      <w:r w:rsidR="00DB5ECA">
        <w:rPr>
          <w:rFonts w:cs="Arial"/>
          <w:i/>
        </w:rPr>
        <w:t>Recommendation 3.5 (Linkages)</w:t>
      </w:r>
      <w:r w:rsidR="00DB5ECA">
        <w:rPr>
          <w:rFonts w:cs="Arial"/>
        </w:rPr>
        <w:t>).</w:t>
      </w:r>
    </w:p>
    <w:p w:rsidR="00AD5A35" w:rsidRDefault="00AD5A35" w:rsidP="00AD5A35">
      <w:pPr>
        <w:pStyle w:val="ListBullet"/>
        <w:numPr>
          <w:ilvl w:val="0"/>
          <w:numId w:val="0"/>
        </w:numPr>
        <w:rPr>
          <w:rFonts w:cs="Arial"/>
        </w:rPr>
      </w:pPr>
      <w:r w:rsidRPr="00E26792">
        <w:rPr>
          <w:rFonts w:cs="Arial"/>
        </w:rPr>
        <w:t xml:space="preserve">Prior to consolidating </w:t>
      </w:r>
      <w:r w:rsidR="009C777B">
        <w:rPr>
          <w:rFonts w:cs="Arial"/>
        </w:rPr>
        <w:t>compliance and enforcement functions</w:t>
      </w:r>
      <w:r w:rsidRPr="00E26792">
        <w:rPr>
          <w:rFonts w:cs="Arial"/>
        </w:rPr>
        <w:t>, EPG should form working groups for each affected regulatory scheme, to identify the current approach and limitations for compliance, the best approach going forward, and an appropriate split of responsibilities. For example</w:t>
      </w:r>
      <w:r>
        <w:rPr>
          <w:rFonts w:cs="Arial"/>
        </w:rPr>
        <w:t>;</w:t>
      </w:r>
      <w:r w:rsidRPr="00E26792">
        <w:rPr>
          <w:rFonts w:cs="Arial"/>
        </w:rPr>
        <w:t xml:space="preserve"> because the product stewardship team is relatively new, compliance activities have focussed on improving voluntary compliance through information and assistance. Prior to moving these functions into the </w:t>
      </w:r>
      <w:r w:rsidR="009C777B">
        <w:rPr>
          <w:rFonts w:cs="Arial"/>
        </w:rPr>
        <w:t>Office of Compliance and Enforcement</w:t>
      </w:r>
      <w:r w:rsidRPr="00E26792">
        <w:rPr>
          <w:rFonts w:cs="Arial"/>
        </w:rPr>
        <w:t xml:space="preserve">, a working group of policy officers and compliance officers should identify when and how that approach should transition into using enforcement rather than </w:t>
      </w:r>
      <w:r w:rsidR="006A5A65">
        <w:rPr>
          <w:rFonts w:cs="Arial"/>
        </w:rPr>
        <w:t xml:space="preserve">information and assistance </w:t>
      </w:r>
      <w:r w:rsidRPr="00E26792">
        <w:rPr>
          <w:rFonts w:cs="Arial"/>
        </w:rPr>
        <w:t xml:space="preserve">tools. They should also establish a clear understanding of the respective responsibilities for </w:t>
      </w:r>
      <w:r w:rsidR="006A5A65">
        <w:rPr>
          <w:rFonts w:cs="Arial"/>
        </w:rPr>
        <w:t>information and assistance</w:t>
      </w:r>
      <w:r w:rsidR="006A5A65" w:rsidRPr="00E26792">
        <w:rPr>
          <w:rFonts w:cs="Arial"/>
        </w:rPr>
        <w:t xml:space="preserve"> </w:t>
      </w:r>
      <w:r w:rsidRPr="00E26792">
        <w:rPr>
          <w:rFonts w:cs="Arial"/>
        </w:rPr>
        <w:t xml:space="preserve">functions between the two </w:t>
      </w:r>
      <w:r w:rsidR="009C777B">
        <w:rPr>
          <w:rFonts w:cs="Arial"/>
        </w:rPr>
        <w:t>work areas</w:t>
      </w:r>
      <w:r w:rsidRPr="00E26792">
        <w:rPr>
          <w:rFonts w:cs="Arial"/>
        </w:rPr>
        <w:t>.</w:t>
      </w:r>
    </w:p>
    <w:p w:rsidR="00607573" w:rsidRPr="00E26792" w:rsidRDefault="00607573" w:rsidP="00AD5A35">
      <w:pPr>
        <w:pStyle w:val="ListBullet"/>
        <w:numPr>
          <w:ilvl w:val="0"/>
          <w:numId w:val="0"/>
        </w:numPr>
        <w:rPr>
          <w:rFonts w:cs="Arial"/>
        </w:rPr>
      </w:pPr>
      <w:r>
        <w:rPr>
          <w:rFonts w:cs="Arial"/>
        </w:rPr>
        <w:t>The Department may wish to consider transferring other compliance functions from across the Department into the new Office.</w:t>
      </w:r>
    </w:p>
    <w:tbl>
      <w:tblPr>
        <w:tblStyle w:val="TableGrid"/>
        <w:tblW w:w="0" w:type="auto"/>
        <w:tblLook w:val="04A0" w:firstRow="1" w:lastRow="0" w:firstColumn="1" w:lastColumn="0" w:noHBand="0" w:noVBand="1"/>
      </w:tblPr>
      <w:tblGrid>
        <w:gridCol w:w="9212"/>
      </w:tblGrid>
      <w:tr w:rsidR="00AD5A35" w:rsidTr="00F425C2">
        <w:trPr>
          <w:cnfStyle w:val="100000000000" w:firstRow="1" w:lastRow="0" w:firstColumn="0" w:lastColumn="0" w:oddVBand="0" w:evenVBand="0" w:oddHBand="0" w:evenHBand="0" w:firstRowFirstColumn="0" w:firstRowLastColumn="0" w:lastRowFirstColumn="0" w:lastRowLastColumn="0"/>
        </w:trPr>
        <w:tc>
          <w:tcPr>
            <w:tcW w:w="9428" w:type="dxa"/>
            <w:tcBorders>
              <w:top w:val="nil"/>
              <w:left w:val="nil"/>
              <w:bottom w:val="nil"/>
              <w:right w:val="nil"/>
            </w:tcBorders>
            <w:shd w:val="clear" w:color="auto" w:fill="C7E2FA" w:themeFill="accent1" w:themeFillTint="33"/>
          </w:tcPr>
          <w:p w:rsidR="00AD5A35" w:rsidRPr="007C08DC" w:rsidRDefault="00AD5A35" w:rsidP="00EA42D5">
            <w:pPr>
              <w:pStyle w:val="ListBullet"/>
              <w:numPr>
                <w:ilvl w:val="0"/>
                <w:numId w:val="0"/>
              </w:numPr>
              <w:spacing w:before="240"/>
              <w:rPr>
                <w:rFonts w:cs="Arial"/>
                <w:b/>
              </w:rPr>
            </w:pPr>
            <w:r w:rsidRPr="007C08DC">
              <w:rPr>
                <w:rFonts w:cs="Arial"/>
                <w:b/>
              </w:rPr>
              <w:t xml:space="preserve">Recommendation </w:t>
            </w:r>
            <w:r w:rsidR="00D3155D">
              <w:rPr>
                <w:rFonts w:cs="Arial"/>
                <w:b/>
              </w:rPr>
              <w:t>3</w:t>
            </w:r>
            <w:r w:rsidRPr="007C08DC">
              <w:rPr>
                <w:rFonts w:cs="Arial"/>
                <w:b/>
              </w:rPr>
              <w:t>.</w:t>
            </w:r>
            <w:r>
              <w:rPr>
                <w:rFonts w:cs="Arial"/>
                <w:b/>
              </w:rPr>
              <w:t>4</w:t>
            </w:r>
            <w:r w:rsidRPr="007C08DC">
              <w:rPr>
                <w:rFonts w:cs="Arial"/>
                <w:b/>
              </w:rPr>
              <w:t xml:space="preserve"> (Compliance functions)</w:t>
            </w:r>
          </w:p>
          <w:p w:rsidR="00AD5A35" w:rsidRDefault="00AD5A35" w:rsidP="00AD5A35">
            <w:pPr>
              <w:pStyle w:val="ListBullet"/>
              <w:numPr>
                <w:ilvl w:val="0"/>
                <w:numId w:val="0"/>
              </w:numPr>
              <w:rPr>
                <w:rFonts w:cs="Arial"/>
              </w:rPr>
            </w:pPr>
            <w:r w:rsidRPr="00D3155D">
              <w:rPr>
                <w:rFonts w:cs="Arial"/>
                <w:i/>
              </w:rPr>
              <w:t>Importance:</w:t>
            </w:r>
            <w:r>
              <w:rPr>
                <w:rFonts w:cs="Arial"/>
              </w:rPr>
              <w:t xml:space="preserve"> 2</w:t>
            </w:r>
          </w:p>
          <w:p w:rsidR="00AD5A35" w:rsidRDefault="00AD5A35" w:rsidP="00AD5A35">
            <w:pPr>
              <w:pStyle w:val="ListBullet"/>
              <w:numPr>
                <w:ilvl w:val="0"/>
                <w:numId w:val="0"/>
              </w:numPr>
              <w:rPr>
                <w:rFonts w:cs="Arial"/>
              </w:rPr>
            </w:pPr>
            <w:r w:rsidRPr="00D3155D">
              <w:rPr>
                <w:rFonts w:cs="Arial"/>
                <w:i/>
              </w:rPr>
              <w:t>Timing:</w:t>
            </w:r>
            <w:r>
              <w:rPr>
                <w:rFonts w:cs="Arial"/>
              </w:rPr>
              <w:t xml:space="preserve"> 1</w:t>
            </w:r>
          </w:p>
          <w:p w:rsidR="00AD5A35" w:rsidRDefault="00AD5A35" w:rsidP="00AD5A35">
            <w:pPr>
              <w:rPr>
                <w:rFonts w:cs="Arial"/>
              </w:rPr>
            </w:pPr>
            <w:r w:rsidRPr="007C08DC">
              <w:rPr>
                <w:rFonts w:cs="Arial"/>
              </w:rPr>
              <w:t xml:space="preserve">EPG should proceed with the establishment of the Office of Compliance and Enforcement, which should include </w:t>
            </w:r>
            <w:r w:rsidR="00B02961">
              <w:rPr>
                <w:rFonts w:cs="Arial"/>
              </w:rPr>
              <w:t>all of EPG’s compliance functions</w:t>
            </w:r>
            <w:r>
              <w:rPr>
                <w:rFonts w:cs="Arial"/>
              </w:rPr>
              <w:t xml:space="preserve">. </w:t>
            </w:r>
          </w:p>
          <w:p w:rsidR="00AD5A35" w:rsidRPr="007C08DC" w:rsidRDefault="00AD5A35" w:rsidP="00AD5A35">
            <w:pPr>
              <w:rPr>
                <w:rFonts w:cs="Arial"/>
              </w:rPr>
            </w:pPr>
            <w:r>
              <w:rPr>
                <w:rFonts w:cs="Arial"/>
              </w:rPr>
              <w:t>Prior to consolidation</w:t>
            </w:r>
            <w:r w:rsidR="00B02961">
              <w:rPr>
                <w:rFonts w:cs="Arial"/>
              </w:rPr>
              <w:t>,</w:t>
            </w:r>
            <w:r>
              <w:rPr>
                <w:rFonts w:cs="Arial"/>
              </w:rPr>
              <w:t xml:space="preserve"> EPG should use working groups to develop a clear understanding</w:t>
            </w:r>
            <w:r w:rsidR="00B02961">
              <w:rPr>
                <w:rFonts w:cs="Arial"/>
              </w:rPr>
              <w:t xml:space="preserve"> of</w:t>
            </w:r>
            <w:r>
              <w:rPr>
                <w:rFonts w:cs="Arial"/>
              </w:rPr>
              <w:t xml:space="preserve"> the appropriate compliance approach for each scheme and the </w:t>
            </w:r>
            <w:r w:rsidR="00B02961">
              <w:rPr>
                <w:rFonts w:cs="Arial"/>
              </w:rPr>
              <w:t xml:space="preserve">division </w:t>
            </w:r>
            <w:r>
              <w:rPr>
                <w:rFonts w:cs="Arial"/>
              </w:rPr>
              <w:t xml:space="preserve">of </w:t>
            </w:r>
            <w:r w:rsidR="006A5A65">
              <w:rPr>
                <w:rFonts w:cs="Arial"/>
              </w:rPr>
              <w:t xml:space="preserve">information and assistance activities, </w:t>
            </w:r>
            <w:r>
              <w:rPr>
                <w:rFonts w:cs="Arial"/>
              </w:rPr>
              <w:t xml:space="preserve">and compliance activities between the subject matter area and the </w:t>
            </w:r>
            <w:r w:rsidR="00B02961">
              <w:rPr>
                <w:rFonts w:cs="Arial"/>
              </w:rPr>
              <w:t>Office of Compliance and Enforcement</w:t>
            </w:r>
            <w:r>
              <w:rPr>
                <w:rFonts w:cs="Arial"/>
              </w:rPr>
              <w:t>.</w:t>
            </w:r>
          </w:p>
          <w:p w:rsidR="00AD5A35" w:rsidRPr="00954196" w:rsidRDefault="00AD5A35" w:rsidP="00B02961">
            <w:pPr>
              <w:contextualSpacing/>
              <w:rPr>
                <w:rFonts w:cs="Arial"/>
              </w:rPr>
            </w:pPr>
            <w:r w:rsidRPr="007C08DC">
              <w:rPr>
                <w:rFonts w:cs="Arial"/>
              </w:rPr>
              <w:t xml:space="preserve">EPG should develop formal and informal mechanisms to maintain linkages between subject matter areas (such as wildlife trade) and the </w:t>
            </w:r>
            <w:r w:rsidR="00B02961">
              <w:rPr>
                <w:rFonts w:cs="Arial"/>
              </w:rPr>
              <w:t>Office of Compliance and Enforcement</w:t>
            </w:r>
            <w:r w:rsidRPr="007C08DC">
              <w:rPr>
                <w:rFonts w:cs="Arial"/>
              </w:rPr>
              <w:t xml:space="preserve">. This </w:t>
            </w:r>
            <w:r w:rsidRPr="007C08DC">
              <w:rPr>
                <w:rFonts w:cs="Arial"/>
              </w:rPr>
              <w:lastRenderedPageBreak/>
              <w:t>should be done prior to implementation of this structural change.</w:t>
            </w:r>
            <w:r>
              <w:rPr>
                <w:rFonts w:cs="Arial"/>
              </w:rPr>
              <w:t xml:space="preserve"> For recommendations on how these linkages can be established and maintained, see </w:t>
            </w:r>
            <w:r w:rsidR="00954196">
              <w:rPr>
                <w:rFonts w:cs="Arial"/>
                <w:i/>
              </w:rPr>
              <w:t>Recommendation 3.5 (Linkages)</w:t>
            </w:r>
            <w:r w:rsidR="00954196">
              <w:rPr>
                <w:rFonts w:cs="Arial"/>
              </w:rPr>
              <w:t>.</w:t>
            </w:r>
          </w:p>
        </w:tc>
      </w:tr>
    </w:tbl>
    <w:p w:rsidR="00776A29" w:rsidRDefault="00776A29" w:rsidP="00EA42D5">
      <w:pPr>
        <w:pStyle w:val="Heading1"/>
        <w:spacing w:after="120"/>
        <w:rPr>
          <w:caps w:val="0"/>
          <w:color w:val="0B5294" w:themeColor="accent1" w:themeShade="BF"/>
          <w:sz w:val="24"/>
          <w:szCs w:val="24"/>
        </w:rPr>
      </w:pPr>
      <w:bookmarkStart w:id="47" w:name="_Toc443405178"/>
    </w:p>
    <w:p w:rsidR="00AD5A35" w:rsidRPr="00EA42D5" w:rsidRDefault="00AD5A35" w:rsidP="00EA42D5">
      <w:pPr>
        <w:pStyle w:val="Heading1"/>
        <w:spacing w:after="120"/>
        <w:rPr>
          <w:caps w:val="0"/>
          <w:color w:val="0B5294" w:themeColor="accent1" w:themeShade="BF"/>
          <w:sz w:val="24"/>
          <w:szCs w:val="24"/>
        </w:rPr>
      </w:pPr>
      <w:r w:rsidRPr="00EA42D5">
        <w:rPr>
          <w:caps w:val="0"/>
          <w:color w:val="0B5294" w:themeColor="accent1" w:themeShade="BF"/>
          <w:sz w:val="24"/>
          <w:szCs w:val="24"/>
        </w:rPr>
        <w:t>Linkages</w:t>
      </w:r>
      <w:bookmarkEnd w:id="47"/>
    </w:p>
    <w:p w:rsidR="00AD5A35" w:rsidRDefault="00AD5A35" w:rsidP="00AD5A35">
      <w:pPr>
        <w:pStyle w:val="ListBullet"/>
        <w:numPr>
          <w:ilvl w:val="0"/>
          <w:numId w:val="0"/>
        </w:numPr>
        <w:rPr>
          <w:rFonts w:cs="Arial"/>
        </w:rPr>
      </w:pPr>
      <w:r w:rsidRPr="00B9575D">
        <w:rPr>
          <w:rFonts w:cs="Arial"/>
        </w:rPr>
        <w:t>Currently, there a</w:t>
      </w:r>
      <w:r>
        <w:rPr>
          <w:rFonts w:cs="Arial"/>
        </w:rPr>
        <w:t xml:space="preserve">re a number of silos within </w:t>
      </w:r>
      <w:r w:rsidRPr="00B9575D">
        <w:rPr>
          <w:rFonts w:cs="Arial"/>
        </w:rPr>
        <w:t xml:space="preserve">EPG and a feeling </w:t>
      </w:r>
      <w:r>
        <w:rPr>
          <w:rFonts w:cs="Arial"/>
        </w:rPr>
        <w:t xml:space="preserve">from staff </w:t>
      </w:r>
      <w:r w:rsidRPr="00B9575D">
        <w:rPr>
          <w:rFonts w:cs="Arial"/>
        </w:rPr>
        <w:t xml:space="preserve">that areas </w:t>
      </w:r>
      <w:r>
        <w:rPr>
          <w:rFonts w:cs="Arial"/>
        </w:rPr>
        <w:t>do not</w:t>
      </w:r>
      <w:r w:rsidRPr="00B9575D">
        <w:rPr>
          <w:rFonts w:cs="Arial"/>
        </w:rPr>
        <w:t xml:space="preserve"> understand </w:t>
      </w:r>
      <w:r>
        <w:rPr>
          <w:rFonts w:cs="Arial"/>
        </w:rPr>
        <w:t>each other’s work</w:t>
      </w:r>
      <w:r w:rsidRPr="00B9575D">
        <w:rPr>
          <w:rFonts w:cs="Arial"/>
        </w:rPr>
        <w:t>.</w:t>
      </w:r>
    </w:p>
    <w:p w:rsidR="00AD5A35" w:rsidRPr="00B9575D" w:rsidRDefault="00AD5A35" w:rsidP="00AD5A35">
      <w:pPr>
        <w:pStyle w:val="ListBullet"/>
        <w:numPr>
          <w:ilvl w:val="0"/>
          <w:numId w:val="0"/>
        </w:numPr>
        <w:rPr>
          <w:rFonts w:cs="Arial"/>
        </w:rPr>
      </w:pPr>
      <w:r>
        <w:rPr>
          <w:rFonts w:cs="Arial"/>
        </w:rPr>
        <w:t>E</w:t>
      </w:r>
      <w:r w:rsidRPr="00B9575D">
        <w:rPr>
          <w:rFonts w:cs="Arial"/>
        </w:rPr>
        <w:t>PG executives have recognised the need to improve linkages between the two Divisions and have recently established monthly ESD</w:t>
      </w:r>
      <w:r w:rsidR="00A6701B">
        <w:rPr>
          <w:rFonts w:cs="Arial"/>
        </w:rPr>
        <w:t>-</w:t>
      </w:r>
      <w:r w:rsidR="00B02961" w:rsidRPr="00B9575D">
        <w:rPr>
          <w:rFonts w:cs="Arial"/>
        </w:rPr>
        <w:t>WH</w:t>
      </w:r>
      <w:r w:rsidR="00B02961">
        <w:rPr>
          <w:rFonts w:cs="Arial"/>
        </w:rPr>
        <w:t>a</w:t>
      </w:r>
      <w:r w:rsidR="00B02961" w:rsidRPr="00B9575D">
        <w:rPr>
          <w:rFonts w:cs="Arial"/>
        </w:rPr>
        <w:t xml:space="preserve">M </w:t>
      </w:r>
      <w:r w:rsidRPr="00B9575D">
        <w:rPr>
          <w:rFonts w:cs="Arial"/>
        </w:rPr>
        <w:t xml:space="preserve">board meetings. There are also plans to hold similar meetings at Director </w:t>
      </w:r>
      <w:r>
        <w:rPr>
          <w:rFonts w:cs="Arial"/>
        </w:rPr>
        <w:t xml:space="preserve">and APS </w:t>
      </w:r>
      <w:r w:rsidRPr="00B9575D">
        <w:rPr>
          <w:rFonts w:cs="Arial"/>
        </w:rPr>
        <w:t xml:space="preserve">level. These meetings are likely to help build </w:t>
      </w:r>
      <w:r>
        <w:rPr>
          <w:rFonts w:cs="Arial"/>
        </w:rPr>
        <w:t xml:space="preserve">staff </w:t>
      </w:r>
      <w:r w:rsidRPr="00B9575D">
        <w:rPr>
          <w:rFonts w:cs="Arial"/>
        </w:rPr>
        <w:t>understanding</w:t>
      </w:r>
      <w:r>
        <w:rPr>
          <w:rFonts w:cs="Arial"/>
        </w:rPr>
        <w:t xml:space="preserve"> of the different work across the two </w:t>
      </w:r>
      <w:r w:rsidRPr="00B9575D">
        <w:rPr>
          <w:rFonts w:cs="Arial"/>
        </w:rPr>
        <w:t>Division</w:t>
      </w:r>
      <w:r>
        <w:rPr>
          <w:rFonts w:cs="Arial"/>
        </w:rPr>
        <w:t>s</w:t>
      </w:r>
      <w:r w:rsidRPr="00B9575D">
        <w:rPr>
          <w:rFonts w:cs="Arial"/>
        </w:rPr>
        <w:t xml:space="preserve">. </w:t>
      </w:r>
    </w:p>
    <w:p w:rsidR="00AD5A35" w:rsidRPr="001D676B" w:rsidRDefault="00B02961" w:rsidP="00AD5A35">
      <w:pPr>
        <w:rPr>
          <w:rFonts w:cs="Arial"/>
        </w:rPr>
      </w:pPr>
      <w:r>
        <w:rPr>
          <w:rFonts w:cs="Arial"/>
        </w:rPr>
        <w:t>Althoug</w:t>
      </w:r>
      <w:r w:rsidR="00CC2901">
        <w:rPr>
          <w:rFonts w:cs="Arial"/>
        </w:rPr>
        <w:t>h</w:t>
      </w:r>
      <w:r>
        <w:rPr>
          <w:rFonts w:cs="Arial"/>
        </w:rPr>
        <w:t xml:space="preserve"> </w:t>
      </w:r>
      <w:r w:rsidR="00AD5A35">
        <w:rPr>
          <w:rFonts w:cs="Arial"/>
        </w:rPr>
        <w:t xml:space="preserve">the Department </w:t>
      </w:r>
      <w:r w:rsidR="00CC2901">
        <w:rPr>
          <w:rFonts w:cs="Arial"/>
        </w:rPr>
        <w:t xml:space="preserve">has started </w:t>
      </w:r>
      <w:r w:rsidR="00AD5A35">
        <w:rPr>
          <w:rFonts w:cs="Arial"/>
        </w:rPr>
        <w:t>establishing</w:t>
      </w:r>
      <w:r w:rsidR="00AD5A35" w:rsidRPr="00B9575D">
        <w:rPr>
          <w:rFonts w:cs="Arial"/>
        </w:rPr>
        <w:t xml:space="preserve"> internal mob</w:t>
      </w:r>
      <w:r w:rsidR="00AD5A35">
        <w:rPr>
          <w:rFonts w:cs="Arial"/>
        </w:rPr>
        <w:t xml:space="preserve">ility processes, there is no formal </w:t>
      </w:r>
      <w:r w:rsidR="00AD5A35" w:rsidRPr="00B9575D">
        <w:rPr>
          <w:rFonts w:cs="Arial"/>
        </w:rPr>
        <w:t>movement</w:t>
      </w:r>
      <w:r w:rsidR="00AD5A35">
        <w:rPr>
          <w:rFonts w:cs="Arial"/>
        </w:rPr>
        <w:t xml:space="preserve"> within and</w:t>
      </w:r>
      <w:r w:rsidR="00AD5A35" w:rsidRPr="00B9575D">
        <w:rPr>
          <w:rFonts w:cs="Arial"/>
        </w:rPr>
        <w:t xml:space="preserve"> between ESD and </w:t>
      </w:r>
      <w:r w:rsidRPr="00B9575D">
        <w:rPr>
          <w:rFonts w:cs="Arial"/>
        </w:rPr>
        <w:t>WH</w:t>
      </w:r>
      <w:r>
        <w:rPr>
          <w:rFonts w:cs="Arial"/>
        </w:rPr>
        <w:t>a</w:t>
      </w:r>
      <w:r w:rsidRPr="00B9575D">
        <w:rPr>
          <w:rFonts w:cs="Arial"/>
        </w:rPr>
        <w:t>M</w:t>
      </w:r>
      <w:r w:rsidR="00AD5A35" w:rsidRPr="00B9575D">
        <w:rPr>
          <w:rFonts w:cs="Arial"/>
        </w:rPr>
        <w:t>. It has bee</w:t>
      </w:r>
      <w:r w:rsidR="00AD5A35">
        <w:rPr>
          <w:rFonts w:cs="Arial"/>
        </w:rPr>
        <w:t>n suggested that managers</w:t>
      </w:r>
      <w:r w:rsidR="00CC2901">
        <w:rPr>
          <w:rFonts w:cs="Arial"/>
        </w:rPr>
        <w:t xml:space="preserve"> tend to</w:t>
      </w:r>
      <w:r w:rsidR="00AD5A35">
        <w:rPr>
          <w:rFonts w:cs="Arial"/>
        </w:rPr>
        <w:t xml:space="preserve"> focus</w:t>
      </w:r>
      <w:r w:rsidR="00AD5A35" w:rsidRPr="00B9575D">
        <w:rPr>
          <w:rFonts w:cs="Arial"/>
        </w:rPr>
        <w:t xml:space="preserve"> on the loss of productivity in the short-term when it comes to </w:t>
      </w:r>
      <w:r w:rsidR="00AD5A35">
        <w:rPr>
          <w:rFonts w:cs="Arial"/>
        </w:rPr>
        <w:t>rotating</w:t>
      </w:r>
      <w:r w:rsidR="00AD5A35" w:rsidRPr="00B9575D">
        <w:rPr>
          <w:rFonts w:cs="Arial"/>
        </w:rPr>
        <w:t xml:space="preserve"> subject matter experts to other line areas.</w:t>
      </w:r>
      <w:r w:rsidR="00AD5A35">
        <w:rPr>
          <w:rFonts w:cs="Arial"/>
        </w:rPr>
        <w:t xml:space="preserve"> However, movement between areas can help staff to develop their knowledge and capability, build better linkages between work areas, and facilitate innovation and the sharing of new ideas. </w:t>
      </w:r>
      <w:r w:rsidR="00AD5A35" w:rsidRPr="001D676B">
        <w:rPr>
          <w:rFonts w:cs="Arial"/>
        </w:rPr>
        <w:t xml:space="preserve">Formal exchanges with other regulators </w:t>
      </w:r>
      <w:r w:rsidR="00AD5A35">
        <w:rPr>
          <w:rFonts w:cs="Arial"/>
        </w:rPr>
        <w:t>can also improve capability and performance through new</w:t>
      </w:r>
      <w:r w:rsidR="00AD5A35" w:rsidRPr="001D676B">
        <w:rPr>
          <w:rFonts w:cs="Arial"/>
        </w:rPr>
        <w:t xml:space="preserve"> networks</w:t>
      </w:r>
      <w:r w:rsidR="00AD5A35">
        <w:rPr>
          <w:rFonts w:cs="Arial"/>
        </w:rPr>
        <w:t xml:space="preserve"> and the </w:t>
      </w:r>
      <w:r w:rsidR="00AD5A35" w:rsidRPr="001D676B">
        <w:rPr>
          <w:rFonts w:cs="Arial"/>
        </w:rPr>
        <w:t>shar</w:t>
      </w:r>
      <w:r w:rsidR="00AD5A35">
        <w:rPr>
          <w:rFonts w:cs="Arial"/>
        </w:rPr>
        <w:t>ing</w:t>
      </w:r>
      <w:r w:rsidR="00AD5A35" w:rsidRPr="001D676B">
        <w:rPr>
          <w:rFonts w:cs="Arial"/>
        </w:rPr>
        <w:t xml:space="preserve"> </w:t>
      </w:r>
      <w:r w:rsidR="00AD5A35">
        <w:rPr>
          <w:rFonts w:cs="Arial"/>
        </w:rPr>
        <w:t xml:space="preserve">of </w:t>
      </w:r>
      <w:r w:rsidR="00AD5A35" w:rsidRPr="001D676B">
        <w:rPr>
          <w:rFonts w:cs="Arial"/>
        </w:rPr>
        <w:t>experiences and insights</w:t>
      </w:r>
      <w:r w:rsidR="00AD5A35">
        <w:rPr>
          <w:rFonts w:cs="Arial"/>
        </w:rPr>
        <w:t>.</w:t>
      </w:r>
      <w:r w:rsidR="00776A29">
        <w:rPr>
          <w:rFonts w:cs="Arial"/>
        </w:rPr>
        <w:t xml:space="preserve"> Such staff rotation or exchange programs will need to be driven by the Senior Executive to be successful. </w:t>
      </w:r>
      <w:r w:rsidR="00854C83">
        <w:rPr>
          <w:rFonts w:cs="Arial"/>
        </w:rPr>
        <w:t xml:space="preserve">The most common reason for failure to proceed is that the timing is not convenient. In practice this is almost always the case, but the broader advantages need to be weighed up against short-term inconvenience.  </w:t>
      </w:r>
    </w:p>
    <w:p w:rsidR="00AD5A35" w:rsidRDefault="00AD5A35" w:rsidP="00AD5A35">
      <w:pPr>
        <w:pStyle w:val="ListBullet"/>
        <w:numPr>
          <w:ilvl w:val="0"/>
          <w:numId w:val="0"/>
        </w:numPr>
        <w:rPr>
          <w:rFonts w:cs="Arial"/>
        </w:rPr>
      </w:pPr>
      <w:r>
        <w:rPr>
          <w:rFonts w:cs="Arial"/>
        </w:rPr>
        <w:t xml:space="preserve">Staff reported that collaboration between regulatory staff and specialists </w:t>
      </w:r>
      <w:r w:rsidR="00CC2901">
        <w:rPr>
          <w:rFonts w:cs="Arial"/>
        </w:rPr>
        <w:t xml:space="preserve">external to individual Sections (for example the General Counsel Branch or species experts) </w:t>
      </w:r>
      <w:r>
        <w:rPr>
          <w:rFonts w:cs="Arial"/>
        </w:rPr>
        <w:t>has improved over time. However, many staff remain</w:t>
      </w:r>
      <w:r w:rsidR="00D775F6">
        <w:rPr>
          <w:rFonts w:cs="Arial"/>
        </w:rPr>
        <w:t xml:space="preserve"> generally</w:t>
      </w:r>
      <w:r>
        <w:rPr>
          <w:rFonts w:cs="Arial"/>
        </w:rPr>
        <w:t xml:space="preserve"> unaware of the appropriate circumstances and processes for seeking specialist advice. As a result, there are inconsistencies in how and when advice is sought, making it difficult for specialists to provide timely and robust advice</w:t>
      </w:r>
      <w:r w:rsidR="00D775F6">
        <w:rPr>
          <w:rFonts w:cs="Arial"/>
        </w:rPr>
        <w:t>, which can reinforce negative perceptions about the necessity and adequacy of specialist advice</w:t>
      </w:r>
      <w:r w:rsidR="00CC2901">
        <w:rPr>
          <w:rFonts w:cs="Arial"/>
        </w:rPr>
        <w:t>,</w:t>
      </w:r>
      <w:r w:rsidR="00D775F6">
        <w:rPr>
          <w:rFonts w:cs="Arial"/>
        </w:rPr>
        <w:t xml:space="preserve"> and lead some officers to avoid obtaining it</w:t>
      </w:r>
      <w:r>
        <w:rPr>
          <w:rFonts w:cs="Arial"/>
        </w:rPr>
        <w:t>. Specialists also noted that they do not receive feedback on whether their advice is useful or acted upon.</w:t>
      </w:r>
    </w:p>
    <w:tbl>
      <w:tblPr>
        <w:tblStyle w:val="TableGrid"/>
        <w:tblW w:w="0" w:type="auto"/>
        <w:tblLook w:val="04A0" w:firstRow="1" w:lastRow="0" w:firstColumn="1" w:lastColumn="0" w:noHBand="0" w:noVBand="1"/>
      </w:tblPr>
      <w:tblGrid>
        <w:gridCol w:w="9212"/>
      </w:tblGrid>
      <w:tr w:rsidR="00AD5A35" w:rsidTr="00F425C2">
        <w:trPr>
          <w:cnfStyle w:val="100000000000" w:firstRow="1" w:lastRow="0" w:firstColumn="0" w:lastColumn="0" w:oddVBand="0" w:evenVBand="0" w:oddHBand="0" w:evenHBand="0" w:firstRowFirstColumn="0" w:firstRowLastColumn="0" w:lastRowFirstColumn="0" w:lastRowLastColumn="0"/>
        </w:trPr>
        <w:tc>
          <w:tcPr>
            <w:tcW w:w="9428" w:type="dxa"/>
            <w:tcBorders>
              <w:top w:val="nil"/>
              <w:left w:val="nil"/>
              <w:bottom w:val="nil"/>
              <w:right w:val="nil"/>
            </w:tcBorders>
            <w:shd w:val="clear" w:color="auto" w:fill="C7E2FA" w:themeFill="accent1" w:themeFillTint="33"/>
          </w:tcPr>
          <w:p w:rsidR="00AD5A35" w:rsidRPr="007C08DC" w:rsidRDefault="00AD5A35" w:rsidP="00F425C2">
            <w:pPr>
              <w:pStyle w:val="ListBullet"/>
              <w:numPr>
                <w:ilvl w:val="0"/>
                <w:numId w:val="0"/>
              </w:numPr>
              <w:spacing w:before="240"/>
              <w:rPr>
                <w:rFonts w:cs="Arial"/>
                <w:b/>
              </w:rPr>
            </w:pPr>
            <w:r>
              <w:rPr>
                <w:rFonts w:cs="Arial"/>
                <w:b/>
              </w:rPr>
              <w:t xml:space="preserve">Recommendation </w:t>
            </w:r>
            <w:r w:rsidR="00D3155D">
              <w:rPr>
                <w:rFonts w:cs="Arial"/>
                <w:b/>
              </w:rPr>
              <w:t>3</w:t>
            </w:r>
            <w:r>
              <w:rPr>
                <w:rFonts w:cs="Arial"/>
                <w:b/>
              </w:rPr>
              <w:t>.5</w:t>
            </w:r>
            <w:r w:rsidRPr="007C08DC">
              <w:rPr>
                <w:rFonts w:cs="Arial"/>
                <w:b/>
              </w:rPr>
              <w:t xml:space="preserve"> (Linkages)</w:t>
            </w:r>
          </w:p>
          <w:p w:rsidR="00AD5A35" w:rsidRDefault="00AD5A35" w:rsidP="00AD5A35">
            <w:pPr>
              <w:pStyle w:val="ListBullet"/>
              <w:numPr>
                <w:ilvl w:val="0"/>
                <w:numId w:val="0"/>
              </w:numPr>
              <w:rPr>
                <w:rFonts w:cs="Arial"/>
              </w:rPr>
            </w:pPr>
            <w:r w:rsidRPr="00D3155D">
              <w:rPr>
                <w:rFonts w:cs="Arial"/>
                <w:i/>
              </w:rPr>
              <w:t>Importance</w:t>
            </w:r>
            <w:r w:rsidR="00D3155D" w:rsidRPr="00D3155D">
              <w:rPr>
                <w:rFonts w:cs="Arial"/>
                <w:i/>
              </w:rPr>
              <w:t>:</w:t>
            </w:r>
            <w:r>
              <w:rPr>
                <w:rFonts w:cs="Arial"/>
              </w:rPr>
              <w:t xml:space="preserve"> 1</w:t>
            </w:r>
          </w:p>
          <w:p w:rsidR="00AD5A35" w:rsidRDefault="00AD5A35" w:rsidP="00AD5A35">
            <w:pPr>
              <w:pStyle w:val="ListBullet"/>
              <w:numPr>
                <w:ilvl w:val="0"/>
                <w:numId w:val="0"/>
              </w:numPr>
              <w:rPr>
                <w:rFonts w:cs="Arial"/>
              </w:rPr>
            </w:pPr>
            <w:r w:rsidRPr="00D3155D">
              <w:rPr>
                <w:rFonts w:cs="Arial"/>
                <w:i/>
              </w:rPr>
              <w:t>Timing:</w:t>
            </w:r>
            <w:r>
              <w:rPr>
                <w:rFonts w:cs="Arial"/>
              </w:rPr>
              <w:t xml:space="preserve"> 2</w:t>
            </w:r>
          </w:p>
          <w:p w:rsidR="00AD5A35" w:rsidRPr="007C08DC" w:rsidRDefault="00AD5A35" w:rsidP="00AD5A35">
            <w:pPr>
              <w:pStyle w:val="ListBullet"/>
              <w:numPr>
                <w:ilvl w:val="0"/>
                <w:numId w:val="0"/>
              </w:numPr>
              <w:rPr>
                <w:rFonts w:cs="Arial"/>
              </w:rPr>
            </w:pPr>
            <w:r w:rsidRPr="007C08DC">
              <w:rPr>
                <w:rFonts w:cs="Arial"/>
              </w:rPr>
              <w:t>EPG should develop formal and informal mechanisms to increase collaboration and understanding across the</w:t>
            </w:r>
            <w:r w:rsidR="004A173E">
              <w:rPr>
                <w:rFonts w:cs="Arial"/>
              </w:rPr>
              <w:t xml:space="preserve"> two</w:t>
            </w:r>
            <w:r w:rsidRPr="007C08DC">
              <w:rPr>
                <w:rFonts w:cs="Arial"/>
              </w:rPr>
              <w:t xml:space="preserve"> Divisions. For example, EPG could: </w:t>
            </w:r>
          </w:p>
          <w:p w:rsidR="00AD5A35" w:rsidRPr="007C08DC" w:rsidRDefault="00AD5A35" w:rsidP="00E65120">
            <w:pPr>
              <w:pStyle w:val="ListBullet"/>
              <w:numPr>
                <w:ilvl w:val="0"/>
                <w:numId w:val="18"/>
              </w:numPr>
              <w:spacing w:after="0" w:line="240" w:lineRule="auto"/>
              <w:rPr>
                <w:rFonts w:cs="Arial"/>
              </w:rPr>
            </w:pPr>
            <w:r w:rsidRPr="007C08DC">
              <w:rPr>
                <w:rFonts w:cs="Arial"/>
              </w:rPr>
              <w:t xml:space="preserve">establish a formal staff rotation or staff swap </w:t>
            </w:r>
            <w:r w:rsidR="00E3593E">
              <w:rPr>
                <w:rFonts w:cs="Arial"/>
              </w:rPr>
              <w:t>program</w:t>
            </w:r>
            <w:r w:rsidRPr="007C08DC">
              <w:rPr>
                <w:rFonts w:cs="Arial"/>
              </w:rPr>
              <w:t xml:space="preserve"> within and between the two Divisions, and with other regulatory agencies; </w:t>
            </w:r>
          </w:p>
          <w:p w:rsidR="00AD5A35" w:rsidRPr="007C08DC" w:rsidRDefault="00AD5A35" w:rsidP="00E65120">
            <w:pPr>
              <w:pStyle w:val="ListBullet"/>
              <w:numPr>
                <w:ilvl w:val="0"/>
                <w:numId w:val="18"/>
              </w:numPr>
              <w:spacing w:after="0" w:line="240" w:lineRule="auto"/>
              <w:rPr>
                <w:rFonts w:cs="Arial"/>
              </w:rPr>
            </w:pPr>
            <w:r w:rsidRPr="007C08DC">
              <w:rPr>
                <w:rFonts w:cs="Arial"/>
              </w:rPr>
              <w:t>establish hubs</w:t>
            </w:r>
            <w:r w:rsidR="00A6701B">
              <w:rPr>
                <w:rFonts w:cs="Arial"/>
              </w:rPr>
              <w:t xml:space="preserve">, </w:t>
            </w:r>
            <w:r w:rsidRPr="007C08DC">
              <w:rPr>
                <w:rFonts w:cs="Arial"/>
              </w:rPr>
              <w:t>forums</w:t>
            </w:r>
            <w:r w:rsidR="00A6701B">
              <w:rPr>
                <w:rFonts w:cs="Arial"/>
              </w:rPr>
              <w:t xml:space="preserve">, and/or </w:t>
            </w:r>
            <w:r w:rsidRPr="007C08DC">
              <w:rPr>
                <w:rFonts w:cs="Arial"/>
              </w:rPr>
              <w:t xml:space="preserve">communities of practice to provide an opportunity for staff to gain an understanding of the work and underpinning values of other areas of the Department; </w:t>
            </w:r>
          </w:p>
          <w:p w:rsidR="00AD5A35" w:rsidRPr="007C08DC" w:rsidRDefault="00AD5A35" w:rsidP="00E65120">
            <w:pPr>
              <w:pStyle w:val="ListBullet"/>
              <w:numPr>
                <w:ilvl w:val="0"/>
                <w:numId w:val="18"/>
              </w:numPr>
              <w:spacing w:after="0" w:line="240" w:lineRule="auto"/>
              <w:rPr>
                <w:rFonts w:cs="Arial"/>
              </w:rPr>
            </w:pPr>
            <w:r w:rsidRPr="007C08DC">
              <w:rPr>
                <w:rFonts w:cs="Arial"/>
              </w:rPr>
              <w:t>seek opportunities to form short</w:t>
            </w:r>
            <w:r>
              <w:rPr>
                <w:rFonts w:cs="Arial"/>
              </w:rPr>
              <w:t>-</w:t>
            </w:r>
            <w:r w:rsidRPr="007C08DC">
              <w:rPr>
                <w:rFonts w:cs="Arial"/>
              </w:rPr>
              <w:t>term working groups to collaboratively solve problems; and</w:t>
            </w:r>
          </w:p>
          <w:p w:rsidR="00AD5A35" w:rsidRDefault="00AD5A35" w:rsidP="00E65120">
            <w:pPr>
              <w:pStyle w:val="ListBullet"/>
              <w:numPr>
                <w:ilvl w:val="0"/>
                <w:numId w:val="18"/>
              </w:numPr>
              <w:spacing w:after="0" w:line="240" w:lineRule="auto"/>
              <w:rPr>
                <w:rFonts w:cs="Arial"/>
              </w:rPr>
            </w:pPr>
            <w:r w:rsidRPr="007C08DC">
              <w:rPr>
                <w:rFonts w:cs="Arial"/>
              </w:rPr>
              <w:t>establish appropriate cross</w:t>
            </w:r>
            <w:r>
              <w:rPr>
                <w:rFonts w:cs="Arial"/>
              </w:rPr>
              <w:t>-</w:t>
            </w:r>
            <w:r w:rsidR="004A173E">
              <w:rPr>
                <w:rFonts w:cs="Arial"/>
              </w:rPr>
              <w:t>D</w:t>
            </w:r>
            <w:r w:rsidR="004A173E" w:rsidRPr="007C08DC">
              <w:rPr>
                <w:rFonts w:cs="Arial"/>
              </w:rPr>
              <w:t xml:space="preserve">ivisional </w:t>
            </w:r>
            <w:r w:rsidRPr="007C08DC">
              <w:rPr>
                <w:rFonts w:cs="Arial"/>
              </w:rPr>
              <w:t>meetings – such as the ESD</w:t>
            </w:r>
            <w:r w:rsidR="00A6701B">
              <w:rPr>
                <w:rFonts w:cs="Arial"/>
              </w:rPr>
              <w:t>-</w:t>
            </w:r>
            <w:r w:rsidR="004A173E" w:rsidRPr="007C08DC">
              <w:rPr>
                <w:rFonts w:cs="Arial"/>
              </w:rPr>
              <w:t>WH</w:t>
            </w:r>
            <w:r w:rsidR="004A173E">
              <w:rPr>
                <w:rFonts w:cs="Arial"/>
              </w:rPr>
              <w:t>a</w:t>
            </w:r>
            <w:r w:rsidR="004A173E" w:rsidRPr="007C08DC">
              <w:rPr>
                <w:rFonts w:cs="Arial"/>
              </w:rPr>
              <w:t xml:space="preserve">M </w:t>
            </w:r>
            <w:r w:rsidRPr="007C08DC">
              <w:rPr>
                <w:rFonts w:cs="Arial"/>
              </w:rPr>
              <w:t>board meetings and the Regulatory Advisory Panel.</w:t>
            </w:r>
          </w:p>
          <w:p w:rsidR="00954196" w:rsidRPr="007C08DC" w:rsidRDefault="00954196" w:rsidP="00954196">
            <w:pPr>
              <w:pStyle w:val="ListBullet"/>
              <w:numPr>
                <w:ilvl w:val="0"/>
                <w:numId w:val="0"/>
              </w:numPr>
              <w:spacing w:after="0" w:line="240" w:lineRule="auto"/>
              <w:ind w:left="720"/>
              <w:rPr>
                <w:rFonts w:cs="Arial"/>
              </w:rPr>
            </w:pPr>
          </w:p>
          <w:p w:rsidR="00AD5A35" w:rsidRPr="007C08DC" w:rsidRDefault="00AD5A35" w:rsidP="00D3155D">
            <w:pPr>
              <w:pStyle w:val="ListBullet"/>
              <w:numPr>
                <w:ilvl w:val="0"/>
                <w:numId w:val="0"/>
              </w:numPr>
              <w:ind w:left="369" w:hanging="369"/>
              <w:rPr>
                <w:rFonts w:cs="Arial"/>
              </w:rPr>
            </w:pPr>
            <w:r w:rsidRPr="007C08DC">
              <w:rPr>
                <w:rFonts w:cs="Arial"/>
              </w:rPr>
              <w:t>These initiatives all require strong commitment from the Senior Executive.</w:t>
            </w:r>
          </w:p>
          <w:p w:rsidR="0013636F" w:rsidRDefault="00AD5A35" w:rsidP="00AD5A35">
            <w:pPr>
              <w:rPr>
                <w:rFonts w:cs="Arial"/>
              </w:rPr>
            </w:pPr>
            <w:r w:rsidRPr="007C08DC">
              <w:rPr>
                <w:rFonts w:cs="Arial"/>
              </w:rPr>
              <w:t>EPG should consider the impact of structural changes</w:t>
            </w:r>
            <w:r>
              <w:rPr>
                <w:rFonts w:cs="Arial"/>
              </w:rPr>
              <w:t xml:space="preserve"> </w:t>
            </w:r>
            <w:r w:rsidRPr="007C08DC">
              <w:rPr>
                <w:rFonts w:cs="Arial"/>
              </w:rPr>
              <w:t xml:space="preserve">on linkages, and place particular emphasis on maintaining those connections which are not naturally supported by </w:t>
            </w:r>
            <w:r w:rsidR="004A173E">
              <w:rPr>
                <w:rFonts w:cs="Arial"/>
              </w:rPr>
              <w:t>a</w:t>
            </w:r>
            <w:r w:rsidR="004A173E" w:rsidRPr="007C08DC">
              <w:rPr>
                <w:rFonts w:cs="Arial"/>
              </w:rPr>
              <w:t xml:space="preserve"> </w:t>
            </w:r>
            <w:r w:rsidRPr="007C08DC">
              <w:rPr>
                <w:rFonts w:cs="Arial"/>
              </w:rPr>
              <w:t>chosen structure.</w:t>
            </w:r>
          </w:p>
          <w:p w:rsidR="00607573" w:rsidRDefault="00AD5A35" w:rsidP="00607573">
            <w:pPr>
              <w:pStyle w:val="ListBullet"/>
              <w:numPr>
                <w:ilvl w:val="0"/>
                <w:numId w:val="0"/>
              </w:numPr>
              <w:rPr>
                <w:rFonts w:cs="Arial"/>
              </w:rPr>
            </w:pPr>
            <w:r w:rsidRPr="007C08DC">
              <w:rPr>
                <w:rFonts w:cs="Arial"/>
              </w:rPr>
              <w:t>EPG should work with the General Counsel</w:t>
            </w:r>
            <w:r w:rsidR="004A173E">
              <w:rPr>
                <w:rFonts w:cs="Arial"/>
              </w:rPr>
              <w:t xml:space="preserve"> Branch</w:t>
            </w:r>
            <w:r>
              <w:rPr>
                <w:rFonts w:cs="Arial"/>
              </w:rPr>
              <w:t xml:space="preserve">, </w:t>
            </w:r>
            <w:r w:rsidR="000C0C80">
              <w:rPr>
                <w:rFonts w:cs="Arial"/>
              </w:rPr>
              <w:t xml:space="preserve">the </w:t>
            </w:r>
            <w:r w:rsidRPr="007C08DC">
              <w:rPr>
                <w:rFonts w:cs="Arial"/>
              </w:rPr>
              <w:t>Compliance and Enforcement Branch</w:t>
            </w:r>
            <w:r w:rsidR="004A173E">
              <w:rPr>
                <w:rFonts w:cs="Arial"/>
              </w:rPr>
              <w:t>,</w:t>
            </w:r>
            <w:r w:rsidRPr="007C08DC">
              <w:rPr>
                <w:rFonts w:cs="Arial"/>
              </w:rPr>
              <w:t xml:space="preserve"> and other specialist areas to identify the circumstances </w:t>
            </w:r>
            <w:r>
              <w:rPr>
                <w:rFonts w:cs="Arial"/>
              </w:rPr>
              <w:t>in which</w:t>
            </w:r>
            <w:r w:rsidRPr="007C08DC">
              <w:rPr>
                <w:rFonts w:cs="Arial"/>
              </w:rPr>
              <w:t xml:space="preserve"> specialist advice should be sought. This should be reflected in </w:t>
            </w:r>
            <w:r w:rsidR="006A5A65">
              <w:rPr>
                <w:rFonts w:cs="Arial"/>
              </w:rPr>
              <w:t>Standard Operating Procedures</w:t>
            </w:r>
            <w:r w:rsidRPr="007C08DC">
              <w:rPr>
                <w:rFonts w:cs="Arial"/>
              </w:rPr>
              <w:t>, templates and guidelines.</w:t>
            </w:r>
            <w:r w:rsidR="00607573" w:rsidRPr="007C08DC">
              <w:rPr>
                <w:rFonts w:cs="Arial"/>
              </w:rPr>
              <w:t xml:space="preserve"> </w:t>
            </w:r>
          </w:p>
          <w:p w:rsidR="00607573" w:rsidRPr="007C08DC" w:rsidRDefault="00607573" w:rsidP="00607573">
            <w:pPr>
              <w:pStyle w:val="ListBullet"/>
              <w:numPr>
                <w:ilvl w:val="0"/>
                <w:numId w:val="0"/>
              </w:numPr>
              <w:rPr>
                <w:rFonts w:cs="Arial"/>
              </w:rPr>
            </w:pPr>
            <w:r w:rsidRPr="007C08DC">
              <w:rPr>
                <w:rFonts w:cs="Arial"/>
              </w:rPr>
              <w:t xml:space="preserve">EPG should map statutory timeframes to ensure that adequate time is built into the </w:t>
            </w:r>
            <w:r>
              <w:rPr>
                <w:rFonts w:cs="Arial"/>
              </w:rPr>
              <w:t>regulatory</w:t>
            </w:r>
            <w:r w:rsidRPr="007C08DC">
              <w:rPr>
                <w:rFonts w:cs="Arial"/>
              </w:rPr>
              <w:t xml:space="preserve"> process</w:t>
            </w:r>
            <w:r>
              <w:rPr>
                <w:rFonts w:cs="Arial"/>
              </w:rPr>
              <w:t>es</w:t>
            </w:r>
            <w:r w:rsidRPr="007C08DC">
              <w:rPr>
                <w:rFonts w:cs="Arial"/>
              </w:rPr>
              <w:t xml:space="preserve"> to obtain specialist advice where necessary. Consideration should be given to identifying the appropriate use of statutory powers to extend timeframes</w:t>
            </w:r>
            <w:r>
              <w:rPr>
                <w:rFonts w:cs="Arial"/>
              </w:rPr>
              <w:t xml:space="preserve"> when necessary,</w:t>
            </w:r>
            <w:r w:rsidRPr="007C08DC">
              <w:rPr>
                <w:rFonts w:cs="Arial"/>
              </w:rPr>
              <w:t xml:space="preserve"> in order to ensure more robust decisions.</w:t>
            </w:r>
          </w:p>
          <w:p w:rsidR="00AD5A35" w:rsidRPr="007C08DC" w:rsidRDefault="00AD5A35" w:rsidP="00AD5A35">
            <w:pPr>
              <w:pStyle w:val="ListBullet"/>
              <w:numPr>
                <w:ilvl w:val="0"/>
                <w:numId w:val="0"/>
              </w:numPr>
              <w:rPr>
                <w:rFonts w:cs="Arial"/>
              </w:rPr>
            </w:pPr>
            <w:r w:rsidRPr="007C08DC">
              <w:rPr>
                <w:rFonts w:cs="Arial"/>
              </w:rPr>
              <w:t xml:space="preserve">EPG should </w:t>
            </w:r>
            <w:r>
              <w:rPr>
                <w:rFonts w:cs="Arial"/>
              </w:rPr>
              <w:t>request input from</w:t>
            </w:r>
            <w:r w:rsidRPr="007C08DC">
              <w:rPr>
                <w:rFonts w:cs="Arial"/>
              </w:rPr>
              <w:t xml:space="preserve"> specialist areas</w:t>
            </w:r>
            <w:r>
              <w:rPr>
                <w:rFonts w:cs="Arial"/>
              </w:rPr>
              <w:t xml:space="preserve"> at an early stage</w:t>
            </w:r>
            <w:r w:rsidRPr="007C08DC">
              <w:rPr>
                <w:rFonts w:cs="Arial"/>
              </w:rPr>
              <w:t>. Where appropriate</w:t>
            </w:r>
            <w:r>
              <w:rPr>
                <w:rFonts w:cs="Arial"/>
              </w:rPr>
              <w:t>,</w:t>
            </w:r>
            <w:r w:rsidRPr="007C08DC">
              <w:rPr>
                <w:rFonts w:cs="Arial"/>
              </w:rPr>
              <w:t xml:space="preserve"> specialists should be included in a ‘project team’ for particularly high risk or sensitive </w:t>
            </w:r>
            <w:r w:rsidR="004A173E">
              <w:rPr>
                <w:rFonts w:cs="Arial"/>
              </w:rPr>
              <w:t>projects</w:t>
            </w:r>
            <w:r w:rsidRPr="007C08DC">
              <w:rPr>
                <w:rFonts w:cs="Arial"/>
              </w:rPr>
              <w:t xml:space="preserve">. </w:t>
            </w:r>
          </w:p>
          <w:p w:rsidR="00AD5A35" w:rsidRPr="00D3155D" w:rsidRDefault="00AD5A35" w:rsidP="00D3155D">
            <w:pPr>
              <w:pStyle w:val="ListBullet"/>
              <w:numPr>
                <w:ilvl w:val="0"/>
                <w:numId w:val="0"/>
              </w:numPr>
              <w:rPr>
                <w:rFonts w:cs="Arial"/>
              </w:rPr>
            </w:pPr>
            <w:r w:rsidRPr="007C08DC">
              <w:rPr>
                <w:rFonts w:cs="Arial"/>
              </w:rPr>
              <w:t xml:space="preserve">Where advice is not useful or acted on, </w:t>
            </w:r>
            <w:r w:rsidR="00D775F6">
              <w:rPr>
                <w:rFonts w:cs="Arial"/>
              </w:rPr>
              <w:t xml:space="preserve">prompt </w:t>
            </w:r>
            <w:r w:rsidRPr="007C08DC">
              <w:rPr>
                <w:rFonts w:cs="Arial"/>
              </w:rPr>
              <w:t>feedback should be provided to the relevant specialist.</w:t>
            </w:r>
          </w:p>
        </w:tc>
      </w:tr>
    </w:tbl>
    <w:p w:rsidR="00954196" w:rsidRDefault="00954196" w:rsidP="00F425C2">
      <w:pPr>
        <w:pStyle w:val="Heading1"/>
        <w:spacing w:after="120"/>
        <w:rPr>
          <w:caps w:val="0"/>
          <w:color w:val="0B5294" w:themeColor="accent1" w:themeShade="BF"/>
          <w:sz w:val="24"/>
          <w:szCs w:val="24"/>
        </w:rPr>
      </w:pPr>
    </w:p>
    <w:p w:rsidR="00D3155D" w:rsidRPr="00F425C2" w:rsidRDefault="00D3155D" w:rsidP="00F425C2">
      <w:pPr>
        <w:pStyle w:val="Heading1"/>
        <w:spacing w:after="120"/>
        <w:rPr>
          <w:caps w:val="0"/>
          <w:color w:val="0B5294" w:themeColor="accent1" w:themeShade="BF"/>
          <w:sz w:val="24"/>
          <w:szCs w:val="24"/>
        </w:rPr>
      </w:pPr>
      <w:bookmarkStart w:id="48" w:name="_Toc443405179"/>
      <w:r w:rsidRPr="00F425C2">
        <w:rPr>
          <w:caps w:val="0"/>
          <w:color w:val="0B5294" w:themeColor="accent1" w:themeShade="BF"/>
          <w:sz w:val="24"/>
          <w:szCs w:val="24"/>
        </w:rPr>
        <w:t>Change Management</w:t>
      </w:r>
      <w:bookmarkEnd w:id="48"/>
    </w:p>
    <w:p w:rsidR="00AD5A35" w:rsidRDefault="00AD5A35" w:rsidP="00AD5A35">
      <w:pPr>
        <w:rPr>
          <w:rFonts w:cs="Arial"/>
        </w:rPr>
      </w:pPr>
      <w:r>
        <w:rPr>
          <w:rFonts w:cs="Arial"/>
        </w:rPr>
        <w:t>There is a high degr</w:t>
      </w:r>
      <w:r w:rsidR="00B02B86">
        <w:rPr>
          <w:rFonts w:cs="Arial"/>
        </w:rPr>
        <w:t xml:space="preserve">ee of change fatigue within </w:t>
      </w:r>
      <w:r>
        <w:rPr>
          <w:rFonts w:cs="Arial"/>
        </w:rPr>
        <w:t>EPG. ESD and WHaM have each undergone significant restructures over the past three years, including the creation of both Divisions, significant restructuring of Branches and sections, significant staff reductions at all levels, and changes to Government which have resulted in new or altered policy approaches and priorities.</w:t>
      </w:r>
    </w:p>
    <w:p w:rsidR="00AD5A35" w:rsidRDefault="004A173E" w:rsidP="00AD5A35">
      <w:pPr>
        <w:rPr>
          <w:rFonts w:cs="Arial"/>
        </w:rPr>
      </w:pPr>
      <w:r>
        <w:rPr>
          <w:rFonts w:cs="Arial"/>
        </w:rPr>
        <w:t>S</w:t>
      </w:r>
      <w:r w:rsidR="00AD5A35" w:rsidRPr="00B9575D">
        <w:rPr>
          <w:rFonts w:cs="Arial"/>
        </w:rPr>
        <w:t>taff</w:t>
      </w:r>
      <w:r>
        <w:rPr>
          <w:rFonts w:cs="Arial"/>
        </w:rPr>
        <w:t xml:space="preserve"> often</w:t>
      </w:r>
      <w:r w:rsidR="00AD5A35" w:rsidRPr="00B9575D">
        <w:rPr>
          <w:rFonts w:cs="Arial"/>
        </w:rPr>
        <w:t xml:space="preserve"> </w:t>
      </w:r>
      <w:r w:rsidR="00AD5A35">
        <w:rPr>
          <w:rFonts w:cs="Arial"/>
        </w:rPr>
        <w:t>do not</w:t>
      </w:r>
      <w:r w:rsidR="00AD5A35" w:rsidRPr="00B9575D">
        <w:rPr>
          <w:rFonts w:cs="Arial"/>
        </w:rPr>
        <w:t xml:space="preserve"> embrace change</w:t>
      </w:r>
      <w:r w:rsidR="00AD5A35">
        <w:rPr>
          <w:rFonts w:cs="Arial"/>
        </w:rPr>
        <w:t xml:space="preserve"> because:</w:t>
      </w:r>
    </w:p>
    <w:p w:rsidR="00AD5A35" w:rsidRPr="008378DA" w:rsidRDefault="00AD5A35" w:rsidP="00AD5A35">
      <w:pPr>
        <w:pStyle w:val="ListBullet"/>
        <w:spacing w:after="0" w:line="240" w:lineRule="auto"/>
        <w:rPr>
          <w:rFonts w:cs="Arial"/>
        </w:rPr>
      </w:pPr>
      <w:r w:rsidRPr="008378DA">
        <w:rPr>
          <w:rFonts w:cs="Arial"/>
        </w:rPr>
        <w:t>they are reluctant to learn something new</w:t>
      </w:r>
      <w:r>
        <w:rPr>
          <w:rFonts w:cs="Arial"/>
        </w:rPr>
        <w:t>;</w:t>
      </w:r>
    </w:p>
    <w:p w:rsidR="00AD5A35" w:rsidRPr="008378DA" w:rsidRDefault="00AD5A35" w:rsidP="00AD5A35">
      <w:pPr>
        <w:pStyle w:val="ListBullet"/>
        <w:spacing w:after="0" w:line="240" w:lineRule="auto"/>
        <w:rPr>
          <w:rFonts w:cs="Arial"/>
        </w:rPr>
      </w:pPr>
      <w:r w:rsidRPr="008378DA">
        <w:rPr>
          <w:rFonts w:cs="Arial"/>
        </w:rPr>
        <w:t>change is often associated with staff reductions</w:t>
      </w:r>
      <w:r>
        <w:rPr>
          <w:rFonts w:cs="Arial"/>
        </w:rPr>
        <w:t>;</w:t>
      </w:r>
    </w:p>
    <w:p w:rsidR="00AD5A35" w:rsidRPr="008378DA" w:rsidRDefault="00AD5A35" w:rsidP="00AD5A35">
      <w:pPr>
        <w:pStyle w:val="ListBullet"/>
        <w:spacing w:after="0" w:line="240" w:lineRule="auto"/>
        <w:rPr>
          <w:rFonts w:cs="Arial"/>
        </w:rPr>
      </w:pPr>
      <w:r w:rsidRPr="008378DA">
        <w:rPr>
          <w:rFonts w:cs="Arial"/>
        </w:rPr>
        <w:t>staff reductions tend to occur first, leaving areas under-resourced during the implementation period of the change</w:t>
      </w:r>
      <w:r>
        <w:rPr>
          <w:rFonts w:cs="Arial"/>
        </w:rPr>
        <w:t>;</w:t>
      </w:r>
    </w:p>
    <w:p w:rsidR="00AD5A35" w:rsidRPr="008378DA" w:rsidRDefault="00AD5A35" w:rsidP="00AD5A35">
      <w:pPr>
        <w:pStyle w:val="ListBullet"/>
        <w:spacing w:after="0" w:line="240" w:lineRule="auto"/>
        <w:rPr>
          <w:rFonts w:cs="Arial"/>
        </w:rPr>
      </w:pPr>
      <w:r w:rsidRPr="008378DA">
        <w:rPr>
          <w:rFonts w:cs="Arial"/>
        </w:rPr>
        <w:t>their workloads increase</w:t>
      </w:r>
      <w:r>
        <w:rPr>
          <w:rFonts w:cs="Arial"/>
        </w:rPr>
        <w:t>;</w:t>
      </w:r>
    </w:p>
    <w:p w:rsidR="00AD5A35" w:rsidRPr="008378DA" w:rsidRDefault="00AD5A35" w:rsidP="00AD5A35">
      <w:pPr>
        <w:pStyle w:val="ListBullet"/>
        <w:spacing w:after="0" w:line="240" w:lineRule="auto"/>
        <w:rPr>
          <w:rFonts w:cs="Arial"/>
        </w:rPr>
      </w:pPr>
      <w:r w:rsidRPr="008378DA">
        <w:rPr>
          <w:rFonts w:cs="Arial"/>
        </w:rPr>
        <w:t>they don’t understand the reason for the change</w:t>
      </w:r>
      <w:r>
        <w:rPr>
          <w:rFonts w:cs="Arial"/>
        </w:rPr>
        <w:t>;</w:t>
      </w:r>
    </w:p>
    <w:p w:rsidR="00AD5A35" w:rsidRPr="008378DA" w:rsidRDefault="00AD5A35" w:rsidP="00AD5A35">
      <w:pPr>
        <w:pStyle w:val="ListBullet"/>
        <w:spacing w:after="0" w:line="240" w:lineRule="auto"/>
        <w:rPr>
          <w:rFonts w:cs="Arial"/>
        </w:rPr>
      </w:pPr>
      <w:r w:rsidRPr="008378DA">
        <w:rPr>
          <w:rFonts w:cs="Arial"/>
        </w:rPr>
        <w:t>they don’t feel sufficiently supported to implement the change</w:t>
      </w:r>
      <w:r>
        <w:rPr>
          <w:rFonts w:cs="Arial"/>
        </w:rPr>
        <w:t>;</w:t>
      </w:r>
    </w:p>
    <w:p w:rsidR="00AD5A35" w:rsidRPr="008378DA" w:rsidRDefault="00AD5A35" w:rsidP="00AD5A35">
      <w:pPr>
        <w:pStyle w:val="ListBullet"/>
        <w:spacing w:after="0" w:line="240" w:lineRule="auto"/>
        <w:rPr>
          <w:rFonts w:cs="Arial"/>
        </w:rPr>
      </w:pPr>
      <w:r w:rsidRPr="008378DA">
        <w:rPr>
          <w:rFonts w:cs="Arial"/>
        </w:rPr>
        <w:t>they are concerned about the rate of change</w:t>
      </w:r>
      <w:r>
        <w:rPr>
          <w:rFonts w:cs="Arial"/>
        </w:rPr>
        <w:t>; and/or</w:t>
      </w:r>
    </w:p>
    <w:p w:rsidR="00AD5A35" w:rsidRDefault="00AD5A35" w:rsidP="00AD5A35">
      <w:pPr>
        <w:pStyle w:val="ListBullet"/>
        <w:spacing w:after="0" w:line="240" w:lineRule="auto"/>
        <w:rPr>
          <w:rFonts w:cs="Arial"/>
        </w:rPr>
      </w:pPr>
      <w:r w:rsidRPr="008378DA">
        <w:rPr>
          <w:rFonts w:cs="Arial"/>
        </w:rPr>
        <w:t>they feel that business</w:t>
      </w:r>
      <w:r w:rsidR="004A173E">
        <w:rPr>
          <w:rFonts w:cs="Arial"/>
        </w:rPr>
        <w:t>-</w:t>
      </w:r>
      <w:r w:rsidRPr="008378DA">
        <w:rPr>
          <w:rFonts w:cs="Arial"/>
        </w:rPr>
        <w:t>as</w:t>
      </w:r>
      <w:r w:rsidR="004A173E">
        <w:rPr>
          <w:rFonts w:cs="Arial"/>
        </w:rPr>
        <w:t>-</w:t>
      </w:r>
      <w:r w:rsidRPr="008378DA">
        <w:rPr>
          <w:rFonts w:cs="Arial"/>
        </w:rPr>
        <w:t>usual work will suffer and any reduction in work quality will reflect badly on them.</w:t>
      </w:r>
    </w:p>
    <w:p w:rsidR="00CD6C7A" w:rsidRPr="008378DA" w:rsidRDefault="00CD6C7A" w:rsidP="00CD6C7A">
      <w:pPr>
        <w:pStyle w:val="ListBullet"/>
        <w:numPr>
          <w:ilvl w:val="0"/>
          <w:numId w:val="0"/>
        </w:numPr>
        <w:spacing w:after="0" w:line="240" w:lineRule="auto"/>
        <w:ind w:left="369"/>
        <w:rPr>
          <w:rFonts w:cs="Arial"/>
        </w:rPr>
      </w:pPr>
    </w:p>
    <w:p w:rsidR="00AD5A35" w:rsidRDefault="00BB226F" w:rsidP="00954196">
      <w:pPr>
        <w:pStyle w:val="ListBullet"/>
        <w:numPr>
          <w:ilvl w:val="0"/>
          <w:numId w:val="0"/>
        </w:numPr>
        <w:rPr>
          <w:rFonts w:cs="Arial"/>
        </w:rPr>
      </w:pPr>
      <w:r>
        <w:rPr>
          <w:rFonts w:cs="Arial"/>
        </w:rPr>
        <w:t>These concerns are applicable to</w:t>
      </w:r>
      <w:r w:rsidR="00AD5A35">
        <w:rPr>
          <w:rFonts w:cs="Arial"/>
        </w:rPr>
        <w:t xml:space="preserve"> structural changes,</w:t>
      </w:r>
      <w:r>
        <w:rPr>
          <w:rFonts w:cs="Arial"/>
        </w:rPr>
        <w:t xml:space="preserve"> as well as the introduction of</w:t>
      </w:r>
      <w:r w:rsidR="00AD5A35">
        <w:rPr>
          <w:rFonts w:cs="Arial"/>
        </w:rPr>
        <w:t xml:space="preserve"> new policies, processes, and initiatives.</w:t>
      </w:r>
    </w:p>
    <w:p w:rsidR="00AD5A35" w:rsidRDefault="00AD5A35" w:rsidP="00AD5A35">
      <w:pPr>
        <w:pStyle w:val="ListBullet"/>
        <w:numPr>
          <w:ilvl w:val="0"/>
          <w:numId w:val="0"/>
        </w:numPr>
        <w:rPr>
          <w:rFonts w:cs="Arial"/>
        </w:rPr>
      </w:pPr>
      <w:r>
        <w:rPr>
          <w:rFonts w:cs="Arial"/>
        </w:rPr>
        <w:t>While there has been an active attempt by management within EPG to guide staff through change, this is not always consistently undertaken. Communication with staff during the establishment of ESD is a good example - staff were kept up-to-date with the progress of the change through regular e-mails</w:t>
      </w:r>
      <w:r w:rsidR="00ED02CB">
        <w:rPr>
          <w:rFonts w:cs="Arial"/>
        </w:rPr>
        <w:t xml:space="preserve"> and</w:t>
      </w:r>
      <w:r>
        <w:rPr>
          <w:rFonts w:cs="Arial"/>
        </w:rPr>
        <w:t xml:space="preserve"> all-staff meetings</w:t>
      </w:r>
      <w:r w:rsidR="00ED02CB">
        <w:rPr>
          <w:rFonts w:cs="Arial"/>
        </w:rPr>
        <w:t>,</w:t>
      </w:r>
      <w:r>
        <w:rPr>
          <w:rFonts w:cs="Arial"/>
        </w:rPr>
        <w:t xml:space="preserve"> and forums were held where staff could raise, and collectively work through, any concerns they had about the change. </w:t>
      </w:r>
      <w:r w:rsidR="00214341">
        <w:rPr>
          <w:rFonts w:cs="Arial"/>
        </w:rPr>
        <w:t xml:space="preserve">This process </w:t>
      </w:r>
      <w:r w:rsidR="00214341">
        <w:rPr>
          <w:rFonts w:cs="Arial"/>
        </w:rPr>
        <w:lastRenderedPageBreak/>
        <w:t xml:space="preserve">could be further improved by extending that engagement to interested areas outside the </w:t>
      </w:r>
      <w:r w:rsidR="00ED02CB">
        <w:rPr>
          <w:rFonts w:cs="Arial"/>
        </w:rPr>
        <w:t>D</w:t>
      </w:r>
      <w:r w:rsidR="00214341">
        <w:rPr>
          <w:rFonts w:cs="Arial"/>
        </w:rPr>
        <w:t>ivision (for example General Counsel Branch).</w:t>
      </w:r>
    </w:p>
    <w:p w:rsidR="00AD5A35" w:rsidRDefault="00AD5A35" w:rsidP="004D275E">
      <w:pPr>
        <w:pStyle w:val="ListBullet"/>
        <w:numPr>
          <w:ilvl w:val="0"/>
          <w:numId w:val="0"/>
        </w:numPr>
        <w:rPr>
          <w:rFonts w:cs="Arial"/>
        </w:rPr>
      </w:pPr>
      <w:r>
        <w:rPr>
          <w:rFonts w:cs="Arial"/>
        </w:rPr>
        <w:t xml:space="preserve">The establishment of weekly ‘stand-up’ meetings with Division Heads </w:t>
      </w:r>
      <w:r w:rsidR="00B02B86">
        <w:rPr>
          <w:rFonts w:cs="Arial"/>
        </w:rPr>
        <w:t xml:space="preserve">and the Deputy Secretary of </w:t>
      </w:r>
      <w:r>
        <w:rPr>
          <w:rFonts w:cs="Arial"/>
        </w:rPr>
        <w:t xml:space="preserve">EPG was also a good initiative to allow staff to address any concerns they had about change. However, feedback from staff noted that a tendency to cancel or reschedule those meetings reduced their usefulness.  </w:t>
      </w:r>
    </w:p>
    <w:tbl>
      <w:tblPr>
        <w:tblStyle w:val="TableGrid"/>
        <w:tblW w:w="0" w:type="auto"/>
        <w:tblLook w:val="04A0" w:firstRow="1" w:lastRow="0" w:firstColumn="1" w:lastColumn="0" w:noHBand="0" w:noVBand="1"/>
      </w:tblPr>
      <w:tblGrid>
        <w:gridCol w:w="9212"/>
      </w:tblGrid>
      <w:tr w:rsidR="00AD5A35" w:rsidTr="00F425C2">
        <w:trPr>
          <w:cnfStyle w:val="100000000000" w:firstRow="1" w:lastRow="0" w:firstColumn="0" w:lastColumn="0" w:oddVBand="0" w:evenVBand="0" w:oddHBand="0" w:evenHBand="0" w:firstRowFirstColumn="0" w:firstRowLastColumn="0" w:lastRowFirstColumn="0" w:lastRowLastColumn="0"/>
        </w:trPr>
        <w:tc>
          <w:tcPr>
            <w:tcW w:w="9428" w:type="dxa"/>
            <w:tcBorders>
              <w:top w:val="nil"/>
              <w:left w:val="nil"/>
              <w:bottom w:val="nil"/>
              <w:right w:val="nil"/>
            </w:tcBorders>
            <w:shd w:val="clear" w:color="auto" w:fill="C7E2FA" w:themeFill="accent1" w:themeFillTint="33"/>
          </w:tcPr>
          <w:p w:rsidR="00AD5A35" w:rsidRPr="007C08DC" w:rsidRDefault="004D275E" w:rsidP="00F425C2">
            <w:pPr>
              <w:pStyle w:val="ListBullet"/>
              <w:numPr>
                <w:ilvl w:val="0"/>
                <w:numId w:val="0"/>
              </w:numPr>
              <w:spacing w:before="240"/>
              <w:rPr>
                <w:rFonts w:cs="Arial"/>
                <w:b/>
              </w:rPr>
            </w:pPr>
            <w:r>
              <w:rPr>
                <w:rFonts w:cs="Arial"/>
                <w:b/>
              </w:rPr>
              <w:t>Recommendation 3</w:t>
            </w:r>
            <w:r w:rsidR="00AD5A35" w:rsidRPr="007C08DC">
              <w:rPr>
                <w:rFonts w:cs="Arial"/>
                <w:b/>
              </w:rPr>
              <w:t>.6 (Change management)</w:t>
            </w:r>
          </w:p>
          <w:p w:rsidR="00AD5A35" w:rsidRDefault="00AD5A35" w:rsidP="00AD5A35">
            <w:pPr>
              <w:pStyle w:val="ListBullet"/>
              <w:numPr>
                <w:ilvl w:val="0"/>
                <w:numId w:val="0"/>
              </w:numPr>
              <w:rPr>
                <w:rFonts w:cs="Arial"/>
              </w:rPr>
            </w:pPr>
            <w:r w:rsidRPr="004D275E">
              <w:rPr>
                <w:rFonts w:cs="Arial"/>
                <w:i/>
              </w:rPr>
              <w:t>Importance</w:t>
            </w:r>
            <w:r w:rsidR="004D275E">
              <w:rPr>
                <w:rFonts w:cs="Arial"/>
              </w:rPr>
              <w:t>:</w:t>
            </w:r>
            <w:r>
              <w:rPr>
                <w:rFonts w:cs="Arial"/>
              </w:rPr>
              <w:t xml:space="preserve"> 2</w:t>
            </w:r>
          </w:p>
          <w:p w:rsidR="00AD5A35" w:rsidRDefault="00AD5A35" w:rsidP="00AD5A35">
            <w:pPr>
              <w:pStyle w:val="ListBullet"/>
              <w:numPr>
                <w:ilvl w:val="0"/>
                <w:numId w:val="0"/>
              </w:numPr>
              <w:rPr>
                <w:rFonts w:cs="Arial"/>
              </w:rPr>
            </w:pPr>
            <w:r w:rsidRPr="004D275E">
              <w:rPr>
                <w:rFonts w:cs="Arial"/>
                <w:i/>
              </w:rPr>
              <w:t>Timing</w:t>
            </w:r>
            <w:r w:rsidR="004D275E" w:rsidRPr="004D275E">
              <w:rPr>
                <w:rFonts w:cs="Arial"/>
                <w:i/>
              </w:rPr>
              <w:t>:</w:t>
            </w:r>
            <w:r>
              <w:rPr>
                <w:rFonts w:cs="Arial"/>
              </w:rPr>
              <w:t xml:space="preserve"> 2</w:t>
            </w:r>
          </w:p>
          <w:p w:rsidR="00AD5A35" w:rsidRDefault="00AD5A35" w:rsidP="00AD5A35">
            <w:pPr>
              <w:rPr>
                <w:rFonts w:cs="Arial"/>
              </w:rPr>
            </w:pPr>
            <w:r w:rsidRPr="007C08DC">
              <w:rPr>
                <w:rFonts w:cs="Arial"/>
              </w:rPr>
              <w:t xml:space="preserve">Senior Executive </w:t>
            </w:r>
            <w:r>
              <w:rPr>
                <w:rFonts w:cs="Arial"/>
              </w:rPr>
              <w:t>should adopt a more consistent approach to two-way engagement with staff in times of change. This needs to involve a consistent and clear message</w:t>
            </w:r>
            <w:r w:rsidRPr="007C08DC">
              <w:rPr>
                <w:rFonts w:cs="Arial"/>
              </w:rPr>
              <w:t xml:space="preserve"> about vision and direction, as well as the reasons for </w:t>
            </w:r>
            <w:r>
              <w:rPr>
                <w:rFonts w:cs="Arial"/>
              </w:rPr>
              <w:t xml:space="preserve">the </w:t>
            </w:r>
            <w:r w:rsidRPr="007C08DC">
              <w:rPr>
                <w:rFonts w:cs="Arial"/>
              </w:rPr>
              <w:t xml:space="preserve">change. </w:t>
            </w:r>
          </w:p>
          <w:p w:rsidR="00AD5A35" w:rsidRPr="007C08DC" w:rsidRDefault="00AD5A35" w:rsidP="00AD5A35">
            <w:pPr>
              <w:rPr>
                <w:rFonts w:cs="Arial"/>
              </w:rPr>
            </w:pPr>
            <w:r>
              <w:rPr>
                <w:rFonts w:cs="Arial"/>
              </w:rPr>
              <w:t xml:space="preserve">EPG </w:t>
            </w:r>
            <w:r w:rsidR="00607573">
              <w:rPr>
                <w:rFonts w:cs="Arial"/>
              </w:rPr>
              <w:t>Senior Executive</w:t>
            </w:r>
            <w:r w:rsidR="00C23137">
              <w:rPr>
                <w:rFonts w:cs="Arial"/>
              </w:rPr>
              <w:t>s</w:t>
            </w:r>
            <w:r w:rsidR="00607573">
              <w:rPr>
                <w:rFonts w:cs="Arial"/>
              </w:rPr>
              <w:t xml:space="preserve"> </w:t>
            </w:r>
            <w:r>
              <w:rPr>
                <w:rFonts w:cs="Arial"/>
              </w:rPr>
              <w:t xml:space="preserve">should make the ‘big decisions’, but consult with staff about the best way to implement the details. </w:t>
            </w:r>
          </w:p>
          <w:p w:rsidR="00AD5A35" w:rsidRPr="007C08DC" w:rsidRDefault="00AD5A35" w:rsidP="00AD5A35">
            <w:pPr>
              <w:rPr>
                <w:rFonts w:cs="Arial"/>
              </w:rPr>
            </w:pPr>
            <w:r w:rsidRPr="007C08DC">
              <w:rPr>
                <w:rFonts w:cs="Arial"/>
              </w:rPr>
              <w:t>EPG should allow more time and resources to support the implementation of new policies and approaches. This may require slowing down the rate of change to bed down existing policies.</w:t>
            </w:r>
          </w:p>
          <w:p w:rsidR="00AD5A35" w:rsidRPr="007C08DC" w:rsidRDefault="00AD5A35" w:rsidP="00AD5A35">
            <w:pPr>
              <w:rPr>
                <w:rFonts w:cs="Arial"/>
              </w:rPr>
            </w:pPr>
            <w:r w:rsidRPr="007C08DC">
              <w:rPr>
                <w:rFonts w:cs="Arial"/>
              </w:rPr>
              <w:t>EPG should seek volunteers to act as change agents. These would be people who are willing to take on some additional responsibility, with appropriate training, to assist and guide their colleagues through change and be conduit</w:t>
            </w:r>
            <w:r>
              <w:rPr>
                <w:rFonts w:cs="Arial"/>
              </w:rPr>
              <w:t>s</w:t>
            </w:r>
            <w:r w:rsidRPr="007C08DC">
              <w:rPr>
                <w:rFonts w:cs="Arial"/>
              </w:rPr>
              <w:t xml:space="preserve"> between staff and management. This could be modelled on the approach taken by the Australian Taxation Office. </w:t>
            </w:r>
          </w:p>
          <w:p w:rsidR="00AD5A35" w:rsidRPr="004D275E" w:rsidRDefault="00AD5A35" w:rsidP="00954196">
            <w:pPr>
              <w:rPr>
                <w:rFonts w:cs="Arial"/>
                <w:b/>
                <w:sz w:val="24"/>
                <w:szCs w:val="24"/>
              </w:rPr>
            </w:pPr>
            <w:r w:rsidRPr="007C08DC">
              <w:rPr>
                <w:rFonts w:cs="Arial"/>
              </w:rPr>
              <w:t xml:space="preserve">If the changes in </w:t>
            </w:r>
            <w:r w:rsidR="00954196">
              <w:rPr>
                <w:rFonts w:cs="Arial"/>
                <w:i/>
              </w:rPr>
              <w:t>Recommendation 2.7 (Responsibility for post-approvals functions for environmental impact approvals)</w:t>
            </w:r>
            <w:r w:rsidR="00954196">
              <w:rPr>
                <w:rFonts w:cs="Arial"/>
              </w:rPr>
              <w:t xml:space="preserve">, </w:t>
            </w:r>
            <w:r w:rsidR="00954196">
              <w:rPr>
                <w:rFonts w:cs="Arial"/>
                <w:i/>
              </w:rPr>
              <w:t>Recommendation 3.3 (Centralised support)</w:t>
            </w:r>
            <w:r w:rsidR="00954196">
              <w:rPr>
                <w:rFonts w:cs="Arial"/>
              </w:rPr>
              <w:t xml:space="preserve"> and </w:t>
            </w:r>
            <w:r w:rsidR="00954196">
              <w:rPr>
                <w:rFonts w:cs="Arial"/>
                <w:i/>
              </w:rPr>
              <w:t>Recommendation 3.4 (Compliance functions</w:t>
            </w:r>
            <w:r w:rsidR="00954196">
              <w:rPr>
                <w:rFonts w:cs="Arial"/>
              </w:rPr>
              <w:t>)</w:t>
            </w:r>
            <w:r w:rsidR="00B02B86">
              <w:rPr>
                <w:rFonts w:cs="Arial"/>
              </w:rPr>
              <w:t xml:space="preserve"> are made, EPG </w:t>
            </w:r>
            <w:r w:rsidRPr="007C08DC">
              <w:rPr>
                <w:rFonts w:cs="Arial"/>
              </w:rPr>
              <w:t xml:space="preserve">should allow a reasonable time to bed them down and fully evaluate their effectiveness before further structural change.   </w:t>
            </w:r>
          </w:p>
        </w:tc>
      </w:tr>
    </w:tbl>
    <w:p w:rsidR="00524907" w:rsidRDefault="00524907" w:rsidP="00F425C2">
      <w:pPr>
        <w:pStyle w:val="Heading1"/>
        <w:spacing w:after="120"/>
        <w:rPr>
          <w:caps w:val="0"/>
          <w:color w:val="0B5294" w:themeColor="accent1" w:themeShade="BF"/>
          <w:sz w:val="24"/>
          <w:szCs w:val="24"/>
        </w:rPr>
      </w:pPr>
    </w:p>
    <w:p w:rsidR="00AD5A35" w:rsidRPr="00F425C2" w:rsidRDefault="00AD5A35" w:rsidP="00F425C2">
      <w:pPr>
        <w:pStyle w:val="Heading1"/>
        <w:spacing w:after="120"/>
        <w:rPr>
          <w:caps w:val="0"/>
          <w:color w:val="0B5294" w:themeColor="accent1" w:themeShade="BF"/>
          <w:sz w:val="24"/>
          <w:szCs w:val="24"/>
        </w:rPr>
      </w:pPr>
      <w:bookmarkStart w:id="49" w:name="_Toc443405180"/>
      <w:r w:rsidRPr="00F425C2">
        <w:rPr>
          <w:caps w:val="0"/>
          <w:color w:val="0B5294" w:themeColor="accent1" w:themeShade="BF"/>
          <w:sz w:val="24"/>
          <w:szCs w:val="24"/>
        </w:rPr>
        <w:t>Innovation</w:t>
      </w:r>
      <w:bookmarkEnd w:id="49"/>
    </w:p>
    <w:p w:rsidR="00AD5A35" w:rsidRDefault="00AD5A35" w:rsidP="004D275E">
      <w:pPr>
        <w:pStyle w:val="ListBullet"/>
        <w:numPr>
          <w:ilvl w:val="0"/>
          <w:numId w:val="0"/>
        </w:numPr>
        <w:rPr>
          <w:rFonts w:cs="Arial"/>
        </w:rPr>
      </w:pPr>
      <w:r w:rsidRPr="0058692A">
        <w:rPr>
          <w:rFonts w:cs="Arial"/>
        </w:rPr>
        <w:t>As noted in OECD’s ‘Innovation Imperative’, Governments</w:t>
      </w:r>
      <w:r w:rsidRPr="004D275E">
        <w:rPr>
          <w:rFonts w:cs="Arial"/>
        </w:rPr>
        <w:t xml:space="preserve"> are operating in a new landscape. The public sector faces economic, social and environmental challenges; technology is</w:t>
      </w:r>
      <w:r w:rsidR="004D275E">
        <w:rPr>
          <w:rFonts w:cs="Arial"/>
        </w:rPr>
        <w:t xml:space="preserve"> </w:t>
      </w:r>
      <w:r w:rsidRPr="004D275E">
        <w:rPr>
          <w:rFonts w:cs="Arial"/>
        </w:rPr>
        <w:t>revolutionising how citizens interact with government; individuals and organisations across society are forming new kinds of partnerships; and citizens are more informed and connected than ever before. Together</w:t>
      </w:r>
      <w:r w:rsidR="005353D5">
        <w:rPr>
          <w:rFonts w:cs="Arial"/>
        </w:rPr>
        <w:t>,</w:t>
      </w:r>
      <w:r w:rsidRPr="004D275E">
        <w:rPr>
          <w:rFonts w:cs="Arial"/>
        </w:rPr>
        <w:t xml:space="preserve"> these factors create opportunities for new ways of thinking about government and how it works. </w:t>
      </w:r>
    </w:p>
    <w:p w:rsidR="00AD5A35" w:rsidRDefault="00AD5A35" w:rsidP="004D275E">
      <w:pPr>
        <w:pStyle w:val="ListBullet"/>
        <w:numPr>
          <w:ilvl w:val="0"/>
          <w:numId w:val="0"/>
        </w:numPr>
        <w:rPr>
          <w:rFonts w:cs="Arial"/>
        </w:rPr>
      </w:pPr>
      <w:r w:rsidRPr="004D275E">
        <w:rPr>
          <w:rFonts w:cs="Arial"/>
        </w:rPr>
        <w:t>The public sector is seeking to innovate. This requires a more open, collaborative, iterative and participatory</w:t>
      </w:r>
      <w:r w:rsidRPr="004D275E" w:rsidDel="00F928A1">
        <w:rPr>
          <w:rFonts w:cs="Arial"/>
        </w:rPr>
        <w:t xml:space="preserve"> </w:t>
      </w:r>
      <w:r w:rsidRPr="004D275E">
        <w:rPr>
          <w:rFonts w:cs="Arial"/>
        </w:rPr>
        <w:t>work environment that supports staff to take risks, test new ideas and work in new ways.</w:t>
      </w:r>
    </w:p>
    <w:p w:rsidR="00384F55" w:rsidRDefault="00AD5A35" w:rsidP="00384F55">
      <w:pPr>
        <w:rPr>
          <w:rFonts w:cs="Arial"/>
        </w:rPr>
      </w:pPr>
      <w:r>
        <w:rPr>
          <w:rFonts w:cs="Arial"/>
        </w:rPr>
        <w:t xml:space="preserve">The Department and the Australian Government is strongly committed to innovation, and there are innovative approaches being explored and implemented in some areas of EPG. </w:t>
      </w:r>
      <w:r w:rsidR="00384F55" w:rsidRPr="00D818D1">
        <w:rPr>
          <w:rFonts w:cs="Arial"/>
        </w:rPr>
        <w:t xml:space="preserve">Innovation </w:t>
      </w:r>
      <w:r w:rsidR="00384F55" w:rsidRPr="00D818D1">
        <w:rPr>
          <w:rFonts w:cs="Arial"/>
        </w:rPr>
        <w:lastRenderedPageBreak/>
        <w:t>is</w:t>
      </w:r>
      <w:r w:rsidR="00384F55">
        <w:rPr>
          <w:rFonts w:cs="Arial"/>
        </w:rPr>
        <w:t>,</w:t>
      </w:r>
      <w:r w:rsidR="00384F55" w:rsidRPr="00D818D1">
        <w:rPr>
          <w:rFonts w:cs="Arial"/>
        </w:rPr>
        <w:t xml:space="preserve"> however</w:t>
      </w:r>
      <w:r w:rsidR="00384F55">
        <w:rPr>
          <w:rFonts w:cs="Arial"/>
        </w:rPr>
        <w:t>,</w:t>
      </w:r>
      <w:r w:rsidR="00384F55" w:rsidRPr="00D818D1">
        <w:rPr>
          <w:rFonts w:cs="Arial"/>
        </w:rPr>
        <w:t xml:space="preserve"> often limited by resources, the need to undertake core </w:t>
      </w:r>
      <w:r w:rsidR="00384F55">
        <w:rPr>
          <w:rFonts w:cs="Arial"/>
        </w:rPr>
        <w:t xml:space="preserve">functions required by </w:t>
      </w:r>
      <w:r w:rsidR="00384F55" w:rsidRPr="00D818D1">
        <w:rPr>
          <w:rFonts w:cs="Arial"/>
        </w:rPr>
        <w:t>legislati</w:t>
      </w:r>
      <w:r w:rsidR="00384F55">
        <w:rPr>
          <w:rFonts w:cs="Arial"/>
        </w:rPr>
        <w:t>on</w:t>
      </w:r>
      <w:r w:rsidR="00384F55" w:rsidRPr="00D818D1">
        <w:rPr>
          <w:rFonts w:cs="Arial"/>
        </w:rPr>
        <w:t xml:space="preserve"> and </w:t>
      </w:r>
      <w:r w:rsidR="00384F55">
        <w:rPr>
          <w:rFonts w:cs="Arial"/>
        </w:rPr>
        <w:t xml:space="preserve">the need to </w:t>
      </w:r>
      <w:r w:rsidR="00384F55" w:rsidRPr="00D818D1">
        <w:rPr>
          <w:rFonts w:cs="Arial"/>
        </w:rPr>
        <w:t>manag</w:t>
      </w:r>
      <w:r w:rsidR="00384F55">
        <w:rPr>
          <w:rFonts w:cs="Arial"/>
        </w:rPr>
        <w:t>e new initiatives.</w:t>
      </w:r>
    </w:p>
    <w:p w:rsidR="00854C83" w:rsidRDefault="00854C83" w:rsidP="00384F55">
      <w:pPr>
        <w:rPr>
          <w:rFonts w:cs="Arial"/>
        </w:rPr>
      </w:pPr>
    </w:p>
    <w:p w:rsidR="00854C83" w:rsidRDefault="00854C83" w:rsidP="00384F55">
      <w:pPr>
        <w:rPr>
          <w:rFonts w:cs="Arial"/>
        </w:rPr>
      </w:pPr>
    </w:p>
    <w:tbl>
      <w:tblPr>
        <w:tblStyle w:val="TableGrid"/>
        <w:tblW w:w="0" w:type="auto"/>
        <w:tblLook w:val="04A0" w:firstRow="1" w:lastRow="0" w:firstColumn="1" w:lastColumn="0" w:noHBand="0" w:noVBand="1"/>
      </w:tblPr>
      <w:tblGrid>
        <w:gridCol w:w="9212"/>
      </w:tblGrid>
      <w:tr w:rsidR="00AD5A35" w:rsidTr="00851F3B">
        <w:trPr>
          <w:cnfStyle w:val="100000000000" w:firstRow="1" w:lastRow="0" w:firstColumn="0" w:lastColumn="0" w:oddVBand="0" w:evenVBand="0" w:oddHBand="0" w:evenHBand="0" w:firstRowFirstColumn="0" w:firstRowLastColumn="0" w:lastRowFirstColumn="0" w:lastRowLastColumn="0"/>
        </w:trPr>
        <w:tc>
          <w:tcPr>
            <w:tcW w:w="9428" w:type="dxa"/>
            <w:tcBorders>
              <w:top w:val="nil"/>
              <w:left w:val="nil"/>
              <w:bottom w:val="nil"/>
              <w:right w:val="nil"/>
            </w:tcBorders>
            <w:shd w:val="clear" w:color="auto" w:fill="E4F4DF" w:themeFill="accent5" w:themeFillTint="33"/>
          </w:tcPr>
          <w:p w:rsidR="00507774" w:rsidRPr="00A466EF" w:rsidRDefault="00507774" w:rsidP="00507774">
            <w:pPr>
              <w:rPr>
                <w:rFonts w:cs="Arial"/>
                <w:b/>
              </w:rPr>
            </w:pPr>
            <w:r w:rsidRPr="00A466EF">
              <w:rPr>
                <w:rFonts w:cs="Arial"/>
                <w:b/>
              </w:rPr>
              <w:t xml:space="preserve">Case Study – </w:t>
            </w:r>
            <w:r>
              <w:rPr>
                <w:rFonts w:cs="Arial"/>
                <w:b/>
              </w:rPr>
              <w:t xml:space="preserve">Developing a </w:t>
            </w:r>
            <w:r w:rsidRPr="00A466EF">
              <w:rPr>
                <w:rFonts w:cs="Arial"/>
                <w:b/>
              </w:rPr>
              <w:t xml:space="preserve">Common Assessment Method </w:t>
            </w:r>
          </w:p>
          <w:p w:rsidR="00507774" w:rsidRPr="00041B1F" w:rsidRDefault="00507774" w:rsidP="00507774">
            <w:pPr>
              <w:rPr>
                <w:rFonts w:cs="Arial"/>
              </w:rPr>
            </w:pPr>
            <w:r w:rsidRPr="00041B1F">
              <w:rPr>
                <w:rFonts w:cs="Arial"/>
              </w:rPr>
              <w:t>Federal, state and territory governments currently maintain separate statutory lists of threatened species, and in some cases ecological communities. Currently</w:t>
            </w:r>
            <w:r w:rsidR="005353D5">
              <w:rPr>
                <w:rFonts w:cs="Arial"/>
              </w:rPr>
              <w:t>, a species or ecological community</w:t>
            </w:r>
            <w:r w:rsidRPr="00041B1F">
              <w:rPr>
                <w:rFonts w:cs="Arial"/>
              </w:rPr>
              <w:t xml:space="preserve"> can be listed at different threat categories on different jurisdiction lists which can be confusing to business and the community.</w:t>
            </w:r>
            <w:r>
              <w:rPr>
                <w:rFonts w:cs="Arial"/>
              </w:rPr>
              <w:t xml:space="preserve"> This can also add to regulatory burden, for example, by requiring separate assessment documentation to be prepared by regulated entities for a single project. </w:t>
            </w:r>
          </w:p>
          <w:p w:rsidR="00507774" w:rsidRDefault="005353D5" w:rsidP="00384F55">
            <w:pPr>
              <w:rPr>
                <w:rFonts w:cs="Arial"/>
              </w:rPr>
            </w:pPr>
            <w:r>
              <w:rPr>
                <w:rFonts w:cs="Arial"/>
              </w:rPr>
              <w:t>The Department</w:t>
            </w:r>
            <w:r w:rsidRPr="00041B1F">
              <w:rPr>
                <w:rFonts w:cs="Arial"/>
              </w:rPr>
              <w:t xml:space="preserve"> </w:t>
            </w:r>
            <w:r w:rsidR="00507774" w:rsidRPr="00041B1F">
              <w:rPr>
                <w:rFonts w:cs="Arial"/>
              </w:rPr>
              <w:t xml:space="preserve">has been working with </w:t>
            </w:r>
            <w:r>
              <w:rPr>
                <w:rFonts w:cs="Arial"/>
              </w:rPr>
              <w:t>all s</w:t>
            </w:r>
            <w:r w:rsidR="00507774" w:rsidRPr="00041B1F">
              <w:rPr>
                <w:rFonts w:cs="Arial"/>
              </w:rPr>
              <w:t>tates and territories to develop a nationally consistent approach to assessing risks to species and ecological communities and assigning threat categories</w:t>
            </w:r>
            <w:r w:rsidR="00384F55">
              <w:rPr>
                <w:rFonts w:cs="Arial"/>
              </w:rPr>
              <w:t xml:space="preserve"> (a common assessment method)</w:t>
            </w:r>
            <w:r w:rsidR="00507774" w:rsidRPr="00041B1F">
              <w:rPr>
                <w:rFonts w:cs="Arial"/>
              </w:rPr>
              <w:t>. Implementation arrangements</w:t>
            </w:r>
            <w:r w:rsidR="00384F55">
              <w:rPr>
                <w:rFonts w:cs="Arial"/>
              </w:rPr>
              <w:t xml:space="preserve"> for this common assessment method</w:t>
            </w:r>
            <w:r w:rsidR="00507774" w:rsidRPr="00041B1F">
              <w:rPr>
                <w:rFonts w:cs="Arial"/>
              </w:rPr>
              <w:t xml:space="preserve"> are currently being developed by an inter-jurisdictional working group to ensure </w:t>
            </w:r>
            <w:r w:rsidR="00384F55">
              <w:rPr>
                <w:rFonts w:cs="Arial"/>
              </w:rPr>
              <w:t>its application</w:t>
            </w:r>
            <w:r w:rsidR="00507774" w:rsidRPr="00041B1F">
              <w:rPr>
                <w:rFonts w:cs="Arial"/>
              </w:rPr>
              <w:t xml:space="preserve"> </w:t>
            </w:r>
            <w:r w:rsidR="00384F55" w:rsidRPr="00041B1F">
              <w:rPr>
                <w:rFonts w:cs="Arial"/>
              </w:rPr>
              <w:t>w</w:t>
            </w:r>
            <w:r w:rsidR="00384F55">
              <w:rPr>
                <w:rFonts w:cs="Arial"/>
              </w:rPr>
              <w:t>ill</w:t>
            </w:r>
            <w:r w:rsidR="00384F55" w:rsidRPr="00041B1F">
              <w:rPr>
                <w:rFonts w:cs="Arial"/>
              </w:rPr>
              <w:t xml:space="preserve"> </w:t>
            </w:r>
            <w:r w:rsidR="00507774" w:rsidRPr="00041B1F">
              <w:rPr>
                <w:rFonts w:cs="Arial"/>
              </w:rPr>
              <w:t>improve listing efficiency and timeliness, reduce duplication of effort</w:t>
            </w:r>
            <w:r w:rsidR="00384F55">
              <w:rPr>
                <w:rFonts w:cs="Arial"/>
              </w:rPr>
              <w:t>, and</w:t>
            </w:r>
            <w:r w:rsidR="00507774" w:rsidRPr="00041B1F">
              <w:rPr>
                <w:rFonts w:cs="Arial"/>
              </w:rPr>
              <w:t xml:space="preserve"> maintain effective protection for threatened species and communities.</w:t>
            </w:r>
          </w:p>
        </w:tc>
      </w:tr>
    </w:tbl>
    <w:p w:rsidR="00384F55" w:rsidRDefault="00384F55" w:rsidP="00AD5A35">
      <w:pPr>
        <w:rPr>
          <w:rFonts w:cs="Arial"/>
        </w:rPr>
      </w:pPr>
    </w:p>
    <w:tbl>
      <w:tblPr>
        <w:tblStyle w:val="TableGrid"/>
        <w:tblW w:w="0" w:type="auto"/>
        <w:tblLook w:val="04A0" w:firstRow="1" w:lastRow="0" w:firstColumn="1" w:lastColumn="0" w:noHBand="0" w:noVBand="1"/>
      </w:tblPr>
      <w:tblGrid>
        <w:gridCol w:w="9212"/>
      </w:tblGrid>
      <w:tr w:rsidR="00AD5A35" w:rsidTr="00851F3B">
        <w:trPr>
          <w:cnfStyle w:val="100000000000" w:firstRow="1" w:lastRow="0" w:firstColumn="0" w:lastColumn="0" w:oddVBand="0" w:evenVBand="0" w:oddHBand="0" w:evenHBand="0" w:firstRowFirstColumn="0" w:firstRowLastColumn="0" w:lastRowFirstColumn="0" w:lastRowLastColumn="0"/>
        </w:trPr>
        <w:tc>
          <w:tcPr>
            <w:tcW w:w="9428" w:type="dxa"/>
            <w:tcBorders>
              <w:top w:val="nil"/>
              <w:left w:val="nil"/>
              <w:bottom w:val="nil"/>
              <w:right w:val="nil"/>
            </w:tcBorders>
            <w:shd w:val="clear" w:color="auto" w:fill="C7E2FA" w:themeFill="accent1" w:themeFillTint="33"/>
          </w:tcPr>
          <w:p w:rsidR="00AD5A35" w:rsidRPr="005557D3" w:rsidRDefault="00AD5A35" w:rsidP="00851F3B">
            <w:pPr>
              <w:pStyle w:val="ListBullet"/>
              <w:numPr>
                <w:ilvl w:val="0"/>
                <w:numId w:val="0"/>
              </w:numPr>
              <w:spacing w:before="240"/>
              <w:rPr>
                <w:rFonts w:cs="Arial"/>
                <w:b/>
              </w:rPr>
            </w:pPr>
            <w:r w:rsidRPr="005557D3">
              <w:rPr>
                <w:rFonts w:cs="Arial"/>
                <w:b/>
              </w:rPr>
              <w:t xml:space="preserve">Recommendation </w:t>
            </w:r>
            <w:r w:rsidR="004D275E">
              <w:rPr>
                <w:rFonts w:cs="Arial"/>
                <w:b/>
              </w:rPr>
              <w:t>3</w:t>
            </w:r>
            <w:r w:rsidRPr="005557D3">
              <w:rPr>
                <w:rFonts w:cs="Arial"/>
                <w:b/>
              </w:rPr>
              <w:t>.7 (Innovation)</w:t>
            </w:r>
          </w:p>
          <w:p w:rsidR="00AD5A35" w:rsidRDefault="00AD5A35" w:rsidP="00AD5A35">
            <w:pPr>
              <w:rPr>
                <w:rFonts w:cs="Arial"/>
              </w:rPr>
            </w:pPr>
            <w:r w:rsidRPr="004D275E">
              <w:rPr>
                <w:rFonts w:cs="Arial"/>
                <w:i/>
              </w:rPr>
              <w:t>Importance:</w:t>
            </w:r>
            <w:r>
              <w:rPr>
                <w:rFonts w:cs="Arial"/>
              </w:rPr>
              <w:t xml:space="preserve"> </w:t>
            </w:r>
            <w:r w:rsidR="0013636F">
              <w:rPr>
                <w:rFonts w:cs="Arial"/>
              </w:rPr>
              <w:t>2</w:t>
            </w:r>
          </w:p>
          <w:p w:rsidR="00AD5A35" w:rsidRDefault="00AD5A35" w:rsidP="00AD5A35">
            <w:pPr>
              <w:rPr>
                <w:rFonts w:cs="Arial"/>
              </w:rPr>
            </w:pPr>
            <w:r w:rsidRPr="004D275E">
              <w:rPr>
                <w:rFonts w:cs="Arial"/>
                <w:i/>
              </w:rPr>
              <w:t>Timing</w:t>
            </w:r>
            <w:r w:rsidR="004D275E" w:rsidRPr="004D275E">
              <w:rPr>
                <w:rFonts w:cs="Arial"/>
                <w:i/>
              </w:rPr>
              <w:t>:</w:t>
            </w:r>
            <w:r>
              <w:rPr>
                <w:rFonts w:cs="Arial"/>
              </w:rPr>
              <w:t xml:space="preserve"> </w:t>
            </w:r>
            <w:r w:rsidR="0013636F">
              <w:rPr>
                <w:rFonts w:cs="Arial"/>
              </w:rPr>
              <w:t>2</w:t>
            </w:r>
          </w:p>
          <w:p w:rsidR="00AD5A35" w:rsidRPr="005557D3" w:rsidRDefault="00AD5A35" w:rsidP="00AD5A35">
            <w:pPr>
              <w:rPr>
                <w:rFonts w:cs="Arial"/>
              </w:rPr>
            </w:pPr>
            <w:r w:rsidRPr="005557D3">
              <w:rPr>
                <w:rFonts w:cs="Arial"/>
              </w:rPr>
              <w:t xml:space="preserve">EPG should continue to maintain a focus on innovation. </w:t>
            </w:r>
            <w:r w:rsidR="00384F55">
              <w:rPr>
                <w:rFonts w:cs="Arial"/>
              </w:rPr>
              <w:t xml:space="preserve">EPG </w:t>
            </w:r>
            <w:r w:rsidRPr="005557D3">
              <w:rPr>
                <w:rFonts w:cs="Arial"/>
              </w:rPr>
              <w:t>can enhance its support for innovation by:</w:t>
            </w:r>
          </w:p>
          <w:p w:rsidR="00AD5A35" w:rsidRPr="005557D3" w:rsidRDefault="00AD5A35" w:rsidP="00E65120">
            <w:pPr>
              <w:pStyle w:val="ListParagraph"/>
              <w:numPr>
                <w:ilvl w:val="0"/>
                <w:numId w:val="17"/>
              </w:numPr>
              <w:spacing w:after="0" w:line="240" w:lineRule="auto"/>
              <w:rPr>
                <w:rFonts w:cs="Arial"/>
              </w:rPr>
            </w:pPr>
            <w:r w:rsidRPr="005557D3">
              <w:rPr>
                <w:rFonts w:cs="Arial"/>
              </w:rPr>
              <w:t>further promoting a culture of innovation;</w:t>
            </w:r>
          </w:p>
          <w:p w:rsidR="00AD5A35" w:rsidRPr="005557D3" w:rsidRDefault="00AD5A35" w:rsidP="00E65120">
            <w:pPr>
              <w:pStyle w:val="ListParagraph"/>
              <w:numPr>
                <w:ilvl w:val="0"/>
                <w:numId w:val="16"/>
              </w:numPr>
              <w:spacing w:after="0" w:line="240" w:lineRule="auto"/>
              <w:rPr>
                <w:rFonts w:cs="Arial"/>
              </w:rPr>
            </w:pPr>
            <w:r w:rsidRPr="005557D3">
              <w:rPr>
                <w:rFonts w:cs="Arial"/>
              </w:rPr>
              <w:t xml:space="preserve">providing reference and guidance material to staff in relation to </w:t>
            </w:r>
            <w:r w:rsidR="00A93316">
              <w:rPr>
                <w:rFonts w:cs="Arial"/>
              </w:rPr>
              <w:t>available regulatory responses</w:t>
            </w:r>
            <w:r w:rsidRPr="005557D3">
              <w:rPr>
                <w:rFonts w:cs="Arial"/>
              </w:rPr>
              <w:t xml:space="preserve"> and when they can be used;</w:t>
            </w:r>
          </w:p>
          <w:p w:rsidR="00AD5A35" w:rsidRDefault="00AD5A35" w:rsidP="00E65120">
            <w:pPr>
              <w:pStyle w:val="ListParagraph"/>
              <w:numPr>
                <w:ilvl w:val="0"/>
                <w:numId w:val="16"/>
              </w:numPr>
              <w:spacing w:after="0" w:line="240" w:lineRule="auto"/>
              <w:rPr>
                <w:rFonts w:cs="Arial"/>
              </w:rPr>
            </w:pPr>
            <w:r w:rsidRPr="005557D3">
              <w:rPr>
                <w:rFonts w:cs="Arial"/>
              </w:rPr>
              <w:t xml:space="preserve">establishing small, ad hoc cross-divisional working groups to solve regulatory problems or </w:t>
            </w:r>
            <w:r w:rsidR="00736881">
              <w:rPr>
                <w:rFonts w:cs="Arial"/>
              </w:rPr>
              <w:t xml:space="preserve">develop and </w:t>
            </w:r>
            <w:r w:rsidRPr="005557D3">
              <w:rPr>
                <w:rFonts w:cs="Arial"/>
              </w:rPr>
              <w:t>implement new initiatives; and</w:t>
            </w:r>
          </w:p>
          <w:p w:rsidR="00AD5A35" w:rsidRPr="00D01143" w:rsidRDefault="00AD5A35" w:rsidP="00E65120">
            <w:pPr>
              <w:pStyle w:val="ListParagraph"/>
              <w:numPr>
                <w:ilvl w:val="0"/>
                <w:numId w:val="16"/>
              </w:numPr>
              <w:spacing w:after="0" w:line="240" w:lineRule="auto"/>
              <w:rPr>
                <w:rFonts w:cs="Arial"/>
              </w:rPr>
            </w:pPr>
            <w:r w:rsidRPr="00D01143">
              <w:rPr>
                <w:rFonts w:cs="Arial"/>
              </w:rPr>
              <w:t>learning from and working with other regulatory agencies (see also</w:t>
            </w:r>
            <w:r w:rsidR="000E38DE">
              <w:rPr>
                <w:rFonts w:cs="Arial"/>
              </w:rPr>
              <w:t xml:space="preserve"> the </w:t>
            </w:r>
            <w:r w:rsidR="000E38DE">
              <w:rPr>
                <w:rFonts w:cs="Arial"/>
                <w:i/>
              </w:rPr>
              <w:t xml:space="preserve">Working with other regulators </w:t>
            </w:r>
            <w:r w:rsidR="000E38DE">
              <w:rPr>
                <w:rFonts w:cs="Arial"/>
              </w:rPr>
              <w:t>section in Chapter 6).</w:t>
            </w:r>
          </w:p>
        </w:tc>
      </w:tr>
    </w:tbl>
    <w:p w:rsidR="004D275E" w:rsidRDefault="004D275E" w:rsidP="004D275E">
      <w:pPr>
        <w:pStyle w:val="Heading2"/>
        <w:rPr>
          <w:u w:val="single"/>
        </w:rPr>
      </w:pPr>
    </w:p>
    <w:p w:rsidR="00AD5A35" w:rsidRPr="00851F3B" w:rsidRDefault="00AD5A35" w:rsidP="00851F3B">
      <w:pPr>
        <w:pStyle w:val="Heading1"/>
        <w:spacing w:after="120"/>
        <w:rPr>
          <w:caps w:val="0"/>
          <w:color w:val="0B5294" w:themeColor="accent1" w:themeShade="BF"/>
          <w:sz w:val="24"/>
          <w:szCs w:val="24"/>
          <w:u w:val="single"/>
        </w:rPr>
      </w:pPr>
      <w:bookmarkStart w:id="50" w:name="_Toc443405181"/>
      <w:r w:rsidRPr="00851F3B">
        <w:rPr>
          <w:caps w:val="0"/>
          <w:color w:val="0B5294" w:themeColor="accent1" w:themeShade="BF"/>
          <w:sz w:val="24"/>
          <w:szCs w:val="24"/>
          <w:u w:val="single"/>
        </w:rPr>
        <w:t>Decision-making</w:t>
      </w:r>
      <w:bookmarkEnd w:id="50"/>
    </w:p>
    <w:p w:rsidR="00AD5A35" w:rsidRPr="00851F3B" w:rsidRDefault="00AD5A35" w:rsidP="00851F3B">
      <w:pPr>
        <w:pStyle w:val="Heading1"/>
        <w:spacing w:after="120"/>
        <w:rPr>
          <w:caps w:val="0"/>
          <w:color w:val="0B5294" w:themeColor="accent1" w:themeShade="BF"/>
          <w:sz w:val="24"/>
          <w:szCs w:val="24"/>
        </w:rPr>
      </w:pPr>
      <w:bookmarkStart w:id="51" w:name="_Toc443405182"/>
      <w:r w:rsidRPr="00851F3B">
        <w:rPr>
          <w:caps w:val="0"/>
          <w:color w:val="0B5294" w:themeColor="accent1" w:themeShade="BF"/>
          <w:sz w:val="24"/>
          <w:szCs w:val="24"/>
        </w:rPr>
        <w:t>Delegations and accountability</w:t>
      </w:r>
      <w:bookmarkEnd w:id="51"/>
    </w:p>
    <w:p w:rsidR="00AD5A35" w:rsidRPr="00CB4F60" w:rsidRDefault="00AD5A35" w:rsidP="00AD5A35">
      <w:pPr>
        <w:rPr>
          <w:rFonts w:cs="Arial"/>
        </w:rPr>
      </w:pPr>
      <w:r w:rsidRPr="00CB4F60">
        <w:rPr>
          <w:rFonts w:cs="Arial"/>
        </w:rPr>
        <w:t xml:space="preserve">The management of delegations is crucial </w:t>
      </w:r>
      <w:r>
        <w:rPr>
          <w:rFonts w:cs="Arial"/>
        </w:rPr>
        <w:t>to</w:t>
      </w:r>
      <w:r w:rsidRPr="00CB4F60">
        <w:rPr>
          <w:rFonts w:cs="Arial"/>
        </w:rPr>
        <w:t xml:space="preserve"> a best practice regulator. Good management of delegations not only ensures that decisions are made only by the people who have the authority</w:t>
      </w:r>
      <w:r>
        <w:rPr>
          <w:rFonts w:cs="Arial"/>
        </w:rPr>
        <w:t xml:space="preserve"> and expertise</w:t>
      </w:r>
      <w:r w:rsidRPr="00CB4F60">
        <w:rPr>
          <w:rFonts w:cs="Arial"/>
        </w:rPr>
        <w:t xml:space="preserve"> to do so, but also assists staff </w:t>
      </w:r>
      <w:r>
        <w:rPr>
          <w:rFonts w:cs="Arial"/>
        </w:rPr>
        <w:t>to identify the most appropriate decision-maker and risk</w:t>
      </w:r>
      <w:r w:rsidR="00F315A1">
        <w:rPr>
          <w:rFonts w:cs="Arial"/>
        </w:rPr>
        <w:t>-</w:t>
      </w:r>
      <w:r>
        <w:rPr>
          <w:rFonts w:cs="Arial"/>
        </w:rPr>
        <w:t xml:space="preserve">owner for their project. </w:t>
      </w:r>
      <w:r w:rsidRPr="00CB4F60">
        <w:rPr>
          <w:rFonts w:cs="Arial"/>
        </w:rPr>
        <w:t xml:space="preserve"> </w:t>
      </w:r>
      <w:r>
        <w:rPr>
          <w:rFonts w:cs="Arial"/>
        </w:rPr>
        <w:t xml:space="preserve"> </w:t>
      </w:r>
    </w:p>
    <w:p w:rsidR="00AD5A35" w:rsidRDefault="00AD5A35" w:rsidP="00AD5A35">
      <w:pPr>
        <w:pStyle w:val="ListBullet"/>
        <w:numPr>
          <w:ilvl w:val="0"/>
          <w:numId w:val="0"/>
        </w:numPr>
        <w:contextualSpacing/>
        <w:rPr>
          <w:rFonts w:cs="Arial"/>
        </w:rPr>
      </w:pPr>
      <w:r>
        <w:rPr>
          <w:rFonts w:cs="Arial"/>
        </w:rPr>
        <w:t>The Project notes that t</w:t>
      </w:r>
      <w:r w:rsidRPr="00D818D1">
        <w:rPr>
          <w:rFonts w:cs="Arial"/>
        </w:rPr>
        <w:t xml:space="preserve">here </w:t>
      </w:r>
      <w:r>
        <w:rPr>
          <w:rFonts w:cs="Arial"/>
        </w:rPr>
        <w:t>are</w:t>
      </w:r>
      <w:r w:rsidRPr="00D818D1">
        <w:rPr>
          <w:rFonts w:cs="Arial"/>
        </w:rPr>
        <w:t xml:space="preserve"> statutory delegations for decision making</w:t>
      </w:r>
      <w:r>
        <w:rPr>
          <w:rFonts w:cs="Arial"/>
        </w:rPr>
        <w:t xml:space="preserve"> within the Department, from both the Minister and the Secretary; </w:t>
      </w:r>
      <w:r w:rsidRPr="00D818D1">
        <w:rPr>
          <w:rFonts w:cs="Arial"/>
        </w:rPr>
        <w:t xml:space="preserve">however there is flexibility within the </w:t>
      </w:r>
      <w:r w:rsidRPr="00D818D1">
        <w:rPr>
          <w:rFonts w:cs="Arial"/>
        </w:rPr>
        <w:lastRenderedPageBreak/>
        <w:t xml:space="preserve">Department and </w:t>
      </w:r>
      <w:r>
        <w:rPr>
          <w:rFonts w:cs="Arial"/>
        </w:rPr>
        <w:t>limited</w:t>
      </w:r>
      <w:r w:rsidRPr="00D818D1">
        <w:rPr>
          <w:rFonts w:cs="Arial"/>
        </w:rPr>
        <w:t xml:space="preserve"> guidance as to who actually exercises the delegations for particular cases.</w:t>
      </w:r>
      <w:r>
        <w:rPr>
          <w:rFonts w:cs="Arial"/>
        </w:rPr>
        <w:t xml:space="preserve"> </w:t>
      </w:r>
    </w:p>
    <w:p w:rsidR="004D275E" w:rsidRDefault="004D275E" w:rsidP="00AD5A35">
      <w:pPr>
        <w:pStyle w:val="ListBullet"/>
        <w:numPr>
          <w:ilvl w:val="0"/>
          <w:numId w:val="0"/>
        </w:numPr>
        <w:contextualSpacing/>
        <w:rPr>
          <w:rFonts w:cs="Arial"/>
        </w:rPr>
      </w:pPr>
    </w:p>
    <w:p w:rsidR="00AD5A35" w:rsidRDefault="00AD5A35" w:rsidP="00AD5A35">
      <w:pPr>
        <w:pStyle w:val="ListBullet"/>
        <w:numPr>
          <w:ilvl w:val="0"/>
          <w:numId w:val="0"/>
        </w:numPr>
        <w:contextualSpacing/>
        <w:rPr>
          <w:rFonts w:cs="Arial"/>
        </w:rPr>
      </w:pPr>
      <w:r>
        <w:rPr>
          <w:rFonts w:cs="Arial"/>
        </w:rPr>
        <w:t>For example, the authority to make decisions on approval under Part 9 of the EPBC Act is held by the Minister, and this is delegated to a number of Departmental executive, including Assistant Secretaries in the Environment Assessment Branches of ESD, First Assistant Secretaries, Deputy Secretaries and the Secretary. While any of these senior executives may legally exercise their decision making power in relation to Part 9 of the EPBC Act, the chosen decision maker will generally depend on a number of factors including the type and location of the project, and the level of risk to the environment or reputational risk to the Department.</w:t>
      </w:r>
    </w:p>
    <w:p w:rsidR="00AD5A35" w:rsidRDefault="00AD5A35" w:rsidP="00AD5A35">
      <w:pPr>
        <w:rPr>
          <w:rFonts w:cs="Arial"/>
        </w:rPr>
      </w:pPr>
      <w:r w:rsidRPr="00EB50EB">
        <w:rPr>
          <w:rFonts w:cs="Arial"/>
        </w:rPr>
        <w:t>While delegates generally have a clear understanding of their delegated</w:t>
      </w:r>
      <w:r>
        <w:rPr>
          <w:rFonts w:cs="Arial"/>
        </w:rPr>
        <w:t xml:space="preserve"> powers, the above discretion means that staff sometimes find it</w:t>
      </w:r>
      <w:r w:rsidRPr="00EB50EB">
        <w:rPr>
          <w:rFonts w:cs="Arial"/>
        </w:rPr>
        <w:t xml:space="preserve"> difficult to identify relevant delegates and the scope of their powers. This is in part due to there being </w:t>
      </w:r>
      <w:r>
        <w:rPr>
          <w:rFonts w:cs="Arial"/>
        </w:rPr>
        <w:t xml:space="preserve">no </w:t>
      </w:r>
      <w:r w:rsidRPr="00EB50EB">
        <w:rPr>
          <w:rFonts w:cs="Arial"/>
        </w:rPr>
        <w:t>central registry of current delegations, no central responsibility for making sure delegati</w:t>
      </w:r>
      <w:r>
        <w:rPr>
          <w:rFonts w:cs="Arial"/>
        </w:rPr>
        <w:t xml:space="preserve">ons are current, and </w:t>
      </w:r>
      <w:r w:rsidRPr="00EB50EB">
        <w:rPr>
          <w:rFonts w:cs="Arial"/>
        </w:rPr>
        <w:t xml:space="preserve">no </w:t>
      </w:r>
      <w:r>
        <w:rPr>
          <w:rFonts w:cs="Arial"/>
        </w:rPr>
        <w:t>guidance on how and when delegations should be exercised at particular levels.</w:t>
      </w:r>
    </w:p>
    <w:p w:rsidR="00AD5A35" w:rsidRDefault="00AD5A35" w:rsidP="00AD5A35">
      <w:pPr>
        <w:rPr>
          <w:rFonts w:cs="Arial"/>
        </w:rPr>
      </w:pPr>
      <w:r>
        <w:rPr>
          <w:rFonts w:cs="Arial"/>
        </w:rPr>
        <w:t xml:space="preserve">This sometimes leads to multiple officers reviewing and clearing work, which has the potential to </w:t>
      </w:r>
      <w:r w:rsidR="00D775F6">
        <w:rPr>
          <w:rFonts w:cs="Arial"/>
        </w:rPr>
        <w:t xml:space="preserve">increase processes for little added value and to </w:t>
      </w:r>
      <w:r>
        <w:rPr>
          <w:rFonts w:cs="Arial"/>
        </w:rPr>
        <w:t>dilute accountability.</w:t>
      </w:r>
    </w:p>
    <w:tbl>
      <w:tblPr>
        <w:tblStyle w:val="TableGrid"/>
        <w:tblW w:w="0" w:type="auto"/>
        <w:tblLook w:val="04A0" w:firstRow="1" w:lastRow="0" w:firstColumn="1" w:lastColumn="0" w:noHBand="0" w:noVBand="1"/>
      </w:tblPr>
      <w:tblGrid>
        <w:gridCol w:w="9212"/>
      </w:tblGrid>
      <w:tr w:rsidR="00AD5A35" w:rsidTr="00851F3B">
        <w:trPr>
          <w:cnfStyle w:val="100000000000" w:firstRow="1" w:lastRow="0" w:firstColumn="0" w:lastColumn="0" w:oddVBand="0" w:evenVBand="0" w:oddHBand="0" w:evenHBand="0" w:firstRowFirstColumn="0" w:firstRowLastColumn="0" w:lastRowFirstColumn="0" w:lastRowLastColumn="0"/>
        </w:trPr>
        <w:tc>
          <w:tcPr>
            <w:tcW w:w="9428" w:type="dxa"/>
            <w:tcBorders>
              <w:top w:val="nil"/>
              <w:left w:val="nil"/>
              <w:bottom w:val="nil"/>
              <w:right w:val="nil"/>
            </w:tcBorders>
            <w:shd w:val="clear" w:color="auto" w:fill="C7E2FA" w:themeFill="accent1" w:themeFillTint="33"/>
          </w:tcPr>
          <w:p w:rsidR="00AD5A35" w:rsidRPr="00E35761" w:rsidRDefault="00AD5A35" w:rsidP="00851F3B">
            <w:pPr>
              <w:pStyle w:val="ListBullet"/>
              <w:numPr>
                <w:ilvl w:val="0"/>
                <w:numId w:val="0"/>
              </w:numPr>
              <w:spacing w:before="240"/>
              <w:rPr>
                <w:rFonts w:cs="Arial"/>
                <w:b/>
              </w:rPr>
            </w:pPr>
            <w:r w:rsidRPr="00E35761">
              <w:rPr>
                <w:rFonts w:cs="Arial"/>
                <w:b/>
              </w:rPr>
              <w:t xml:space="preserve">Recommendation </w:t>
            </w:r>
            <w:r w:rsidR="004D275E">
              <w:rPr>
                <w:rFonts w:cs="Arial"/>
                <w:b/>
              </w:rPr>
              <w:t>3</w:t>
            </w:r>
            <w:r w:rsidRPr="00E35761">
              <w:rPr>
                <w:rFonts w:cs="Arial"/>
                <w:b/>
              </w:rPr>
              <w:t>.</w:t>
            </w:r>
            <w:r>
              <w:rPr>
                <w:rFonts w:cs="Arial"/>
                <w:b/>
              </w:rPr>
              <w:t>8</w:t>
            </w:r>
            <w:r w:rsidRPr="00E35761">
              <w:rPr>
                <w:rFonts w:cs="Arial"/>
                <w:b/>
              </w:rPr>
              <w:t xml:space="preserve"> (Delegations and accountability)</w:t>
            </w:r>
          </w:p>
          <w:p w:rsidR="00AD5A35" w:rsidRDefault="0013636F" w:rsidP="00AD5A35">
            <w:pPr>
              <w:pStyle w:val="ListBullet"/>
              <w:numPr>
                <w:ilvl w:val="0"/>
                <w:numId w:val="0"/>
              </w:numPr>
              <w:rPr>
                <w:rFonts w:cs="Arial"/>
              </w:rPr>
            </w:pPr>
            <w:r w:rsidRPr="004D275E">
              <w:rPr>
                <w:rFonts w:cs="Arial"/>
                <w:i/>
              </w:rPr>
              <w:t>Importance</w:t>
            </w:r>
            <w:r w:rsidR="00AD5A35" w:rsidRPr="004D275E">
              <w:rPr>
                <w:rFonts w:cs="Arial"/>
                <w:i/>
              </w:rPr>
              <w:t>:</w:t>
            </w:r>
            <w:r>
              <w:rPr>
                <w:rFonts w:cs="Arial"/>
                <w:i/>
              </w:rPr>
              <w:t xml:space="preserve"> </w:t>
            </w:r>
            <w:r>
              <w:rPr>
                <w:rFonts w:cs="Arial"/>
              </w:rPr>
              <w:t xml:space="preserve">3 </w:t>
            </w:r>
          </w:p>
          <w:p w:rsidR="00AD5A35" w:rsidRDefault="004D275E" w:rsidP="00AD5A35">
            <w:pPr>
              <w:pStyle w:val="ListBullet"/>
              <w:numPr>
                <w:ilvl w:val="0"/>
                <w:numId w:val="0"/>
              </w:numPr>
              <w:rPr>
                <w:rFonts w:cs="Arial"/>
              </w:rPr>
            </w:pPr>
            <w:r w:rsidRPr="004D275E">
              <w:rPr>
                <w:rFonts w:cs="Arial"/>
                <w:i/>
              </w:rPr>
              <w:t>Timing:</w:t>
            </w:r>
            <w:r w:rsidR="00AD5A35">
              <w:rPr>
                <w:rFonts w:cs="Arial"/>
              </w:rPr>
              <w:t xml:space="preserve"> </w:t>
            </w:r>
            <w:r w:rsidR="0013636F">
              <w:rPr>
                <w:rFonts w:cs="Arial"/>
              </w:rPr>
              <w:t>3</w:t>
            </w:r>
          </w:p>
          <w:p w:rsidR="00AD5A35" w:rsidRDefault="00AD5A35" w:rsidP="00AD5A35">
            <w:pPr>
              <w:rPr>
                <w:rFonts w:cs="Arial"/>
              </w:rPr>
            </w:pPr>
            <w:r w:rsidRPr="00E35761">
              <w:rPr>
                <w:rFonts w:cs="Arial"/>
              </w:rPr>
              <w:t xml:space="preserve">The Department should establish a central registry of delegations, and allocate responsibility for its maintenance to one area (such as the </w:t>
            </w:r>
            <w:r w:rsidRPr="0058692A">
              <w:rPr>
                <w:rFonts w:cs="Arial"/>
              </w:rPr>
              <w:t>Governance Branch in</w:t>
            </w:r>
            <w:r w:rsidRPr="00E35761">
              <w:rPr>
                <w:rFonts w:cs="Arial"/>
              </w:rPr>
              <w:t xml:space="preserve"> PAID).</w:t>
            </w:r>
          </w:p>
          <w:p w:rsidR="00AD5A35" w:rsidRDefault="002B3D16" w:rsidP="00AD5A35">
            <w:pPr>
              <w:rPr>
                <w:rFonts w:cs="Arial"/>
              </w:rPr>
            </w:pPr>
            <w:r>
              <w:rPr>
                <w:rFonts w:cs="Arial"/>
              </w:rPr>
              <w:t>EPG</w:t>
            </w:r>
            <w:r w:rsidR="00AD5A35">
              <w:rPr>
                <w:rFonts w:cs="Arial"/>
              </w:rPr>
              <w:t xml:space="preserve"> should develop guidance on how and when delegations</w:t>
            </w:r>
            <w:r>
              <w:rPr>
                <w:rFonts w:cs="Arial"/>
              </w:rPr>
              <w:t xml:space="preserve"> relevant to EPG</w:t>
            </w:r>
            <w:r w:rsidR="00AD5A35">
              <w:rPr>
                <w:rFonts w:cs="Arial"/>
              </w:rPr>
              <w:t xml:space="preserve"> should be exercised. </w:t>
            </w:r>
          </w:p>
          <w:p w:rsidR="00AD5A35" w:rsidRPr="004D275E" w:rsidRDefault="002B3D16" w:rsidP="00AD5A35">
            <w:r>
              <w:rPr>
                <w:rFonts w:cs="Arial"/>
              </w:rPr>
              <w:t>EPG</w:t>
            </w:r>
            <w:r w:rsidR="00AD5A35" w:rsidRPr="00E35761">
              <w:rPr>
                <w:rFonts w:cs="Arial"/>
              </w:rPr>
              <w:t xml:space="preserve"> should determine appropriate review and clearance procedures</w:t>
            </w:r>
            <w:r w:rsidR="00AD5A35">
              <w:rPr>
                <w:rFonts w:cs="Arial"/>
              </w:rPr>
              <w:t xml:space="preserve"> for decision-making</w:t>
            </w:r>
            <w:r w:rsidR="00AD5A35" w:rsidRPr="00E35761">
              <w:rPr>
                <w:rFonts w:cs="Arial"/>
              </w:rPr>
              <w:t>, minimising the points of review to avoid diluting accountability.</w:t>
            </w:r>
          </w:p>
        </w:tc>
      </w:tr>
    </w:tbl>
    <w:p w:rsidR="00CD6C7A" w:rsidRDefault="00AD5A35">
      <w:pPr>
        <w:pStyle w:val="Heading1"/>
        <w:spacing w:before="120" w:after="120"/>
        <w:rPr>
          <w:caps w:val="0"/>
          <w:color w:val="0B5294" w:themeColor="accent1" w:themeShade="BF"/>
          <w:sz w:val="24"/>
          <w:szCs w:val="24"/>
        </w:rPr>
      </w:pPr>
      <w:bookmarkStart w:id="52" w:name="_Toc443405183"/>
      <w:r w:rsidRPr="00851F3B">
        <w:rPr>
          <w:caps w:val="0"/>
          <w:color w:val="0B5294" w:themeColor="accent1" w:themeShade="BF"/>
          <w:sz w:val="24"/>
          <w:szCs w:val="24"/>
        </w:rPr>
        <w:t>Regulatory capture</w:t>
      </w:r>
      <w:bookmarkEnd w:id="52"/>
    </w:p>
    <w:p w:rsidR="00AD5A35" w:rsidRPr="00E35DD9" w:rsidRDefault="00AD5A35" w:rsidP="00AD5A35">
      <w:pPr>
        <w:rPr>
          <w:rStyle w:val="tgc"/>
          <w:rFonts w:cs="Arial"/>
          <w:color w:val="222222"/>
        </w:rPr>
      </w:pPr>
      <w:r w:rsidRPr="00E35DD9">
        <w:rPr>
          <w:rStyle w:val="tgc"/>
          <w:rFonts w:cs="Arial"/>
          <w:bCs/>
          <w:color w:val="222222"/>
        </w:rPr>
        <w:t>Regulatory capture</w:t>
      </w:r>
      <w:r w:rsidRPr="00E35DD9">
        <w:rPr>
          <w:rStyle w:val="tgc"/>
          <w:rFonts w:cs="Arial"/>
          <w:color w:val="222222"/>
        </w:rPr>
        <w:t xml:space="preserve"> is a form of corruption that occurs when a </w:t>
      </w:r>
      <w:r w:rsidRPr="00E35DD9">
        <w:rPr>
          <w:rStyle w:val="tgc"/>
          <w:rFonts w:cs="Arial"/>
          <w:bCs/>
          <w:color w:val="222222"/>
        </w:rPr>
        <w:t>regulatory</w:t>
      </w:r>
      <w:r w:rsidRPr="00E35DD9">
        <w:rPr>
          <w:rStyle w:val="tgc"/>
          <w:rFonts w:cs="Arial"/>
          <w:color w:val="222222"/>
        </w:rPr>
        <w:t xml:space="preserve"> agency</w:t>
      </w:r>
      <w:r w:rsidR="002B3D16">
        <w:rPr>
          <w:rStyle w:val="tgc"/>
          <w:rFonts w:cs="Arial"/>
          <w:color w:val="222222"/>
        </w:rPr>
        <w:t xml:space="preserve"> which was</w:t>
      </w:r>
      <w:r>
        <w:rPr>
          <w:rStyle w:val="tgc"/>
          <w:rFonts w:cs="Arial"/>
          <w:color w:val="222222"/>
        </w:rPr>
        <w:t xml:space="preserve"> </w:t>
      </w:r>
      <w:r w:rsidRPr="00E35DD9">
        <w:rPr>
          <w:rStyle w:val="tgc"/>
          <w:rFonts w:cs="Arial"/>
          <w:color w:val="222222"/>
        </w:rPr>
        <w:t xml:space="preserve">created to act in the public interest, instead advances the commercial or political concerns of special interest groups that dominate the industry or sector it is charged with regulating. </w:t>
      </w:r>
    </w:p>
    <w:p w:rsidR="00AD5A35" w:rsidRDefault="00AD5A35" w:rsidP="00AD5A35">
      <w:pPr>
        <w:rPr>
          <w:rStyle w:val="tgc"/>
          <w:rFonts w:cs="Arial"/>
          <w:color w:val="222222"/>
        </w:rPr>
      </w:pPr>
      <w:r w:rsidRPr="00E35DD9">
        <w:rPr>
          <w:rStyle w:val="tgc"/>
          <w:rFonts w:cs="Arial"/>
          <w:color w:val="222222"/>
        </w:rPr>
        <w:t>Regulatory capture is always a threat for any regulatory agency, and is of particular</w:t>
      </w:r>
      <w:r>
        <w:rPr>
          <w:rStyle w:val="tgc"/>
          <w:rFonts w:cs="Arial"/>
          <w:color w:val="222222"/>
        </w:rPr>
        <w:t xml:space="preserve"> concern when regulatory staff deal with the same companies</w:t>
      </w:r>
      <w:r w:rsidR="00B07FDB">
        <w:rPr>
          <w:rStyle w:val="tgc"/>
          <w:rFonts w:cs="Arial"/>
          <w:color w:val="222222"/>
        </w:rPr>
        <w:t xml:space="preserve">, </w:t>
      </w:r>
      <w:r>
        <w:rPr>
          <w:rStyle w:val="tgc"/>
          <w:rFonts w:cs="Arial"/>
          <w:color w:val="222222"/>
        </w:rPr>
        <w:t>industries</w:t>
      </w:r>
      <w:r w:rsidR="00214341">
        <w:rPr>
          <w:rStyle w:val="tgc"/>
          <w:rFonts w:cs="Arial"/>
          <w:color w:val="222222"/>
        </w:rPr>
        <w:t xml:space="preserve"> or</w:t>
      </w:r>
      <w:r w:rsidR="00B07FDB">
        <w:rPr>
          <w:rStyle w:val="tgc"/>
          <w:rFonts w:cs="Arial"/>
          <w:color w:val="222222"/>
        </w:rPr>
        <w:t xml:space="preserve"> NGOs</w:t>
      </w:r>
      <w:r>
        <w:rPr>
          <w:rStyle w:val="tgc"/>
          <w:rFonts w:cs="Arial"/>
          <w:color w:val="222222"/>
        </w:rPr>
        <w:t xml:space="preserve"> on a regular basis. </w:t>
      </w:r>
    </w:p>
    <w:p w:rsidR="00AD5A35" w:rsidRDefault="00AD5A35" w:rsidP="00AD5A35">
      <w:pPr>
        <w:rPr>
          <w:rFonts w:cs="Arial"/>
          <w:b/>
          <w:color w:val="04617B" w:themeColor="text2"/>
          <w:sz w:val="24"/>
          <w:szCs w:val="24"/>
        </w:rPr>
      </w:pPr>
      <w:r w:rsidRPr="00155B5F">
        <w:rPr>
          <w:rFonts w:cs="Arial"/>
        </w:rPr>
        <w:t xml:space="preserve">While the </w:t>
      </w:r>
      <w:r>
        <w:rPr>
          <w:rFonts w:cs="Arial"/>
        </w:rPr>
        <w:t>Project</w:t>
      </w:r>
      <w:r w:rsidRPr="00155B5F">
        <w:rPr>
          <w:rFonts w:cs="Arial"/>
        </w:rPr>
        <w:t xml:space="preserve"> did not </w:t>
      </w:r>
      <w:r>
        <w:rPr>
          <w:rFonts w:cs="Arial"/>
        </w:rPr>
        <w:t xml:space="preserve">explicitly </w:t>
      </w:r>
      <w:r w:rsidRPr="00155B5F">
        <w:rPr>
          <w:rFonts w:cs="Arial"/>
        </w:rPr>
        <w:t xml:space="preserve">look into </w:t>
      </w:r>
      <w:r>
        <w:rPr>
          <w:rFonts w:cs="Arial"/>
        </w:rPr>
        <w:t>this issue</w:t>
      </w:r>
      <w:r w:rsidRPr="00155B5F">
        <w:rPr>
          <w:rFonts w:cs="Arial"/>
        </w:rPr>
        <w:t>, there was no evidence of corruption</w:t>
      </w:r>
      <w:r>
        <w:rPr>
          <w:rFonts w:cs="Arial"/>
        </w:rPr>
        <w:t xml:space="preserve"> or regulatory capture</w:t>
      </w:r>
      <w:r w:rsidR="002B3D16">
        <w:rPr>
          <w:rFonts w:cs="Arial"/>
        </w:rPr>
        <w:t xml:space="preserve"> within EPG,</w:t>
      </w:r>
      <w:r w:rsidRPr="00155B5F">
        <w:rPr>
          <w:rFonts w:cs="Arial"/>
        </w:rPr>
        <w:t xml:space="preserve"> and staff </w:t>
      </w:r>
      <w:r>
        <w:rPr>
          <w:rFonts w:cs="Arial"/>
        </w:rPr>
        <w:t xml:space="preserve">were </w:t>
      </w:r>
      <w:r w:rsidRPr="00155B5F">
        <w:rPr>
          <w:rFonts w:cs="Arial"/>
        </w:rPr>
        <w:t>committed and professional.</w:t>
      </w:r>
    </w:p>
    <w:tbl>
      <w:tblPr>
        <w:tblStyle w:val="TableGrid"/>
        <w:tblW w:w="0" w:type="auto"/>
        <w:tblLook w:val="04A0" w:firstRow="1" w:lastRow="0" w:firstColumn="1" w:lastColumn="0" w:noHBand="0" w:noVBand="1"/>
      </w:tblPr>
      <w:tblGrid>
        <w:gridCol w:w="9212"/>
      </w:tblGrid>
      <w:tr w:rsidR="00AD5A35" w:rsidTr="00851F3B">
        <w:trPr>
          <w:cnfStyle w:val="100000000000" w:firstRow="1" w:lastRow="0" w:firstColumn="0" w:lastColumn="0" w:oddVBand="0" w:evenVBand="0" w:oddHBand="0" w:evenHBand="0" w:firstRowFirstColumn="0" w:firstRowLastColumn="0" w:lastRowFirstColumn="0" w:lastRowLastColumn="0"/>
        </w:trPr>
        <w:tc>
          <w:tcPr>
            <w:tcW w:w="9428" w:type="dxa"/>
            <w:tcBorders>
              <w:top w:val="nil"/>
              <w:left w:val="nil"/>
              <w:bottom w:val="nil"/>
              <w:right w:val="nil"/>
            </w:tcBorders>
            <w:shd w:val="clear" w:color="auto" w:fill="C7E2FA" w:themeFill="accent1" w:themeFillTint="33"/>
          </w:tcPr>
          <w:p w:rsidR="00AD5A35" w:rsidRPr="00E35761" w:rsidRDefault="00AD5A35" w:rsidP="00851F3B">
            <w:pPr>
              <w:pStyle w:val="ListBullet"/>
              <w:numPr>
                <w:ilvl w:val="0"/>
                <w:numId w:val="0"/>
              </w:numPr>
              <w:spacing w:before="240"/>
              <w:rPr>
                <w:rFonts w:cs="Arial"/>
                <w:b/>
              </w:rPr>
            </w:pPr>
            <w:r w:rsidRPr="00E35761">
              <w:rPr>
                <w:rFonts w:cs="Arial"/>
                <w:b/>
              </w:rPr>
              <w:t xml:space="preserve">Recommendation </w:t>
            </w:r>
            <w:r w:rsidR="004D275E">
              <w:rPr>
                <w:rFonts w:cs="Arial"/>
                <w:b/>
              </w:rPr>
              <w:t>3</w:t>
            </w:r>
            <w:r w:rsidRPr="00E35761">
              <w:rPr>
                <w:rFonts w:cs="Arial"/>
                <w:b/>
              </w:rPr>
              <w:t>.</w:t>
            </w:r>
            <w:r>
              <w:rPr>
                <w:rFonts w:cs="Arial"/>
                <w:b/>
              </w:rPr>
              <w:t>9</w:t>
            </w:r>
            <w:r w:rsidRPr="00E35761">
              <w:rPr>
                <w:rFonts w:cs="Arial"/>
                <w:b/>
              </w:rPr>
              <w:t xml:space="preserve"> (Regulatory capture)</w:t>
            </w:r>
          </w:p>
          <w:p w:rsidR="00AD5A35" w:rsidRDefault="004D275E" w:rsidP="00AD5A35">
            <w:pPr>
              <w:pStyle w:val="ListBullet"/>
              <w:numPr>
                <w:ilvl w:val="0"/>
                <w:numId w:val="0"/>
              </w:numPr>
              <w:rPr>
                <w:rFonts w:cs="Arial"/>
              </w:rPr>
            </w:pPr>
            <w:r w:rsidRPr="004D275E">
              <w:rPr>
                <w:rFonts w:cs="Arial"/>
                <w:i/>
              </w:rPr>
              <w:t>Importance:</w:t>
            </w:r>
            <w:r>
              <w:rPr>
                <w:rFonts w:cs="Arial"/>
              </w:rPr>
              <w:t xml:space="preserve"> </w:t>
            </w:r>
            <w:r w:rsidR="0013636F">
              <w:rPr>
                <w:rFonts w:cs="Arial"/>
              </w:rPr>
              <w:t>2</w:t>
            </w:r>
          </w:p>
          <w:p w:rsidR="00AD5A35" w:rsidRDefault="004D275E" w:rsidP="00AD5A35">
            <w:pPr>
              <w:pStyle w:val="ListBullet"/>
              <w:numPr>
                <w:ilvl w:val="0"/>
                <w:numId w:val="0"/>
              </w:numPr>
              <w:rPr>
                <w:rFonts w:cs="Arial"/>
              </w:rPr>
            </w:pPr>
            <w:r w:rsidRPr="004D275E">
              <w:rPr>
                <w:rFonts w:cs="Arial"/>
                <w:i/>
              </w:rPr>
              <w:t>Timing:</w:t>
            </w:r>
            <w:r w:rsidR="00AD5A35">
              <w:rPr>
                <w:rFonts w:cs="Arial"/>
              </w:rPr>
              <w:t xml:space="preserve"> 2 and ongoing</w:t>
            </w:r>
          </w:p>
          <w:p w:rsidR="00AD5A35" w:rsidRPr="00E35761" w:rsidRDefault="00AD5A35" w:rsidP="00AD5A35">
            <w:pPr>
              <w:rPr>
                <w:rFonts w:cs="Arial"/>
              </w:rPr>
            </w:pPr>
            <w:r w:rsidRPr="00E35761">
              <w:rPr>
                <w:rFonts w:cs="Arial"/>
              </w:rPr>
              <w:lastRenderedPageBreak/>
              <w:t xml:space="preserve">The Department should openly discuss the risk of corruption and regulatory capture. The importance of this should be reinforced by the Senior Executive.  A formal </w:t>
            </w:r>
            <w:r w:rsidR="00E3593E">
              <w:rPr>
                <w:rFonts w:cs="Arial"/>
              </w:rPr>
              <w:t>program</w:t>
            </w:r>
            <w:r w:rsidRPr="00E35761">
              <w:rPr>
                <w:rFonts w:cs="Arial"/>
              </w:rPr>
              <w:t xml:space="preserve"> for rotation of staff (see</w:t>
            </w:r>
            <w:r w:rsidR="000E38DE">
              <w:rPr>
                <w:rFonts w:cs="Arial"/>
              </w:rPr>
              <w:t xml:space="preserve"> </w:t>
            </w:r>
            <w:r w:rsidR="000E38DE">
              <w:rPr>
                <w:rFonts w:cs="Arial"/>
                <w:i/>
              </w:rPr>
              <w:t>Recommendation 3.5 (Linkages)</w:t>
            </w:r>
            <w:r>
              <w:rPr>
                <w:rFonts w:cs="Arial"/>
              </w:rPr>
              <w:t xml:space="preserve">) would </w:t>
            </w:r>
            <w:r w:rsidRPr="00E35761">
              <w:rPr>
                <w:rFonts w:cs="Arial"/>
              </w:rPr>
              <w:t xml:space="preserve">assist with reducing potential for regulatory capture.  </w:t>
            </w:r>
          </w:p>
          <w:p w:rsidR="00AD5A35" w:rsidRPr="004D275E" w:rsidRDefault="00AD5A35" w:rsidP="00AD5A35">
            <w:r w:rsidRPr="00E35761">
              <w:rPr>
                <w:rFonts w:cs="Arial"/>
              </w:rPr>
              <w:t xml:space="preserve">The Department should consider appropriate oversight of regulatory decision making, to reduce the risk of regulatory capture. This would normally involve ‘sign-off’ by two people.  </w:t>
            </w:r>
          </w:p>
        </w:tc>
      </w:tr>
    </w:tbl>
    <w:p w:rsidR="00851F3B" w:rsidRDefault="00851F3B" w:rsidP="00AD5A35">
      <w:pPr>
        <w:rPr>
          <w:rFonts w:cs="Arial"/>
        </w:rPr>
        <w:sectPr w:rsidR="00851F3B" w:rsidSect="005103CE">
          <w:pgSz w:w="11906" w:h="16838"/>
          <w:pgMar w:top="1418" w:right="1276" w:bottom="567" w:left="1418" w:header="425" w:footer="425" w:gutter="0"/>
          <w:cols w:space="708"/>
          <w:docGrid w:linePitch="360"/>
        </w:sectPr>
      </w:pPr>
    </w:p>
    <w:p w:rsidR="00C151CF" w:rsidRPr="00851F3B" w:rsidRDefault="00C151CF" w:rsidP="00C151CF">
      <w:pPr>
        <w:jc w:val="center"/>
        <w:rPr>
          <w:b/>
          <w:color w:val="0B5294" w:themeColor="accent1" w:themeShade="BF"/>
          <w:sz w:val="44"/>
          <w:szCs w:val="44"/>
        </w:rPr>
      </w:pPr>
      <w:r w:rsidRPr="00851F3B">
        <w:rPr>
          <w:b/>
          <w:color w:val="0B5294" w:themeColor="accent1" w:themeShade="BF"/>
          <w:sz w:val="44"/>
          <w:szCs w:val="44"/>
        </w:rPr>
        <w:lastRenderedPageBreak/>
        <w:t xml:space="preserve">Chapter 4: </w:t>
      </w:r>
      <w:r w:rsidR="00DB5D4A">
        <w:rPr>
          <w:b/>
          <w:color w:val="0B5294" w:themeColor="accent1" w:themeShade="BF"/>
          <w:sz w:val="44"/>
          <w:szCs w:val="44"/>
        </w:rPr>
        <w:t xml:space="preserve">Our </w:t>
      </w:r>
      <w:r w:rsidRPr="00851F3B">
        <w:rPr>
          <w:b/>
          <w:color w:val="0B5294" w:themeColor="accent1" w:themeShade="BF"/>
          <w:sz w:val="44"/>
          <w:szCs w:val="44"/>
        </w:rPr>
        <w:t>Systems and Tools</w:t>
      </w:r>
    </w:p>
    <w:tbl>
      <w:tblPr>
        <w:tblStyle w:val="TableGrid"/>
        <w:tblW w:w="0" w:type="auto"/>
        <w:tblLook w:val="04A0" w:firstRow="1" w:lastRow="0" w:firstColumn="1" w:lastColumn="0" w:noHBand="0" w:noVBand="1"/>
      </w:tblPr>
      <w:tblGrid>
        <w:gridCol w:w="9202"/>
      </w:tblGrid>
      <w:tr w:rsidR="00D7307E" w:rsidTr="000B6D3B">
        <w:trPr>
          <w:cnfStyle w:val="100000000000" w:firstRow="1" w:lastRow="0" w:firstColumn="0" w:lastColumn="0" w:oddVBand="0" w:evenVBand="0" w:oddHBand="0" w:evenHBand="0" w:firstRowFirstColumn="0" w:firstRowLastColumn="0" w:lastRowFirstColumn="0" w:lastRowLastColumn="0"/>
        </w:trPr>
        <w:tc>
          <w:tcPr>
            <w:tcW w:w="9428" w:type="dxa"/>
            <w:shd w:val="clear" w:color="auto" w:fill="D9D9D9" w:themeFill="background1" w:themeFillShade="D9"/>
          </w:tcPr>
          <w:p w:rsidR="00D7307E" w:rsidRDefault="00D7307E" w:rsidP="00FA0F2A">
            <w:pPr>
              <w:pStyle w:val="Heading1"/>
              <w:spacing w:after="120"/>
              <w:outlineLvl w:val="0"/>
              <w:rPr>
                <w:color w:val="0B5294" w:themeColor="accent1" w:themeShade="BF"/>
                <w:sz w:val="28"/>
                <w:szCs w:val="28"/>
              </w:rPr>
            </w:pPr>
            <w:bookmarkStart w:id="53" w:name="_Toc443405184"/>
            <w:r>
              <w:rPr>
                <w:color w:val="0B5294" w:themeColor="accent1" w:themeShade="BF"/>
                <w:sz w:val="28"/>
                <w:szCs w:val="28"/>
              </w:rPr>
              <w:t>Overview</w:t>
            </w:r>
            <w:bookmarkEnd w:id="53"/>
          </w:p>
          <w:p w:rsidR="00322501" w:rsidRDefault="00322501" w:rsidP="00FA0F2A">
            <w:r>
              <w:t xml:space="preserve">A mature regulator has well developed and maintained </w:t>
            </w:r>
            <w:r w:rsidR="00D7307E">
              <w:t>b</w:t>
            </w:r>
            <w:r w:rsidR="00D7307E" w:rsidRPr="00466FCD">
              <w:t xml:space="preserve">usiness systems and </w:t>
            </w:r>
            <w:r>
              <w:t xml:space="preserve">supporting </w:t>
            </w:r>
            <w:r w:rsidR="00D7307E" w:rsidRPr="00466FCD">
              <w:t>tools</w:t>
            </w:r>
            <w:r>
              <w:t xml:space="preserve"> that increase staff capacity and provide a high degree of confidence that decision making is legal, robust and predictable.</w:t>
            </w:r>
            <w:r w:rsidR="00D7307E">
              <w:t xml:space="preserve"> </w:t>
            </w:r>
          </w:p>
          <w:p w:rsidR="00D7307E" w:rsidRDefault="00D7307E" w:rsidP="00FA0F2A">
            <w:r>
              <w:t>Regulatory processes are complex and constantly changing. Staff need to be aware of and integrate a large volume and range of technical, policy and legal information when undertaking regulatory activities</w:t>
            </w:r>
            <w:r w:rsidR="00322501">
              <w:t>,</w:t>
            </w:r>
            <w:r>
              <w:t xml:space="preserve"> as well as follow timelines and transfer responsibilities to different officers and across work areas. Business systems and supporting tools can simplify processes for officers, allowing them to focus on analysis and make consistent regulatory decisions.</w:t>
            </w:r>
          </w:p>
          <w:p w:rsidR="00D7307E" w:rsidRDefault="00D7307E" w:rsidP="00FA0F2A">
            <w:r>
              <w:t>The Department</w:t>
            </w:r>
            <w:r w:rsidR="00322501">
              <w:t xml:space="preserve">’s IT systems are being enhanced, with some recent improvements implemented and more in development or planning. </w:t>
            </w:r>
            <w:r>
              <w:t>Limitations to achieving matur</w:t>
            </w:r>
            <w:r w:rsidR="004B2512">
              <w:t>e IT systems</w:t>
            </w:r>
            <w:r>
              <w:t xml:space="preserve"> are largely due to the allocation of necessary resources to complete planned projects, </w:t>
            </w:r>
            <w:r w:rsidR="00AD2013">
              <w:t>and</w:t>
            </w:r>
            <w:r>
              <w:t xml:space="preserve"> the time required to design, develop and implement new systems. </w:t>
            </w:r>
            <w:r w:rsidR="00162185">
              <w:t xml:space="preserve">Other tools such as policies and guidance material were found to be inconsistently </w:t>
            </w:r>
            <w:r w:rsidR="004D1D97">
              <w:t xml:space="preserve">developed and </w:t>
            </w:r>
            <w:r w:rsidR="00162185">
              <w:t xml:space="preserve">used across EPG. </w:t>
            </w:r>
          </w:p>
          <w:p w:rsidR="00FA0F2A" w:rsidRDefault="00D7307E" w:rsidP="00FA0F2A">
            <w:r>
              <w:t>This chapter makes recommendations for EPG</w:t>
            </w:r>
            <w:r w:rsidR="00162185">
              <w:t xml:space="preserve"> regarding IT and business tools, including</w:t>
            </w:r>
            <w:r w:rsidR="00FA0F2A">
              <w:t>:</w:t>
            </w:r>
          </w:p>
          <w:p w:rsidR="00FA0F2A" w:rsidRDefault="003614FE" w:rsidP="00E65120">
            <w:pPr>
              <w:pStyle w:val="ListParagraph"/>
              <w:numPr>
                <w:ilvl w:val="0"/>
                <w:numId w:val="38"/>
              </w:numPr>
            </w:pPr>
            <w:r>
              <w:t>the creation of a central support team to assist with the development and maintenance of business tools across EPG</w:t>
            </w:r>
            <w:r w:rsidR="00E3593E">
              <w:t>;</w:t>
            </w:r>
            <w:r>
              <w:t xml:space="preserve"> </w:t>
            </w:r>
          </w:p>
          <w:p w:rsidR="00FA0F2A" w:rsidRDefault="003614FE" w:rsidP="00E65120">
            <w:pPr>
              <w:pStyle w:val="ListParagraph"/>
              <w:numPr>
                <w:ilvl w:val="0"/>
                <w:numId w:val="38"/>
              </w:numPr>
            </w:pPr>
            <w:r>
              <w:t>increased investment in IT systems as a high priority</w:t>
            </w:r>
            <w:r w:rsidR="00E3593E">
              <w:t>; and</w:t>
            </w:r>
            <w:r>
              <w:t xml:space="preserve"> </w:t>
            </w:r>
          </w:p>
          <w:p w:rsidR="00D7307E" w:rsidRPr="00CF386A" w:rsidRDefault="00AD2013" w:rsidP="00E65120">
            <w:pPr>
              <w:pStyle w:val="ListParagraph"/>
              <w:numPr>
                <w:ilvl w:val="0"/>
                <w:numId w:val="38"/>
              </w:numPr>
            </w:pPr>
            <w:r>
              <w:t xml:space="preserve">maintaining </w:t>
            </w:r>
            <w:r w:rsidR="003614FE">
              <w:t xml:space="preserve">enhanced governance arrangements for the development and implementation of IT systems.  </w:t>
            </w:r>
          </w:p>
        </w:tc>
      </w:tr>
    </w:tbl>
    <w:p w:rsidR="00D7307E" w:rsidRDefault="00D7307E" w:rsidP="00C151CF"/>
    <w:p w:rsidR="00C151CF" w:rsidRPr="00851F3B" w:rsidRDefault="00C151CF" w:rsidP="00851F3B">
      <w:pPr>
        <w:pStyle w:val="Heading1"/>
        <w:spacing w:after="120"/>
        <w:rPr>
          <w:color w:val="0B5294" w:themeColor="accent1" w:themeShade="BF"/>
          <w:sz w:val="28"/>
          <w:szCs w:val="28"/>
        </w:rPr>
      </w:pPr>
      <w:bookmarkStart w:id="54" w:name="_Toc442970860"/>
      <w:bookmarkStart w:id="55" w:name="_Toc443040004"/>
      <w:bookmarkStart w:id="56" w:name="_Toc443405185"/>
      <w:r w:rsidRPr="00851F3B">
        <w:rPr>
          <w:color w:val="0B5294" w:themeColor="accent1" w:themeShade="BF"/>
          <w:sz w:val="28"/>
          <w:szCs w:val="28"/>
        </w:rPr>
        <w:t>fINDINGS AND RECOMMENDATIONS</w:t>
      </w:r>
      <w:bookmarkEnd w:id="54"/>
      <w:bookmarkEnd w:id="55"/>
      <w:bookmarkEnd w:id="56"/>
    </w:p>
    <w:p w:rsidR="00C151CF" w:rsidRPr="00FE1612" w:rsidRDefault="00C151CF" w:rsidP="00851F3B">
      <w:pPr>
        <w:pStyle w:val="Heading1"/>
        <w:spacing w:after="120"/>
      </w:pPr>
      <w:bookmarkStart w:id="57" w:name="_Toc443405186"/>
      <w:r w:rsidRPr="00851F3B">
        <w:rPr>
          <w:caps w:val="0"/>
          <w:color w:val="0B5294" w:themeColor="accent1" w:themeShade="BF"/>
          <w:sz w:val="24"/>
          <w:szCs w:val="24"/>
        </w:rPr>
        <w:t>Business Systems and supporting tools</w:t>
      </w:r>
      <w:bookmarkEnd w:id="57"/>
    </w:p>
    <w:p w:rsidR="00C151CF" w:rsidRPr="002612DC" w:rsidRDefault="00C151CF" w:rsidP="00C151CF">
      <w:r w:rsidRPr="00AC29DC">
        <w:rPr>
          <w:rFonts w:cs="Arial"/>
          <w:bCs/>
        </w:rPr>
        <w:t xml:space="preserve">Mature regulators have established business </w:t>
      </w:r>
      <w:r w:rsidR="00F00513">
        <w:rPr>
          <w:rFonts w:cs="Arial"/>
          <w:bCs/>
        </w:rPr>
        <w:t>systems and supporting tools</w:t>
      </w:r>
      <w:r w:rsidRPr="00AC29DC">
        <w:rPr>
          <w:rFonts w:cs="Arial"/>
          <w:bCs/>
        </w:rPr>
        <w:t xml:space="preserve"> that are easily understood, accessible, up-dated when necessary, and consistently applied. </w:t>
      </w:r>
      <w:r>
        <w:t xml:space="preserve">Well developed and maintained business systems and supporting tools can increase staff capacity and </w:t>
      </w:r>
      <w:r>
        <w:rPr>
          <w:rFonts w:cs="Arial"/>
          <w:bCs/>
        </w:rPr>
        <w:t xml:space="preserve">provide a high degree of confidence that decision making is legal, robust and predictable. </w:t>
      </w:r>
      <w:r w:rsidRPr="00064683">
        <w:t xml:space="preserve">They are particularly important </w:t>
      </w:r>
      <w:r>
        <w:t>in time</w:t>
      </w:r>
      <w:r w:rsidR="00F00513">
        <w:t>s</w:t>
      </w:r>
      <w:r>
        <w:t xml:space="preserve"> of </w:t>
      </w:r>
      <w:r w:rsidR="00F00513">
        <w:t>constrained resources,</w:t>
      </w:r>
      <w:r>
        <w:t xml:space="preserve"> and </w:t>
      </w:r>
      <w:r w:rsidRPr="00064683">
        <w:t xml:space="preserve">when </w:t>
      </w:r>
      <w:r w:rsidR="00F00513">
        <w:t>there are</w:t>
      </w:r>
      <w:r w:rsidRPr="00064683">
        <w:t xml:space="preserve"> </w:t>
      </w:r>
      <w:r>
        <w:t>high</w:t>
      </w:r>
      <w:r w:rsidRPr="00064683">
        <w:t xml:space="preserve"> numbers of new or temporary employees. </w:t>
      </w:r>
      <w:r w:rsidR="00F00513">
        <w:t>A mature regulator ensures b</w:t>
      </w:r>
      <w:r w:rsidRPr="002612DC">
        <w:t xml:space="preserve">usiness </w:t>
      </w:r>
      <w:r w:rsidR="00F00513">
        <w:t>systems are</w:t>
      </w:r>
      <w:r w:rsidRPr="002612DC">
        <w:t xml:space="preserve"> developed with input from all relevant areas, including </w:t>
      </w:r>
      <w:r>
        <w:t xml:space="preserve">IT and business system specialists, </w:t>
      </w:r>
      <w:r w:rsidRPr="002612DC">
        <w:t>subject matter experts, decision makers, compliance and enforcement</w:t>
      </w:r>
      <w:r w:rsidR="00F00513">
        <w:t xml:space="preserve"> areas </w:t>
      </w:r>
      <w:r w:rsidRPr="002612DC">
        <w:t>and</w:t>
      </w:r>
      <w:r w:rsidR="00F00513">
        <w:t xml:space="preserve"> legal areas. Mature regulators also ensure </w:t>
      </w:r>
      <w:r w:rsidR="009143EF">
        <w:t xml:space="preserve">that </w:t>
      </w:r>
      <w:r w:rsidR="00F00513">
        <w:t xml:space="preserve">business systems can </w:t>
      </w:r>
      <w:r w:rsidRPr="002612DC">
        <w:t xml:space="preserve">be adjusted when necessary to reflect changes in policy, law or science. </w:t>
      </w:r>
    </w:p>
    <w:p w:rsidR="00C151CF" w:rsidRDefault="00C151CF" w:rsidP="00C151CF">
      <w:r>
        <w:t>W</w:t>
      </w:r>
      <w:r w:rsidRPr="00064683">
        <w:t xml:space="preserve">ithin </w:t>
      </w:r>
      <w:r>
        <w:t>EPG</w:t>
      </w:r>
      <w:r w:rsidR="009B7021">
        <w:t>,</w:t>
      </w:r>
      <w:r>
        <w:t xml:space="preserve"> t</w:t>
      </w:r>
      <w:r w:rsidRPr="00064683">
        <w:t xml:space="preserve">he </w:t>
      </w:r>
      <w:r>
        <w:t>development and maintenance</w:t>
      </w:r>
      <w:r w:rsidR="009143EF">
        <w:t xml:space="preserve"> of</w:t>
      </w:r>
      <w:r>
        <w:t xml:space="preserve"> business systems, and the development of p</w:t>
      </w:r>
      <w:r w:rsidRPr="00064683">
        <w:t>olicies,</w:t>
      </w:r>
      <w:r>
        <w:t xml:space="preserve"> templates, standard operating procedures</w:t>
      </w:r>
      <w:r w:rsidRPr="00064683">
        <w:t xml:space="preserve"> and other guidance</w:t>
      </w:r>
      <w:r>
        <w:t xml:space="preserve"> material </w:t>
      </w:r>
      <w:r w:rsidRPr="00064683">
        <w:t>is largely the responsibility of individual sections.</w:t>
      </w:r>
      <w:r>
        <w:t xml:space="preserve"> Some areas have comprehensive and well established standard operating procedures.</w:t>
      </w:r>
      <w:r w:rsidRPr="00064683">
        <w:t xml:space="preserve"> However</w:t>
      </w:r>
      <w:r w:rsidR="009143EF">
        <w:t>,</w:t>
      </w:r>
      <w:r>
        <w:t xml:space="preserve"> staff advised that many sections lack the necessary </w:t>
      </w:r>
      <w:r>
        <w:lastRenderedPageBreak/>
        <w:t>time and capacity to develop and maintain these materials. A number of staff also raised concerns that whe</w:t>
      </w:r>
      <w:r w:rsidR="00214341">
        <w:t xml:space="preserve">n </w:t>
      </w:r>
      <w:r>
        <w:t>processes</w:t>
      </w:r>
      <w:r w:rsidR="00214341">
        <w:t>, guidance or tools</w:t>
      </w:r>
      <w:r>
        <w:t xml:space="preserve"> are developed, not all relevant areas are consulted</w:t>
      </w:r>
      <w:r w:rsidR="00AD0517">
        <w:t xml:space="preserve"> to ensure procedures are robust and legislatively compliant, including specialist areas such as </w:t>
      </w:r>
      <w:r w:rsidR="009143EF">
        <w:t xml:space="preserve">the </w:t>
      </w:r>
      <w:r w:rsidR="00AD0517">
        <w:t>General Counsel</w:t>
      </w:r>
      <w:r w:rsidR="009143EF">
        <w:t xml:space="preserve"> Branch</w:t>
      </w:r>
      <w:r>
        <w:t>. As a result</w:t>
      </w:r>
      <w:r w:rsidR="009143EF">
        <w:t>,</w:t>
      </w:r>
      <w:r>
        <w:t xml:space="preserve"> there is a high degree of variation across </w:t>
      </w:r>
      <w:r w:rsidR="009143EF">
        <w:t>EPG</w:t>
      </w:r>
      <w:r>
        <w:t xml:space="preserve"> in the existence, quality and currency of p</w:t>
      </w:r>
      <w:r w:rsidRPr="00064683">
        <w:t>olicies,</w:t>
      </w:r>
      <w:r>
        <w:t xml:space="preserve"> templates, </w:t>
      </w:r>
      <w:r w:rsidR="006A5A65">
        <w:t>Standard Operating Procedures</w:t>
      </w:r>
      <w:r w:rsidRPr="00064683">
        <w:t xml:space="preserve"> and other guidance</w:t>
      </w:r>
      <w:r>
        <w:t xml:space="preserve"> material.</w:t>
      </w:r>
    </w:p>
    <w:p w:rsidR="00C151CF" w:rsidRDefault="009B7021" w:rsidP="00C151CF">
      <w:r>
        <w:t xml:space="preserve">During consultations, </w:t>
      </w:r>
      <w:r w:rsidR="00C151CF">
        <w:t>staff at all levels</w:t>
      </w:r>
      <w:r>
        <w:t xml:space="preserve"> expressed concern that EPG officers </w:t>
      </w:r>
      <w:r w:rsidR="00C151CF">
        <w:t xml:space="preserve">are not aware of all </w:t>
      </w:r>
      <w:r w:rsidR="00C151CF" w:rsidRPr="00064683">
        <w:t>policies,</w:t>
      </w:r>
      <w:r w:rsidR="00C151CF">
        <w:t xml:space="preserve"> templates,</w:t>
      </w:r>
      <w:r w:rsidR="006A5A65">
        <w:t xml:space="preserve"> Standard Operating Procedures</w:t>
      </w:r>
      <w:r w:rsidR="00C151CF">
        <w:t xml:space="preserve"> and </w:t>
      </w:r>
      <w:r w:rsidR="00C151CF" w:rsidRPr="00064683">
        <w:t>guidance</w:t>
      </w:r>
      <w:r w:rsidR="00C151CF">
        <w:t xml:space="preserve"> material</w:t>
      </w:r>
      <w:r w:rsidR="00C151CF" w:rsidRPr="00064683">
        <w:t xml:space="preserve"> </w:t>
      </w:r>
      <w:r w:rsidR="00C151CF">
        <w:t>available to them. This includes a lack of clarity about where these tools are located, h</w:t>
      </w:r>
      <w:r w:rsidR="00C151CF" w:rsidRPr="00064683">
        <w:t>ow they relate to each other</w:t>
      </w:r>
      <w:r>
        <w:t>,</w:t>
      </w:r>
      <w:r w:rsidR="00C151CF">
        <w:t xml:space="preserve"> and whether they are mandatory and current. Staff also consistently raised concerns that this material can be </w:t>
      </w:r>
      <w:r w:rsidR="00C151CF" w:rsidRPr="00064683">
        <w:t xml:space="preserve">unclear, </w:t>
      </w:r>
      <w:r w:rsidR="00C151CF">
        <w:t>incomplete</w:t>
      </w:r>
      <w:r w:rsidR="00C151CF" w:rsidRPr="00064683">
        <w:t xml:space="preserve">, poorly-written </w:t>
      </w:r>
      <w:r w:rsidR="00C151CF">
        <w:t>or difficult to</w:t>
      </w:r>
      <w:r w:rsidR="00C151CF" w:rsidRPr="00064683">
        <w:t xml:space="preserve"> understand. </w:t>
      </w:r>
      <w:r w:rsidR="00C151CF">
        <w:t>In other cases</w:t>
      </w:r>
      <w:r>
        <w:t>,</w:t>
      </w:r>
      <w:r w:rsidR="00C151CF">
        <w:t xml:space="preserve"> </w:t>
      </w:r>
      <w:r w:rsidR="00C151CF" w:rsidRPr="00064683">
        <w:t xml:space="preserve">staff </w:t>
      </w:r>
      <w:r>
        <w:t>have been</w:t>
      </w:r>
      <w:r w:rsidRPr="00064683">
        <w:t xml:space="preserve"> </w:t>
      </w:r>
      <w:r w:rsidR="00C151CF" w:rsidRPr="00064683">
        <w:t xml:space="preserve">developing </w:t>
      </w:r>
      <w:r w:rsidR="00C151CF">
        <w:t>their own unofficial procedures or work</w:t>
      </w:r>
      <w:r w:rsidR="00C151CF">
        <w:noBreakHyphen/>
        <w:t xml:space="preserve">arounds, such as </w:t>
      </w:r>
      <w:r>
        <w:t>copying standard words</w:t>
      </w:r>
      <w:r w:rsidR="00C151CF">
        <w:t xml:space="preserve"> from previous </w:t>
      </w:r>
      <w:r w:rsidR="004B2512">
        <w:t>projects</w:t>
      </w:r>
      <w:r w:rsidR="00C151CF">
        <w:t xml:space="preserve">, to deal with gaps or deficiencies in agreed business processes.  This requires extra vigilance by supervisors to ensure current policies and </w:t>
      </w:r>
      <w:r w:rsidR="006A5A65">
        <w:t xml:space="preserve">Standard Operating Procedures </w:t>
      </w:r>
      <w:r w:rsidR="00C151CF">
        <w:t xml:space="preserve">are being </w:t>
      </w:r>
      <w:r>
        <w:t>implemented.</w:t>
      </w:r>
      <w:r w:rsidR="00C151CF" w:rsidRPr="00AC29DC">
        <w:t xml:space="preserve"> </w:t>
      </w:r>
    </w:p>
    <w:p w:rsidR="00C151CF" w:rsidRDefault="00C151CF" w:rsidP="00C151CF">
      <w:r>
        <w:t>T</w:t>
      </w:r>
      <w:r w:rsidRPr="00064683">
        <w:t xml:space="preserve">hese deficiencies </w:t>
      </w:r>
      <w:r>
        <w:t xml:space="preserve">lead to a </w:t>
      </w:r>
      <w:r w:rsidRPr="00064683">
        <w:t>strong</w:t>
      </w:r>
      <w:r>
        <w:t xml:space="preserve"> reliance on </w:t>
      </w:r>
      <w:r w:rsidR="00AD0517">
        <w:t xml:space="preserve">the </w:t>
      </w:r>
      <w:r w:rsidRPr="00064683">
        <w:t>corporate knowledge</w:t>
      </w:r>
      <w:r>
        <w:t xml:space="preserve"> </w:t>
      </w:r>
      <w:r w:rsidR="00AD0517">
        <w:t xml:space="preserve">of individual officers </w:t>
      </w:r>
      <w:r>
        <w:t xml:space="preserve">(which has reduced in recent years) </w:t>
      </w:r>
      <w:r w:rsidR="009B7021">
        <w:t>and inconsistent approaches</w:t>
      </w:r>
      <w:r w:rsidRPr="00064683">
        <w:t xml:space="preserve">. </w:t>
      </w:r>
      <w:r>
        <w:t xml:space="preserve">This is a particular risk for </w:t>
      </w:r>
      <w:r w:rsidR="009B7021">
        <w:t xml:space="preserve">environmental impact assessments </w:t>
      </w:r>
      <w:r>
        <w:t>under the EPBC Act, because of the number and spread of officers (including delegates) undertaking that work.</w:t>
      </w:r>
    </w:p>
    <w:p w:rsidR="00C151CF" w:rsidRDefault="00C151CF" w:rsidP="00C151CF">
      <w:r>
        <w:t>There have been recent efforts to improve the development of business systems and supporting tools. For example</w:t>
      </w:r>
      <w:r w:rsidR="009B7021">
        <w:t>,</w:t>
      </w:r>
      <w:r>
        <w:t xml:space="preserve"> a cross divisional team, including staff from ESD, WHaM and </w:t>
      </w:r>
      <w:r w:rsidR="009B7021">
        <w:t xml:space="preserve">the </w:t>
      </w:r>
      <w:r>
        <w:t>General Counsel Branch has developed and stress</w:t>
      </w:r>
      <w:r w:rsidR="009B7021">
        <w:t>-</w:t>
      </w:r>
      <w:r>
        <w:t xml:space="preserve">tested an interim business process to provide greater confidence that environmental impact approval decisions are supported by the correct statutory documentation. ESD has also </w:t>
      </w:r>
      <w:r w:rsidR="009B7021">
        <w:t>commenced</w:t>
      </w:r>
      <w:r>
        <w:t xml:space="preserve"> a project to review and update the environmental impact assessment manual.</w:t>
      </w:r>
    </w:p>
    <w:p w:rsidR="00C151CF" w:rsidRDefault="00C151CF" w:rsidP="00C151CF">
      <w:r>
        <w:t>EPG would benefit from having clear coordinated responsibility for developing cohesive business systems and supporting tools.</w:t>
      </w:r>
    </w:p>
    <w:p w:rsidR="00C151CF" w:rsidRDefault="00C151CF" w:rsidP="00C151CF">
      <w:r w:rsidRPr="00064683">
        <w:t xml:space="preserve">Further discussion, findings and recommendations are made </w:t>
      </w:r>
      <w:r w:rsidR="000B275D">
        <w:t>regarding</w:t>
      </w:r>
      <w:r w:rsidR="00EA09ED">
        <w:t xml:space="preserve"> regulatory support in Chapter 1.</w:t>
      </w:r>
    </w:p>
    <w:p w:rsidR="00851F3B" w:rsidRDefault="00851F3B" w:rsidP="00851F3B">
      <w:pPr>
        <w:shd w:val="clear" w:color="auto" w:fill="C7E2FA" w:themeFill="accent1" w:themeFillTint="33"/>
        <w:spacing w:before="240"/>
        <w:contextualSpacing/>
        <w:rPr>
          <w:rFonts w:cs="Arial"/>
          <w:b/>
        </w:rPr>
      </w:pPr>
    </w:p>
    <w:p w:rsidR="00C151CF" w:rsidRDefault="00C151CF" w:rsidP="00851F3B">
      <w:pPr>
        <w:shd w:val="clear" w:color="auto" w:fill="C7E2FA" w:themeFill="accent1" w:themeFillTint="33"/>
        <w:spacing w:before="240"/>
        <w:contextualSpacing/>
        <w:rPr>
          <w:rFonts w:cs="Arial"/>
          <w:b/>
        </w:rPr>
      </w:pPr>
      <w:r>
        <w:rPr>
          <w:rFonts w:cs="Arial"/>
          <w:b/>
        </w:rPr>
        <w:t>Recommendation 4</w:t>
      </w:r>
      <w:r w:rsidRPr="0006227F">
        <w:rPr>
          <w:rFonts w:cs="Arial"/>
          <w:b/>
        </w:rPr>
        <w:t xml:space="preserve">.1 (Policies and guidance material) </w:t>
      </w:r>
    </w:p>
    <w:p w:rsidR="00C151CF" w:rsidRDefault="00C151CF" w:rsidP="00851F3B">
      <w:pPr>
        <w:shd w:val="clear" w:color="auto" w:fill="C7E2FA" w:themeFill="accent1" w:themeFillTint="33"/>
        <w:contextualSpacing/>
        <w:rPr>
          <w:rFonts w:cs="Arial"/>
          <w:b/>
        </w:rPr>
      </w:pPr>
    </w:p>
    <w:p w:rsidR="00C151CF" w:rsidRPr="004D1D97" w:rsidRDefault="00C151CF" w:rsidP="00851F3B">
      <w:pPr>
        <w:shd w:val="clear" w:color="auto" w:fill="C7E2FA" w:themeFill="accent1" w:themeFillTint="33"/>
        <w:contextualSpacing/>
        <w:rPr>
          <w:rFonts w:cs="Arial"/>
          <w:i/>
        </w:rPr>
      </w:pPr>
      <w:r w:rsidRPr="004D1D97">
        <w:rPr>
          <w:rFonts w:cs="Arial"/>
          <w:i/>
        </w:rPr>
        <w:t>Importance:</w:t>
      </w:r>
      <w:r w:rsidR="0013636F">
        <w:rPr>
          <w:rFonts w:cs="Arial"/>
          <w:i/>
        </w:rPr>
        <w:t xml:space="preserve"> </w:t>
      </w:r>
      <w:r w:rsidR="005A4278" w:rsidRPr="005A4278">
        <w:rPr>
          <w:rFonts w:cs="Arial"/>
        </w:rPr>
        <w:t>1</w:t>
      </w:r>
    </w:p>
    <w:p w:rsidR="00C151CF" w:rsidRPr="004D1D97" w:rsidRDefault="00C151CF" w:rsidP="00851F3B">
      <w:pPr>
        <w:shd w:val="clear" w:color="auto" w:fill="C7E2FA" w:themeFill="accent1" w:themeFillTint="33"/>
        <w:contextualSpacing/>
        <w:rPr>
          <w:rFonts w:cs="Arial"/>
          <w:i/>
        </w:rPr>
      </w:pPr>
    </w:p>
    <w:p w:rsidR="00C151CF" w:rsidRPr="00C151CF" w:rsidRDefault="00C151CF" w:rsidP="00851F3B">
      <w:pPr>
        <w:shd w:val="clear" w:color="auto" w:fill="C7E2FA" w:themeFill="accent1" w:themeFillTint="33"/>
        <w:contextualSpacing/>
        <w:rPr>
          <w:rFonts w:cs="Arial"/>
          <w:i/>
        </w:rPr>
      </w:pPr>
      <w:r w:rsidRPr="004D1D97">
        <w:rPr>
          <w:rFonts w:cs="Arial"/>
          <w:i/>
        </w:rPr>
        <w:t>Timing:</w:t>
      </w:r>
      <w:r w:rsidR="0013636F">
        <w:rPr>
          <w:rFonts w:cs="Arial"/>
          <w:i/>
        </w:rPr>
        <w:t xml:space="preserve"> </w:t>
      </w:r>
      <w:r w:rsidR="005A4278" w:rsidRPr="005A4278">
        <w:rPr>
          <w:rFonts w:cs="Arial"/>
        </w:rPr>
        <w:t>1</w:t>
      </w:r>
    </w:p>
    <w:p w:rsidR="00C151CF" w:rsidRPr="0006227F" w:rsidRDefault="00C151CF" w:rsidP="00851F3B">
      <w:pPr>
        <w:shd w:val="clear" w:color="auto" w:fill="C7E2FA" w:themeFill="accent1" w:themeFillTint="33"/>
        <w:contextualSpacing/>
        <w:rPr>
          <w:rFonts w:cs="Arial"/>
        </w:rPr>
      </w:pPr>
      <w:r w:rsidRPr="0006227F">
        <w:rPr>
          <w:rFonts w:cs="Arial"/>
        </w:rPr>
        <w:t xml:space="preserve"> </w:t>
      </w:r>
    </w:p>
    <w:p w:rsidR="00C151CF" w:rsidRPr="0006227F" w:rsidRDefault="00C151CF" w:rsidP="00851F3B">
      <w:pPr>
        <w:shd w:val="clear" w:color="auto" w:fill="C7E2FA" w:themeFill="accent1" w:themeFillTint="33"/>
        <w:contextualSpacing/>
        <w:rPr>
          <w:rFonts w:cs="Arial"/>
        </w:rPr>
      </w:pPr>
      <w:r w:rsidRPr="0006227F">
        <w:rPr>
          <w:rFonts w:cs="Arial"/>
        </w:rPr>
        <w:t xml:space="preserve">The responsibility for </w:t>
      </w:r>
      <w:r>
        <w:rPr>
          <w:rFonts w:cs="Arial"/>
        </w:rPr>
        <w:t xml:space="preserve">the </w:t>
      </w:r>
      <w:r w:rsidRPr="0006227F">
        <w:rPr>
          <w:rFonts w:cs="Arial"/>
        </w:rPr>
        <w:t xml:space="preserve">coordination and management of all regulatory policies and guidance material across ESD and </w:t>
      </w:r>
      <w:r w:rsidR="0013636F" w:rsidRPr="0006227F">
        <w:rPr>
          <w:rFonts w:cs="Arial"/>
        </w:rPr>
        <w:t>WH</w:t>
      </w:r>
      <w:r w:rsidR="0013636F">
        <w:rPr>
          <w:rFonts w:cs="Arial"/>
        </w:rPr>
        <w:t>a</w:t>
      </w:r>
      <w:r w:rsidR="0013636F" w:rsidRPr="0006227F">
        <w:rPr>
          <w:rFonts w:cs="Arial"/>
        </w:rPr>
        <w:t xml:space="preserve">M </w:t>
      </w:r>
      <w:r w:rsidRPr="0006227F">
        <w:rPr>
          <w:rFonts w:cs="Arial"/>
        </w:rPr>
        <w:t xml:space="preserve">should be given to a single support team within </w:t>
      </w:r>
      <w:r>
        <w:rPr>
          <w:rFonts w:cs="Arial"/>
        </w:rPr>
        <w:t xml:space="preserve">the proposed new </w:t>
      </w:r>
      <w:r w:rsidRPr="00913A4E">
        <w:rPr>
          <w:rFonts w:cs="Arial"/>
        </w:rPr>
        <w:t>Regulation Reform and Support Branch in</w:t>
      </w:r>
      <w:r>
        <w:rPr>
          <w:rFonts w:cs="Arial"/>
        </w:rPr>
        <w:t xml:space="preserve"> </w:t>
      </w:r>
      <w:r w:rsidRPr="0006227F">
        <w:rPr>
          <w:rFonts w:cs="Arial"/>
        </w:rPr>
        <w:t xml:space="preserve">EPG (see </w:t>
      </w:r>
      <w:r w:rsidR="00EA09ED">
        <w:rPr>
          <w:rFonts w:cs="Arial"/>
          <w:i/>
        </w:rPr>
        <w:t>Recommendation 3.3 (Centralised Support)</w:t>
      </w:r>
      <w:r w:rsidR="00EA09ED">
        <w:rPr>
          <w:rFonts w:cs="Arial"/>
        </w:rPr>
        <w:t>).</w:t>
      </w:r>
      <w:r w:rsidRPr="0006227F">
        <w:rPr>
          <w:rFonts w:cs="Arial"/>
        </w:rPr>
        <w:t xml:space="preserve">  </w:t>
      </w:r>
    </w:p>
    <w:p w:rsidR="00C151CF" w:rsidRPr="0006227F" w:rsidRDefault="00C151CF" w:rsidP="00851F3B">
      <w:pPr>
        <w:shd w:val="clear" w:color="auto" w:fill="C7E2FA" w:themeFill="accent1" w:themeFillTint="33"/>
        <w:contextualSpacing/>
        <w:rPr>
          <w:rFonts w:cs="Arial"/>
        </w:rPr>
      </w:pPr>
    </w:p>
    <w:p w:rsidR="00C151CF" w:rsidRPr="0006227F" w:rsidRDefault="00C151CF" w:rsidP="00851F3B">
      <w:pPr>
        <w:shd w:val="clear" w:color="auto" w:fill="C7E2FA" w:themeFill="accent1" w:themeFillTint="33"/>
        <w:contextualSpacing/>
        <w:rPr>
          <w:rFonts w:cs="Arial"/>
        </w:rPr>
      </w:pPr>
      <w:r w:rsidRPr="0006227F">
        <w:rPr>
          <w:rFonts w:cs="Arial"/>
        </w:rPr>
        <w:t xml:space="preserve">This </w:t>
      </w:r>
      <w:r w:rsidR="000B275D">
        <w:rPr>
          <w:rFonts w:cs="Arial"/>
        </w:rPr>
        <w:t>Branch</w:t>
      </w:r>
      <w:r w:rsidR="000B275D" w:rsidRPr="0006227F">
        <w:rPr>
          <w:rFonts w:cs="Arial"/>
        </w:rPr>
        <w:t xml:space="preserve"> </w:t>
      </w:r>
      <w:r w:rsidRPr="0006227F">
        <w:rPr>
          <w:rFonts w:cs="Arial"/>
        </w:rPr>
        <w:t xml:space="preserve">should develop a cohesive structure for policies, guidance, templates and other business tools. The </w:t>
      </w:r>
      <w:r w:rsidR="0013636F">
        <w:rPr>
          <w:rFonts w:cs="Arial"/>
        </w:rPr>
        <w:t>Branch</w:t>
      </w:r>
      <w:r w:rsidR="0013636F" w:rsidRPr="0006227F">
        <w:rPr>
          <w:rFonts w:cs="Arial"/>
        </w:rPr>
        <w:t xml:space="preserve"> </w:t>
      </w:r>
      <w:r w:rsidRPr="0006227F">
        <w:rPr>
          <w:rFonts w:cs="Arial"/>
        </w:rPr>
        <w:t xml:space="preserve">should then work with line areas, the General Counsel Branch and the Governance Branch in PAID to prioritise the creation, maintenance and review of user-focused </w:t>
      </w:r>
      <w:r>
        <w:rPr>
          <w:rFonts w:cs="Arial"/>
        </w:rPr>
        <w:t xml:space="preserve">policies, </w:t>
      </w:r>
      <w:r w:rsidRPr="0006227F">
        <w:rPr>
          <w:rFonts w:cs="Arial"/>
        </w:rPr>
        <w:t>templates</w:t>
      </w:r>
      <w:r>
        <w:rPr>
          <w:rFonts w:cs="Arial"/>
        </w:rPr>
        <w:t>,</w:t>
      </w:r>
      <w:r w:rsidRPr="0006227F">
        <w:rPr>
          <w:rFonts w:cs="Arial"/>
        </w:rPr>
        <w:t xml:space="preserve"> standard operating procedures and </w:t>
      </w:r>
      <w:r>
        <w:rPr>
          <w:rFonts w:cs="Arial"/>
        </w:rPr>
        <w:t>other guidance</w:t>
      </w:r>
      <w:r w:rsidRPr="0006227F">
        <w:rPr>
          <w:rFonts w:cs="Arial"/>
        </w:rPr>
        <w:t xml:space="preserve"> to support </w:t>
      </w:r>
      <w:r w:rsidRPr="0006227F">
        <w:rPr>
          <w:rFonts w:cs="Arial"/>
        </w:rPr>
        <w:lastRenderedPageBreak/>
        <w:t>staff in their regulatory activities. These tools should be made available online in a single location that is kept up to date (and eventually should be linked to relevant workflow systems).</w:t>
      </w:r>
    </w:p>
    <w:p w:rsidR="00C151CF" w:rsidRPr="0006227F" w:rsidRDefault="00C151CF" w:rsidP="00851F3B">
      <w:pPr>
        <w:shd w:val="clear" w:color="auto" w:fill="C7E2FA" w:themeFill="accent1" w:themeFillTint="33"/>
        <w:contextualSpacing/>
        <w:rPr>
          <w:rFonts w:cs="Arial"/>
        </w:rPr>
      </w:pPr>
    </w:p>
    <w:p w:rsidR="00C151CF" w:rsidRPr="0006227F" w:rsidRDefault="00C151CF" w:rsidP="00851F3B">
      <w:pPr>
        <w:shd w:val="clear" w:color="auto" w:fill="C7E2FA" w:themeFill="accent1" w:themeFillTint="33"/>
        <w:contextualSpacing/>
        <w:rPr>
          <w:rFonts w:cs="Arial"/>
        </w:rPr>
      </w:pPr>
      <w:r w:rsidRPr="0006227F">
        <w:rPr>
          <w:rFonts w:cs="Arial"/>
        </w:rPr>
        <w:t>As a high priority</w:t>
      </w:r>
      <w:r w:rsidR="000B275D">
        <w:rPr>
          <w:rFonts w:cs="Arial"/>
        </w:rPr>
        <w:t>,</w:t>
      </w:r>
      <w:r w:rsidRPr="0006227F">
        <w:rPr>
          <w:rFonts w:cs="Arial"/>
        </w:rPr>
        <w:t xml:space="preserve"> the </w:t>
      </w:r>
      <w:r w:rsidR="000B275D">
        <w:rPr>
          <w:rFonts w:cs="Arial"/>
        </w:rPr>
        <w:t>Branch</w:t>
      </w:r>
      <w:r w:rsidR="000B275D" w:rsidRPr="0006227F">
        <w:rPr>
          <w:rFonts w:cs="Arial"/>
        </w:rPr>
        <w:t xml:space="preserve"> </w:t>
      </w:r>
      <w:r w:rsidRPr="0006227F">
        <w:rPr>
          <w:rFonts w:cs="Arial"/>
        </w:rPr>
        <w:t xml:space="preserve">should </w:t>
      </w:r>
      <w:r>
        <w:rPr>
          <w:rFonts w:cs="Arial"/>
        </w:rPr>
        <w:t xml:space="preserve">progress the </w:t>
      </w:r>
      <w:r w:rsidRPr="0006227F">
        <w:rPr>
          <w:rFonts w:cs="Arial"/>
        </w:rPr>
        <w:t>review and updat</w:t>
      </w:r>
      <w:r>
        <w:rPr>
          <w:rFonts w:cs="Arial"/>
        </w:rPr>
        <w:t>ing of</w:t>
      </w:r>
      <w:r w:rsidRPr="0006227F">
        <w:rPr>
          <w:rFonts w:cs="Arial"/>
        </w:rPr>
        <w:t xml:space="preserve"> the </w:t>
      </w:r>
      <w:r w:rsidR="000B275D">
        <w:t xml:space="preserve">environmental impact assessment manual </w:t>
      </w:r>
      <w:r w:rsidRPr="0006227F">
        <w:rPr>
          <w:rFonts w:cs="Arial"/>
        </w:rPr>
        <w:t xml:space="preserve">and publish it on the intranet.  </w:t>
      </w:r>
    </w:p>
    <w:p w:rsidR="00C151CF" w:rsidRPr="00851F3B" w:rsidRDefault="00C151CF" w:rsidP="00851F3B">
      <w:pPr>
        <w:pStyle w:val="Heading1"/>
        <w:spacing w:after="120"/>
        <w:rPr>
          <w:caps w:val="0"/>
          <w:color w:val="0B5294" w:themeColor="accent1" w:themeShade="BF"/>
          <w:sz w:val="24"/>
          <w:szCs w:val="24"/>
        </w:rPr>
      </w:pPr>
      <w:bookmarkStart w:id="58" w:name="_Toc443405187"/>
      <w:r w:rsidRPr="00851F3B">
        <w:rPr>
          <w:caps w:val="0"/>
          <w:color w:val="0B5294" w:themeColor="accent1" w:themeShade="BF"/>
          <w:sz w:val="24"/>
          <w:szCs w:val="24"/>
        </w:rPr>
        <w:t>IT Systems</w:t>
      </w:r>
      <w:bookmarkEnd w:id="58"/>
      <w:r w:rsidRPr="00851F3B">
        <w:rPr>
          <w:caps w:val="0"/>
          <w:color w:val="0B5294" w:themeColor="accent1" w:themeShade="BF"/>
          <w:sz w:val="24"/>
          <w:szCs w:val="24"/>
        </w:rPr>
        <w:t xml:space="preserve"> </w:t>
      </w:r>
    </w:p>
    <w:p w:rsidR="00C151CF" w:rsidRDefault="00C151CF" w:rsidP="00C151CF">
      <w:pPr>
        <w:rPr>
          <w:rFonts w:cs="Arial"/>
        </w:rPr>
      </w:pPr>
      <w:r>
        <w:rPr>
          <w:rFonts w:cs="Arial"/>
        </w:rPr>
        <w:t>All regulators face challenges in developing and maintaining integrated IT systems that support business processes</w:t>
      </w:r>
      <w:r w:rsidR="00F963F6">
        <w:rPr>
          <w:rFonts w:cs="Arial"/>
        </w:rPr>
        <w:t xml:space="preserve">. </w:t>
      </w:r>
      <w:r>
        <w:rPr>
          <w:rFonts w:cs="Arial"/>
        </w:rPr>
        <w:t xml:space="preserve">There is </w:t>
      </w:r>
      <w:r w:rsidR="00F963F6">
        <w:rPr>
          <w:rFonts w:cs="Arial"/>
        </w:rPr>
        <w:t>no</w:t>
      </w:r>
      <w:r>
        <w:rPr>
          <w:rFonts w:cs="Arial"/>
        </w:rPr>
        <w:t xml:space="preserve"> one-size-fits-all IT system, and the Department will need to continue to consider its current IT capability and prioritise its IT requirements going forward in order to improve regulatory performance</w:t>
      </w:r>
      <w:r w:rsidRPr="0039406C">
        <w:rPr>
          <w:rFonts w:cs="Arial"/>
        </w:rPr>
        <w:t xml:space="preserve">. </w:t>
      </w:r>
    </w:p>
    <w:p w:rsidR="00AD0517" w:rsidRDefault="00C151CF" w:rsidP="00C151CF">
      <w:r w:rsidRPr="0084002B">
        <w:rPr>
          <w:rFonts w:cs="Arial"/>
        </w:rPr>
        <w:t>A mature regulator</w:t>
      </w:r>
      <w:r>
        <w:t xml:space="preserve"> uses </w:t>
      </w:r>
      <w:r w:rsidR="000B275D">
        <w:t>its</w:t>
      </w:r>
      <w:r>
        <w:t xml:space="preserve"> IT</w:t>
      </w:r>
      <w:r w:rsidR="000B275D">
        <w:t xml:space="preserve"> systems</w:t>
      </w:r>
      <w:r>
        <w:t xml:space="preserve"> to make it easier for staff, regulated entities, and the community to engage with regulatory processes.</w:t>
      </w:r>
      <w:r w:rsidR="00AD0517">
        <w:t xml:space="preserve"> IT systems cannot address all of the inherent complexit</w:t>
      </w:r>
      <w:r w:rsidR="00F963F6">
        <w:t>ies</w:t>
      </w:r>
      <w:r w:rsidR="00AD0517">
        <w:t xml:space="preserve"> in regulatory system</w:t>
      </w:r>
      <w:r w:rsidR="00F963F6">
        <w:t>s</w:t>
      </w:r>
      <w:r w:rsidR="00AD0517">
        <w:t xml:space="preserve">, nor can it replace the need for regulatory officers to understand the requirements of legislation when making decisions. </w:t>
      </w:r>
      <w:r w:rsidR="00F963F6">
        <w:t xml:space="preserve">However, an ideal </w:t>
      </w:r>
      <w:r w:rsidR="00AD0517">
        <w:t>IT system would automate the agreed process</w:t>
      </w:r>
      <w:r w:rsidR="00F963F6">
        <w:t>,</w:t>
      </w:r>
      <w:r w:rsidR="00AD0517">
        <w:t xml:space="preserve"> </w:t>
      </w:r>
      <w:r w:rsidR="00214341">
        <w:t>allowing staff to focus on the analytical decision-making aspects of their work</w:t>
      </w:r>
      <w:r w:rsidR="00F963F6">
        <w:t xml:space="preserve">, rather than </w:t>
      </w:r>
      <w:r w:rsidR="00214341">
        <w:t>procedural and administrative tasks.</w:t>
      </w:r>
    </w:p>
    <w:p w:rsidR="00C151CF" w:rsidRDefault="00F963F6" w:rsidP="00F963F6">
      <w:r>
        <w:t xml:space="preserve">Good </w:t>
      </w:r>
      <w:r w:rsidR="00C151CF">
        <w:t>IT systems have the ability to provide fundamental support to the Department and regulated entities by:</w:t>
      </w:r>
    </w:p>
    <w:p w:rsidR="00C151CF" w:rsidRPr="00C151CF" w:rsidRDefault="00C151CF" w:rsidP="00DB5D4A">
      <w:pPr>
        <w:pStyle w:val="ListBullet"/>
        <w:spacing w:after="0"/>
        <w:rPr>
          <w:rFonts w:cs="Arial"/>
        </w:rPr>
      </w:pPr>
      <w:r w:rsidRPr="00C151CF">
        <w:rPr>
          <w:rFonts w:cs="Arial"/>
        </w:rPr>
        <w:t>allowing on</w:t>
      </w:r>
      <w:r w:rsidR="00F963F6">
        <w:rPr>
          <w:rFonts w:cs="Arial"/>
        </w:rPr>
        <w:t>-</w:t>
      </w:r>
      <w:r w:rsidRPr="00C151CF">
        <w:rPr>
          <w:rFonts w:cs="Arial"/>
        </w:rPr>
        <w:t>line lodgement of applications;</w:t>
      </w:r>
    </w:p>
    <w:p w:rsidR="00C151CF" w:rsidRPr="00C151CF" w:rsidRDefault="00C151CF" w:rsidP="00DB5D4A">
      <w:pPr>
        <w:pStyle w:val="ListBullet"/>
        <w:spacing w:after="0"/>
        <w:rPr>
          <w:rFonts w:cs="Arial"/>
        </w:rPr>
      </w:pPr>
      <w:r w:rsidRPr="00C151CF">
        <w:rPr>
          <w:rFonts w:cs="Arial"/>
        </w:rPr>
        <w:t>auto-filling and reproducing data (increasing productivity while reducing risks from human error</w:t>
      </w:r>
      <w:r w:rsidR="00F963F6">
        <w:rPr>
          <w:rFonts w:cs="Arial"/>
        </w:rPr>
        <w:t>)</w:t>
      </w:r>
      <w:r w:rsidRPr="00C151CF">
        <w:rPr>
          <w:rFonts w:cs="Arial"/>
        </w:rPr>
        <w:t>;</w:t>
      </w:r>
    </w:p>
    <w:p w:rsidR="00C151CF" w:rsidRPr="00C151CF" w:rsidRDefault="00C151CF" w:rsidP="00DB5D4A">
      <w:pPr>
        <w:pStyle w:val="ListBullet"/>
        <w:spacing w:after="0"/>
        <w:rPr>
          <w:rFonts w:cs="Arial"/>
        </w:rPr>
      </w:pPr>
      <w:r w:rsidRPr="00C151CF">
        <w:rPr>
          <w:rFonts w:cs="Arial"/>
        </w:rPr>
        <w:t>automating work flow procedures</w:t>
      </w:r>
      <w:r w:rsidR="00F963F6">
        <w:rPr>
          <w:rFonts w:cs="Arial"/>
        </w:rPr>
        <w:t>;</w:t>
      </w:r>
    </w:p>
    <w:p w:rsidR="00C151CF" w:rsidRPr="00C151CF" w:rsidRDefault="00C151CF" w:rsidP="00DB5D4A">
      <w:pPr>
        <w:pStyle w:val="ListBullet"/>
        <w:spacing w:after="0"/>
        <w:rPr>
          <w:rFonts w:cs="Arial"/>
        </w:rPr>
      </w:pPr>
      <w:r w:rsidRPr="00C151CF">
        <w:rPr>
          <w:rFonts w:cs="Arial"/>
        </w:rPr>
        <w:t xml:space="preserve">storing and producing information critical to decisions; </w:t>
      </w:r>
    </w:p>
    <w:p w:rsidR="00C151CF" w:rsidRPr="00C151CF" w:rsidRDefault="00C151CF" w:rsidP="00DB5D4A">
      <w:pPr>
        <w:pStyle w:val="ListBullet"/>
        <w:spacing w:after="0"/>
        <w:rPr>
          <w:rFonts w:cs="Arial"/>
        </w:rPr>
      </w:pPr>
      <w:r w:rsidRPr="00C151CF">
        <w:rPr>
          <w:rFonts w:cs="Arial"/>
        </w:rPr>
        <w:t>automating record management systems</w:t>
      </w:r>
      <w:r w:rsidR="00F963F6">
        <w:rPr>
          <w:rFonts w:cs="Arial"/>
        </w:rPr>
        <w:t>;</w:t>
      </w:r>
    </w:p>
    <w:p w:rsidR="00C151CF" w:rsidRPr="00C151CF" w:rsidRDefault="00C151CF" w:rsidP="00DB5D4A">
      <w:pPr>
        <w:pStyle w:val="ListBullet"/>
        <w:spacing w:after="0"/>
        <w:rPr>
          <w:rFonts w:cs="Arial"/>
        </w:rPr>
      </w:pPr>
      <w:r w:rsidRPr="00C151CF">
        <w:rPr>
          <w:rFonts w:cs="Arial"/>
        </w:rPr>
        <w:t>supporting collaboration within the agency and with other agencies; and</w:t>
      </w:r>
    </w:p>
    <w:p w:rsidR="00C151CF" w:rsidRDefault="00C151CF" w:rsidP="00DB5D4A">
      <w:pPr>
        <w:pStyle w:val="ListBullet"/>
        <w:spacing w:after="0"/>
        <w:rPr>
          <w:rFonts w:cs="Arial"/>
        </w:rPr>
      </w:pPr>
      <w:r w:rsidRPr="00C151CF">
        <w:rPr>
          <w:rFonts w:cs="Arial"/>
        </w:rPr>
        <w:t>allowing for sophisticated analysis of data to identify emerging trends</w:t>
      </w:r>
      <w:r w:rsidR="00F963F6">
        <w:rPr>
          <w:rFonts w:cs="Arial"/>
        </w:rPr>
        <w:t>,</w:t>
      </w:r>
      <w:r w:rsidRPr="00C151CF">
        <w:rPr>
          <w:rFonts w:cs="Arial"/>
        </w:rPr>
        <w:t xml:space="preserve"> issues and risks. </w:t>
      </w:r>
    </w:p>
    <w:p w:rsidR="00C151CF" w:rsidRPr="00C151CF" w:rsidRDefault="00C151CF" w:rsidP="00C151CF">
      <w:pPr>
        <w:pStyle w:val="ListBullet"/>
        <w:numPr>
          <w:ilvl w:val="0"/>
          <w:numId w:val="0"/>
        </w:numPr>
        <w:spacing w:after="0" w:line="240" w:lineRule="auto"/>
        <w:ind w:left="369"/>
        <w:rPr>
          <w:rFonts w:cs="Arial"/>
        </w:rPr>
      </w:pPr>
    </w:p>
    <w:p w:rsidR="00C151CF" w:rsidRDefault="00C151CF" w:rsidP="00C151CF">
      <w:r>
        <w:t xml:space="preserve">Staff at all levels provided feedback about the adequacy of EPG’s existing IT systems. While some </w:t>
      </w:r>
      <w:r w:rsidR="0044759A">
        <w:t xml:space="preserve">areas </w:t>
      </w:r>
      <w:r>
        <w:t xml:space="preserve">had effective IT systems, many staff felt that current IT systems (including both basic infrastructure and specialised systems) were limiting best practice and creating inefficiencies. </w:t>
      </w:r>
    </w:p>
    <w:p w:rsidR="00C151CF" w:rsidRDefault="00C151CF" w:rsidP="00C151CF">
      <w:r>
        <w:t>The Department has previously had a de</w:t>
      </w:r>
      <w:r w:rsidR="00762FB7">
        <w:t>-</w:t>
      </w:r>
      <w:r>
        <w:t>centralised approach to IT</w:t>
      </w:r>
      <w:r w:rsidR="00762FB7">
        <w:t>,</w:t>
      </w:r>
      <w:r>
        <w:t xml:space="preserve"> with line areas determining their own IT needs and developing or procuring their own solutions. As a result</w:t>
      </w:r>
      <w:r w:rsidR="00762FB7">
        <w:t>,</w:t>
      </w:r>
      <w:r>
        <w:t xml:space="preserve"> the Department has a large number of disjointed IT systems. Many officers work across multiple IT systems for their day</w:t>
      </w:r>
      <w:r w:rsidR="00C26189">
        <w:t>-</w:t>
      </w:r>
      <w:r>
        <w:t>to</w:t>
      </w:r>
      <w:r w:rsidR="00C26189">
        <w:t>-</w:t>
      </w:r>
      <w:r>
        <w:t>day work, with no end-to-end workflow system that allows staff to manage</w:t>
      </w:r>
      <w:r w:rsidR="00C26189">
        <w:t xml:space="preserve"> entire</w:t>
      </w:r>
      <w:r>
        <w:t xml:space="preserve"> tasks</w:t>
      </w:r>
      <w:r w:rsidR="00C26189">
        <w:t xml:space="preserve"> </w:t>
      </w:r>
      <w:r>
        <w:t>- for example, processing a referral</w:t>
      </w:r>
      <w:r w:rsidR="00A6701B">
        <w:t xml:space="preserve"> or </w:t>
      </w:r>
      <w:r>
        <w:t>permit from receipt to determination. M</w:t>
      </w:r>
      <w:r w:rsidRPr="00064683">
        <w:t xml:space="preserve">anual data entry </w:t>
      </w:r>
      <w:r>
        <w:t>i</w:t>
      </w:r>
      <w:r w:rsidRPr="00064683">
        <w:t>s</w:t>
      </w:r>
      <w:r w:rsidR="00906AE6">
        <w:t xml:space="preserve"> also</w:t>
      </w:r>
      <w:r>
        <w:t xml:space="preserve"> often</w:t>
      </w:r>
      <w:r w:rsidRPr="00064683">
        <w:t xml:space="preserve"> </w:t>
      </w:r>
      <w:r>
        <w:t>required</w:t>
      </w:r>
      <w:r w:rsidRPr="00064683">
        <w:t xml:space="preserve"> several times during </w:t>
      </w:r>
      <w:r>
        <w:t>a single process</w:t>
      </w:r>
      <w:r w:rsidR="00906AE6">
        <w:t xml:space="preserve">, which </w:t>
      </w:r>
      <w:r>
        <w:t>creates significant duplication and inefficiencies, and increases risks relating to data accuracy and integrity. Some IT systems have become difficult to manage over time</w:t>
      </w:r>
      <w:r w:rsidR="00906AE6">
        <w:t>,</w:t>
      </w:r>
      <w:r>
        <w:t xml:space="preserve"> which may make </w:t>
      </w:r>
      <w:r w:rsidR="00906AE6">
        <w:t xml:space="preserve">it difficult to retrieve </w:t>
      </w:r>
      <w:r>
        <w:t>historical data</w:t>
      </w:r>
      <w:r w:rsidR="00906AE6">
        <w:t>.</w:t>
      </w:r>
      <w:r>
        <w:t xml:space="preserve"> There is also limited ability to share data within the Department, across government</w:t>
      </w:r>
      <w:r w:rsidR="00906AE6">
        <w:t xml:space="preserve">, and </w:t>
      </w:r>
      <w:r>
        <w:t>with other stakeholders.</w:t>
      </w:r>
    </w:p>
    <w:p w:rsidR="00C151CF" w:rsidRDefault="00906AE6" w:rsidP="00C151CF">
      <w:r>
        <w:t>In an effort to develop a more consistent and integrated approach to IT, the Department centralised respon</w:t>
      </w:r>
      <w:r w:rsidR="004203DE">
        <w:t>sibility for IT in 2014</w:t>
      </w:r>
      <w:r w:rsidR="004B2512">
        <w:t>. The</w:t>
      </w:r>
      <w:r w:rsidR="004203DE">
        <w:t xml:space="preserve"> central IT Branch </w:t>
      </w:r>
      <w:r w:rsidR="00C151CF">
        <w:t>is developing a whole</w:t>
      </w:r>
      <w:r w:rsidR="004203DE">
        <w:t>-</w:t>
      </w:r>
      <w:r w:rsidR="00C151CF">
        <w:t>of</w:t>
      </w:r>
      <w:r w:rsidR="004203DE">
        <w:t>-</w:t>
      </w:r>
      <w:r w:rsidR="00C151CF">
        <w:t>Department architecture. This approach uses common tools and systems across the Department for similar business activities. Under this model</w:t>
      </w:r>
      <w:r w:rsidR="004203DE">
        <w:t>,</w:t>
      </w:r>
      <w:r w:rsidR="00C151CF">
        <w:t xml:space="preserve"> the Department is implementing a </w:t>
      </w:r>
      <w:r w:rsidR="00C151CF">
        <w:lastRenderedPageBreak/>
        <w:t>cen</w:t>
      </w:r>
      <w:r w:rsidR="00DB5D4A">
        <w:t>tral</w:t>
      </w:r>
      <w:r w:rsidR="004203DE">
        <w:t xml:space="preserve"> </w:t>
      </w:r>
      <w:r w:rsidR="00DB5D4A">
        <w:t xml:space="preserve">platform </w:t>
      </w:r>
      <w:r w:rsidR="00C151CF">
        <w:t xml:space="preserve">to support the business processes of each regulatory (or other </w:t>
      </w:r>
      <w:r w:rsidR="00E3593E">
        <w:t>program</w:t>
      </w:r>
      <w:r w:rsidR="00C151CF">
        <w:t>) activity. This approach will allow better integration between areas (for example</w:t>
      </w:r>
      <w:r w:rsidR="004203DE">
        <w:t xml:space="preserve"> by</w:t>
      </w:r>
      <w:r w:rsidR="00C151CF">
        <w:t xml:space="preserve"> allowing regulatory officers to see previous compliance actions against a particular entity)</w:t>
      </w:r>
      <w:r w:rsidR="004203DE">
        <w:t>,</w:t>
      </w:r>
      <w:r w:rsidR="00C151CF">
        <w:t xml:space="preserve"> while also making the system more flexible into the future. </w:t>
      </w:r>
    </w:p>
    <w:p w:rsidR="00C151CF" w:rsidRDefault="00C151CF" w:rsidP="00C151CF">
      <w:r>
        <w:t>The Department is pursuing a number of projects to improve IT systems for EPG</w:t>
      </w:r>
      <w:r w:rsidR="00695372">
        <w:t xml:space="preserve"> (see</w:t>
      </w:r>
      <w:r>
        <w:t xml:space="preserve"> </w:t>
      </w:r>
      <w:r w:rsidR="001A4DC2" w:rsidRPr="00695372">
        <w:rPr>
          <w:b/>
        </w:rPr>
        <w:t>A</w:t>
      </w:r>
      <w:r w:rsidRPr="00695372">
        <w:rPr>
          <w:b/>
        </w:rPr>
        <w:t xml:space="preserve">ppendix </w:t>
      </w:r>
      <w:r w:rsidR="001A4DC2" w:rsidRPr="00695372">
        <w:rPr>
          <w:b/>
        </w:rPr>
        <w:t>5</w:t>
      </w:r>
      <w:r w:rsidR="004203DE">
        <w:t>)</w:t>
      </w:r>
      <w:r>
        <w:t>. The Department is taking a staged approach to developing its integrated</w:t>
      </w:r>
      <w:r w:rsidR="00085C95">
        <w:t xml:space="preserve"> IT</w:t>
      </w:r>
      <w:r>
        <w:t xml:space="preserve"> system, due to </w:t>
      </w:r>
      <w:r w:rsidR="00085C95">
        <w:t xml:space="preserve">the </w:t>
      </w:r>
      <w:r>
        <w:t>wide range of IT needs and priorities</w:t>
      </w:r>
      <w:r w:rsidR="00085C95">
        <w:t>,</w:t>
      </w:r>
      <w:r>
        <w:t xml:space="preserve"> and </w:t>
      </w:r>
      <w:r w:rsidR="00085C95">
        <w:t>limited</w:t>
      </w:r>
      <w:r>
        <w:t xml:space="preserve"> funding and staff resources. As a result</w:t>
      </w:r>
      <w:r w:rsidR="00085C95">
        <w:t>,</w:t>
      </w:r>
      <w:r>
        <w:t xml:space="preserve"> </w:t>
      </w:r>
      <w:r w:rsidR="00085C95">
        <w:t xml:space="preserve">some identified improvement work (such as improvements to the system used for compliance and enforcement) </w:t>
      </w:r>
      <w:r>
        <w:t>has not yet been progressed.</w:t>
      </w:r>
    </w:p>
    <w:p w:rsidR="00085C95" w:rsidRDefault="00085C95" w:rsidP="00C151CF">
      <w:r>
        <w:t xml:space="preserve">By 1 July 2016, </w:t>
      </w:r>
      <w:r w:rsidR="00E174BA">
        <w:t>the workflow system for environmental impact assessments will:</w:t>
      </w:r>
    </w:p>
    <w:p w:rsidR="00C151CF" w:rsidRPr="00C151CF" w:rsidRDefault="00C151CF" w:rsidP="00DB5D4A">
      <w:pPr>
        <w:pStyle w:val="ListBullet"/>
        <w:spacing w:after="0"/>
        <w:rPr>
          <w:rFonts w:cs="Arial"/>
        </w:rPr>
      </w:pPr>
      <w:r w:rsidRPr="00C151CF">
        <w:rPr>
          <w:rFonts w:cs="Arial"/>
        </w:rPr>
        <w:t>allow project referrals to be processed within the system;</w:t>
      </w:r>
    </w:p>
    <w:p w:rsidR="00C151CF" w:rsidRPr="00C151CF" w:rsidRDefault="00C151CF" w:rsidP="00DB5D4A">
      <w:pPr>
        <w:pStyle w:val="ListBullet"/>
        <w:spacing w:after="0"/>
        <w:rPr>
          <w:rFonts w:cs="Arial"/>
        </w:rPr>
      </w:pPr>
      <w:r w:rsidRPr="00C151CF">
        <w:rPr>
          <w:rFonts w:cs="Arial"/>
        </w:rPr>
        <w:t>check for appropriate authority (</w:t>
      </w:r>
      <w:r w:rsidR="00E174BA">
        <w:rPr>
          <w:rFonts w:cs="Arial"/>
        </w:rPr>
        <w:t>although</w:t>
      </w:r>
      <w:r w:rsidR="00E174BA" w:rsidRPr="00C151CF">
        <w:rPr>
          <w:rFonts w:cs="Arial"/>
        </w:rPr>
        <w:t xml:space="preserve"> </w:t>
      </w:r>
      <w:r w:rsidRPr="00C151CF">
        <w:rPr>
          <w:rFonts w:cs="Arial"/>
        </w:rPr>
        <w:t>this is not automatically linked to delegations instruments);</w:t>
      </w:r>
    </w:p>
    <w:p w:rsidR="00C151CF" w:rsidRPr="00C151CF" w:rsidRDefault="00C151CF" w:rsidP="00DB5D4A">
      <w:pPr>
        <w:pStyle w:val="ListBullet"/>
        <w:spacing w:after="0"/>
        <w:rPr>
          <w:rFonts w:cs="Arial"/>
        </w:rPr>
      </w:pPr>
      <w:r w:rsidRPr="00C151CF">
        <w:rPr>
          <w:rFonts w:cs="Arial"/>
        </w:rPr>
        <w:t>automatically publish specific documents;</w:t>
      </w:r>
    </w:p>
    <w:p w:rsidR="00C151CF" w:rsidRPr="00C151CF" w:rsidRDefault="00C151CF" w:rsidP="00DB5D4A">
      <w:pPr>
        <w:pStyle w:val="ListBullet"/>
        <w:spacing w:after="0"/>
        <w:rPr>
          <w:rFonts w:cs="Arial"/>
        </w:rPr>
      </w:pPr>
      <w:r w:rsidRPr="00C151CF">
        <w:rPr>
          <w:rFonts w:cs="Arial"/>
        </w:rPr>
        <w:t xml:space="preserve">allow officers to record file notes of meetings or inspections; </w:t>
      </w:r>
    </w:p>
    <w:p w:rsidR="00C151CF" w:rsidRPr="00C151CF" w:rsidRDefault="00C151CF" w:rsidP="00DB5D4A">
      <w:pPr>
        <w:pStyle w:val="ListBullet"/>
        <w:spacing w:after="0"/>
        <w:rPr>
          <w:rFonts w:cs="Arial"/>
        </w:rPr>
      </w:pPr>
      <w:r w:rsidRPr="00C151CF">
        <w:rPr>
          <w:rFonts w:cs="Arial"/>
        </w:rPr>
        <w:t>provide time prompts and visibility of projects to supervisors</w:t>
      </w:r>
      <w:r w:rsidR="00E174BA">
        <w:rPr>
          <w:rFonts w:cs="Arial"/>
        </w:rPr>
        <w:t>;</w:t>
      </w:r>
    </w:p>
    <w:p w:rsidR="00C151CF" w:rsidRPr="00C151CF" w:rsidRDefault="00C151CF" w:rsidP="00DB5D4A">
      <w:pPr>
        <w:pStyle w:val="ListBullet"/>
        <w:spacing w:after="0"/>
        <w:rPr>
          <w:rFonts w:cs="Arial"/>
        </w:rPr>
      </w:pPr>
      <w:r w:rsidRPr="00C151CF">
        <w:rPr>
          <w:rFonts w:cs="Arial"/>
        </w:rPr>
        <w:t>require proponents to lodge referrals online (</w:t>
      </w:r>
      <w:r w:rsidR="00E174BA">
        <w:rPr>
          <w:rFonts w:cs="Arial"/>
        </w:rPr>
        <w:t>which will</w:t>
      </w:r>
      <w:r w:rsidRPr="00C151CF">
        <w:rPr>
          <w:rFonts w:cs="Arial"/>
        </w:rPr>
        <w:t xml:space="preserve"> automatically begin a case within the system</w:t>
      </w:r>
      <w:r w:rsidR="00E174BA">
        <w:rPr>
          <w:rFonts w:cs="Arial"/>
        </w:rPr>
        <w:t>)</w:t>
      </w:r>
      <w:r w:rsidRPr="00C151CF">
        <w:rPr>
          <w:rFonts w:cs="Arial"/>
        </w:rPr>
        <w:t>;</w:t>
      </w:r>
    </w:p>
    <w:p w:rsidR="00C151CF" w:rsidRPr="00C151CF" w:rsidRDefault="00C151CF" w:rsidP="00DB5D4A">
      <w:pPr>
        <w:pStyle w:val="ListBullet"/>
        <w:spacing w:after="0"/>
        <w:rPr>
          <w:rFonts w:cs="Arial"/>
        </w:rPr>
      </w:pPr>
      <w:r w:rsidRPr="00C151CF">
        <w:rPr>
          <w:rFonts w:cs="Arial"/>
        </w:rPr>
        <w:t>allow</w:t>
      </w:r>
      <w:r>
        <w:rPr>
          <w:rFonts w:cs="Arial"/>
        </w:rPr>
        <w:t xml:space="preserve"> proponents to identify the spat</w:t>
      </w:r>
      <w:r w:rsidRPr="00C151CF">
        <w:rPr>
          <w:rFonts w:cs="Arial"/>
        </w:rPr>
        <w:t>ial parameters of their project on</w:t>
      </w:r>
      <w:r w:rsidR="00E174BA">
        <w:rPr>
          <w:rFonts w:cs="Arial"/>
        </w:rPr>
        <w:t>–</w:t>
      </w:r>
      <w:r w:rsidRPr="00C151CF">
        <w:rPr>
          <w:rFonts w:cs="Arial"/>
        </w:rPr>
        <w:t>line</w:t>
      </w:r>
      <w:r w:rsidR="00E174BA">
        <w:rPr>
          <w:rFonts w:cs="Arial"/>
        </w:rPr>
        <w:t>;</w:t>
      </w:r>
      <w:r w:rsidRPr="00C151CF">
        <w:rPr>
          <w:rFonts w:cs="Arial"/>
        </w:rPr>
        <w:t xml:space="preserve"> and</w:t>
      </w:r>
    </w:p>
    <w:p w:rsidR="00C151CF" w:rsidRDefault="00C151CF" w:rsidP="00DB5D4A">
      <w:pPr>
        <w:pStyle w:val="ListBullet"/>
        <w:spacing w:after="0"/>
        <w:rPr>
          <w:rFonts w:cs="Arial"/>
        </w:rPr>
      </w:pPr>
      <w:r w:rsidRPr="00C151CF">
        <w:rPr>
          <w:rFonts w:cs="Arial"/>
        </w:rPr>
        <w:t>integrate payment processes so that officers can see whether fees have been paid within a single system.</w:t>
      </w:r>
    </w:p>
    <w:p w:rsidR="00DB5D4A" w:rsidRPr="00C151CF" w:rsidRDefault="00DB5D4A" w:rsidP="00DB5D4A">
      <w:pPr>
        <w:pStyle w:val="ListBullet"/>
        <w:numPr>
          <w:ilvl w:val="0"/>
          <w:numId w:val="0"/>
        </w:numPr>
        <w:spacing w:after="0"/>
        <w:ind w:left="369"/>
        <w:rPr>
          <w:rFonts w:cs="Arial"/>
        </w:rPr>
      </w:pPr>
    </w:p>
    <w:p w:rsidR="00C151CF" w:rsidRDefault="00C151CF" w:rsidP="00C151CF">
      <w:r>
        <w:t xml:space="preserve">The Department is also progressing work to link source databases (for example those containing authoritative information about protected species and relevant recovery plans) to the </w:t>
      </w:r>
      <w:r w:rsidR="00E174BA">
        <w:t xml:space="preserve">environmental impact assessments </w:t>
      </w:r>
      <w:r>
        <w:t>workflow system.</w:t>
      </w:r>
      <w:r w:rsidR="00E174BA">
        <w:t xml:space="preserve"> </w:t>
      </w:r>
      <w:r>
        <w:t xml:space="preserve">This would automate the identification of relevant protected matters and associated statutory documents, reducing human error and the risk that information is out of date. </w:t>
      </w:r>
      <w:r w:rsidR="00E174BA">
        <w:t xml:space="preserve">Although </w:t>
      </w:r>
      <w:r>
        <w:t>this work is being pursued as a matter of priority</w:t>
      </w:r>
      <w:r w:rsidR="00E174BA">
        <w:t>,</w:t>
      </w:r>
      <w:r>
        <w:t xml:space="preserve"> it is likely that it will take some time due to the age and complexity of the source databases.</w:t>
      </w:r>
    </w:p>
    <w:p w:rsidR="00C151CF" w:rsidRPr="00851F3B" w:rsidRDefault="00C151CF" w:rsidP="00851F3B">
      <w:pPr>
        <w:pStyle w:val="Heading1"/>
        <w:spacing w:after="120"/>
        <w:rPr>
          <w:i/>
          <w:caps w:val="0"/>
          <w:color w:val="0B5294" w:themeColor="accent1" w:themeShade="BF"/>
          <w:sz w:val="24"/>
          <w:szCs w:val="24"/>
        </w:rPr>
      </w:pPr>
      <w:bookmarkStart w:id="59" w:name="_Toc443405188"/>
      <w:r w:rsidRPr="00851F3B">
        <w:rPr>
          <w:i/>
          <w:caps w:val="0"/>
          <w:color w:val="0B5294" w:themeColor="accent1" w:themeShade="BF"/>
          <w:sz w:val="24"/>
          <w:szCs w:val="24"/>
        </w:rPr>
        <w:t>Opportunities for further improvement</w:t>
      </w:r>
      <w:bookmarkEnd w:id="59"/>
    </w:p>
    <w:p w:rsidR="00C151CF" w:rsidRDefault="00C151CF" w:rsidP="00C151CF">
      <w:r>
        <w:t>There is significant scope to further improve IT systems so that they provide more support to regulatory officers and better quality assurance for regulatory activities. For example</w:t>
      </w:r>
      <w:r w:rsidR="00E174BA">
        <w:t>, the Department could</w:t>
      </w:r>
      <w:r>
        <w:t>:</w:t>
      </w:r>
    </w:p>
    <w:p w:rsidR="00C151CF" w:rsidRPr="00C151CF" w:rsidRDefault="00335B61" w:rsidP="00C151CF">
      <w:pPr>
        <w:pStyle w:val="ListBullet"/>
        <w:spacing w:after="0" w:line="240" w:lineRule="auto"/>
        <w:rPr>
          <w:rFonts w:cs="Arial"/>
        </w:rPr>
      </w:pPr>
      <w:r>
        <w:rPr>
          <w:rFonts w:cs="Arial"/>
        </w:rPr>
        <w:t xml:space="preserve">Develop </w:t>
      </w:r>
      <w:r w:rsidR="00C151CF" w:rsidRPr="00C151CF">
        <w:rPr>
          <w:rFonts w:cs="Arial"/>
        </w:rPr>
        <w:t>IT workflow systems that automatically extract data from source databases and allow for the generation of reports</w:t>
      </w:r>
      <w:r w:rsidR="00A6701B">
        <w:rPr>
          <w:rFonts w:cs="Arial"/>
        </w:rPr>
        <w:t xml:space="preserve"> and </w:t>
      </w:r>
      <w:r w:rsidR="00C151CF" w:rsidRPr="00C151CF">
        <w:rPr>
          <w:rFonts w:cs="Arial"/>
        </w:rPr>
        <w:t>briefing packages</w:t>
      </w:r>
      <w:r>
        <w:rPr>
          <w:rFonts w:cs="Arial"/>
        </w:rPr>
        <w:t xml:space="preserve"> that include</w:t>
      </w:r>
      <w:r w:rsidR="00C151CF" w:rsidRPr="00C151CF">
        <w:rPr>
          <w:rFonts w:cs="Arial"/>
        </w:rPr>
        <w:t xml:space="preserve"> </w:t>
      </w:r>
      <w:r>
        <w:rPr>
          <w:rFonts w:cs="Arial"/>
        </w:rPr>
        <w:t xml:space="preserve">the </w:t>
      </w:r>
      <w:r w:rsidR="00C151CF" w:rsidRPr="00C151CF">
        <w:rPr>
          <w:rFonts w:cs="Arial"/>
        </w:rPr>
        <w:t>required attachments</w:t>
      </w:r>
      <w:r>
        <w:rPr>
          <w:rFonts w:cs="Arial"/>
        </w:rPr>
        <w:t>. This would</w:t>
      </w:r>
      <w:r w:rsidR="00C151CF" w:rsidRPr="00C151CF">
        <w:rPr>
          <w:rFonts w:cs="Arial"/>
        </w:rPr>
        <w:t xml:space="preserve"> assist in assessment process</w:t>
      </w:r>
      <w:r>
        <w:rPr>
          <w:rFonts w:cs="Arial"/>
        </w:rPr>
        <w:t>es</w:t>
      </w:r>
      <w:r w:rsidR="00C151CF" w:rsidRPr="00C151CF">
        <w:rPr>
          <w:rFonts w:cs="Arial"/>
        </w:rPr>
        <w:t>, the maintenance of data integrity</w:t>
      </w:r>
      <w:r>
        <w:rPr>
          <w:rFonts w:cs="Arial"/>
        </w:rPr>
        <w:t>,</w:t>
      </w:r>
      <w:r w:rsidR="00C151CF" w:rsidRPr="00C151CF">
        <w:rPr>
          <w:rFonts w:cs="Arial"/>
        </w:rPr>
        <w:t xml:space="preserve"> and reduce administrative burden</w:t>
      </w:r>
      <w:r>
        <w:rPr>
          <w:rFonts w:cs="Arial"/>
        </w:rPr>
        <w:t>.</w:t>
      </w:r>
    </w:p>
    <w:p w:rsidR="00C151CF" w:rsidRPr="00C151CF" w:rsidRDefault="00497DD7" w:rsidP="00C151CF">
      <w:pPr>
        <w:pStyle w:val="ListBullet"/>
        <w:spacing w:after="0" w:line="240" w:lineRule="auto"/>
        <w:rPr>
          <w:rFonts w:cs="Arial"/>
        </w:rPr>
      </w:pPr>
      <w:r>
        <w:rPr>
          <w:rFonts w:cs="Arial"/>
        </w:rPr>
        <w:t>I</w:t>
      </w:r>
      <w:r w:rsidR="00C151CF" w:rsidRPr="00C151CF">
        <w:rPr>
          <w:rFonts w:cs="Arial"/>
        </w:rPr>
        <w:t>nclud</w:t>
      </w:r>
      <w:r>
        <w:rPr>
          <w:rFonts w:cs="Arial"/>
        </w:rPr>
        <w:t>e</w:t>
      </w:r>
      <w:r w:rsidR="00C151CF" w:rsidRPr="00C151CF">
        <w:rPr>
          <w:rFonts w:cs="Arial"/>
        </w:rPr>
        <w:t xml:space="preserve"> live links to relevant policies and guidelines, templates and source data within the</w:t>
      </w:r>
      <w:r>
        <w:rPr>
          <w:rFonts w:cs="Arial"/>
        </w:rPr>
        <w:t xml:space="preserve"> environmental impact assessments</w:t>
      </w:r>
      <w:r w:rsidR="00C151CF" w:rsidRPr="00C151CF">
        <w:rPr>
          <w:rFonts w:cs="Arial"/>
        </w:rPr>
        <w:t xml:space="preserve"> workflow system</w:t>
      </w:r>
      <w:r>
        <w:rPr>
          <w:rFonts w:cs="Arial"/>
        </w:rPr>
        <w:t xml:space="preserve">. This </w:t>
      </w:r>
      <w:r w:rsidR="00C151CF" w:rsidRPr="00C151CF">
        <w:rPr>
          <w:rFonts w:cs="Arial"/>
        </w:rPr>
        <w:t xml:space="preserve">would create a </w:t>
      </w:r>
      <w:r>
        <w:rPr>
          <w:rFonts w:cs="Arial"/>
        </w:rPr>
        <w:t>‘</w:t>
      </w:r>
      <w:r w:rsidR="00C151CF" w:rsidRPr="00C151CF">
        <w:rPr>
          <w:rFonts w:cs="Arial"/>
        </w:rPr>
        <w:t>single source of truth</w:t>
      </w:r>
      <w:r>
        <w:rPr>
          <w:rFonts w:cs="Arial"/>
        </w:rPr>
        <w:t>’</w:t>
      </w:r>
      <w:r w:rsidR="00C151CF" w:rsidRPr="00C151CF">
        <w:rPr>
          <w:rFonts w:cs="Arial"/>
        </w:rPr>
        <w:t xml:space="preserve"> for officers, reducing staff effort and increasing confidence and consistency in the process</w:t>
      </w:r>
      <w:r>
        <w:rPr>
          <w:rFonts w:cs="Arial"/>
        </w:rPr>
        <w:t>.</w:t>
      </w:r>
    </w:p>
    <w:p w:rsidR="00C151CF" w:rsidRPr="00C151CF" w:rsidRDefault="00497DD7" w:rsidP="00C151CF">
      <w:pPr>
        <w:pStyle w:val="ListBullet"/>
        <w:spacing w:after="0" w:line="240" w:lineRule="auto"/>
        <w:rPr>
          <w:rFonts w:cs="Arial"/>
        </w:rPr>
      </w:pPr>
      <w:r>
        <w:rPr>
          <w:rFonts w:cs="Arial"/>
        </w:rPr>
        <w:t>E</w:t>
      </w:r>
      <w:r w:rsidR="00C151CF" w:rsidRPr="00C151CF">
        <w:rPr>
          <w:rFonts w:cs="Arial"/>
        </w:rPr>
        <w:t>stablish links between assessment and compliance systems</w:t>
      </w:r>
      <w:r>
        <w:rPr>
          <w:rFonts w:cs="Arial"/>
        </w:rPr>
        <w:t>. This</w:t>
      </w:r>
      <w:r w:rsidR="00C151CF" w:rsidRPr="00C151CF">
        <w:rPr>
          <w:rFonts w:cs="Arial"/>
        </w:rPr>
        <w:t xml:space="preserve"> would allow better end</w:t>
      </w:r>
      <w:r>
        <w:rPr>
          <w:rFonts w:cs="Arial"/>
        </w:rPr>
        <w:t>-</w:t>
      </w:r>
      <w:r w:rsidR="00C151CF" w:rsidRPr="00C151CF">
        <w:rPr>
          <w:rFonts w:cs="Arial"/>
        </w:rPr>
        <w:t>to</w:t>
      </w:r>
      <w:r>
        <w:rPr>
          <w:rFonts w:cs="Arial"/>
        </w:rPr>
        <w:t>-</w:t>
      </w:r>
      <w:r w:rsidR="00C151CF" w:rsidRPr="00C151CF">
        <w:rPr>
          <w:rFonts w:cs="Arial"/>
        </w:rPr>
        <w:t>end understanding of projects and proponents</w:t>
      </w:r>
      <w:r>
        <w:rPr>
          <w:rFonts w:cs="Arial"/>
        </w:rPr>
        <w:t>.</w:t>
      </w:r>
    </w:p>
    <w:p w:rsidR="00C151CF" w:rsidRPr="00C151CF" w:rsidRDefault="00B41695" w:rsidP="00C151CF">
      <w:pPr>
        <w:pStyle w:val="ListBullet"/>
        <w:spacing w:after="0" w:line="240" w:lineRule="auto"/>
        <w:rPr>
          <w:rFonts w:cs="Arial"/>
        </w:rPr>
      </w:pPr>
      <w:r>
        <w:rPr>
          <w:rFonts w:cs="Arial"/>
        </w:rPr>
        <w:t xml:space="preserve">Allow for the </w:t>
      </w:r>
      <w:r w:rsidR="00C151CF" w:rsidRPr="009F0AEA">
        <w:rPr>
          <w:rFonts w:cs="Arial"/>
        </w:rPr>
        <w:t>electronic submission of key documents to decision-makers</w:t>
      </w:r>
      <w:r>
        <w:rPr>
          <w:rFonts w:cs="Arial"/>
        </w:rPr>
        <w:t xml:space="preserve">. This </w:t>
      </w:r>
      <w:r w:rsidR="00C151CF" w:rsidRPr="009F0AEA">
        <w:rPr>
          <w:rFonts w:cs="Arial"/>
        </w:rPr>
        <w:t xml:space="preserve">would reduce the need to </w:t>
      </w:r>
      <w:r w:rsidR="00C151CF">
        <w:rPr>
          <w:rFonts w:cs="Arial"/>
        </w:rPr>
        <w:t xml:space="preserve">collate and produce </w:t>
      </w:r>
      <w:r w:rsidR="00C151CF" w:rsidRPr="009F0AEA">
        <w:rPr>
          <w:rFonts w:cs="Arial"/>
        </w:rPr>
        <w:t>lengthy decision packages</w:t>
      </w:r>
      <w:r w:rsidR="00C151CF">
        <w:rPr>
          <w:rFonts w:cs="Arial"/>
        </w:rPr>
        <w:t xml:space="preserve"> (with the risk of missing critical documents)</w:t>
      </w:r>
      <w:r>
        <w:rPr>
          <w:rFonts w:cs="Arial"/>
        </w:rPr>
        <w:t>.</w:t>
      </w:r>
    </w:p>
    <w:p w:rsidR="00C151CF" w:rsidRDefault="00B41695" w:rsidP="00C151CF">
      <w:pPr>
        <w:pStyle w:val="ListBullet"/>
        <w:spacing w:after="0" w:line="240" w:lineRule="auto"/>
        <w:rPr>
          <w:rFonts w:cs="Arial"/>
        </w:rPr>
      </w:pPr>
      <w:r>
        <w:rPr>
          <w:rFonts w:cs="Arial"/>
        </w:rPr>
        <w:t>I</w:t>
      </w:r>
      <w:r w:rsidR="00C151CF" w:rsidRPr="00C151CF">
        <w:rPr>
          <w:rFonts w:cs="Arial"/>
        </w:rPr>
        <w:t>ncreas</w:t>
      </w:r>
      <w:r>
        <w:rPr>
          <w:rFonts w:cs="Arial"/>
        </w:rPr>
        <w:t>e</w:t>
      </w:r>
      <w:r w:rsidR="00C151CF" w:rsidRPr="00C151CF">
        <w:rPr>
          <w:rFonts w:cs="Arial"/>
        </w:rPr>
        <w:t xml:space="preserve"> the ability to efficiently gather and report on historical information about projects</w:t>
      </w:r>
      <w:r>
        <w:rPr>
          <w:rFonts w:cs="Arial"/>
        </w:rPr>
        <w:t xml:space="preserve">. This </w:t>
      </w:r>
      <w:r w:rsidR="00C151CF" w:rsidRPr="00C151CF">
        <w:rPr>
          <w:rFonts w:cs="Arial"/>
        </w:rPr>
        <w:t xml:space="preserve">would assist with analysis and referencing for new assessments. For example, </w:t>
      </w:r>
      <w:r w:rsidR="00C151CF" w:rsidRPr="00C151CF">
        <w:rPr>
          <w:rFonts w:cs="Arial"/>
        </w:rPr>
        <w:lastRenderedPageBreak/>
        <w:t>current systems may list project numbers and dates, but do not contain information or direct links to data that allows users to see how decisions were arrived at.</w:t>
      </w:r>
    </w:p>
    <w:p w:rsidR="00C151CF" w:rsidRDefault="00C151CF" w:rsidP="00851F3B">
      <w:pPr>
        <w:shd w:val="clear" w:color="auto" w:fill="C7E2FA" w:themeFill="accent1" w:themeFillTint="33"/>
        <w:rPr>
          <w:b/>
        </w:rPr>
      </w:pPr>
      <w:r w:rsidRPr="00812631">
        <w:rPr>
          <w:b/>
        </w:rPr>
        <w:t xml:space="preserve">Recommendation </w:t>
      </w:r>
      <w:r>
        <w:rPr>
          <w:b/>
        </w:rPr>
        <w:t>4</w:t>
      </w:r>
      <w:r w:rsidRPr="00812631">
        <w:rPr>
          <w:b/>
        </w:rPr>
        <w:t>.2 (IT Systems)</w:t>
      </w:r>
    </w:p>
    <w:p w:rsidR="001067B3" w:rsidRPr="004D1D97" w:rsidRDefault="001067B3" w:rsidP="00851F3B">
      <w:pPr>
        <w:shd w:val="clear" w:color="auto" w:fill="C7E2FA" w:themeFill="accent1" w:themeFillTint="33"/>
        <w:rPr>
          <w:i/>
        </w:rPr>
      </w:pPr>
      <w:r w:rsidRPr="004D1D97">
        <w:rPr>
          <w:i/>
        </w:rPr>
        <w:t>Importance:</w:t>
      </w:r>
      <w:r w:rsidR="0013636F">
        <w:rPr>
          <w:i/>
        </w:rPr>
        <w:t xml:space="preserve"> </w:t>
      </w:r>
      <w:r w:rsidR="005A4278" w:rsidRPr="00707E72">
        <w:t>1</w:t>
      </w:r>
    </w:p>
    <w:p w:rsidR="001067B3" w:rsidRPr="001067B3" w:rsidRDefault="001067B3" w:rsidP="00851F3B">
      <w:pPr>
        <w:shd w:val="clear" w:color="auto" w:fill="C7E2FA" w:themeFill="accent1" w:themeFillTint="33"/>
        <w:rPr>
          <w:i/>
        </w:rPr>
      </w:pPr>
      <w:r w:rsidRPr="004D1D97">
        <w:rPr>
          <w:i/>
        </w:rPr>
        <w:t>Timing:</w:t>
      </w:r>
      <w:r w:rsidR="0013636F">
        <w:rPr>
          <w:i/>
        </w:rPr>
        <w:t xml:space="preserve"> </w:t>
      </w:r>
      <w:r w:rsidR="005A4278" w:rsidRPr="005A4278">
        <w:t>1</w:t>
      </w:r>
    </w:p>
    <w:p w:rsidR="00C151CF" w:rsidRPr="00812631" w:rsidRDefault="00C151CF" w:rsidP="00851F3B">
      <w:pPr>
        <w:shd w:val="clear" w:color="auto" w:fill="C7E2FA" w:themeFill="accent1" w:themeFillTint="33"/>
        <w:rPr>
          <w:rFonts w:cs="Arial"/>
        </w:rPr>
      </w:pPr>
      <w:r w:rsidRPr="00812631">
        <w:rPr>
          <w:rFonts w:cs="Arial"/>
        </w:rPr>
        <w:t>As a high priority, the Department should bring forward investment in an integrated end</w:t>
      </w:r>
      <w:r w:rsidR="00B41695">
        <w:rPr>
          <w:rFonts w:cs="Arial"/>
        </w:rPr>
        <w:t>-</w:t>
      </w:r>
      <w:r w:rsidRPr="00812631">
        <w:rPr>
          <w:rFonts w:cs="Arial"/>
        </w:rPr>
        <w:t>to</w:t>
      </w:r>
      <w:r w:rsidR="00B41695">
        <w:rPr>
          <w:rFonts w:cs="Arial"/>
        </w:rPr>
        <w:t>-</w:t>
      </w:r>
      <w:r w:rsidRPr="00812631">
        <w:rPr>
          <w:rFonts w:cs="Arial"/>
        </w:rPr>
        <w:t xml:space="preserve">end IT system to improve its reliability, effectiveness and efficiency. </w:t>
      </w:r>
    </w:p>
    <w:p w:rsidR="00C151CF" w:rsidRPr="00812631" w:rsidRDefault="00C151CF" w:rsidP="00851F3B">
      <w:pPr>
        <w:shd w:val="clear" w:color="auto" w:fill="C7E2FA" w:themeFill="accent1" w:themeFillTint="33"/>
        <w:rPr>
          <w:rFonts w:cs="Arial"/>
        </w:rPr>
      </w:pPr>
      <w:r w:rsidRPr="00812631">
        <w:rPr>
          <w:rFonts w:cs="Arial"/>
        </w:rPr>
        <w:t>An ideal IT system for the Department’s regulatory functions would include:</w:t>
      </w:r>
    </w:p>
    <w:p w:rsidR="00C151CF" w:rsidRPr="00812631" w:rsidRDefault="00C151CF" w:rsidP="00E65120">
      <w:pPr>
        <w:pStyle w:val="ListParagraph"/>
        <w:numPr>
          <w:ilvl w:val="0"/>
          <w:numId w:val="20"/>
        </w:numPr>
        <w:shd w:val="clear" w:color="auto" w:fill="C7E2FA" w:themeFill="accent1" w:themeFillTint="33"/>
        <w:rPr>
          <w:rFonts w:cs="Arial"/>
        </w:rPr>
      </w:pPr>
      <w:r w:rsidRPr="00812631">
        <w:rPr>
          <w:rFonts w:cs="Arial"/>
        </w:rPr>
        <w:t>end-to-end workflow management</w:t>
      </w:r>
      <w:r>
        <w:rPr>
          <w:rFonts w:cs="Arial"/>
        </w:rPr>
        <w:t xml:space="preserve"> (pre-referral to compliance)</w:t>
      </w:r>
      <w:r w:rsidRPr="00812631">
        <w:rPr>
          <w:rFonts w:cs="Arial"/>
        </w:rPr>
        <w:t>;</w:t>
      </w:r>
    </w:p>
    <w:p w:rsidR="00C151CF" w:rsidRPr="00812631" w:rsidRDefault="00C151CF" w:rsidP="00E65120">
      <w:pPr>
        <w:pStyle w:val="ListParagraph"/>
        <w:numPr>
          <w:ilvl w:val="0"/>
          <w:numId w:val="20"/>
        </w:numPr>
        <w:shd w:val="clear" w:color="auto" w:fill="C7E2FA" w:themeFill="accent1" w:themeFillTint="33"/>
        <w:rPr>
          <w:rFonts w:cs="Arial"/>
        </w:rPr>
      </w:pPr>
      <w:r w:rsidRPr="00812631">
        <w:rPr>
          <w:rFonts w:cs="Arial"/>
        </w:rPr>
        <w:t>automatic extraction of data from source databases;</w:t>
      </w:r>
    </w:p>
    <w:p w:rsidR="00C151CF" w:rsidRPr="00812631" w:rsidRDefault="00C151CF" w:rsidP="00E65120">
      <w:pPr>
        <w:pStyle w:val="ListParagraph"/>
        <w:numPr>
          <w:ilvl w:val="0"/>
          <w:numId w:val="20"/>
        </w:numPr>
        <w:shd w:val="clear" w:color="auto" w:fill="C7E2FA" w:themeFill="accent1" w:themeFillTint="33"/>
        <w:rPr>
          <w:rFonts w:cs="Arial"/>
        </w:rPr>
      </w:pPr>
      <w:r w:rsidRPr="00812631">
        <w:rPr>
          <w:rFonts w:cs="Arial"/>
        </w:rPr>
        <w:t xml:space="preserve">quality assurance checks </w:t>
      </w:r>
      <w:r w:rsidR="00B41695">
        <w:rPr>
          <w:rFonts w:cs="Arial"/>
        </w:rPr>
        <w:t>throughout the process</w:t>
      </w:r>
      <w:r w:rsidRPr="00812631">
        <w:rPr>
          <w:rFonts w:cs="Arial"/>
        </w:rPr>
        <w:t>, including trigger points for specialist advice and checks for appropriate delegations;</w:t>
      </w:r>
    </w:p>
    <w:p w:rsidR="00C151CF" w:rsidRPr="00B41695" w:rsidRDefault="00C151CF" w:rsidP="00E65120">
      <w:pPr>
        <w:pStyle w:val="ListParagraph"/>
        <w:numPr>
          <w:ilvl w:val="0"/>
          <w:numId w:val="20"/>
        </w:numPr>
        <w:shd w:val="clear" w:color="auto" w:fill="C7E2FA" w:themeFill="accent1" w:themeFillTint="33"/>
        <w:rPr>
          <w:rFonts w:cs="Arial"/>
        </w:rPr>
      </w:pPr>
      <w:r w:rsidRPr="00812631">
        <w:rPr>
          <w:rFonts w:cs="Arial"/>
        </w:rPr>
        <w:t>on</w:t>
      </w:r>
      <w:r w:rsidR="00B41695">
        <w:rPr>
          <w:rFonts w:cs="Arial"/>
        </w:rPr>
        <w:t>-</w:t>
      </w:r>
      <w:r w:rsidRPr="00B41695">
        <w:rPr>
          <w:rFonts w:cs="Arial"/>
        </w:rPr>
        <w:t>line links to relevant policies and guidance material and training at appropriate points in the process;</w:t>
      </w:r>
    </w:p>
    <w:p w:rsidR="00C151CF" w:rsidRPr="00812631" w:rsidRDefault="00C151CF" w:rsidP="00E65120">
      <w:pPr>
        <w:pStyle w:val="ListParagraph"/>
        <w:numPr>
          <w:ilvl w:val="0"/>
          <w:numId w:val="20"/>
        </w:numPr>
        <w:shd w:val="clear" w:color="auto" w:fill="C7E2FA" w:themeFill="accent1" w:themeFillTint="33"/>
        <w:rPr>
          <w:rFonts w:cs="Arial"/>
        </w:rPr>
      </w:pPr>
      <w:r w:rsidRPr="00812631">
        <w:rPr>
          <w:rFonts w:cs="Arial"/>
        </w:rPr>
        <w:t xml:space="preserve">the ability to compile briefing material; </w:t>
      </w:r>
    </w:p>
    <w:p w:rsidR="00C151CF" w:rsidRPr="00812631" w:rsidRDefault="00C151CF" w:rsidP="00E65120">
      <w:pPr>
        <w:pStyle w:val="ListParagraph"/>
        <w:numPr>
          <w:ilvl w:val="0"/>
          <w:numId w:val="20"/>
        </w:numPr>
        <w:shd w:val="clear" w:color="auto" w:fill="C7E2FA" w:themeFill="accent1" w:themeFillTint="33"/>
        <w:rPr>
          <w:rFonts w:cs="Arial"/>
        </w:rPr>
      </w:pPr>
      <w:r w:rsidRPr="00812631">
        <w:rPr>
          <w:rFonts w:cs="Arial"/>
        </w:rPr>
        <w:t>time management with prompts;</w:t>
      </w:r>
    </w:p>
    <w:p w:rsidR="00C151CF" w:rsidRPr="00812631" w:rsidRDefault="00C151CF" w:rsidP="00E65120">
      <w:pPr>
        <w:pStyle w:val="ListParagraph"/>
        <w:numPr>
          <w:ilvl w:val="0"/>
          <w:numId w:val="20"/>
        </w:numPr>
        <w:shd w:val="clear" w:color="auto" w:fill="C7E2FA" w:themeFill="accent1" w:themeFillTint="33"/>
        <w:rPr>
          <w:rFonts w:cs="Arial"/>
        </w:rPr>
      </w:pPr>
      <w:r w:rsidRPr="00812631">
        <w:rPr>
          <w:rFonts w:cs="Arial"/>
        </w:rPr>
        <w:t xml:space="preserve">archival storage and access; </w:t>
      </w:r>
    </w:p>
    <w:p w:rsidR="00C151CF" w:rsidRPr="00812631" w:rsidRDefault="00C151CF" w:rsidP="00E65120">
      <w:pPr>
        <w:pStyle w:val="ListParagraph"/>
        <w:numPr>
          <w:ilvl w:val="0"/>
          <w:numId w:val="20"/>
        </w:numPr>
        <w:shd w:val="clear" w:color="auto" w:fill="C7E2FA" w:themeFill="accent1" w:themeFillTint="33"/>
        <w:rPr>
          <w:rFonts w:cs="Arial"/>
        </w:rPr>
      </w:pPr>
      <w:r w:rsidRPr="00812631">
        <w:rPr>
          <w:rFonts w:cs="Arial"/>
        </w:rPr>
        <w:t>an ability to share and mine data using multiple search criteria (both internally and externally); and</w:t>
      </w:r>
    </w:p>
    <w:p w:rsidR="00C151CF" w:rsidRPr="00812631" w:rsidRDefault="00C151CF" w:rsidP="00E65120">
      <w:pPr>
        <w:pStyle w:val="ListParagraph"/>
        <w:numPr>
          <w:ilvl w:val="0"/>
          <w:numId w:val="20"/>
        </w:numPr>
        <w:shd w:val="clear" w:color="auto" w:fill="C7E2FA" w:themeFill="accent1" w:themeFillTint="33"/>
        <w:rPr>
          <w:rFonts w:cs="Arial"/>
        </w:rPr>
      </w:pPr>
      <w:r w:rsidRPr="00812631">
        <w:rPr>
          <w:rFonts w:cs="Arial"/>
        </w:rPr>
        <w:t>better tools for intelligence gathering and data analytics.</w:t>
      </w:r>
    </w:p>
    <w:p w:rsidR="00C151CF" w:rsidRPr="00812631" w:rsidRDefault="00C151CF" w:rsidP="00851F3B">
      <w:pPr>
        <w:shd w:val="clear" w:color="auto" w:fill="C7E2FA" w:themeFill="accent1" w:themeFillTint="33"/>
        <w:rPr>
          <w:rFonts w:cs="Arial"/>
        </w:rPr>
      </w:pPr>
      <w:r w:rsidRPr="00812631">
        <w:rPr>
          <w:rFonts w:cs="Arial"/>
        </w:rPr>
        <w:t xml:space="preserve">The Department should learn from systems developed by other regulators including the NSW and Victorian EPAs. The NSW EPA </w:t>
      </w:r>
      <w:r w:rsidR="00C94E4F" w:rsidRPr="00812631">
        <w:rPr>
          <w:rFonts w:cs="Arial"/>
        </w:rPr>
        <w:t>ha</w:t>
      </w:r>
      <w:r w:rsidR="00C94E4F">
        <w:rPr>
          <w:rFonts w:cs="Arial"/>
        </w:rPr>
        <w:t>s</w:t>
      </w:r>
      <w:r w:rsidR="00C94E4F" w:rsidRPr="00812631">
        <w:rPr>
          <w:rFonts w:cs="Arial"/>
        </w:rPr>
        <w:t xml:space="preserve"> </w:t>
      </w:r>
      <w:r w:rsidRPr="00812631">
        <w:rPr>
          <w:rFonts w:cs="Arial"/>
        </w:rPr>
        <w:t xml:space="preserve">offered to share </w:t>
      </w:r>
      <w:r w:rsidR="00C94E4F">
        <w:rPr>
          <w:rFonts w:cs="Arial"/>
        </w:rPr>
        <w:t>its</w:t>
      </w:r>
      <w:r w:rsidR="00C94E4F" w:rsidRPr="00812631">
        <w:rPr>
          <w:rFonts w:cs="Arial"/>
        </w:rPr>
        <w:t xml:space="preserve"> </w:t>
      </w:r>
      <w:r w:rsidRPr="00812631">
        <w:rPr>
          <w:rFonts w:cs="Arial"/>
        </w:rPr>
        <w:t xml:space="preserve">experiences to help incorporate lessons learnt into the Department’s IT planning. The Clean Energy Regulator and </w:t>
      </w:r>
      <w:r w:rsidR="00C94E4F">
        <w:rPr>
          <w:rFonts w:cs="Arial"/>
        </w:rPr>
        <w:t xml:space="preserve">the </w:t>
      </w:r>
      <w:r w:rsidRPr="00812631">
        <w:rPr>
          <w:rFonts w:cs="Arial"/>
        </w:rPr>
        <w:t>ATO have also offered to work with the Department to share their experiences.</w:t>
      </w:r>
    </w:p>
    <w:p w:rsidR="00C151CF" w:rsidRPr="00851F3B" w:rsidRDefault="00C151CF" w:rsidP="00851F3B">
      <w:pPr>
        <w:pStyle w:val="Heading1"/>
        <w:spacing w:after="120"/>
        <w:rPr>
          <w:caps w:val="0"/>
          <w:color w:val="0B5294" w:themeColor="accent1" w:themeShade="BF"/>
          <w:sz w:val="24"/>
          <w:szCs w:val="24"/>
        </w:rPr>
      </w:pPr>
      <w:bookmarkStart w:id="60" w:name="_Toc443405189"/>
      <w:r w:rsidRPr="00851F3B">
        <w:rPr>
          <w:caps w:val="0"/>
          <w:color w:val="0B5294" w:themeColor="accent1" w:themeShade="BF"/>
          <w:sz w:val="24"/>
          <w:szCs w:val="24"/>
        </w:rPr>
        <w:t>Governance for IT Systems</w:t>
      </w:r>
      <w:bookmarkEnd w:id="60"/>
    </w:p>
    <w:p w:rsidR="00C151CF" w:rsidRDefault="00C151CF" w:rsidP="00C151CF">
      <w:pPr>
        <w:rPr>
          <w:rFonts w:cs="Arial"/>
        </w:rPr>
      </w:pPr>
      <w:r>
        <w:rPr>
          <w:rFonts w:cs="Arial"/>
        </w:rPr>
        <w:t xml:space="preserve">It is common for agencies to experience tensions between IT officers and line areas over the development of IT systems, regardless of which area is responsible for overseeing the process. Mature regulators have governance models that recognise and </w:t>
      </w:r>
      <w:r w:rsidR="00C94E4F">
        <w:rPr>
          <w:rFonts w:cs="Arial"/>
        </w:rPr>
        <w:t>attempt to manage</w:t>
      </w:r>
      <w:r>
        <w:rPr>
          <w:rFonts w:cs="Arial"/>
        </w:rPr>
        <w:t xml:space="preserve"> the tensions between long</w:t>
      </w:r>
      <w:r w:rsidR="00C94E4F">
        <w:rPr>
          <w:rFonts w:cs="Arial"/>
        </w:rPr>
        <w:t>-</w:t>
      </w:r>
      <w:r>
        <w:rPr>
          <w:rFonts w:cs="Arial"/>
        </w:rPr>
        <w:t xml:space="preserve">term integrated planning for IT and </w:t>
      </w:r>
      <w:r w:rsidR="00C94E4F">
        <w:rPr>
          <w:rFonts w:cs="Arial"/>
        </w:rPr>
        <w:t>a need</w:t>
      </w:r>
      <w:r>
        <w:rPr>
          <w:rFonts w:cs="Arial"/>
        </w:rPr>
        <w:t xml:space="preserve"> to adapt and adjust to line area business needs and changing Government priorities.</w:t>
      </w:r>
    </w:p>
    <w:p w:rsidR="00C151CF" w:rsidRDefault="00C151CF" w:rsidP="00C151CF">
      <w:pPr>
        <w:rPr>
          <w:rFonts w:cs="Arial"/>
        </w:rPr>
      </w:pPr>
      <w:r>
        <w:rPr>
          <w:rFonts w:cs="Arial"/>
        </w:rPr>
        <w:t>As noted above</w:t>
      </w:r>
      <w:r w:rsidR="00C94E4F">
        <w:rPr>
          <w:rFonts w:cs="Arial"/>
        </w:rPr>
        <w:t>,</w:t>
      </w:r>
      <w:r>
        <w:rPr>
          <w:rFonts w:cs="Arial"/>
        </w:rPr>
        <w:t xml:space="preserve"> the Department is moving towards a more centralised IT model, with development of new IT systems being managed by the IT Branch. The IT </w:t>
      </w:r>
      <w:r w:rsidR="00C94E4F">
        <w:rPr>
          <w:rFonts w:cs="Arial"/>
        </w:rPr>
        <w:t>B</w:t>
      </w:r>
      <w:r>
        <w:rPr>
          <w:rFonts w:cs="Arial"/>
        </w:rPr>
        <w:t xml:space="preserve">ranch has been working to develop a partnership approach to developing and implementing new systems. This has included having IT staff and contractors physically co-located with relevant </w:t>
      </w:r>
      <w:r w:rsidR="00031C3A">
        <w:rPr>
          <w:rFonts w:cs="Arial"/>
        </w:rPr>
        <w:t xml:space="preserve">line </w:t>
      </w:r>
      <w:r>
        <w:rPr>
          <w:rFonts w:cs="Arial"/>
        </w:rPr>
        <w:t xml:space="preserve">areas. </w:t>
      </w:r>
    </w:p>
    <w:p w:rsidR="00C151CF" w:rsidRDefault="00C151CF" w:rsidP="00C151CF">
      <w:pPr>
        <w:rPr>
          <w:rFonts w:cs="Arial"/>
        </w:rPr>
      </w:pPr>
      <w:r>
        <w:rPr>
          <w:rFonts w:cs="Arial"/>
        </w:rPr>
        <w:t xml:space="preserve">Feedback from the IT </w:t>
      </w:r>
      <w:r w:rsidR="00031C3A">
        <w:rPr>
          <w:rFonts w:cs="Arial"/>
        </w:rPr>
        <w:t>B</w:t>
      </w:r>
      <w:r>
        <w:rPr>
          <w:rFonts w:cs="Arial"/>
        </w:rPr>
        <w:t>ranch</w:t>
      </w:r>
      <w:r w:rsidR="00031C3A">
        <w:rPr>
          <w:rFonts w:cs="Arial"/>
        </w:rPr>
        <w:t xml:space="preserve"> and EPG</w:t>
      </w:r>
      <w:r>
        <w:rPr>
          <w:rFonts w:cs="Arial"/>
        </w:rPr>
        <w:t xml:space="preserve"> officers about engagement and consultation was mixed. Many officers, particularly those directly in </w:t>
      </w:r>
      <w:r w:rsidR="00AD0517">
        <w:rPr>
          <w:rFonts w:cs="Arial"/>
        </w:rPr>
        <w:t>the Data Analysis and Information Management Section (</w:t>
      </w:r>
      <w:r>
        <w:rPr>
          <w:rFonts w:cs="Arial"/>
        </w:rPr>
        <w:t>DAIMS</w:t>
      </w:r>
      <w:r w:rsidR="00AD0517">
        <w:rPr>
          <w:rFonts w:cs="Arial"/>
        </w:rPr>
        <w:t>)</w:t>
      </w:r>
      <w:r w:rsidR="000D239F">
        <w:rPr>
          <w:rFonts w:cs="Arial"/>
        </w:rPr>
        <w:t xml:space="preserve"> in ESD</w:t>
      </w:r>
      <w:r>
        <w:rPr>
          <w:rFonts w:cs="Arial"/>
        </w:rPr>
        <w:t xml:space="preserve"> and</w:t>
      </w:r>
      <w:r w:rsidR="00AD0517">
        <w:rPr>
          <w:rFonts w:cs="Arial"/>
        </w:rPr>
        <w:t xml:space="preserve"> the Business Optimisation Section</w:t>
      </w:r>
      <w:r>
        <w:rPr>
          <w:rFonts w:cs="Arial"/>
        </w:rPr>
        <w:t xml:space="preserve"> </w:t>
      </w:r>
      <w:r w:rsidR="00AD0517">
        <w:rPr>
          <w:rFonts w:cs="Arial"/>
        </w:rPr>
        <w:t>(</w:t>
      </w:r>
      <w:r>
        <w:rPr>
          <w:rFonts w:cs="Arial"/>
        </w:rPr>
        <w:t>BOS</w:t>
      </w:r>
      <w:r w:rsidR="00AD0517">
        <w:rPr>
          <w:rFonts w:cs="Arial"/>
        </w:rPr>
        <w:t>)</w:t>
      </w:r>
      <w:r w:rsidR="000D239F">
        <w:rPr>
          <w:rFonts w:cs="Arial"/>
        </w:rPr>
        <w:t xml:space="preserve"> in WHaM</w:t>
      </w:r>
      <w:r>
        <w:rPr>
          <w:rFonts w:cs="Arial"/>
        </w:rPr>
        <w:t xml:space="preserve">, advised that there had been significant improvements in the relationship between IT </w:t>
      </w:r>
      <w:r>
        <w:rPr>
          <w:rFonts w:cs="Arial"/>
        </w:rPr>
        <w:lastRenderedPageBreak/>
        <w:t>and line area officers. Other officers felt they were not adequately consulted and expressed frustration about the design of new systems and responsiveness of IT officers to requests</w:t>
      </w:r>
      <w:r w:rsidR="00D36C08">
        <w:rPr>
          <w:rFonts w:cs="Arial"/>
        </w:rPr>
        <w:t xml:space="preserve"> from line areas</w:t>
      </w:r>
      <w:r>
        <w:rPr>
          <w:rFonts w:cs="Arial"/>
        </w:rPr>
        <w:t>. There is still room to improve understanding and support between IT and line areas. In particular</w:t>
      </w:r>
      <w:r w:rsidR="00A41E08">
        <w:rPr>
          <w:rFonts w:cs="Arial"/>
        </w:rPr>
        <w:t>,</w:t>
      </w:r>
      <w:r>
        <w:rPr>
          <w:rFonts w:cs="Arial"/>
        </w:rPr>
        <w:t xml:space="preserve"> line area officers may not understand the workload associated with seemingly minor IT requests and the volume of work the IT branch is managing across the Department. IT officers may not have a complete understanding of line areas</w:t>
      </w:r>
      <w:r w:rsidR="00A41E08">
        <w:rPr>
          <w:rFonts w:cs="Arial"/>
        </w:rPr>
        <w:t>’</w:t>
      </w:r>
      <w:r>
        <w:rPr>
          <w:rFonts w:cs="Arial"/>
        </w:rPr>
        <w:t xml:space="preserve"> business needs and pressures.</w:t>
      </w:r>
    </w:p>
    <w:p w:rsidR="00C151CF" w:rsidRDefault="00A41E08" w:rsidP="00C151CF">
      <w:pPr>
        <w:rPr>
          <w:rFonts w:cs="Arial"/>
        </w:rPr>
      </w:pPr>
      <w:r>
        <w:rPr>
          <w:rFonts w:cs="Arial"/>
        </w:rPr>
        <w:t>Staff from both the IT Branch and ESD</w:t>
      </w:r>
      <w:r w:rsidR="00C151CF">
        <w:rPr>
          <w:rFonts w:cs="Arial"/>
        </w:rPr>
        <w:t xml:space="preserve"> noted there were opportunities to learn from the development and implementation of the environmental impact assessment workflow system. In particular</w:t>
      </w:r>
      <w:r>
        <w:rPr>
          <w:rFonts w:cs="Arial"/>
        </w:rPr>
        <w:t>,</w:t>
      </w:r>
      <w:r w:rsidR="00C151CF">
        <w:rPr>
          <w:rFonts w:cs="Arial"/>
        </w:rPr>
        <w:t xml:space="preserve"> many officers noted the importance of having a change management plan which is driven by the </w:t>
      </w:r>
      <w:r>
        <w:rPr>
          <w:rFonts w:cs="Arial"/>
        </w:rPr>
        <w:t xml:space="preserve">line </w:t>
      </w:r>
      <w:r w:rsidR="00C151CF">
        <w:rPr>
          <w:rFonts w:cs="Arial"/>
        </w:rPr>
        <w:t>area. This includes having integrated training and support materials to support officers in using the new system. Many officers also commented that design of the new system was made more difficult by the absence of clearly understood, consistent and documented business processes</w:t>
      </w:r>
      <w:r>
        <w:rPr>
          <w:rFonts w:cs="Arial"/>
        </w:rPr>
        <w:t>,</w:t>
      </w:r>
      <w:r w:rsidR="00C151CF">
        <w:rPr>
          <w:rFonts w:cs="Arial"/>
        </w:rPr>
        <w:t xml:space="preserve"> </w:t>
      </w:r>
      <w:r>
        <w:rPr>
          <w:rFonts w:cs="Arial"/>
        </w:rPr>
        <w:t xml:space="preserve">and the lack of </w:t>
      </w:r>
      <w:r w:rsidR="00C151CF">
        <w:rPr>
          <w:rFonts w:cs="Arial"/>
        </w:rPr>
        <w:t>an area of the Division with clear authority and responsibility for making decisions about the underlying business process. The Department is integrating these lessons learned into the development of the new systems</w:t>
      </w:r>
      <w:r>
        <w:rPr>
          <w:rFonts w:cs="Arial"/>
        </w:rPr>
        <w:t>.</w:t>
      </w:r>
    </w:p>
    <w:p w:rsidR="00C151CF" w:rsidRDefault="00C151CF" w:rsidP="00C151CF">
      <w:pPr>
        <w:rPr>
          <w:rFonts w:cs="Arial"/>
        </w:rPr>
      </w:pPr>
      <w:r>
        <w:rPr>
          <w:rFonts w:cs="Arial"/>
        </w:rPr>
        <w:t xml:space="preserve">The IT Branch has established an Environmental Regulation Capabilities Steering Committee. This </w:t>
      </w:r>
      <w:r w:rsidR="00A41E08">
        <w:rPr>
          <w:rFonts w:cs="Arial"/>
        </w:rPr>
        <w:t xml:space="preserve">Committee </w:t>
      </w:r>
      <w:r>
        <w:rPr>
          <w:rFonts w:cs="Arial"/>
        </w:rPr>
        <w:t xml:space="preserve">will provide oversight of all Business Transformation Section projects relating to the development of environmental regulation capabilities. These include projects for a new hazardous waste permitting system and an international wildlife trade permitting system. The Committee membership includes relevant Assistant Secretaries, Directors and project officers from ESD, WHaM and the IT </w:t>
      </w:r>
      <w:r w:rsidR="00A41E08">
        <w:rPr>
          <w:rFonts w:cs="Arial"/>
        </w:rPr>
        <w:t>B</w:t>
      </w:r>
      <w:r>
        <w:rPr>
          <w:rFonts w:cs="Arial"/>
        </w:rPr>
        <w:t>ranch. The Committee will provide senior level oversight of these projects, to ensure the systems meet business needs and expectations</w:t>
      </w:r>
      <w:r w:rsidR="00A41E08">
        <w:rPr>
          <w:rFonts w:cs="Arial"/>
        </w:rPr>
        <w:t xml:space="preserve">. </w:t>
      </w:r>
      <w:r>
        <w:rPr>
          <w:rFonts w:cs="Arial"/>
        </w:rPr>
        <w:t>The Committee also provides a senior level forum to resolve competing priorities or different opinions. This Committee is likely to be a useful governance mechanism for these projects.</w:t>
      </w:r>
    </w:p>
    <w:p w:rsidR="00C151CF" w:rsidRDefault="00C151CF" w:rsidP="00C151CF">
      <w:pPr>
        <w:rPr>
          <w:rFonts w:cs="Arial"/>
        </w:rPr>
      </w:pPr>
      <w:r>
        <w:rPr>
          <w:rFonts w:cs="Arial"/>
        </w:rPr>
        <w:t xml:space="preserve">The Department also has an ICT </w:t>
      </w:r>
      <w:r w:rsidR="00341658">
        <w:rPr>
          <w:rFonts w:cs="Arial"/>
        </w:rPr>
        <w:t>C</w:t>
      </w:r>
      <w:r>
        <w:rPr>
          <w:rFonts w:cs="Arial"/>
        </w:rPr>
        <w:t xml:space="preserve">ommittee which makes recommendations on investment and development to the Department’s Executive Board. The </w:t>
      </w:r>
      <w:r w:rsidR="00341658">
        <w:rPr>
          <w:rFonts w:cs="Arial"/>
        </w:rPr>
        <w:t xml:space="preserve">ICT </w:t>
      </w:r>
      <w:r>
        <w:rPr>
          <w:rFonts w:cs="Arial"/>
        </w:rPr>
        <w:t xml:space="preserve">Committee has a Deputy Secretary sponsor and is comprised of First Assistant Secretaries and Assistant Secretaries from across the Department. Officers attend in their own right, rather than as representatives from their respective areas. </w:t>
      </w:r>
    </w:p>
    <w:p w:rsidR="00C151CF" w:rsidRDefault="00C151CF" w:rsidP="00851F3B">
      <w:pPr>
        <w:shd w:val="clear" w:color="auto" w:fill="C7E2FA" w:themeFill="accent1" w:themeFillTint="33"/>
        <w:spacing w:before="240"/>
        <w:rPr>
          <w:b/>
        </w:rPr>
      </w:pPr>
      <w:r w:rsidRPr="00CC0FD4">
        <w:rPr>
          <w:b/>
        </w:rPr>
        <w:t xml:space="preserve">Recommendation </w:t>
      </w:r>
      <w:r w:rsidR="001067B3">
        <w:rPr>
          <w:b/>
        </w:rPr>
        <w:t>4</w:t>
      </w:r>
      <w:r w:rsidRPr="00CC0FD4">
        <w:rPr>
          <w:b/>
        </w:rPr>
        <w:t>.3 (</w:t>
      </w:r>
      <w:r w:rsidR="001067B3">
        <w:rPr>
          <w:b/>
        </w:rPr>
        <w:t>Governance for IT systems</w:t>
      </w:r>
      <w:r w:rsidRPr="00CC0FD4">
        <w:rPr>
          <w:b/>
        </w:rPr>
        <w:t>)</w:t>
      </w:r>
    </w:p>
    <w:p w:rsidR="004D1D97" w:rsidRPr="004D1D97" w:rsidRDefault="004D1D97" w:rsidP="004D1D97">
      <w:pPr>
        <w:shd w:val="clear" w:color="auto" w:fill="C7E2FA" w:themeFill="accent1" w:themeFillTint="33"/>
        <w:rPr>
          <w:i/>
        </w:rPr>
      </w:pPr>
      <w:r w:rsidRPr="004D1D97">
        <w:rPr>
          <w:i/>
        </w:rPr>
        <w:t>Importance:</w:t>
      </w:r>
      <w:r w:rsidR="00627742">
        <w:rPr>
          <w:i/>
        </w:rPr>
        <w:t xml:space="preserve"> </w:t>
      </w:r>
      <w:r w:rsidR="005A4278" w:rsidRPr="005A4278">
        <w:t>1</w:t>
      </w:r>
    </w:p>
    <w:p w:rsidR="004D1D97" w:rsidRPr="001067B3" w:rsidRDefault="004D1D97" w:rsidP="004D1D97">
      <w:pPr>
        <w:shd w:val="clear" w:color="auto" w:fill="C7E2FA" w:themeFill="accent1" w:themeFillTint="33"/>
        <w:rPr>
          <w:i/>
        </w:rPr>
      </w:pPr>
      <w:r w:rsidRPr="004D1D97">
        <w:rPr>
          <w:i/>
        </w:rPr>
        <w:t>Timing:</w:t>
      </w:r>
      <w:r w:rsidR="00627742">
        <w:rPr>
          <w:i/>
        </w:rPr>
        <w:t xml:space="preserve"> </w:t>
      </w:r>
      <w:r w:rsidR="005A4278" w:rsidRPr="005A4278">
        <w:t>1</w:t>
      </w:r>
    </w:p>
    <w:p w:rsidR="00C151CF" w:rsidRPr="00CC0FD4" w:rsidRDefault="00C151CF" w:rsidP="00851F3B">
      <w:pPr>
        <w:shd w:val="clear" w:color="auto" w:fill="C7E2FA" w:themeFill="accent1" w:themeFillTint="33"/>
        <w:contextualSpacing/>
        <w:rPr>
          <w:rFonts w:cs="Arial"/>
        </w:rPr>
      </w:pPr>
      <w:r w:rsidRPr="00CC0FD4">
        <w:rPr>
          <w:rFonts w:cs="Arial"/>
        </w:rPr>
        <w:t xml:space="preserve">The </w:t>
      </w:r>
      <w:r>
        <w:rPr>
          <w:rFonts w:cs="Arial"/>
        </w:rPr>
        <w:t xml:space="preserve">recommended </w:t>
      </w:r>
      <w:r w:rsidRPr="003539C5">
        <w:rPr>
          <w:rFonts w:cs="Arial"/>
        </w:rPr>
        <w:t xml:space="preserve">Regulatory Reform and Support </w:t>
      </w:r>
      <w:r w:rsidR="00341658" w:rsidRPr="003539C5">
        <w:rPr>
          <w:rFonts w:cs="Arial"/>
        </w:rPr>
        <w:t>B</w:t>
      </w:r>
      <w:r w:rsidRPr="003539C5">
        <w:rPr>
          <w:rFonts w:cs="Arial"/>
        </w:rPr>
        <w:t>ranch</w:t>
      </w:r>
      <w:r>
        <w:rPr>
          <w:rFonts w:cs="Arial"/>
        </w:rPr>
        <w:t xml:space="preserve"> </w:t>
      </w:r>
      <w:r w:rsidRPr="00CC0FD4">
        <w:rPr>
          <w:rFonts w:cs="Arial"/>
        </w:rPr>
        <w:t>(see</w:t>
      </w:r>
      <w:r w:rsidR="00EA09ED">
        <w:rPr>
          <w:rFonts w:cs="Arial"/>
        </w:rPr>
        <w:t xml:space="preserve"> </w:t>
      </w:r>
      <w:r w:rsidR="00EA09ED">
        <w:rPr>
          <w:rFonts w:cs="Arial"/>
          <w:i/>
        </w:rPr>
        <w:t>Recommendation 3.3 (Centralised Support)</w:t>
      </w:r>
      <w:r w:rsidR="00EA09ED">
        <w:rPr>
          <w:rFonts w:cs="Arial"/>
        </w:rPr>
        <w:t>)</w:t>
      </w:r>
      <w:r w:rsidRPr="00CC0FD4">
        <w:rPr>
          <w:rFonts w:cs="Arial"/>
        </w:rPr>
        <w:t xml:space="preserve"> should have responsibility for</w:t>
      </w:r>
      <w:r w:rsidR="00736881">
        <w:rPr>
          <w:rFonts w:cs="Arial"/>
        </w:rPr>
        <w:t xml:space="preserve"> coordinating the </w:t>
      </w:r>
      <w:r w:rsidRPr="00CC0FD4">
        <w:rPr>
          <w:rFonts w:cs="Arial"/>
        </w:rPr>
        <w:t>manag</w:t>
      </w:r>
      <w:r w:rsidR="00736881">
        <w:rPr>
          <w:rFonts w:cs="Arial"/>
        </w:rPr>
        <w:t>ement of</w:t>
      </w:r>
      <w:r w:rsidRPr="00CC0FD4">
        <w:rPr>
          <w:rFonts w:cs="Arial"/>
        </w:rPr>
        <w:t xml:space="preserve"> regulatory business systems and coordinating and providing input to the IT Branch. This </w:t>
      </w:r>
      <w:r w:rsidR="00341658">
        <w:rPr>
          <w:rFonts w:cs="Arial"/>
        </w:rPr>
        <w:t>Branch</w:t>
      </w:r>
      <w:r w:rsidR="00341658" w:rsidRPr="00CC0FD4">
        <w:rPr>
          <w:rFonts w:cs="Arial"/>
        </w:rPr>
        <w:t xml:space="preserve"> </w:t>
      </w:r>
      <w:r w:rsidRPr="00CC0FD4">
        <w:rPr>
          <w:rFonts w:cs="Arial"/>
        </w:rPr>
        <w:t>would not be responsible for developing or procuring IT systems, but would be a central point of contact for the IT Branch and line areas to ensure new systems meet business needs and are integrated with training and support materials.</w:t>
      </w:r>
      <w:r>
        <w:rPr>
          <w:rFonts w:cs="Arial"/>
        </w:rPr>
        <w:t xml:space="preserve"> </w:t>
      </w:r>
    </w:p>
    <w:p w:rsidR="00C151CF" w:rsidRPr="00CC0FD4" w:rsidRDefault="00C151CF" w:rsidP="00851F3B">
      <w:pPr>
        <w:shd w:val="clear" w:color="auto" w:fill="C7E2FA" w:themeFill="accent1" w:themeFillTint="33"/>
        <w:contextualSpacing/>
        <w:rPr>
          <w:rFonts w:cs="Arial"/>
        </w:rPr>
      </w:pPr>
    </w:p>
    <w:p w:rsidR="00C151CF" w:rsidRDefault="00C151CF" w:rsidP="00851F3B">
      <w:pPr>
        <w:shd w:val="clear" w:color="auto" w:fill="C7E2FA" w:themeFill="accent1" w:themeFillTint="33"/>
        <w:contextualSpacing/>
        <w:rPr>
          <w:rFonts w:cs="Arial"/>
        </w:rPr>
      </w:pPr>
      <w:r w:rsidRPr="00CC0FD4">
        <w:rPr>
          <w:rFonts w:cs="Arial"/>
        </w:rPr>
        <w:t xml:space="preserve">The Department should </w:t>
      </w:r>
      <w:r>
        <w:rPr>
          <w:rFonts w:cs="Arial"/>
        </w:rPr>
        <w:t>continue the use of the Environmental Regulation Capabilities Steering Committee as a senior body for resolving issues associated with development and implementation of regulatory IT systems. The Assistant Secretary of the proposed Regulation Reform and Support Branch should be a member of this Committee.</w:t>
      </w:r>
    </w:p>
    <w:p w:rsidR="00CD6C7A" w:rsidRDefault="00CD6C7A" w:rsidP="003539C5">
      <w:pPr>
        <w:spacing w:after="0" w:line="240" w:lineRule="auto"/>
        <w:rPr>
          <w:b/>
          <w:color w:val="0B5294" w:themeColor="accent1" w:themeShade="BF"/>
          <w:sz w:val="44"/>
          <w:szCs w:val="44"/>
        </w:rPr>
      </w:pPr>
    </w:p>
    <w:p w:rsidR="00CD6C7A" w:rsidRDefault="00CD6C7A" w:rsidP="003539C5">
      <w:pPr>
        <w:spacing w:after="0" w:line="240" w:lineRule="auto"/>
        <w:rPr>
          <w:b/>
          <w:color w:val="0B5294" w:themeColor="accent1" w:themeShade="BF"/>
          <w:sz w:val="44"/>
          <w:szCs w:val="44"/>
        </w:rPr>
      </w:pPr>
    </w:p>
    <w:p w:rsidR="003539C5" w:rsidRDefault="00D1087A" w:rsidP="00CD6C7A">
      <w:pPr>
        <w:spacing w:after="0" w:line="240" w:lineRule="auto"/>
        <w:jc w:val="center"/>
        <w:rPr>
          <w:b/>
          <w:color w:val="0B5294" w:themeColor="accent1" w:themeShade="BF"/>
          <w:sz w:val="44"/>
          <w:szCs w:val="44"/>
        </w:rPr>
      </w:pPr>
      <w:r w:rsidRPr="00851F3B">
        <w:rPr>
          <w:b/>
          <w:color w:val="0B5294" w:themeColor="accent1" w:themeShade="BF"/>
          <w:sz w:val="44"/>
          <w:szCs w:val="44"/>
        </w:rPr>
        <w:t>Chapter 5: Our Approach to Risk</w:t>
      </w:r>
    </w:p>
    <w:p w:rsidR="00627742" w:rsidRPr="00851F3B" w:rsidRDefault="00627742" w:rsidP="003539C5">
      <w:pPr>
        <w:spacing w:after="0" w:line="240" w:lineRule="auto"/>
        <w:rPr>
          <w:b/>
          <w:color w:val="0B5294" w:themeColor="accent1" w:themeShade="BF"/>
          <w:sz w:val="44"/>
          <w:szCs w:val="4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2287B" w:rsidTr="000B6D3B">
        <w:trPr>
          <w:cnfStyle w:val="100000000000" w:firstRow="1" w:lastRow="0" w:firstColumn="0" w:lastColumn="0" w:oddVBand="0" w:evenVBand="0" w:oddHBand="0" w:evenHBand="0" w:firstRowFirstColumn="0" w:firstRowLastColumn="0" w:lastRowFirstColumn="0" w:lastRowLastColumn="0"/>
        </w:trPr>
        <w:tc>
          <w:tcPr>
            <w:tcW w:w="9428" w:type="dxa"/>
            <w:shd w:val="clear" w:color="auto" w:fill="D9D9D9" w:themeFill="background1" w:themeFillShade="D9"/>
          </w:tcPr>
          <w:p w:rsidR="00B2287B" w:rsidRPr="00851F3B" w:rsidRDefault="00B2287B" w:rsidP="00B2287B">
            <w:pPr>
              <w:pStyle w:val="Heading1"/>
              <w:spacing w:after="120"/>
              <w:outlineLvl w:val="0"/>
              <w:rPr>
                <w:color w:val="0B5294" w:themeColor="accent1" w:themeShade="BF"/>
                <w:sz w:val="28"/>
                <w:szCs w:val="28"/>
              </w:rPr>
            </w:pPr>
            <w:bookmarkStart w:id="61" w:name="_Toc443405190"/>
            <w:r w:rsidRPr="00851F3B">
              <w:rPr>
                <w:color w:val="0B5294" w:themeColor="accent1" w:themeShade="BF"/>
                <w:sz w:val="28"/>
                <w:szCs w:val="28"/>
              </w:rPr>
              <w:t>OVERVIEW</w:t>
            </w:r>
            <w:bookmarkEnd w:id="61"/>
          </w:p>
          <w:p w:rsidR="00B2287B" w:rsidRDefault="00B2287B" w:rsidP="00FA0F2A">
            <w:pPr>
              <w:pStyle w:val="ListBullet"/>
              <w:numPr>
                <w:ilvl w:val="0"/>
                <w:numId w:val="0"/>
              </w:numPr>
              <w:rPr>
                <w:rFonts w:cs="Arial"/>
              </w:rPr>
            </w:pPr>
            <w:r>
              <w:rPr>
                <w:rFonts w:cs="Arial"/>
              </w:rPr>
              <w:t>Unlike</w:t>
            </w:r>
            <w:r w:rsidRPr="00777669">
              <w:rPr>
                <w:rFonts w:cs="Arial"/>
              </w:rPr>
              <w:t xml:space="preserve"> the private sector</w:t>
            </w:r>
            <w:r>
              <w:rPr>
                <w:rFonts w:cs="Arial"/>
              </w:rPr>
              <w:t>, which</w:t>
            </w:r>
            <w:r w:rsidRPr="00777669">
              <w:rPr>
                <w:rFonts w:cs="Arial"/>
              </w:rPr>
              <w:t xml:space="preserve"> has a long history of risk management</w:t>
            </w:r>
            <w:r>
              <w:rPr>
                <w:rFonts w:cs="Arial"/>
              </w:rPr>
              <w:t>, governments have t</w:t>
            </w:r>
            <w:r w:rsidRPr="00777669">
              <w:rPr>
                <w:rFonts w:cs="Arial"/>
              </w:rPr>
              <w:t>raditionally</w:t>
            </w:r>
            <w:r>
              <w:rPr>
                <w:rFonts w:cs="Arial"/>
              </w:rPr>
              <w:t xml:space="preserve"> </w:t>
            </w:r>
            <w:r w:rsidRPr="00777669">
              <w:rPr>
                <w:rFonts w:cs="Arial"/>
              </w:rPr>
              <w:t xml:space="preserve">been risk averse. This is changing, with the Australian Government </w:t>
            </w:r>
            <w:r>
              <w:rPr>
                <w:rFonts w:cs="Arial"/>
              </w:rPr>
              <w:t>encouraging Commonwealth entities to strengthen their risk management practices</w:t>
            </w:r>
            <w:r w:rsidRPr="00777669">
              <w:rPr>
                <w:rFonts w:cs="Arial"/>
              </w:rPr>
              <w:t xml:space="preserve"> (for example through its </w:t>
            </w:r>
            <w:hyperlink r:id="rId13" w:history="1">
              <w:r w:rsidRPr="006F4F7C">
                <w:rPr>
                  <w:rFonts w:cs="Arial"/>
                </w:rPr>
                <w:t>Risk Management Policy</w:t>
              </w:r>
            </w:hyperlink>
            <w:r>
              <w:rPr>
                <w:rStyle w:val="FootnoteReference"/>
              </w:rPr>
              <w:footnoteReference w:id="25"/>
            </w:r>
            <w:r w:rsidRPr="00777669">
              <w:rPr>
                <w:rFonts w:cs="Arial"/>
              </w:rPr>
              <w:t xml:space="preserve">). </w:t>
            </w:r>
          </w:p>
          <w:p w:rsidR="00B2287B" w:rsidRDefault="00462735" w:rsidP="00FA0F2A">
            <w:pPr>
              <w:pStyle w:val="ListBullet"/>
              <w:numPr>
                <w:ilvl w:val="0"/>
                <w:numId w:val="0"/>
              </w:numPr>
              <w:rPr>
                <w:rFonts w:cs="Arial"/>
              </w:rPr>
            </w:pPr>
            <w:r>
              <w:rPr>
                <w:rFonts w:cs="Arial"/>
              </w:rPr>
              <w:t>The</w:t>
            </w:r>
            <w:r w:rsidR="00B2287B" w:rsidRPr="00B2287B">
              <w:rPr>
                <w:rFonts w:cs="Arial"/>
              </w:rPr>
              <w:t xml:space="preserve"> Department has a range of tools for identifying and managing risks,</w:t>
            </w:r>
            <w:r>
              <w:rPr>
                <w:rFonts w:cs="Arial"/>
              </w:rPr>
              <w:t xml:space="preserve"> however</w:t>
            </w:r>
            <w:r w:rsidR="00B2287B" w:rsidRPr="00B2287B">
              <w:rPr>
                <w:rFonts w:cs="Arial"/>
              </w:rPr>
              <w:t xml:space="preserve"> these are primarily applied to specific projects. There does not appear to be a systematic approach to identifying and managing risk</w:t>
            </w:r>
            <w:r w:rsidR="00D8710C">
              <w:rPr>
                <w:rFonts w:cs="Arial"/>
              </w:rPr>
              <w:t xml:space="preserve"> </w:t>
            </w:r>
            <w:r w:rsidR="00B2287B" w:rsidRPr="00B2287B">
              <w:rPr>
                <w:rFonts w:cs="Arial"/>
              </w:rPr>
              <w:t xml:space="preserve">across EPG’s regulatory functions or across the </w:t>
            </w:r>
            <w:r w:rsidR="00AD2013">
              <w:rPr>
                <w:rFonts w:cs="Arial"/>
              </w:rPr>
              <w:t>D</w:t>
            </w:r>
            <w:r w:rsidR="00B2287B" w:rsidRPr="00B2287B">
              <w:rPr>
                <w:rFonts w:cs="Arial"/>
              </w:rPr>
              <w:t xml:space="preserve">epartment. </w:t>
            </w:r>
          </w:p>
          <w:p w:rsidR="00FA0F2A" w:rsidRDefault="00A40743" w:rsidP="00FA0F2A">
            <w:pPr>
              <w:pStyle w:val="ListBullet"/>
              <w:numPr>
                <w:ilvl w:val="0"/>
                <w:numId w:val="0"/>
              </w:numPr>
              <w:rPr>
                <w:rFonts w:cs="Arial"/>
              </w:rPr>
            </w:pPr>
            <w:r>
              <w:rPr>
                <w:rFonts w:cs="Arial"/>
              </w:rPr>
              <w:t>Chapter 5</w:t>
            </w:r>
            <w:r w:rsidR="00B2287B">
              <w:rPr>
                <w:rFonts w:cs="Arial"/>
              </w:rPr>
              <w:t xml:space="preserve"> makes recommendations </w:t>
            </w:r>
            <w:r>
              <w:rPr>
                <w:rFonts w:cs="Arial"/>
              </w:rPr>
              <w:t xml:space="preserve">about </w:t>
            </w:r>
            <w:r w:rsidR="00B2287B">
              <w:rPr>
                <w:rFonts w:cs="Arial"/>
              </w:rPr>
              <w:t>EPG</w:t>
            </w:r>
            <w:r w:rsidR="00462735">
              <w:rPr>
                <w:rFonts w:cs="Arial"/>
              </w:rPr>
              <w:t>’</w:t>
            </w:r>
            <w:r w:rsidR="00B2287B">
              <w:rPr>
                <w:rFonts w:cs="Arial"/>
              </w:rPr>
              <w:t>s approach to risk, including</w:t>
            </w:r>
            <w:r w:rsidR="00FA0F2A">
              <w:rPr>
                <w:rFonts w:cs="Arial"/>
              </w:rPr>
              <w:t>:</w:t>
            </w:r>
          </w:p>
          <w:p w:rsidR="00FA0F2A" w:rsidRPr="00E65120" w:rsidRDefault="00B2287B" w:rsidP="00E65120">
            <w:pPr>
              <w:pStyle w:val="ListParagraph"/>
              <w:numPr>
                <w:ilvl w:val="0"/>
                <w:numId w:val="38"/>
              </w:numPr>
            </w:pPr>
            <w:r w:rsidRPr="00E65120">
              <w:t>reviewing the Risk Management Framework</w:t>
            </w:r>
            <w:r w:rsidR="00E3593E" w:rsidRPr="00E65120">
              <w:t>;</w:t>
            </w:r>
            <w:r w:rsidRPr="00E65120">
              <w:t xml:space="preserve"> </w:t>
            </w:r>
          </w:p>
          <w:p w:rsidR="00FA0F2A" w:rsidRPr="00E65120" w:rsidRDefault="00B2287B" w:rsidP="00E65120">
            <w:pPr>
              <w:pStyle w:val="ListParagraph"/>
              <w:numPr>
                <w:ilvl w:val="0"/>
                <w:numId w:val="38"/>
              </w:numPr>
            </w:pPr>
            <w:r w:rsidRPr="00E65120">
              <w:t>analysing risk across the EPG’s regulatory activities</w:t>
            </w:r>
            <w:r w:rsidR="00E3593E" w:rsidRPr="00E65120">
              <w:t>;</w:t>
            </w:r>
          </w:p>
          <w:p w:rsidR="00FA0F2A" w:rsidRPr="00E65120" w:rsidRDefault="004D1D97" w:rsidP="00E65120">
            <w:pPr>
              <w:pStyle w:val="ListParagraph"/>
              <w:numPr>
                <w:ilvl w:val="0"/>
                <w:numId w:val="38"/>
              </w:numPr>
            </w:pPr>
            <w:r w:rsidRPr="00E65120">
              <w:t xml:space="preserve">systematically </w:t>
            </w:r>
            <w:r w:rsidR="000B6D3B" w:rsidRPr="00E65120">
              <w:t>allocating resources proportionate to risk</w:t>
            </w:r>
            <w:r w:rsidR="00E3593E" w:rsidRPr="00E65120">
              <w:t>;</w:t>
            </w:r>
            <w:r w:rsidR="000B6D3B" w:rsidRPr="00E65120">
              <w:t xml:space="preserve"> </w:t>
            </w:r>
          </w:p>
          <w:p w:rsidR="00FA0F2A" w:rsidRPr="00E65120" w:rsidRDefault="000B6D3B" w:rsidP="00E65120">
            <w:pPr>
              <w:pStyle w:val="ListParagraph"/>
              <w:numPr>
                <w:ilvl w:val="0"/>
                <w:numId w:val="38"/>
              </w:numPr>
            </w:pPr>
            <w:r w:rsidRPr="00E65120">
              <w:t>utilising intelligence for gathering data and analysing risks</w:t>
            </w:r>
            <w:r w:rsidR="00E3593E" w:rsidRPr="00E65120">
              <w:t>; and</w:t>
            </w:r>
            <w:r w:rsidRPr="00E65120">
              <w:t xml:space="preserve"> </w:t>
            </w:r>
          </w:p>
          <w:p w:rsidR="00B2287B" w:rsidRPr="00E65120" w:rsidRDefault="00E65120" w:rsidP="00E65120">
            <w:pPr>
              <w:pStyle w:val="ListParagraph"/>
              <w:numPr>
                <w:ilvl w:val="0"/>
                <w:numId w:val="38"/>
              </w:numPr>
              <w:rPr>
                <w:rFonts w:cs="Arial"/>
              </w:rPr>
            </w:pPr>
            <w:r w:rsidRPr="00E65120">
              <w:t>improving external communication of risk.</w:t>
            </w:r>
          </w:p>
        </w:tc>
      </w:tr>
    </w:tbl>
    <w:p w:rsidR="00B2287B" w:rsidRDefault="00B2287B" w:rsidP="00851F3B">
      <w:pPr>
        <w:pStyle w:val="Heading1"/>
        <w:spacing w:after="120"/>
        <w:rPr>
          <w:color w:val="0B5294" w:themeColor="accent1" w:themeShade="BF"/>
          <w:sz w:val="28"/>
          <w:szCs w:val="28"/>
        </w:rPr>
      </w:pPr>
    </w:p>
    <w:p w:rsidR="00D1087A" w:rsidRPr="00851F3B" w:rsidRDefault="00D1087A" w:rsidP="00851F3B">
      <w:pPr>
        <w:pStyle w:val="Heading1"/>
        <w:spacing w:after="120"/>
        <w:rPr>
          <w:color w:val="0B5294" w:themeColor="accent1" w:themeShade="BF"/>
          <w:sz w:val="28"/>
          <w:szCs w:val="28"/>
        </w:rPr>
      </w:pPr>
      <w:bookmarkStart w:id="62" w:name="_Toc442970866"/>
      <w:bookmarkStart w:id="63" w:name="_Toc443040010"/>
      <w:bookmarkStart w:id="64" w:name="_Toc443405191"/>
      <w:r w:rsidRPr="00851F3B">
        <w:rPr>
          <w:color w:val="0B5294" w:themeColor="accent1" w:themeShade="BF"/>
          <w:sz w:val="28"/>
          <w:szCs w:val="28"/>
        </w:rPr>
        <w:t>fINDINGS AND RECOMMENDATIONS</w:t>
      </w:r>
      <w:bookmarkEnd w:id="62"/>
      <w:bookmarkEnd w:id="63"/>
      <w:bookmarkEnd w:id="64"/>
    </w:p>
    <w:p w:rsidR="00D1087A" w:rsidRPr="00851F3B" w:rsidRDefault="00D1087A" w:rsidP="00851F3B">
      <w:pPr>
        <w:pStyle w:val="Heading1"/>
        <w:spacing w:after="120"/>
        <w:rPr>
          <w:caps w:val="0"/>
          <w:color w:val="0B5294" w:themeColor="accent1" w:themeShade="BF"/>
          <w:sz w:val="24"/>
          <w:szCs w:val="24"/>
        </w:rPr>
      </w:pPr>
      <w:bookmarkStart w:id="65" w:name="_Toc443405192"/>
      <w:r w:rsidRPr="00851F3B">
        <w:rPr>
          <w:caps w:val="0"/>
          <w:color w:val="0B5294" w:themeColor="accent1" w:themeShade="BF"/>
          <w:sz w:val="24"/>
          <w:szCs w:val="24"/>
        </w:rPr>
        <w:t>Risk management framework</w:t>
      </w:r>
      <w:bookmarkEnd w:id="65"/>
      <w:r w:rsidRPr="00851F3B">
        <w:rPr>
          <w:caps w:val="0"/>
          <w:color w:val="0B5294" w:themeColor="accent1" w:themeShade="BF"/>
          <w:sz w:val="24"/>
          <w:szCs w:val="24"/>
        </w:rPr>
        <w:t xml:space="preserve"> </w:t>
      </w:r>
    </w:p>
    <w:p w:rsidR="00D1087A" w:rsidRDefault="007C02EB" w:rsidP="00D1087A">
      <w:pPr>
        <w:pStyle w:val="ListBullet"/>
        <w:numPr>
          <w:ilvl w:val="0"/>
          <w:numId w:val="0"/>
        </w:numPr>
        <w:rPr>
          <w:rFonts w:cs="Arial"/>
        </w:rPr>
      </w:pPr>
      <w:r>
        <w:rPr>
          <w:rFonts w:cs="Arial"/>
        </w:rPr>
        <w:t>A m</w:t>
      </w:r>
      <w:r w:rsidR="00D1087A">
        <w:rPr>
          <w:rFonts w:cs="Arial"/>
        </w:rPr>
        <w:t>ature regulator ha</w:t>
      </w:r>
      <w:r>
        <w:rPr>
          <w:rFonts w:cs="Arial"/>
        </w:rPr>
        <w:t>s a well</w:t>
      </w:r>
      <w:r w:rsidR="00D1087A">
        <w:rPr>
          <w:rFonts w:cs="Arial"/>
        </w:rPr>
        <w:t xml:space="preserve"> established and well understood risk framework which:</w:t>
      </w:r>
    </w:p>
    <w:p w:rsidR="00D1087A" w:rsidRDefault="00D1087A" w:rsidP="00E7528D">
      <w:pPr>
        <w:pStyle w:val="ListBullet"/>
        <w:spacing w:after="0" w:line="240" w:lineRule="auto"/>
        <w:rPr>
          <w:rFonts w:cs="Arial"/>
        </w:rPr>
      </w:pPr>
      <w:r>
        <w:rPr>
          <w:rFonts w:cs="Arial"/>
        </w:rPr>
        <w:t>articulate</w:t>
      </w:r>
      <w:r w:rsidR="007C02EB">
        <w:rPr>
          <w:rFonts w:cs="Arial"/>
        </w:rPr>
        <w:t>s</w:t>
      </w:r>
      <w:r>
        <w:rPr>
          <w:rFonts w:cs="Arial"/>
        </w:rPr>
        <w:t xml:space="preserve"> the </w:t>
      </w:r>
      <w:r w:rsidR="007C02EB">
        <w:rPr>
          <w:rFonts w:cs="Arial"/>
        </w:rPr>
        <w:t xml:space="preserve">regulator’s </w:t>
      </w:r>
      <w:r>
        <w:rPr>
          <w:rFonts w:cs="Arial"/>
        </w:rPr>
        <w:t>risk culture and risk appetite;</w:t>
      </w:r>
    </w:p>
    <w:p w:rsidR="00D1087A" w:rsidRDefault="00D1087A" w:rsidP="00E7528D">
      <w:pPr>
        <w:pStyle w:val="ListBullet"/>
        <w:spacing w:after="0" w:line="240" w:lineRule="auto"/>
        <w:rPr>
          <w:rFonts w:cs="Arial"/>
        </w:rPr>
      </w:pPr>
      <w:r>
        <w:rPr>
          <w:rFonts w:cs="Arial"/>
        </w:rPr>
        <w:t>identif</w:t>
      </w:r>
      <w:r w:rsidR="007C02EB">
        <w:rPr>
          <w:rFonts w:cs="Arial"/>
        </w:rPr>
        <w:t>ies</w:t>
      </w:r>
      <w:r>
        <w:rPr>
          <w:rFonts w:cs="Arial"/>
        </w:rPr>
        <w:t xml:space="preserve"> the roles and responsibilities of staff, boards and committees in identifying and managing risks; and</w:t>
      </w:r>
    </w:p>
    <w:p w:rsidR="00D1087A" w:rsidRDefault="00D1087A" w:rsidP="00E7528D">
      <w:pPr>
        <w:pStyle w:val="ListBullet"/>
        <w:spacing w:after="0" w:line="240" w:lineRule="auto"/>
        <w:rPr>
          <w:rFonts w:cs="Arial"/>
        </w:rPr>
      </w:pPr>
      <w:r>
        <w:rPr>
          <w:rFonts w:cs="Arial"/>
        </w:rPr>
        <w:t>provide</w:t>
      </w:r>
      <w:r w:rsidR="007C02EB">
        <w:rPr>
          <w:rFonts w:cs="Arial"/>
        </w:rPr>
        <w:t>s</w:t>
      </w:r>
      <w:r>
        <w:rPr>
          <w:rFonts w:cs="Arial"/>
        </w:rPr>
        <w:t xml:space="preserve"> guidance and policies for risk management, including risk identification, analysis, prioritisation and treatment.</w:t>
      </w:r>
    </w:p>
    <w:p w:rsidR="00E7528D" w:rsidRDefault="00E7528D" w:rsidP="00E7528D">
      <w:pPr>
        <w:pStyle w:val="ListBullet"/>
        <w:numPr>
          <w:ilvl w:val="0"/>
          <w:numId w:val="0"/>
        </w:numPr>
        <w:spacing w:after="0" w:line="240" w:lineRule="auto"/>
        <w:ind w:left="369"/>
        <w:rPr>
          <w:rFonts w:cs="Arial"/>
        </w:rPr>
      </w:pPr>
    </w:p>
    <w:p w:rsidR="00D1087A" w:rsidRDefault="00D1087A" w:rsidP="00D1087A">
      <w:pPr>
        <w:pStyle w:val="ListBullet"/>
        <w:numPr>
          <w:ilvl w:val="0"/>
          <w:numId w:val="0"/>
        </w:numPr>
        <w:rPr>
          <w:rFonts w:cs="Arial"/>
        </w:rPr>
      </w:pPr>
      <w:r w:rsidRPr="00B9575D">
        <w:rPr>
          <w:rFonts w:cs="Arial"/>
        </w:rPr>
        <w:t xml:space="preserve">The </w:t>
      </w:r>
      <w:r>
        <w:rPr>
          <w:rFonts w:cs="Arial"/>
        </w:rPr>
        <w:t xml:space="preserve">Australian Government has a Risk Management Policy and the </w:t>
      </w:r>
      <w:r w:rsidRPr="00B9575D">
        <w:rPr>
          <w:rFonts w:cs="Arial"/>
        </w:rPr>
        <w:t xml:space="preserve">Department has a Risk Management Framework, including supporting </w:t>
      </w:r>
      <w:r>
        <w:rPr>
          <w:rFonts w:cs="Arial"/>
        </w:rPr>
        <w:t>r</w:t>
      </w:r>
      <w:r w:rsidRPr="00B9575D">
        <w:rPr>
          <w:rFonts w:cs="Arial"/>
        </w:rPr>
        <w:t xml:space="preserve">isk </w:t>
      </w:r>
      <w:r>
        <w:rPr>
          <w:rFonts w:cs="Arial"/>
        </w:rPr>
        <w:t>m</w:t>
      </w:r>
      <w:r w:rsidRPr="00B9575D">
        <w:rPr>
          <w:rFonts w:cs="Arial"/>
        </w:rPr>
        <w:t xml:space="preserve">anagement </w:t>
      </w:r>
      <w:r>
        <w:rPr>
          <w:rFonts w:cs="Arial"/>
        </w:rPr>
        <w:t>g</w:t>
      </w:r>
      <w:r w:rsidRPr="00B9575D">
        <w:rPr>
          <w:rFonts w:cs="Arial"/>
        </w:rPr>
        <w:t xml:space="preserve">uidelines, a </w:t>
      </w:r>
      <w:r>
        <w:rPr>
          <w:rFonts w:cs="Arial"/>
        </w:rPr>
        <w:t>r</w:t>
      </w:r>
      <w:r w:rsidRPr="00B9575D">
        <w:rPr>
          <w:rFonts w:cs="Arial"/>
        </w:rPr>
        <w:t xml:space="preserve">isk </w:t>
      </w:r>
      <w:r>
        <w:rPr>
          <w:rFonts w:cs="Arial"/>
        </w:rPr>
        <w:t>m</w:t>
      </w:r>
      <w:r w:rsidRPr="00B9575D">
        <w:rPr>
          <w:rFonts w:cs="Arial"/>
        </w:rPr>
        <w:t xml:space="preserve">anagement </w:t>
      </w:r>
      <w:r>
        <w:rPr>
          <w:rFonts w:cs="Arial"/>
        </w:rPr>
        <w:t>p</w:t>
      </w:r>
      <w:r w:rsidRPr="00B9575D">
        <w:rPr>
          <w:rFonts w:cs="Arial"/>
        </w:rPr>
        <w:t xml:space="preserve">olicy and a </w:t>
      </w:r>
      <w:r>
        <w:rPr>
          <w:rFonts w:cs="Arial"/>
        </w:rPr>
        <w:t>r</w:t>
      </w:r>
      <w:r w:rsidRPr="00B9575D">
        <w:rPr>
          <w:rFonts w:cs="Arial"/>
        </w:rPr>
        <w:t xml:space="preserve">isk </w:t>
      </w:r>
      <w:r>
        <w:rPr>
          <w:rFonts w:cs="Arial"/>
        </w:rPr>
        <w:t>m</w:t>
      </w:r>
      <w:r w:rsidRPr="00B9575D">
        <w:rPr>
          <w:rFonts w:cs="Arial"/>
        </w:rPr>
        <w:t xml:space="preserve">anagement </w:t>
      </w:r>
      <w:r>
        <w:rPr>
          <w:rFonts w:cs="Arial"/>
        </w:rPr>
        <w:t>w</w:t>
      </w:r>
      <w:r w:rsidRPr="00B9575D">
        <w:rPr>
          <w:rFonts w:cs="Arial"/>
        </w:rPr>
        <w:t>orkbook. The</w:t>
      </w:r>
      <w:r>
        <w:rPr>
          <w:rFonts w:cs="Arial"/>
        </w:rPr>
        <w:t xml:space="preserve"> Secretary has</w:t>
      </w:r>
      <w:r w:rsidR="00DE19D9">
        <w:rPr>
          <w:rFonts w:cs="Arial"/>
        </w:rPr>
        <w:t xml:space="preserve"> also</w:t>
      </w:r>
      <w:r>
        <w:rPr>
          <w:rFonts w:cs="Arial"/>
        </w:rPr>
        <w:t xml:space="preserve"> issued</w:t>
      </w:r>
      <w:r w:rsidRPr="00B9575D">
        <w:rPr>
          <w:rFonts w:cs="Arial"/>
        </w:rPr>
        <w:t xml:space="preserve"> </w:t>
      </w:r>
      <w:r>
        <w:rPr>
          <w:rFonts w:cs="Arial"/>
        </w:rPr>
        <w:t>i</w:t>
      </w:r>
      <w:r w:rsidRPr="00B9575D">
        <w:rPr>
          <w:rFonts w:cs="Arial"/>
        </w:rPr>
        <w:t xml:space="preserve">nstructions </w:t>
      </w:r>
      <w:r>
        <w:rPr>
          <w:rFonts w:cs="Arial"/>
        </w:rPr>
        <w:t>about a</w:t>
      </w:r>
      <w:r w:rsidRPr="00B9575D">
        <w:rPr>
          <w:rFonts w:cs="Arial"/>
        </w:rPr>
        <w:t xml:space="preserve">ccountability for </w:t>
      </w:r>
      <w:r>
        <w:rPr>
          <w:rFonts w:cs="Arial"/>
        </w:rPr>
        <w:t>m</w:t>
      </w:r>
      <w:r w:rsidRPr="00B9575D">
        <w:rPr>
          <w:rFonts w:cs="Arial"/>
        </w:rPr>
        <w:t xml:space="preserve">anaging </w:t>
      </w:r>
      <w:r>
        <w:rPr>
          <w:rFonts w:cs="Arial"/>
        </w:rPr>
        <w:t>r</w:t>
      </w:r>
      <w:r w:rsidRPr="00B9575D">
        <w:rPr>
          <w:rFonts w:cs="Arial"/>
        </w:rPr>
        <w:t>isk.</w:t>
      </w:r>
    </w:p>
    <w:p w:rsidR="00D1087A" w:rsidRDefault="00D1087A" w:rsidP="00D1087A">
      <w:pPr>
        <w:pStyle w:val="ListBullet"/>
        <w:numPr>
          <w:ilvl w:val="0"/>
          <w:numId w:val="0"/>
        </w:numPr>
        <w:rPr>
          <w:rFonts w:cs="Arial"/>
        </w:rPr>
      </w:pPr>
      <w:r>
        <w:rPr>
          <w:rFonts w:cs="Arial"/>
        </w:rPr>
        <w:t xml:space="preserve">Despite these policies, staff understanding of risk management in practice is mixed. </w:t>
      </w:r>
      <w:r w:rsidR="00DE19D9">
        <w:rPr>
          <w:rFonts w:cs="Arial"/>
        </w:rPr>
        <w:t>During consultation, s</w:t>
      </w:r>
      <w:r>
        <w:rPr>
          <w:rFonts w:cs="Arial"/>
        </w:rPr>
        <w:t>ome staff expressed</w:t>
      </w:r>
      <w:r w:rsidRPr="00B9575D">
        <w:rPr>
          <w:rFonts w:cs="Arial"/>
        </w:rPr>
        <w:t xml:space="preserve"> uncertain</w:t>
      </w:r>
      <w:r>
        <w:rPr>
          <w:rFonts w:cs="Arial"/>
        </w:rPr>
        <w:t>t</w:t>
      </w:r>
      <w:r w:rsidRPr="00B9575D">
        <w:rPr>
          <w:rFonts w:cs="Arial"/>
        </w:rPr>
        <w:t xml:space="preserve">y about who makes risk decisions, who owns the risk, and </w:t>
      </w:r>
      <w:r>
        <w:rPr>
          <w:rFonts w:cs="Arial"/>
        </w:rPr>
        <w:t>who will be held responsible</w:t>
      </w:r>
      <w:r w:rsidRPr="00B9575D">
        <w:rPr>
          <w:rFonts w:cs="Arial"/>
        </w:rPr>
        <w:t xml:space="preserve"> </w:t>
      </w:r>
      <w:r w:rsidR="00DE19D9">
        <w:rPr>
          <w:rFonts w:cs="Arial"/>
        </w:rPr>
        <w:t xml:space="preserve">if </w:t>
      </w:r>
      <w:r>
        <w:rPr>
          <w:rFonts w:cs="Arial"/>
        </w:rPr>
        <w:t>things</w:t>
      </w:r>
      <w:r w:rsidRPr="00B9575D">
        <w:rPr>
          <w:rFonts w:cs="Arial"/>
        </w:rPr>
        <w:t xml:space="preserve"> go wrong.</w:t>
      </w:r>
      <w:r>
        <w:rPr>
          <w:rFonts w:cs="Arial"/>
        </w:rPr>
        <w:t xml:space="preserve"> </w:t>
      </w:r>
    </w:p>
    <w:p w:rsidR="00D1087A" w:rsidRDefault="00D1087A" w:rsidP="00D1087A">
      <w:pPr>
        <w:pStyle w:val="ListBullet"/>
        <w:numPr>
          <w:ilvl w:val="0"/>
          <w:numId w:val="0"/>
        </w:numPr>
        <w:rPr>
          <w:rFonts w:cs="Arial"/>
        </w:rPr>
      </w:pPr>
      <w:r>
        <w:rPr>
          <w:rFonts w:cs="Arial"/>
        </w:rPr>
        <w:lastRenderedPageBreak/>
        <w:t xml:space="preserve">This uncertainty could be due in part to the fact that neither the Department nor EPG appear to have a well defined </w:t>
      </w:r>
      <w:r w:rsidRPr="00B9575D">
        <w:rPr>
          <w:rFonts w:cs="Arial"/>
        </w:rPr>
        <w:t xml:space="preserve">or communicated risk appetite. </w:t>
      </w:r>
      <w:r>
        <w:rPr>
          <w:rFonts w:cs="Arial"/>
        </w:rPr>
        <w:t>For example, t</w:t>
      </w:r>
      <w:r w:rsidRPr="008D05D9">
        <w:rPr>
          <w:rFonts w:cs="Arial"/>
        </w:rPr>
        <w:t>he Department’s Risk Management Policy defines ‘risk appetite’ as the amount of risk, on a broad level, that the Department is willing to take in pursuing the functions</w:t>
      </w:r>
      <w:r w:rsidR="00A6701B">
        <w:rPr>
          <w:rFonts w:cs="Arial"/>
        </w:rPr>
        <w:t xml:space="preserve"> and </w:t>
      </w:r>
      <w:r w:rsidRPr="008D05D9">
        <w:rPr>
          <w:rFonts w:cs="Arial"/>
        </w:rPr>
        <w:t>responsibilities assigned to it by the Government. It provides that:</w:t>
      </w:r>
    </w:p>
    <w:p w:rsidR="00D1087A" w:rsidRPr="008D05D9" w:rsidRDefault="00D1087A" w:rsidP="00D1087A">
      <w:pPr>
        <w:pStyle w:val="ListBullet"/>
        <w:numPr>
          <w:ilvl w:val="0"/>
          <w:numId w:val="0"/>
        </w:numPr>
        <w:ind w:left="720"/>
        <w:rPr>
          <w:rFonts w:cs="Arial"/>
        </w:rPr>
      </w:pPr>
      <w:r w:rsidRPr="008D05D9">
        <w:rPr>
          <w:rFonts w:cs="Arial"/>
        </w:rPr>
        <w:t>“</w:t>
      </w:r>
      <w:r w:rsidRPr="008D05D9">
        <w:rPr>
          <w:rFonts w:cs="Arial"/>
          <w:i/>
        </w:rPr>
        <w:t>the amount of risk that each division will take is dependent upon the unique context and objectives of the work being undertaken by the division, in consultation with the executive board and the expectations of the Minister. A differentiated, divisional approach to risk management is fundamental to the Department achieving its objectives. However, it reinforces the need for ongoing monitoring, reporting and oversight of risk</w:t>
      </w:r>
      <w:r w:rsidRPr="008D05D9">
        <w:rPr>
          <w:rFonts w:cs="Arial"/>
        </w:rPr>
        <w:t>.”</w:t>
      </w:r>
    </w:p>
    <w:p w:rsidR="00D1087A" w:rsidRDefault="00D1087A" w:rsidP="00D1087A">
      <w:pPr>
        <w:pStyle w:val="ListBullet"/>
        <w:numPr>
          <w:ilvl w:val="0"/>
          <w:numId w:val="0"/>
        </w:numPr>
        <w:rPr>
          <w:rFonts w:cs="Arial"/>
        </w:rPr>
      </w:pPr>
      <w:r>
        <w:rPr>
          <w:rFonts w:cs="Arial"/>
        </w:rPr>
        <w:t xml:space="preserve">There is however no clear development or communication of what the risk appetite(s) for the Department actually is. </w:t>
      </w:r>
    </w:p>
    <w:tbl>
      <w:tblPr>
        <w:tblStyle w:val="TableGrid"/>
        <w:tblW w:w="0" w:type="auto"/>
        <w:tblLook w:val="04A0" w:firstRow="1" w:lastRow="0" w:firstColumn="1" w:lastColumn="0" w:noHBand="0" w:noVBand="1"/>
      </w:tblPr>
      <w:tblGrid>
        <w:gridCol w:w="9212"/>
      </w:tblGrid>
      <w:tr w:rsidR="00851F3B" w:rsidTr="00851F3B">
        <w:trPr>
          <w:cnfStyle w:val="100000000000" w:firstRow="1" w:lastRow="0" w:firstColumn="0" w:lastColumn="0" w:oddVBand="0" w:evenVBand="0" w:oddHBand="0" w:evenHBand="0" w:firstRowFirstColumn="0" w:firstRowLastColumn="0" w:lastRowFirstColumn="0" w:lastRowLastColumn="0"/>
        </w:trPr>
        <w:tc>
          <w:tcPr>
            <w:tcW w:w="9428" w:type="dxa"/>
            <w:tcBorders>
              <w:top w:val="nil"/>
              <w:left w:val="nil"/>
              <w:bottom w:val="nil"/>
              <w:right w:val="nil"/>
            </w:tcBorders>
            <w:shd w:val="clear" w:color="auto" w:fill="C7E2FA" w:themeFill="accent1" w:themeFillTint="33"/>
          </w:tcPr>
          <w:p w:rsidR="00851F3B" w:rsidRDefault="00851F3B" w:rsidP="00851F3B">
            <w:pPr>
              <w:pStyle w:val="ListBullet"/>
              <w:numPr>
                <w:ilvl w:val="0"/>
                <w:numId w:val="0"/>
              </w:numPr>
              <w:shd w:val="clear" w:color="auto" w:fill="C7E2FA" w:themeFill="accent1" w:themeFillTint="33"/>
              <w:spacing w:before="240"/>
              <w:rPr>
                <w:rFonts w:cs="Arial"/>
                <w:b/>
              </w:rPr>
            </w:pPr>
            <w:r w:rsidRPr="00AA7DF3">
              <w:rPr>
                <w:rFonts w:cs="Arial"/>
                <w:b/>
              </w:rPr>
              <w:t xml:space="preserve">Recommendation </w:t>
            </w:r>
            <w:r>
              <w:rPr>
                <w:rFonts w:cs="Arial"/>
                <w:b/>
              </w:rPr>
              <w:t>5.1 (Risk Management Framework)</w:t>
            </w:r>
          </w:p>
          <w:p w:rsidR="00851F3B" w:rsidRPr="0026153E" w:rsidRDefault="00851F3B" w:rsidP="00851F3B">
            <w:pPr>
              <w:pStyle w:val="ListBullet"/>
              <w:numPr>
                <w:ilvl w:val="0"/>
                <w:numId w:val="0"/>
              </w:numPr>
              <w:shd w:val="clear" w:color="auto" w:fill="C7E2FA" w:themeFill="accent1" w:themeFillTint="33"/>
              <w:rPr>
                <w:rFonts w:cs="Arial"/>
                <w:i/>
              </w:rPr>
            </w:pPr>
            <w:r w:rsidRPr="0026153E">
              <w:rPr>
                <w:rFonts w:cs="Arial"/>
                <w:i/>
              </w:rPr>
              <w:t xml:space="preserve">Importance: </w:t>
            </w:r>
            <w:r w:rsidR="005A4278" w:rsidRPr="005A4278">
              <w:rPr>
                <w:rFonts w:cs="Arial"/>
              </w:rPr>
              <w:t>2</w:t>
            </w:r>
          </w:p>
          <w:p w:rsidR="00851F3B" w:rsidRPr="0026153E" w:rsidRDefault="00851F3B" w:rsidP="00851F3B">
            <w:pPr>
              <w:pStyle w:val="ListBullet"/>
              <w:numPr>
                <w:ilvl w:val="0"/>
                <w:numId w:val="0"/>
              </w:numPr>
              <w:shd w:val="clear" w:color="auto" w:fill="C7E2FA" w:themeFill="accent1" w:themeFillTint="33"/>
              <w:rPr>
                <w:rFonts w:cs="Arial"/>
                <w:i/>
              </w:rPr>
            </w:pPr>
            <w:r w:rsidRPr="0026153E">
              <w:rPr>
                <w:rFonts w:cs="Arial"/>
                <w:i/>
              </w:rPr>
              <w:t xml:space="preserve">Timing: </w:t>
            </w:r>
            <w:r w:rsidR="005A4278" w:rsidRPr="005A4278">
              <w:rPr>
                <w:rFonts w:cs="Arial"/>
              </w:rPr>
              <w:t>2</w:t>
            </w:r>
            <w:r w:rsidRPr="0026153E">
              <w:rPr>
                <w:rFonts w:cs="Arial"/>
                <w:i/>
              </w:rPr>
              <w:t xml:space="preserve"> </w:t>
            </w:r>
          </w:p>
          <w:p w:rsidR="00851F3B" w:rsidRDefault="00851F3B" w:rsidP="00851F3B">
            <w:pPr>
              <w:pStyle w:val="ListBullet"/>
              <w:numPr>
                <w:ilvl w:val="0"/>
                <w:numId w:val="0"/>
              </w:numPr>
              <w:shd w:val="clear" w:color="auto" w:fill="C7E2FA" w:themeFill="accent1" w:themeFillTint="33"/>
              <w:rPr>
                <w:rFonts w:cs="Arial"/>
              </w:rPr>
            </w:pPr>
            <w:r w:rsidRPr="00AA7DF3">
              <w:rPr>
                <w:rFonts w:cs="Arial"/>
              </w:rPr>
              <w:t>The Chief Risk Officer should:</w:t>
            </w:r>
          </w:p>
          <w:p w:rsidR="00851F3B" w:rsidRPr="00AA7DF3" w:rsidRDefault="00851F3B" w:rsidP="00E65120">
            <w:pPr>
              <w:pStyle w:val="ListBullet"/>
              <w:numPr>
                <w:ilvl w:val="0"/>
                <w:numId w:val="22"/>
              </w:numPr>
              <w:shd w:val="clear" w:color="auto" w:fill="C7E2FA" w:themeFill="accent1" w:themeFillTint="33"/>
              <w:spacing w:after="0" w:line="240" w:lineRule="auto"/>
              <w:rPr>
                <w:rFonts w:cs="Arial"/>
              </w:rPr>
            </w:pPr>
            <w:r w:rsidRPr="00AA7DF3">
              <w:rPr>
                <w:rFonts w:cs="Arial"/>
              </w:rPr>
              <w:t xml:space="preserve">review the Risk Management Framework, including supporting policies and tools; </w:t>
            </w:r>
          </w:p>
          <w:p w:rsidR="00851F3B" w:rsidRPr="00AA7DF3" w:rsidRDefault="00851F3B" w:rsidP="00E65120">
            <w:pPr>
              <w:pStyle w:val="ListBullet"/>
              <w:numPr>
                <w:ilvl w:val="0"/>
                <w:numId w:val="21"/>
              </w:numPr>
              <w:shd w:val="clear" w:color="auto" w:fill="C7E2FA" w:themeFill="accent1" w:themeFillTint="33"/>
              <w:spacing w:after="0" w:line="240" w:lineRule="auto"/>
              <w:rPr>
                <w:rFonts w:cs="Arial"/>
              </w:rPr>
            </w:pPr>
            <w:r w:rsidRPr="00AA7DF3">
              <w:rPr>
                <w:rFonts w:cs="Arial"/>
              </w:rPr>
              <w:t>consider adopting more adaptive and flexible tools and approaches to support risk assessments;</w:t>
            </w:r>
          </w:p>
          <w:p w:rsidR="00851F3B" w:rsidRPr="008907C9" w:rsidRDefault="00851F3B" w:rsidP="00E65120">
            <w:pPr>
              <w:pStyle w:val="ListBullet"/>
              <w:numPr>
                <w:ilvl w:val="0"/>
                <w:numId w:val="21"/>
              </w:numPr>
              <w:shd w:val="clear" w:color="auto" w:fill="C7E2FA" w:themeFill="accent1" w:themeFillTint="33"/>
              <w:spacing w:after="0" w:line="240" w:lineRule="auto"/>
              <w:rPr>
                <w:rFonts w:cs="Arial"/>
                <w:sz w:val="16"/>
                <w:szCs w:val="16"/>
              </w:rPr>
            </w:pPr>
            <w:r w:rsidRPr="00AA7DF3">
              <w:rPr>
                <w:rFonts w:cs="Arial"/>
              </w:rPr>
              <w:t>work with Divisions and Groups to help them develop meaningful and targeted risk appetites</w:t>
            </w:r>
            <w:r>
              <w:rPr>
                <w:rFonts w:cs="Arial"/>
              </w:rPr>
              <w:t>; and</w:t>
            </w:r>
          </w:p>
          <w:p w:rsidR="00851F3B" w:rsidRPr="00851F3B" w:rsidRDefault="00851F3B" w:rsidP="00E65120">
            <w:pPr>
              <w:pStyle w:val="ListBullet"/>
              <w:numPr>
                <w:ilvl w:val="0"/>
                <w:numId w:val="21"/>
              </w:numPr>
              <w:shd w:val="clear" w:color="auto" w:fill="C7E2FA" w:themeFill="accent1" w:themeFillTint="33"/>
              <w:spacing w:after="0" w:line="240" w:lineRule="auto"/>
              <w:rPr>
                <w:rFonts w:cs="Arial"/>
                <w:sz w:val="16"/>
                <w:szCs w:val="16"/>
              </w:rPr>
            </w:pPr>
            <w:r w:rsidRPr="00AA7DF3">
              <w:rPr>
                <w:rFonts w:cs="Arial"/>
              </w:rPr>
              <w:t>communicate and provide training to ensure that staff understand their roles and obligations in relation to risk management</w:t>
            </w:r>
            <w:r w:rsidRPr="008907C9">
              <w:rPr>
                <w:rFonts w:cs="Arial"/>
              </w:rPr>
              <w:t>.</w:t>
            </w:r>
          </w:p>
          <w:p w:rsidR="00851F3B" w:rsidRPr="008907C9" w:rsidRDefault="00851F3B" w:rsidP="00851F3B">
            <w:pPr>
              <w:pStyle w:val="ListBullet"/>
              <w:numPr>
                <w:ilvl w:val="0"/>
                <w:numId w:val="0"/>
              </w:numPr>
              <w:shd w:val="clear" w:color="auto" w:fill="C7E2FA" w:themeFill="accent1" w:themeFillTint="33"/>
              <w:spacing w:after="0" w:line="240" w:lineRule="auto"/>
              <w:ind w:left="765"/>
              <w:rPr>
                <w:rFonts w:cs="Arial"/>
                <w:sz w:val="16"/>
                <w:szCs w:val="16"/>
              </w:rPr>
            </w:pPr>
          </w:p>
          <w:p w:rsidR="00851F3B" w:rsidRDefault="00851F3B" w:rsidP="00851F3B">
            <w:pPr>
              <w:pStyle w:val="ListBullet"/>
              <w:numPr>
                <w:ilvl w:val="0"/>
                <w:numId w:val="0"/>
              </w:numPr>
              <w:shd w:val="clear" w:color="auto" w:fill="C7E2FA" w:themeFill="accent1" w:themeFillTint="33"/>
              <w:rPr>
                <w:rFonts w:cs="Arial"/>
              </w:rPr>
            </w:pPr>
            <w:r w:rsidRPr="00AA7DF3">
              <w:rPr>
                <w:rFonts w:cs="Arial"/>
              </w:rPr>
              <w:t>The Senior Executive should consistently communicate and reinforce risk management principles and appetites.</w:t>
            </w:r>
          </w:p>
        </w:tc>
      </w:tr>
    </w:tbl>
    <w:p w:rsidR="00627742" w:rsidRDefault="00627742" w:rsidP="00746311">
      <w:pPr>
        <w:pStyle w:val="Heading1"/>
        <w:spacing w:after="120"/>
        <w:rPr>
          <w:caps w:val="0"/>
          <w:color w:val="0B5294" w:themeColor="accent1" w:themeShade="BF"/>
          <w:sz w:val="24"/>
          <w:szCs w:val="24"/>
        </w:rPr>
      </w:pPr>
      <w:bookmarkStart w:id="66" w:name="_Toc443405193"/>
    </w:p>
    <w:p w:rsidR="00D1087A" w:rsidRPr="00746311" w:rsidRDefault="00D1087A" w:rsidP="00746311">
      <w:pPr>
        <w:pStyle w:val="Heading1"/>
        <w:spacing w:after="120"/>
        <w:rPr>
          <w:caps w:val="0"/>
          <w:color w:val="0B5294" w:themeColor="accent1" w:themeShade="BF"/>
          <w:sz w:val="24"/>
          <w:szCs w:val="24"/>
        </w:rPr>
      </w:pPr>
      <w:r w:rsidRPr="00746311">
        <w:rPr>
          <w:caps w:val="0"/>
          <w:color w:val="0B5294" w:themeColor="accent1" w:themeShade="BF"/>
          <w:sz w:val="24"/>
          <w:szCs w:val="24"/>
        </w:rPr>
        <w:t>Strategic Risk Assessment and Resource Allocation</w:t>
      </w:r>
      <w:bookmarkEnd w:id="66"/>
    </w:p>
    <w:p w:rsidR="00D1087A" w:rsidRPr="00F6741C" w:rsidRDefault="00D1087A" w:rsidP="00D1087A">
      <w:pPr>
        <w:pStyle w:val="ListBullet"/>
        <w:numPr>
          <w:ilvl w:val="0"/>
          <w:numId w:val="0"/>
        </w:numPr>
        <w:rPr>
          <w:rFonts w:cs="Arial"/>
        </w:rPr>
      </w:pPr>
      <w:r w:rsidRPr="00F72B60">
        <w:rPr>
          <w:rFonts w:cs="Arial"/>
        </w:rPr>
        <w:t xml:space="preserve">Mature regulators </w:t>
      </w:r>
      <w:r>
        <w:rPr>
          <w:rFonts w:cs="Arial"/>
        </w:rPr>
        <w:t>have a</w:t>
      </w:r>
      <w:r w:rsidRPr="00F72B60">
        <w:rPr>
          <w:rFonts w:cs="Arial"/>
        </w:rPr>
        <w:t xml:space="preserve"> systematic approach to risk management, which is linked to </w:t>
      </w:r>
      <w:r>
        <w:rPr>
          <w:rFonts w:cs="Arial"/>
        </w:rPr>
        <w:t xml:space="preserve">resource allocation and agency </w:t>
      </w:r>
      <w:r w:rsidRPr="00F72B60">
        <w:rPr>
          <w:rFonts w:cs="Arial"/>
        </w:rPr>
        <w:t>priorities</w:t>
      </w:r>
      <w:r>
        <w:rPr>
          <w:rFonts w:cs="Arial"/>
        </w:rPr>
        <w:t xml:space="preserve">. </w:t>
      </w:r>
      <w:r w:rsidR="00830468">
        <w:rPr>
          <w:rFonts w:cs="Arial"/>
        </w:rPr>
        <w:t xml:space="preserve">Mature regulators </w:t>
      </w:r>
      <w:r>
        <w:rPr>
          <w:rFonts w:cs="Arial"/>
        </w:rPr>
        <w:t>are able to assess the agency’s activities to identify and manage the biggest strategic risks. Mature regulators u</w:t>
      </w:r>
      <w:r w:rsidRPr="00F6741C">
        <w:rPr>
          <w:rFonts w:cs="Arial"/>
        </w:rPr>
        <w:t>se risk management to prioritise allocation of resources and effort</w:t>
      </w:r>
      <w:r>
        <w:rPr>
          <w:rFonts w:cs="Arial"/>
        </w:rPr>
        <w:t xml:space="preserve">. They ensure that effort and regulatory response are proportionate to the regulatory risk being addressed. </w:t>
      </w:r>
    </w:p>
    <w:p w:rsidR="00D1087A" w:rsidRDefault="00D1087A" w:rsidP="00D1087A">
      <w:pPr>
        <w:pStyle w:val="ListBullet"/>
        <w:numPr>
          <w:ilvl w:val="0"/>
          <w:numId w:val="0"/>
        </w:numPr>
        <w:rPr>
          <w:rFonts w:cs="Arial"/>
        </w:rPr>
      </w:pPr>
      <w:r>
        <w:rPr>
          <w:rFonts w:cs="Arial"/>
        </w:rPr>
        <w:t>The Department’s</w:t>
      </w:r>
      <w:r w:rsidR="00E5294A">
        <w:rPr>
          <w:rFonts w:cs="Arial"/>
        </w:rPr>
        <w:t xml:space="preserve"> current</w:t>
      </w:r>
      <w:r w:rsidRPr="00B9575D">
        <w:rPr>
          <w:rFonts w:cs="Arial"/>
        </w:rPr>
        <w:t xml:space="preserve"> </w:t>
      </w:r>
      <w:r>
        <w:rPr>
          <w:rFonts w:cs="Arial"/>
        </w:rPr>
        <w:t>r</w:t>
      </w:r>
      <w:r w:rsidRPr="00B9575D">
        <w:rPr>
          <w:rFonts w:cs="Arial"/>
        </w:rPr>
        <w:t xml:space="preserve">isk </w:t>
      </w:r>
      <w:r>
        <w:rPr>
          <w:rFonts w:cs="Arial"/>
        </w:rPr>
        <w:t>m</w:t>
      </w:r>
      <w:r w:rsidRPr="00B9575D">
        <w:rPr>
          <w:rFonts w:cs="Arial"/>
        </w:rPr>
        <w:t xml:space="preserve">anagement </w:t>
      </w:r>
      <w:r>
        <w:rPr>
          <w:rFonts w:cs="Arial"/>
        </w:rPr>
        <w:t xml:space="preserve">tools focus on identifying and addressing </w:t>
      </w:r>
      <w:r w:rsidR="00D72FF6">
        <w:rPr>
          <w:rFonts w:cs="Arial"/>
        </w:rPr>
        <w:t xml:space="preserve">the </w:t>
      </w:r>
      <w:r>
        <w:rPr>
          <w:rFonts w:cs="Arial"/>
        </w:rPr>
        <w:t>specific risks of individual projects. T</w:t>
      </w:r>
      <w:r w:rsidRPr="00B9575D">
        <w:rPr>
          <w:rFonts w:cs="Arial"/>
        </w:rPr>
        <w:t xml:space="preserve">here does not appear to be a strategic approach to </w:t>
      </w:r>
      <w:r>
        <w:rPr>
          <w:rFonts w:cs="Arial"/>
        </w:rPr>
        <w:t xml:space="preserve">assessing comparative risk </w:t>
      </w:r>
      <w:r w:rsidRPr="00B9575D">
        <w:rPr>
          <w:rFonts w:cs="Arial"/>
        </w:rPr>
        <w:t xml:space="preserve">across the </w:t>
      </w:r>
      <w:r w:rsidR="00D72FF6">
        <w:rPr>
          <w:rFonts w:cs="Arial"/>
        </w:rPr>
        <w:t>D</w:t>
      </w:r>
      <w:r>
        <w:rPr>
          <w:rFonts w:cs="Arial"/>
        </w:rPr>
        <w:t>epartment</w:t>
      </w:r>
      <w:r w:rsidRPr="00B9575D">
        <w:rPr>
          <w:rFonts w:cs="Arial"/>
        </w:rPr>
        <w:t xml:space="preserve"> </w:t>
      </w:r>
      <w:r>
        <w:rPr>
          <w:rFonts w:cs="Arial"/>
        </w:rPr>
        <w:t>or</w:t>
      </w:r>
      <w:r w:rsidRPr="00B9575D">
        <w:rPr>
          <w:rFonts w:cs="Arial"/>
        </w:rPr>
        <w:t xml:space="preserve"> within </w:t>
      </w:r>
      <w:r>
        <w:rPr>
          <w:rFonts w:cs="Arial"/>
        </w:rPr>
        <w:t>or</w:t>
      </w:r>
      <w:r w:rsidRPr="00B9575D">
        <w:rPr>
          <w:rFonts w:cs="Arial"/>
        </w:rPr>
        <w:t xml:space="preserve"> between </w:t>
      </w:r>
      <w:r w:rsidR="00D72FF6">
        <w:rPr>
          <w:rFonts w:cs="Arial"/>
        </w:rPr>
        <w:t>D</w:t>
      </w:r>
      <w:r w:rsidRPr="00B9575D">
        <w:rPr>
          <w:rFonts w:cs="Arial"/>
        </w:rPr>
        <w:t xml:space="preserve">ivisions, </w:t>
      </w:r>
      <w:r w:rsidR="00D72FF6">
        <w:rPr>
          <w:rFonts w:cs="Arial"/>
        </w:rPr>
        <w:t>B</w:t>
      </w:r>
      <w:r w:rsidRPr="00B9575D">
        <w:rPr>
          <w:rFonts w:cs="Arial"/>
        </w:rPr>
        <w:t xml:space="preserve">ranches and </w:t>
      </w:r>
      <w:r w:rsidR="00D72FF6">
        <w:rPr>
          <w:rFonts w:cs="Arial"/>
        </w:rPr>
        <w:t>S</w:t>
      </w:r>
      <w:r w:rsidRPr="00B9575D">
        <w:rPr>
          <w:rFonts w:cs="Arial"/>
        </w:rPr>
        <w:t>ections.</w:t>
      </w:r>
      <w:r>
        <w:rPr>
          <w:rFonts w:cs="Arial"/>
        </w:rPr>
        <w:t xml:space="preserve"> </w:t>
      </w:r>
    </w:p>
    <w:p w:rsidR="00D1087A" w:rsidRDefault="00D72FF6" w:rsidP="00D1087A">
      <w:pPr>
        <w:pStyle w:val="ListBullet"/>
        <w:numPr>
          <w:ilvl w:val="0"/>
          <w:numId w:val="0"/>
        </w:numPr>
        <w:rPr>
          <w:rFonts w:cs="Arial"/>
        </w:rPr>
      </w:pPr>
      <w:r>
        <w:rPr>
          <w:rFonts w:cs="Arial"/>
        </w:rPr>
        <w:t xml:space="preserve">The ANAO’s 2014 audit </w:t>
      </w:r>
      <w:r w:rsidR="00D1087A" w:rsidRPr="00B07DBF">
        <w:rPr>
          <w:rFonts w:cs="Arial"/>
        </w:rPr>
        <w:t>of the effectiveness of the Department’s regulation of proponents’ compliance with Part 9 of the EPBC Act</w:t>
      </w:r>
      <w:r>
        <w:rPr>
          <w:rFonts w:cs="Arial"/>
        </w:rPr>
        <w:t xml:space="preserve"> recommended t</w:t>
      </w:r>
      <w:r w:rsidR="00D1087A" w:rsidRPr="00B07DBF">
        <w:rPr>
          <w:rFonts w:cs="Arial"/>
        </w:rPr>
        <w:t xml:space="preserve">hat the Department develop and implement an annual </w:t>
      </w:r>
      <w:r w:rsidR="00E3593E">
        <w:rPr>
          <w:rFonts w:cs="Arial"/>
        </w:rPr>
        <w:t>program</w:t>
      </w:r>
      <w:r w:rsidR="00D1087A" w:rsidRPr="00B07DBF">
        <w:rPr>
          <w:rFonts w:cs="Arial"/>
        </w:rPr>
        <w:t xml:space="preserve"> of compliance activities, including the identification and regular review of relevant risk factors for approved controlled actions. In 2015 the ANAO made similar recommendations in relation to wildlife trade compliance.</w:t>
      </w:r>
      <w:r w:rsidR="00D1087A">
        <w:rPr>
          <w:rFonts w:cs="Arial"/>
        </w:rPr>
        <w:t xml:space="preserve">  </w:t>
      </w:r>
    </w:p>
    <w:p w:rsidR="00D1087A" w:rsidRDefault="00D72FF6" w:rsidP="00D1087A">
      <w:pPr>
        <w:pStyle w:val="ListBullet"/>
        <w:numPr>
          <w:ilvl w:val="0"/>
          <w:numId w:val="0"/>
        </w:numPr>
        <w:rPr>
          <w:rFonts w:cs="Arial"/>
        </w:rPr>
      </w:pPr>
      <w:r>
        <w:rPr>
          <w:rFonts w:cs="Arial"/>
        </w:rPr>
        <w:lastRenderedPageBreak/>
        <w:t>EPG</w:t>
      </w:r>
      <w:r w:rsidR="00D1087A">
        <w:rPr>
          <w:rFonts w:cs="Arial"/>
        </w:rPr>
        <w:t xml:space="preserve"> has recently </w:t>
      </w:r>
      <w:r>
        <w:rPr>
          <w:rFonts w:cs="Arial"/>
        </w:rPr>
        <w:t xml:space="preserve">started </w:t>
      </w:r>
      <w:r w:rsidR="00D1087A">
        <w:rPr>
          <w:rFonts w:cs="Arial"/>
        </w:rPr>
        <w:t xml:space="preserve">developing tools to indentify and analyse risks across projects within particular regulatory activities. This began with the </w:t>
      </w:r>
      <w:r w:rsidR="00D1087A" w:rsidRPr="00777669">
        <w:rPr>
          <w:rFonts w:cs="Arial"/>
        </w:rPr>
        <w:t xml:space="preserve">development of the NESTRA tool, </w:t>
      </w:r>
      <w:r w:rsidR="00D1087A">
        <w:rPr>
          <w:rFonts w:cs="Arial"/>
        </w:rPr>
        <w:t>which</w:t>
      </w:r>
      <w:r w:rsidR="00D1087A" w:rsidRPr="00777669">
        <w:rPr>
          <w:rFonts w:cs="Arial"/>
        </w:rPr>
        <w:t xml:space="preserve"> has been useful for </w:t>
      </w:r>
      <w:r w:rsidR="00D1087A">
        <w:rPr>
          <w:rFonts w:cs="Arial"/>
        </w:rPr>
        <w:t xml:space="preserve">systematically </w:t>
      </w:r>
      <w:r w:rsidR="00D1087A" w:rsidRPr="00777669">
        <w:rPr>
          <w:rFonts w:cs="Arial"/>
        </w:rPr>
        <w:t>analysing risk to target monitoring resources across projects approved under the EPBC Act. EPG is</w:t>
      </w:r>
      <w:r w:rsidR="00D1087A">
        <w:rPr>
          <w:rFonts w:cs="Arial"/>
        </w:rPr>
        <w:t xml:space="preserve"> now</w:t>
      </w:r>
      <w:r w:rsidR="00D1087A" w:rsidRPr="00777669">
        <w:rPr>
          <w:rFonts w:cs="Arial"/>
        </w:rPr>
        <w:t xml:space="preserve"> building on this work to develop </w:t>
      </w:r>
      <w:r w:rsidR="00D1087A">
        <w:rPr>
          <w:rFonts w:cs="Arial"/>
        </w:rPr>
        <w:t xml:space="preserve">a </w:t>
      </w:r>
      <w:r w:rsidR="00D1087A" w:rsidRPr="00777669">
        <w:rPr>
          <w:rFonts w:cs="Arial"/>
        </w:rPr>
        <w:t>similar tool</w:t>
      </w:r>
      <w:r w:rsidR="00D1087A">
        <w:rPr>
          <w:rFonts w:cs="Arial"/>
        </w:rPr>
        <w:t xml:space="preserve"> (WiSTRA) to identify and analyse risks and allocate resourcing for international wildlife trade compliance activities. </w:t>
      </w:r>
    </w:p>
    <w:p w:rsidR="00D1087A" w:rsidRDefault="00D1087A" w:rsidP="00913A4E">
      <w:pPr>
        <w:shd w:val="clear" w:color="auto" w:fill="E4F4DF" w:themeFill="accent5" w:themeFillTint="33"/>
        <w:spacing w:before="240"/>
        <w:rPr>
          <w:b/>
          <w:bCs/>
        </w:rPr>
      </w:pPr>
      <w:r>
        <w:rPr>
          <w:b/>
          <w:bCs/>
        </w:rPr>
        <w:t xml:space="preserve">Case Study – the NESTRA Tool </w:t>
      </w:r>
    </w:p>
    <w:p w:rsidR="00913A4E" w:rsidRDefault="00913A4E" w:rsidP="00913A4E">
      <w:pPr>
        <w:shd w:val="clear" w:color="auto" w:fill="E4F4DF" w:themeFill="accent5" w:themeFillTint="33"/>
      </w:pPr>
      <w:r>
        <w:t xml:space="preserve">EPG has recently </w:t>
      </w:r>
      <w:r w:rsidR="00D72FF6">
        <w:t xml:space="preserve">started </w:t>
      </w:r>
      <w:r>
        <w:t xml:space="preserve">to embed risk management tools into its planning and decision-making processes. </w:t>
      </w:r>
      <w:r w:rsidR="00E31FFE">
        <w:t xml:space="preserve">For example, </w:t>
      </w:r>
      <w:r>
        <w:t>ESD</w:t>
      </w:r>
      <w:r w:rsidR="00E31FFE">
        <w:t xml:space="preserve"> recently</w:t>
      </w:r>
      <w:r>
        <w:t xml:space="preserve"> worked with CSIRO to develop the National Environmental Significance Threat and Risk Assessment (NESTRA) tool. </w:t>
      </w:r>
    </w:p>
    <w:p w:rsidR="00913A4E" w:rsidRDefault="00913A4E" w:rsidP="00913A4E">
      <w:pPr>
        <w:shd w:val="clear" w:color="auto" w:fill="E4F4DF" w:themeFill="accent5" w:themeFillTint="33"/>
      </w:pPr>
      <w:r>
        <w:t xml:space="preserve">NESTRA ranks projects approved under the EPBC Act </w:t>
      </w:r>
      <w:r w:rsidR="00E31FFE">
        <w:t xml:space="preserve">based </w:t>
      </w:r>
      <w:r>
        <w:t>on</w:t>
      </w:r>
      <w:r w:rsidR="00E31FFE">
        <w:t xml:space="preserve"> the</w:t>
      </w:r>
      <w:r>
        <w:t xml:space="preserve"> relative risk of environmental impacts and </w:t>
      </w:r>
      <w:r w:rsidR="00E31FFE">
        <w:t xml:space="preserve">the </w:t>
      </w:r>
      <w:r>
        <w:t>likelihood that approval conditions will be breached. Using these rankings</w:t>
      </w:r>
      <w:r w:rsidR="00E31FFE">
        <w:t xml:space="preserve">, the Compliance and Enforcement Branch is able to </w:t>
      </w:r>
      <w:r>
        <w:t xml:space="preserve">focus its compliance monitoring activities on projects which </w:t>
      </w:r>
      <w:r w:rsidR="00E31FFE">
        <w:t xml:space="preserve">pose </w:t>
      </w:r>
      <w:r>
        <w:t>the highest environmental risk</w:t>
      </w:r>
      <w:r w:rsidR="00E31FFE">
        <w:t xml:space="preserve">. </w:t>
      </w:r>
      <w:r w:rsidR="00A40743">
        <w:t xml:space="preserve">Officers use </w:t>
      </w:r>
      <w:r w:rsidR="00E31FFE">
        <w:t>NESTRA</w:t>
      </w:r>
      <w:r w:rsidR="00A40743">
        <w:t xml:space="preserve"> to</w:t>
      </w:r>
      <w:r w:rsidR="00E31FFE">
        <w:t xml:space="preserve"> update the risk ranking as </w:t>
      </w:r>
      <w:r>
        <w:t>project</w:t>
      </w:r>
      <w:r w:rsidR="00922634">
        <w:t>s</w:t>
      </w:r>
      <w:r>
        <w:t xml:space="preserve"> progress</w:t>
      </w:r>
      <w:r w:rsidR="00A40743">
        <w:t>.</w:t>
      </w:r>
    </w:p>
    <w:p w:rsidR="00913A4E" w:rsidRPr="00913A4E" w:rsidRDefault="00922634" w:rsidP="00913A4E">
      <w:pPr>
        <w:shd w:val="clear" w:color="auto" w:fill="E4F4DF" w:themeFill="accent5" w:themeFillTint="33"/>
        <w:rPr>
          <w:color w:val="1F497D"/>
        </w:rPr>
      </w:pPr>
      <w:r>
        <w:t>NESTRA</w:t>
      </w:r>
      <w:r w:rsidR="00913A4E">
        <w:t xml:space="preserve"> is a transparent, rational and repeatable method for prioritising compliance monitoring and justifying these activities to external stakeholders and auditors. ESD is refining </w:t>
      </w:r>
      <w:r>
        <w:t>NESTRA</w:t>
      </w:r>
      <w:r w:rsidR="00913A4E">
        <w:t xml:space="preserve"> over time by using outcomes from previous monitoring programs to refine the questions used to identify risk factors and calibrate the relative weightings of factors.</w:t>
      </w:r>
    </w:p>
    <w:p w:rsidR="00D1087A" w:rsidRDefault="00D1087A" w:rsidP="00D1087A">
      <w:pPr>
        <w:pStyle w:val="ListBullet"/>
        <w:numPr>
          <w:ilvl w:val="0"/>
          <w:numId w:val="0"/>
        </w:numPr>
        <w:rPr>
          <w:rFonts w:cs="Arial"/>
        </w:rPr>
      </w:pPr>
      <w:r>
        <w:rPr>
          <w:rFonts w:cs="Arial"/>
        </w:rPr>
        <w:t>EPG is also exploring options for developing a risk</w:t>
      </w:r>
      <w:r w:rsidR="00922634">
        <w:rPr>
          <w:rFonts w:cs="Arial"/>
        </w:rPr>
        <w:t>-</w:t>
      </w:r>
      <w:r>
        <w:rPr>
          <w:rFonts w:cs="Arial"/>
        </w:rPr>
        <w:t xml:space="preserve">based approach to environmental impact assessments, building on the experience of developing NESTRA. Assessment staff have raised concerns that risk based approaches </w:t>
      </w:r>
      <w:r w:rsidR="00922634">
        <w:rPr>
          <w:rFonts w:cs="Arial"/>
        </w:rPr>
        <w:t xml:space="preserve">to </w:t>
      </w:r>
      <w:r>
        <w:rPr>
          <w:rFonts w:cs="Arial"/>
        </w:rPr>
        <w:t xml:space="preserve">assessments have </w:t>
      </w:r>
      <w:r w:rsidR="00922634">
        <w:rPr>
          <w:rFonts w:cs="Arial"/>
        </w:rPr>
        <w:t>historically</w:t>
      </w:r>
      <w:r>
        <w:rPr>
          <w:rFonts w:cs="Arial"/>
        </w:rPr>
        <w:t xml:space="preserve"> focus</w:t>
      </w:r>
      <w:r w:rsidR="00922634">
        <w:rPr>
          <w:rFonts w:cs="Arial"/>
        </w:rPr>
        <w:t>ed</w:t>
      </w:r>
      <w:r>
        <w:rPr>
          <w:rFonts w:cs="Arial"/>
        </w:rPr>
        <w:t xml:space="preserve"> on identifying high risk projects, with less time spent working through the appropriate processes to be used for projects at each risk rating.</w:t>
      </w:r>
    </w:p>
    <w:p w:rsidR="00922634" w:rsidRDefault="00D1087A" w:rsidP="00D1087A">
      <w:pPr>
        <w:pStyle w:val="ListBullet"/>
        <w:numPr>
          <w:ilvl w:val="0"/>
          <w:numId w:val="0"/>
        </w:numPr>
        <w:rPr>
          <w:rFonts w:cs="Arial"/>
        </w:rPr>
      </w:pPr>
      <w:r>
        <w:rPr>
          <w:rFonts w:cs="Arial"/>
        </w:rPr>
        <w:t>Other areas in EPG have also developed scheme specific risk-based approaches. For example</w:t>
      </w:r>
      <w:r w:rsidR="00922634">
        <w:rPr>
          <w:rFonts w:cs="Arial"/>
        </w:rPr>
        <w:t>,</w:t>
      </w:r>
      <w:r>
        <w:rPr>
          <w:rFonts w:cs="Arial"/>
        </w:rPr>
        <w:t xml:space="preserve"> t</w:t>
      </w:r>
      <w:r w:rsidRPr="00777669">
        <w:rPr>
          <w:rFonts w:cs="Arial"/>
        </w:rPr>
        <w:t xml:space="preserve">he Fisheries Assessment </w:t>
      </w:r>
      <w:r w:rsidR="00922634">
        <w:rPr>
          <w:rFonts w:cs="Arial"/>
        </w:rPr>
        <w:t>S</w:t>
      </w:r>
      <w:r w:rsidRPr="00777669">
        <w:rPr>
          <w:rFonts w:cs="Arial"/>
        </w:rPr>
        <w:t xml:space="preserve">ection </w:t>
      </w:r>
      <w:r>
        <w:rPr>
          <w:rFonts w:cs="Arial"/>
        </w:rPr>
        <w:t>has identified low</w:t>
      </w:r>
      <w:r w:rsidR="00922634">
        <w:rPr>
          <w:rFonts w:cs="Arial"/>
        </w:rPr>
        <w:t>-</w:t>
      </w:r>
      <w:r>
        <w:rPr>
          <w:rFonts w:cs="Arial"/>
        </w:rPr>
        <w:t xml:space="preserve">risk fisheries with good management histories. These low risk fisheries are eligible for longer approvals, reducing the </w:t>
      </w:r>
      <w:r w:rsidR="00922634">
        <w:rPr>
          <w:rFonts w:cs="Arial"/>
        </w:rPr>
        <w:t>workload for the Department</w:t>
      </w:r>
      <w:r>
        <w:rPr>
          <w:rFonts w:cs="Arial"/>
        </w:rPr>
        <w:t xml:space="preserve"> and creating an incentive for other fisheries to improve their management.</w:t>
      </w:r>
    </w:p>
    <w:p w:rsidR="00D1087A" w:rsidRDefault="00D1087A" w:rsidP="00D1087A">
      <w:pPr>
        <w:pStyle w:val="ListBullet"/>
        <w:numPr>
          <w:ilvl w:val="0"/>
          <w:numId w:val="0"/>
        </w:numPr>
        <w:rPr>
          <w:rFonts w:cs="Arial"/>
        </w:rPr>
      </w:pPr>
      <w:r>
        <w:rPr>
          <w:rFonts w:cs="Arial"/>
        </w:rPr>
        <w:t xml:space="preserve">There </w:t>
      </w:r>
      <w:r w:rsidR="00922634">
        <w:rPr>
          <w:rFonts w:cs="Arial"/>
        </w:rPr>
        <w:t xml:space="preserve">are </w:t>
      </w:r>
      <w:r>
        <w:rPr>
          <w:rFonts w:cs="Arial"/>
        </w:rPr>
        <w:t>a</w:t>
      </w:r>
      <w:r w:rsidRPr="00777669">
        <w:rPr>
          <w:rFonts w:cs="Arial"/>
        </w:rPr>
        <w:t xml:space="preserve"> number of other areas across EPG </w:t>
      </w:r>
      <w:r w:rsidR="00922634">
        <w:rPr>
          <w:rFonts w:cs="Arial"/>
        </w:rPr>
        <w:t xml:space="preserve">which do not </w:t>
      </w:r>
      <w:r w:rsidRPr="00777669">
        <w:rPr>
          <w:rFonts w:cs="Arial"/>
        </w:rPr>
        <w:t xml:space="preserve">appear to </w:t>
      </w:r>
      <w:r w:rsidR="00922634">
        <w:rPr>
          <w:rFonts w:cs="Arial"/>
        </w:rPr>
        <w:t xml:space="preserve">have </w:t>
      </w:r>
      <w:r w:rsidRPr="00777669">
        <w:rPr>
          <w:rFonts w:cs="Arial"/>
        </w:rPr>
        <w:t xml:space="preserve">systematic tools for analysing risk. </w:t>
      </w:r>
      <w:r>
        <w:rPr>
          <w:rFonts w:cs="Arial"/>
        </w:rPr>
        <w:t>EPG and the Department are also lacking tools and processes to assess risk between regulatory functions (or between non-regulatory and regulatory functions). This makes it difficult for EPG</w:t>
      </w:r>
      <w:r w:rsidR="00922634">
        <w:rPr>
          <w:rFonts w:cs="Arial"/>
        </w:rPr>
        <w:t xml:space="preserve"> and the Department</w:t>
      </w:r>
      <w:r>
        <w:rPr>
          <w:rFonts w:cs="Arial"/>
        </w:rPr>
        <w:t xml:space="preserve"> to have confidence that their resources are allocated appropriately according to risk. </w:t>
      </w:r>
    </w:p>
    <w:p w:rsidR="00D1087A" w:rsidRDefault="00D1087A" w:rsidP="00D1087A">
      <w:pPr>
        <w:pStyle w:val="ListBullet"/>
        <w:numPr>
          <w:ilvl w:val="0"/>
          <w:numId w:val="0"/>
        </w:numPr>
        <w:rPr>
          <w:rFonts w:cs="Arial"/>
        </w:rPr>
      </w:pPr>
      <w:r>
        <w:rPr>
          <w:rFonts w:cs="Arial"/>
        </w:rPr>
        <w:t>In developing new tools for assessing and analysing risk</w:t>
      </w:r>
      <w:r w:rsidR="0020280C">
        <w:rPr>
          <w:rFonts w:cs="Arial"/>
        </w:rPr>
        <w:t>,</w:t>
      </w:r>
      <w:r>
        <w:rPr>
          <w:rFonts w:cs="Arial"/>
        </w:rPr>
        <w:t xml:space="preserve"> as well as processes for assessing projects at each risk rating, EPG should ensure that the tools appropriately consider both environmental risk from regulated activities, and the reputational risk to the Department </w:t>
      </w:r>
      <w:r w:rsidR="0020280C">
        <w:rPr>
          <w:rFonts w:cs="Arial"/>
        </w:rPr>
        <w:t xml:space="preserve">that may result </w:t>
      </w:r>
      <w:r>
        <w:rPr>
          <w:rFonts w:cs="Arial"/>
        </w:rPr>
        <w:t>if</w:t>
      </w:r>
      <w:r w:rsidR="0020280C">
        <w:rPr>
          <w:rFonts w:cs="Arial"/>
        </w:rPr>
        <w:t xml:space="preserve"> the</w:t>
      </w:r>
      <w:r>
        <w:rPr>
          <w:rFonts w:cs="Arial"/>
        </w:rPr>
        <w:t xml:space="preserve"> regulation is administered ineffectively or inappropriately. </w:t>
      </w:r>
      <w:r w:rsidR="0020280C">
        <w:rPr>
          <w:rFonts w:cs="Arial"/>
        </w:rPr>
        <w:t xml:space="preserve">The </w:t>
      </w:r>
      <w:r>
        <w:rPr>
          <w:rFonts w:cs="Arial"/>
        </w:rPr>
        <w:t>General Counsel Branch should be consulted to ensure that these risks are addressed consistently with legal requirements.</w:t>
      </w:r>
    </w:p>
    <w:p w:rsidR="00A40743" w:rsidRDefault="00A40743" w:rsidP="00D1087A">
      <w:pPr>
        <w:pStyle w:val="ListBullet"/>
        <w:numPr>
          <w:ilvl w:val="0"/>
          <w:numId w:val="0"/>
        </w:numPr>
        <w:rPr>
          <w:rFonts w:cs="Arial"/>
        </w:rPr>
      </w:pPr>
    </w:p>
    <w:p w:rsidR="00A40743" w:rsidRDefault="00A40743" w:rsidP="00D1087A">
      <w:pPr>
        <w:pStyle w:val="ListBullet"/>
        <w:numPr>
          <w:ilvl w:val="0"/>
          <w:numId w:val="0"/>
        </w:numPr>
        <w:rPr>
          <w:rFonts w:cs="Arial"/>
        </w:rPr>
      </w:pPr>
    </w:p>
    <w:p w:rsidR="00A40743" w:rsidRDefault="00A40743" w:rsidP="00D1087A">
      <w:pPr>
        <w:pStyle w:val="ListBullet"/>
        <w:numPr>
          <w:ilvl w:val="0"/>
          <w:numId w:val="0"/>
        </w:numPr>
        <w:rPr>
          <w:rFonts w:cs="Arial"/>
        </w:rPr>
      </w:pPr>
    </w:p>
    <w:p w:rsidR="00A40743" w:rsidRDefault="00A40743" w:rsidP="00D1087A">
      <w:pPr>
        <w:pStyle w:val="ListBullet"/>
        <w:numPr>
          <w:ilvl w:val="0"/>
          <w:numId w:val="0"/>
        </w:numPr>
        <w:rPr>
          <w:rFonts w:cs="Arial"/>
        </w:rPr>
      </w:pPr>
    </w:p>
    <w:p w:rsidR="00CD6C7A" w:rsidRDefault="00D1087A">
      <w:pPr>
        <w:pStyle w:val="ListBullet"/>
        <w:numPr>
          <w:ilvl w:val="0"/>
          <w:numId w:val="0"/>
        </w:numPr>
        <w:rPr>
          <w:rFonts w:cs="Arial"/>
          <w:b/>
          <w:i/>
        </w:rPr>
      </w:pPr>
      <w:r w:rsidRPr="0039449C">
        <w:rPr>
          <w:rFonts w:cs="Arial"/>
          <w:b/>
        </w:rPr>
        <w:t xml:space="preserve">Recommendation </w:t>
      </w:r>
      <w:r w:rsidR="00E7528D">
        <w:rPr>
          <w:rFonts w:cs="Arial"/>
          <w:b/>
        </w:rPr>
        <w:t>5</w:t>
      </w:r>
      <w:r w:rsidRPr="0039449C">
        <w:rPr>
          <w:rFonts w:cs="Arial"/>
          <w:b/>
        </w:rPr>
        <w:t>.2 (Risk Assessment</w:t>
      </w:r>
      <w:r>
        <w:rPr>
          <w:rFonts w:cs="Arial"/>
          <w:b/>
        </w:rPr>
        <w:t xml:space="preserve"> and Resource Allocation</w:t>
      </w:r>
      <w:r w:rsidR="005A4278" w:rsidRPr="005A4278">
        <w:rPr>
          <w:rFonts w:cs="Arial"/>
          <w:b/>
        </w:rPr>
        <w:t xml:space="preserve">): </w:t>
      </w:r>
      <w:r w:rsidRPr="0039449C">
        <w:rPr>
          <w:rFonts w:cs="Arial"/>
          <w:b/>
          <w:i/>
        </w:rPr>
        <w:t xml:space="preserve"> </w:t>
      </w:r>
    </w:p>
    <w:p w:rsidR="00D1087A" w:rsidRPr="0026153E" w:rsidRDefault="00D1087A" w:rsidP="00746311">
      <w:pPr>
        <w:pStyle w:val="ListBullet"/>
        <w:numPr>
          <w:ilvl w:val="0"/>
          <w:numId w:val="0"/>
        </w:numPr>
        <w:shd w:val="clear" w:color="auto" w:fill="C7E2FA" w:themeFill="accent1" w:themeFillTint="33"/>
        <w:rPr>
          <w:rFonts w:cs="Arial"/>
          <w:i/>
        </w:rPr>
      </w:pPr>
      <w:r w:rsidRPr="0026153E">
        <w:rPr>
          <w:rFonts w:cs="Arial"/>
          <w:i/>
        </w:rPr>
        <w:t xml:space="preserve">Importance: </w:t>
      </w:r>
      <w:r w:rsidR="00627742">
        <w:rPr>
          <w:rFonts w:cs="Arial"/>
        </w:rPr>
        <w:t>2</w:t>
      </w:r>
    </w:p>
    <w:p w:rsidR="00D1087A" w:rsidRDefault="00D1087A" w:rsidP="00746311">
      <w:pPr>
        <w:pStyle w:val="ListBullet"/>
        <w:numPr>
          <w:ilvl w:val="0"/>
          <w:numId w:val="0"/>
        </w:numPr>
        <w:shd w:val="clear" w:color="auto" w:fill="C7E2FA" w:themeFill="accent1" w:themeFillTint="33"/>
        <w:rPr>
          <w:rFonts w:cs="Arial"/>
        </w:rPr>
      </w:pPr>
      <w:r w:rsidRPr="0026153E">
        <w:rPr>
          <w:rFonts w:cs="Arial"/>
          <w:i/>
        </w:rPr>
        <w:t>Timing</w:t>
      </w:r>
      <w:r>
        <w:rPr>
          <w:rFonts w:cs="Arial"/>
        </w:rPr>
        <w:t xml:space="preserve"> : </w:t>
      </w:r>
      <w:r w:rsidR="00627742">
        <w:rPr>
          <w:rFonts w:cs="Arial"/>
        </w:rPr>
        <w:t xml:space="preserve">3 </w:t>
      </w:r>
      <w:r>
        <w:rPr>
          <w:rFonts w:cs="Arial"/>
        </w:rPr>
        <w:t>and ongoing</w:t>
      </w:r>
    </w:p>
    <w:p w:rsidR="00D1087A" w:rsidRPr="0039449C" w:rsidRDefault="00D1087A" w:rsidP="00746311">
      <w:pPr>
        <w:pStyle w:val="ListBullet"/>
        <w:numPr>
          <w:ilvl w:val="0"/>
          <w:numId w:val="0"/>
        </w:numPr>
        <w:shd w:val="clear" w:color="auto" w:fill="C7E2FA" w:themeFill="accent1" w:themeFillTint="33"/>
        <w:rPr>
          <w:rFonts w:cs="Arial"/>
        </w:rPr>
      </w:pPr>
      <w:r w:rsidRPr="0039449C">
        <w:rPr>
          <w:rFonts w:cs="Arial"/>
        </w:rPr>
        <w:t xml:space="preserve">The revised framework </w:t>
      </w:r>
      <w:r>
        <w:rPr>
          <w:rFonts w:cs="Arial"/>
        </w:rPr>
        <w:t>from</w:t>
      </w:r>
      <w:r w:rsidR="00EA09ED">
        <w:rPr>
          <w:rFonts w:cs="Arial"/>
        </w:rPr>
        <w:t xml:space="preserve"> </w:t>
      </w:r>
      <w:r w:rsidR="00EA09ED">
        <w:rPr>
          <w:rFonts w:cs="Arial"/>
          <w:i/>
        </w:rPr>
        <w:t>Recommendation 5.1 (Risk management framework)</w:t>
      </w:r>
      <w:r w:rsidR="00EA09ED">
        <w:rPr>
          <w:rFonts w:cs="Arial"/>
        </w:rPr>
        <w:t xml:space="preserve"> </w:t>
      </w:r>
      <w:r w:rsidRPr="0039449C">
        <w:rPr>
          <w:rFonts w:cs="Arial"/>
        </w:rPr>
        <w:t xml:space="preserve">should support consideration of risk across </w:t>
      </w:r>
      <w:r w:rsidR="0020280C">
        <w:rPr>
          <w:rFonts w:cs="Arial"/>
        </w:rPr>
        <w:t xml:space="preserve">EPG and </w:t>
      </w:r>
      <w:r w:rsidRPr="0039449C">
        <w:rPr>
          <w:rFonts w:cs="Arial"/>
        </w:rPr>
        <w:t xml:space="preserve">the Department, as well as managing the risks of individual projects. </w:t>
      </w:r>
    </w:p>
    <w:p w:rsidR="00D1087A" w:rsidRDefault="00D1087A" w:rsidP="00746311">
      <w:pPr>
        <w:pStyle w:val="ListBullet"/>
        <w:numPr>
          <w:ilvl w:val="0"/>
          <w:numId w:val="0"/>
        </w:numPr>
        <w:shd w:val="clear" w:color="auto" w:fill="C7E2FA" w:themeFill="accent1" w:themeFillTint="33"/>
        <w:rPr>
          <w:rFonts w:cs="Arial"/>
        </w:rPr>
      </w:pPr>
      <w:r w:rsidRPr="0039449C">
        <w:rPr>
          <w:rFonts w:cs="Arial"/>
        </w:rPr>
        <w:t xml:space="preserve">EPG should work with the Chief Risk Officer to continue to develop tools for systematically analysing risk </w:t>
      </w:r>
      <w:r w:rsidR="0020280C">
        <w:rPr>
          <w:rFonts w:cs="Arial"/>
        </w:rPr>
        <w:t>between and across</w:t>
      </w:r>
      <w:r w:rsidRPr="0039449C">
        <w:rPr>
          <w:rFonts w:cs="Arial"/>
        </w:rPr>
        <w:t xml:space="preserve"> all of its regulatory activities.</w:t>
      </w:r>
    </w:p>
    <w:p w:rsidR="00D1087A" w:rsidRPr="002F2131" w:rsidRDefault="00D1087A" w:rsidP="00746311">
      <w:pPr>
        <w:pStyle w:val="ListBullet"/>
        <w:numPr>
          <w:ilvl w:val="0"/>
          <w:numId w:val="0"/>
        </w:numPr>
        <w:shd w:val="clear" w:color="auto" w:fill="C7E2FA" w:themeFill="accent1" w:themeFillTint="33"/>
        <w:rPr>
          <w:rFonts w:cs="Arial"/>
        </w:rPr>
      </w:pPr>
      <w:r>
        <w:rPr>
          <w:rFonts w:cs="Arial"/>
        </w:rPr>
        <w:t>EPG should investigate opportunities to develop risk</w:t>
      </w:r>
      <w:r w:rsidR="0020280C">
        <w:rPr>
          <w:rFonts w:cs="Arial"/>
        </w:rPr>
        <w:t>-</w:t>
      </w:r>
      <w:r>
        <w:rPr>
          <w:rFonts w:cs="Arial"/>
        </w:rPr>
        <w:t xml:space="preserve">based approaches to assessing and licensing activities for each regulatory function. This </w:t>
      </w:r>
      <w:r w:rsidR="00936F27">
        <w:rPr>
          <w:rFonts w:cs="Arial"/>
        </w:rPr>
        <w:t xml:space="preserve">should </w:t>
      </w:r>
      <w:r>
        <w:rPr>
          <w:rFonts w:cs="Arial"/>
        </w:rPr>
        <w:t xml:space="preserve">include developing clear </w:t>
      </w:r>
      <w:r w:rsidRPr="002F2131">
        <w:rPr>
          <w:rFonts w:cs="Arial"/>
        </w:rPr>
        <w:t>guidelines about the process for managing projects with each risk rating.</w:t>
      </w:r>
      <w:r w:rsidRPr="001659DE">
        <w:rPr>
          <w:rFonts w:cs="Arial"/>
        </w:rPr>
        <w:t xml:space="preserve"> </w:t>
      </w:r>
      <w:r w:rsidRPr="002F2131">
        <w:rPr>
          <w:rFonts w:cs="Arial"/>
        </w:rPr>
        <w:t xml:space="preserve">The </w:t>
      </w:r>
      <w:r>
        <w:rPr>
          <w:rFonts w:cs="Arial"/>
        </w:rPr>
        <w:t xml:space="preserve">relevant </w:t>
      </w:r>
      <w:r w:rsidRPr="002F2131">
        <w:rPr>
          <w:rFonts w:cs="Arial"/>
        </w:rPr>
        <w:t>assessment areas, the Compliance and Enforcement Branch</w:t>
      </w:r>
      <w:r w:rsidR="006659D3">
        <w:rPr>
          <w:rFonts w:cs="Arial"/>
        </w:rPr>
        <w:t>,</w:t>
      </w:r>
      <w:r w:rsidRPr="002F2131">
        <w:rPr>
          <w:rFonts w:cs="Arial"/>
        </w:rPr>
        <w:t xml:space="preserve"> and the General Counsel Branch should develop these guidelines </w:t>
      </w:r>
      <w:r>
        <w:rPr>
          <w:rFonts w:cs="Arial"/>
        </w:rPr>
        <w:t>collaboratively</w:t>
      </w:r>
      <w:r w:rsidRPr="002F2131">
        <w:rPr>
          <w:rFonts w:cs="Arial"/>
        </w:rPr>
        <w:t xml:space="preserve">, to ensure they are robust. </w:t>
      </w:r>
    </w:p>
    <w:p w:rsidR="00D1087A" w:rsidRPr="002F2131" w:rsidRDefault="00D1087A" w:rsidP="00746311">
      <w:pPr>
        <w:pStyle w:val="ListBullet"/>
        <w:numPr>
          <w:ilvl w:val="0"/>
          <w:numId w:val="0"/>
        </w:numPr>
        <w:shd w:val="clear" w:color="auto" w:fill="C7E2FA" w:themeFill="accent1" w:themeFillTint="33"/>
        <w:rPr>
          <w:rFonts w:cs="Arial"/>
        </w:rPr>
      </w:pPr>
      <w:r w:rsidRPr="002F2131">
        <w:rPr>
          <w:rFonts w:cs="Arial"/>
        </w:rPr>
        <w:t xml:space="preserve">The Chief Risk Officer should assist EPG </w:t>
      </w:r>
      <w:r>
        <w:rPr>
          <w:rFonts w:cs="Arial"/>
        </w:rPr>
        <w:t xml:space="preserve">and the Department </w:t>
      </w:r>
      <w:r w:rsidRPr="002F2131">
        <w:rPr>
          <w:rFonts w:cs="Arial"/>
        </w:rPr>
        <w:t xml:space="preserve">to identify risk priorities and facilitate the allocation of resources proportionately. This includes allocation of resources across the Department, as well as within and between </w:t>
      </w:r>
      <w:r w:rsidR="006659D3">
        <w:rPr>
          <w:rFonts w:cs="Arial"/>
        </w:rPr>
        <w:t>Di</w:t>
      </w:r>
      <w:r w:rsidRPr="002F2131">
        <w:rPr>
          <w:rFonts w:cs="Arial"/>
        </w:rPr>
        <w:t xml:space="preserve">visions, </w:t>
      </w:r>
      <w:r w:rsidR="006659D3">
        <w:rPr>
          <w:rFonts w:cs="Arial"/>
        </w:rPr>
        <w:t>B</w:t>
      </w:r>
      <w:r w:rsidRPr="002F2131">
        <w:rPr>
          <w:rFonts w:cs="Arial"/>
        </w:rPr>
        <w:t xml:space="preserve">ranches and </w:t>
      </w:r>
      <w:r w:rsidR="006659D3">
        <w:rPr>
          <w:rFonts w:cs="Arial"/>
        </w:rPr>
        <w:t>S</w:t>
      </w:r>
      <w:r w:rsidRPr="002F2131">
        <w:rPr>
          <w:rFonts w:cs="Arial"/>
        </w:rPr>
        <w:t>ections.</w:t>
      </w:r>
    </w:p>
    <w:p w:rsidR="00D1087A" w:rsidRPr="00746311" w:rsidRDefault="00D1087A" w:rsidP="00746311">
      <w:pPr>
        <w:pStyle w:val="Heading1"/>
        <w:spacing w:after="120"/>
        <w:rPr>
          <w:caps w:val="0"/>
          <w:color w:val="0B5294" w:themeColor="accent1" w:themeShade="BF"/>
          <w:sz w:val="24"/>
          <w:szCs w:val="24"/>
        </w:rPr>
      </w:pPr>
      <w:bookmarkStart w:id="67" w:name="_Toc443405194"/>
      <w:r w:rsidRPr="00746311">
        <w:rPr>
          <w:caps w:val="0"/>
          <w:color w:val="0B5294" w:themeColor="accent1" w:themeShade="BF"/>
          <w:sz w:val="24"/>
          <w:szCs w:val="24"/>
        </w:rPr>
        <w:t>Resource Levels</w:t>
      </w:r>
      <w:bookmarkEnd w:id="67"/>
      <w:r w:rsidRPr="00746311">
        <w:rPr>
          <w:caps w:val="0"/>
          <w:color w:val="0B5294" w:themeColor="accent1" w:themeShade="BF"/>
          <w:sz w:val="24"/>
          <w:szCs w:val="24"/>
        </w:rPr>
        <w:t xml:space="preserve"> </w:t>
      </w:r>
    </w:p>
    <w:p w:rsidR="00D1087A" w:rsidRDefault="00D1087A" w:rsidP="00D1087A">
      <w:pPr>
        <w:pStyle w:val="ListBullet"/>
        <w:numPr>
          <w:ilvl w:val="0"/>
          <w:numId w:val="0"/>
        </w:numPr>
        <w:rPr>
          <w:rFonts w:cs="Arial"/>
        </w:rPr>
      </w:pPr>
      <w:r>
        <w:rPr>
          <w:rFonts w:cs="Arial"/>
        </w:rPr>
        <w:t xml:space="preserve">No environmental </w:t>
      </w:r>
      <w:r w:rsidR="006659D3">
        <w:rPr>
          <w:rFonts w:cs="Arial"/>
        </w:rPr>
        <w:t>regulator</w:t>
      </w:r>
      <w:r>
        <w:rPr>
          <w:rFonts w:cs="Arial"/>
        </w:rPr>
        <w:t xml:space="preserve"> would claim to be adequately funded to meet the expectations of all stakeholders. </w:t>
      </w:r>
      <w:r w:rsidRPr="00AC081E">
        <w:rPr>
          <w:rFonts w:cs="Arial"/>
        </w:rPr>
        <w:t xml:space="preserve">The </w:t>
      </w:r>
      <w:r>
        <w:rPr>
          <w:rFonts w:cs="Arial"/>
        </w:rPr>
        <w:t>Project, however,</w:t>
      </w:r>
      <w:r w:rsidRPr="00AC081E">
        <w:rPr>
          <w:rFonts w:cs="Arial"/>
        </w:rPr>
        <w:t xml:space="preserve"> </w:t>
      </w:r>
      <w:r>
        <w:rPr>
          <w:rFonts w:cs="Arial"/>
        </w:rPr>
        <w:t>has</w:t>
      </w:r>
      <w:r w:rsidRPr="00AC081E">
        <w:rPr>
          <w:rFonts w:cs="Arial"/>
        </w:rPr>
        <w:t xml:space="preserve"> significant concerns regarding the capability of the </w:t>
      </w:r>
      <w:r w:rsidR="006659D3">
        <w:rPr>
          <w:rFonts w:cs="Arial"/>
        </w:rPr>
        <w:t>EPG</w:t>
      </w:r>
      <w:r w:rsidR="006659D3" w:rsidRPr="00AC081E">
        <w:rPr>
          <w:rFonts w:cs="Arial"/>
        </w:rPr>
        <w:t xml:space="preserve"> </w:t>
      </w:r>
      <w:r w:rsidRPr="00AC081E">
        <w:rPr>
          <w:rFonts w:cs="Arial"/>
        </w:rPr>
        <w:t xml:space="preserve">to perform its regulatory functions with the current level of resourcing. Any further reduction in resources </w:t>
      </w:r>
      <w:r>
        <w:rPr>
          <w:rFonts w:cs="Arial"/>
        </w:rPr>
        <w:t>will</w:t>
      </w:r>
      <w:r w:rsidRPr="00AC081E">
        <w:rPr>
          <w:rFonts w:cs="Arial"/>
        </w:rPr>
        <w:t xml:space="preserve"> result in an increased risk in delivery of </w:t>
      </w:r>
      <w:r w:rsidR="006659D3">
        <w:rPr>
          <w:rFonts w:cs="Arial"/>
        </w:rPr>
        <w:t>EPG’s regulatory</w:t>
      </w:r>
      <w:r w:rsidR="006659D3" w:rsidRPr="00AC081E">
        <w:rPr>
          <w:rFonts w:cs="Arial"/>
        </w:rPr>
        <w:t xml:space="preserve"> </w:t>
      </w:r>
      <w:r w:rsidRPr="00AC081E">
        <w:rPr>
          <w:rFonts w:cs="Arial"/>
        </w:rPr>
        <w:t>functions.</w:t>
      </w:r>
    </w:p>
    <w:p w:rsidR="00D1087A" w:rsidRDefault="00D1087A" w:rsidP="00D1087A">
      <w:pPr>
        <w:pStyle w:val="ListBullet"/>
        <w:numPr>
          <w:ilvl w:val="0"/>
          <w:numId w:val="0"/>
        </w:numPr>
        <w:rPr>
          <w:rFonts w:cs="Arial"/>
        </w:rPr>
      </w:pPr>
      <w:r>
        <w:rPr>
          <w:rFonts w:cs="Arial"/>
        </w:rPr>
        <w:t>As with any regulatory agency, staff resources need to be allocated to:</w:t>
      </w:r>
    </w:p>
    <w:p w:rsidR="00D1087A" w:rsidRDefault="00D1087A" w:rsidP="00E7528D">
      <w:pPr>
        <w:pStyle w:val="ListBullet"/>
        <w:spacing w:after="0" w:line="240" w:lineRule="auto"/>
        <w:rPr>
          <w:rFonts w:cs="Arial"/>
        </w:rPr>
      </w:pPr>
      <w:r>
        <w:rPr>
          <w:rFonts w:cs="Arial"/>
        </w:rPr>
        <w:t>business as usual work;</w:t>
      </w:r>
    </w:p>
    <w:p w:rsidR="00D1087A" w:rsidRDefault="00D1087A" w:rsidP="00E7528D">
      <w:pPr>
        <w:pStyle w:val="ListBullet"/>
        <w:spacing w:after="0" w:line="240" w:lineRule="auto"/>
        <w:rPr>
          <w:rFonts w:cs="Arial"/>
        </w:rPr>
      </w:pPr>
      <w:r>
        <w:rPr>
          <w:rFonts w:cs="Arial"/>
        </w:rPr>
        <w:t xml:space="preserve">managing new initiatives (often externally driven); and </w:t>
      </w:r>
    </w:p>
    <w:p w:rsidR="00D1087A" w:rsidRDefault="00D1087A" w:rsidP="00E7528D">
      <w:pPr>
        <w:pStyle w:val="ListBullet"/>
        <w:spacing w:after="0" w:line="240" w:lineRule="auto"/>
        <w:rPr>
          <w:rFonts w:cs="Arial"/>
        </w:rPr>
      </w:pPr>
      <w:r>
        <w:rPr>
          <w:rFonts w:cs="Arial"/>
        </w:rPr>
        <w:t xml:space="preserve">innovating and making continuous improvements (usually internally driven).  </w:t>
      </w:r>
    </w:p>
    <w:p w:rsidR="00E7528D" w:rsidRDefault="00E7528D" w:rsidP="00E7528D">
      <w:pPr>
        <w:pStyle w:val="ListBullet"/>
        <w:numPr>
          <w:ilvl w:val="0"/>
          <w:numId w:val="0"/>
        </w:numPr>
        <w:spacing w:after="0" w:line="240" w:lineRule="auto"/>
        <w:ind w:left="369"/>
        <w:rPr>
          <w:rFonts w:cs="Arial"/>
        </w:rPr>
      </w:pPr>
    </w:p>
    <w:p w:rsidR="00D1087A" w:rsidRDefault="00D1087A" w:rsidP="00D1087A">
      <w:pPr>
        <w:pStyle w:val="ListBullet"/>
        <w:numPr>
          <w:ilvl w:val="0"/>
          <w:numId w:val="0"/>
        </w:numPr>
        <w:rPr>
          <w:rFonts w:cs="Arial"/>
        </w:rPr>
      </w:pPr>
      <w:r>
        <w:rPr>
          <w:rFonts w:cs="Arial"/>
        </w:rPr>
        <w:t>When resources are limited, resourcing for innovation and continuous improvement are often the first to be reduced, as there are statutory requirements for the business as usual work and greater pressure for new init</w:t>
      </w:r>
      <w:r w:rsidR="00B02B86">
        <w:rPr>
          <w:rFonts w:cs="Arial"/>
        </w:rPr>
        <w:t xml:space="preserve">iatives. This is evident in </w:t>
      </w:r>
      <w:r>
        <w:rPr>
          <w:rFonts w:cs="Arial"/>
        </w:rPr>
        <w:t>EPG.</w:t>
      </w:r>
      <w:r w:rsidRPr="00615F59">
        <w:rPr>
          <w:rFonts w:cs="Arial"/>
        </w:rPr>
        <w:t xml:space="preserve"> </w:t>
      </w:r>
    </w:p>
    <w:p w:rsidR="00D1087A" w:rsidRDefault="00D1087A" w:rsidP="00D1087A">
      <w:pPr>
        <w:pStyle w:val="ListBullet"/>
        <w:numPr>
          <w:ilvl w:val="0"/>
          <w:numId w:val="0"/>
        </w:numPr>
        <w:rPr>
          <w:rFonts w:cs="Arial"/>
        </w:rPr>
      </w:pPr>
      <w:r>
        <w:rPr>
          <w:rFonts w:cs="Arial"/>
        </w:rPr>
        <w:t xml:space="preserve">Budget reductions based on the One-Stop-Shop policy have resulted in significant staff reductions and a high reliance on contracted staff, without a corresponding reduction in workload (as enabling legislative amendments have not yet passed </w:t>
      </w:r>
      <w:r w:rsidR="006659D3">
        <w:rPr>
          <w:rFonts w:cs="Arial"/>
        </w:rPr>
        <w:t>P</w:t>
      </w:r>
      <w:r>
        <w:rPr>
          <w:rFonts w:cs="Arial"/>
        </w:rPr>
        <w:t xml:space="preserve">arliament). </w:t>
      </w:r>
      <w:r w:rsidR="006659D3">
        <w:rPr>
          <w:rFonts w:cs="Arial"/>
        </w:rPr>
        <w:t>During consultation, t</w:t>
      </w:r>
      <w:r>
        <w:rPr>
          <w:rFonts w:cs="Arial"/>
        </w:rPr>
        <w:t xml:space="preserve">he Minerals Council of Australia noted that while </w:t>
      </w:r>
      <w:r w:rsidR="006659D3">
        <w:rPr>
          <w:rFonts w:cs="Arial"/>
        </w:rPr>
        <w:t xml:space="preserve">EPG </w:t>
      </w:r>
      <w:r>
        <w:rPr>
          <w:rFonts w:cs="Arial"/>
        </w:rPr>
        <w:t>officers are committed and strive to be helpful, companies are noticing that EPBC assessment staff are under</w:t>
      </w:r>
      <w:r w:rsidR="00A40743">
        <w:rPr>
          <w:rFonts w:cs="Arial"/>
        </w:rPr>
        <w:t>-</w:t>
      </w:r>
      <w:r>
        <w:rPr>
          <w:rFonts w:cs="Arial"/>
        </w:rPr>
        <w:t>resourced and that the rate of staff reductions and movement is impacting on service to proponents.</w:t>
      </w:r>
    </w:p>
    <w:p w:rsidR="00EB0AC0" w:rsidRDefault="006659D3" w:rsidP="00D1087A">
      <w:pPr>
        <w:pStyle w:val="ListBullet"/>
        <w:numPr>
          <w:ilvl w:val="0"/>
          <w:numId w:val="0"/>
        </w:numPr>
        <w:rPr>
          <w:rFonts w:cs="Arial"/>
        </w:rPr>
      </w:pPr>
      <w:r>
        <w:rPr>
          <w:rFonts w:cs="Arial"/>
        </w:rPr>
        <w:t xml:space="preserve">The </w:t>
      </w:r>
      <w:r w:rsidR="00EB0AC0">
        <w:rPr>
          <w:rFonts w:cs="Arial"/>
        </w:rPr>
        <w:t>General Counsel</w:t>
      </w:r>
      <w:r>
        <w:rPr>
          <w:rFonts w:cs="Arial"/>
        </w:rPr>
        <w:t xml:space="preserve"> Branch</w:t>
      </w:r>
      <w:r w:rsidR="00EB0AC0">
        <w:rPr>
          <w:rFonts w:cs="Arial"/>
        </w:rPr>
        <w:t xml:space="preserve"> has also noted an increase in its work </w:t>
      </w:r>
      <w:r>
        <w:rPr>
          <w:rFonts w:cs="Arial"/>
        </w:rPr>
        <w:t xml:space="preserve">relating to </w:t>
      </w:r>
      <w:r w:rsidR="00EB0AC0">
        <w:rPr>
          <w:rFonts w:cs="Arial"/>
        </w:rPr>
        <w:t xml:space="preserve">EPG’s functions for both routine matters and strategic issues. </w:t>
      </w:r>
      <w:r>
        <w:rPr>
          <w:rFonts w:cs="Arial"/>
        </w:rPr>
        <w:t xml:space="preserve">This </w:t>
      </w:r>
      <w:r w:rsidR="00EB0AC0">
        <w:rPr>
          <w:rFonts w:cs="Arial"/>
        </w:rPr>
        <w:t>reflect</w:t>
      </w:r>
      <w:r>
        <w:rPr>
          <w:rFonts w:cs="Arial"/>
        </w:rPr>
        <w:t>s</w:t>
      </w:r>
      <w:r w:rsidR="00EB0AC0">
        <w:rPr>
          <w:rFonts w:cs="Arial"/>
        </w:rPr>
        <w:t xml:space="preserve"> both the volume of decision-making in recent times, </w:t>
      </w:r>
      <w:r>
        <w:rPr>
          <w:rFonts w:cs="Arial"/>
        </w:rPr>
        <w:t>and</w:t>
      </w:r>
      <w:r w:rsidR="00EB0AC0">
        <w:rPr>
          <w:rFonts w:cs="Arial"/>
        </w:rPr>
        <w:t xml:space="preserve"> an increased awareness of</w:t>
      </w:r>
      <w:r>
        <w:rPr>
          <w:rFonts w:cs="Arial"/>
        </w:rPr>
        <w:t>,</w:t>
      </w:r>
      <w:r w:rsidR="00EB0AC0">
        <w:rPr>
          <w:rFonts w:cs="Arial"/>
        </w:rPr>
        <w:t xml:space="preserve"> and concern about</w:t>
      </w:r>
      <w:r>
        <w:rPr>
          <w:rFonts w:cs="Arial"/>
        </w:rPr>
        <w:t>,</w:t>
      </w:r>
      <w:r w:rsidR="00EB0AC0">
        <w:rPr>
          <w:rFonts w:cs="Arial"/>
        </w:rPr>
        <w:t xml:space="preserve"> potential exposure to decision-making failures, particularly in the wake of the Carmichael matter. </w:t>
      </w:r>
      <w:r w:rsidR="008230F3">
        <w:rPr>
          <w:rFonts w:cs="Arial"/>
        </w:rPr>
        <w:t xml:space="preserve">As a </w:t>
      </w:r>
      <w:r w:rsidR="008230F3">
        <w:rPr>
          <w:rFonts w:cs="Arial"/>
        </w:rPr>
        <w:lastRenderedPageBreak/>
        <w:t xml:space="preserve">result, the Department </w:t>
      </w:r>
      <w:r w:rsidR="00EB0AC0">
        <w:rPr>
          <w:rFonts w:cs="Arial"/>
        </w:rPr>
        <w:t xml:space="preserve">will </w:t>
      </w:r>
      <w:r w:rsidR="008230F3">
        <w:rPr>
          <w:rFonts w:cs="Arial"/>
        </w:rPr>
        <w:t>need to</w:t>
      </w:r>
      <w:r w:rsidR="00EB0AC0">
        <w:rPr>
          <w:rFonts w:cs="Arial"/>
        </w:rPr>
        <w:t xml:space="preserve"> consider the appropriate level of legal resources required to support EPG’s regulatory maturity. </w:t>
      </w:r>
    </w:p>
    <w:p w:rsidR="00D1087A" w:rsidRPr="00A17795" w:rsidRDefault="008230F3" w:rsidP="00D1087A">
      <w:pPr>
        <w:pStyle w:val="ListBullet"/>
        <w:numPr>
          <w:ilvl w:val="0"/>
          <w:numId w:val="0"/>
        </w:numPr>
        <w:rPr>
          <w:rFonts w:cs="Arial"/>
        </w:rPr>
      </w:pPr>
      <w:r>
        <w:rPr>
          <w:rFonts w:cs="Arial"/>
        </w:rPr>
        <w:t xml:space="preserve">Resources for the monitoring of environmental approvals currently only allows the Compliance and Enforcement Branch to </w:t>
      </w:r>
      <w:r w:rsidR="00D1087A">
        <w:rPr>
          <w:rFonts w:cs="Arial"/>
        </w:rPr>
        <w:t>target 20</w:t>
      </w:r>
      <w:r>
        <w:rPr>
          <w:rFonts w:cs="Arial"/>
        </w:rPr>
        <w:t xml:space="preserve"> percent</w:t>
      </w:r>
      <w:r w:rsidR="00D1087A">
        <w:rPr>
          <w:rFonts w:cs="Arial"/>
        </w:rPr>
        <w:t xml:space="preserve"> of high risk projects. This is a significantly lower proportion of high risk </w:t>
      </w:r>
      <w:r>
        <w:rPr>
          <w:rFonts w:cs="Arial"/>
        </w:rPr>
        <w:t xml:space="preserve">projects </w:t>
      </w:r>
      <w:r w:rsidR="00D1087A">
        <w:rPr>
          <w:rFonts w:cs="Arial"/>
        </w:rPr>
        <w:t xml:space="preserve">than those targeted for inspection by other comparable regulatory agencies. The </w:t>
      </w:r>
      <w:r>
        <w:rPr>
          <w:rFonts w:cs="Arial"/>
        </w:rPr>
        <w:t xml:space="preserve">Compliance and Enforcement Branch </w:t>
      </w:r>
      <w:r w:rsidR="00D1087A">
        <w:rPr>
          <w:rFonts w:cs="Arial"/>
        </w:rPr>
        <w:t xml:space="preserve">also conducts random and opportunistic inspections to ensure that lower risk projects are not left outside the compliance scheme. For example, </w:t>
      </w:r>
      <w:r>
        <w:rPr>
          <w:rFonts w:cs="Arial"/>
        </w:rPr>
        <w:t xml:space="preserve">the Compliance and Enforcement Branch </w:t>
      </w:r>
      <w:r w:rsidR="00D1087A">
        <w:rPr>
          <w:rFonts w:cs="Arial"/>
        </w:rPr>
        <w:t xml:space="preserve">conducted 57 such inspections </w:t>
      </w:r>
      <w:r>
        <w:rPr>
          <w:rFonts w:cs="Arial"/>
        </w:rPr>
        <w:t>in 2015</w:t>
      </w:r>
      <w:r w:rsidR="00D1087A">
        <w:rPr>
          <w:rFonts w:cs="Arial"/>
        </w:rPr>
        <w:t>. EPG does not appear to conduct any proactive monitoring or inspections for projects within other regulatory schemes such as Hazardous Waste</w:t>
      </w:r>
      <w:r w:rsidR="00342E19">
        <w:rPr>
          <w:rFonts w:cs="Arial"/>
        </w:rPr>
        <w:t>,</w:t>
      </w:r>
      <w:r w:rsidR="00D1087A">
        <w:rPr>
          <w:rFonts w:cs="Arial"/>
        </w:rPr>
        <w:t xml:space="preserve"> due to statutory limitations and resource constraints.</w:t>
      </w:r>
      <w:r w:rsidR="00D1087A" w:rsidRPr="00576C62">
        <w:rPr>
          <w:rFonts w:cs="Arial"/>
          <w:highlight w:val="yellow"/>
        </w:rPr>
        <w:t xml:space="preserve"> </w:t>
      </w:r>
    </w:p>
    <w:p w:rsidR="00D1087A" w:rsidRDefault="00D1087A" w:rsidP="00746311">
      <w:pPr>
        <w:pStyle w:val="ListBullet"/>
        <w:numPr>
          <w:ilvl w:val="0"/>
          <w:numId w:val="0"/>
        </w:numPr>
        <w:shd w:val="clear" w:color="auto" w:fill="C7E2FA" w:themeFill="accent1" w:themeFillTint="33"/>
        <w:rPr>
          <w:rFonts w:cs="Arial"/>
          <w:b/>
        </w:rPr>
      </w:pPr>
      <w:r w:rsidRPr="00B7359A">
        <w:rPr>
          <w:rFonts w:cs="Arial"/>
          <w:b/>
        </w:rPr>
        <w:t xml:space="preserve">Recommendation </w:t>
      </w:r>
      <w:r w:rsidR="00E7528D">
        <w:rPr>
          <w:rFonts w:cs="Arial"/>
          <w:b/>
        </w:rPr>
        <w:t>5</w:t>
      </w:r>
      <w:r w:rsidRPr="00B7359A">
        <w:rPr>
          <w:rFonts w:cs="Arial"/>
          <w:b/>
        </w:rPr>
        <w:t>.</w:t>
      </w:r>
      <w:r w:rsidR="003B4F08">
        <w:rPr>
          <w:rFonts w:cs="Arial"/>
          <w:b/>
        </w:rPr>
        <w:t>3</w:t>
      </w:r>
      <w:r w:rsidR="003B4F08" w:rsidRPr="00B7359A">
        <w:rPr>
          <w:rFonts w:cs="Arial"/>
          <w:b/>
        </w:rPr>
        <w:t xml:space="preserve"> </w:t>
      </w:r>
      <w:r w:rsidRPr="00B7359A">
        <w:rPr>
          <w:rFonts w:cs="Arial"/>
          <w:b/>
        </w:rPr>
        <w:t>(Resource Levels):</w:t>
      </w:r>
    </w:p>
    <w:p w:rsidR="00D1087A" w:rsidRPr="0026153E" w:rsidRDefault="00D1087A" w:rsidP="00746311">
      <w:pPr>
        <w:pStyle w:val="ListBullet"/>
        <w:numPr>
          <w:ilvl w:val="0"/>
          <w:numId w:val="0"/>
        </w:numPr>
        <w:shd w:val="clear" w:color="auto" w:fill="C7E2FA" w:themeFill="accent1" w:themeFillTint="33"/>
        <w:rPr>
          <w:rFonts w:cs="Arial"/>
          <w:i/>
        </w:rPr>
      </w:pPr>
      <w:r w:rsidRPr="0026153E">
        <w:rPr>
          <w:rFonts w:cs="Arial"/>
          <w:i/>
        </w:rPr>
        <w:t xml:space="preserve">Importance: </w:t>
      </w:r>
      <w:r w:rsidR="005A4278" w:rsidRPr="005A4278">
        <w:rPr>
          <w:rFonts w:cs="Arial"/>
        </w:rPr>
        <w:t>1</w:t>
      </w:r>
    </w:p>
    <w:p w:rsidR="00D1087A" w:rsidRPr="00B7359A" w:rsidRDefault="00D1087A" w:rsidP="00746311">
      <w:pPr>
        <w:pStyle w:val="ListBullet"/>
        <w:numPr>
          <w:ilvl w:val="0"/>
          <w:numId w:val="0"/>
        </w:numPr>
        <w:shd w:val="clear" w:color="auto" w:fill="C7E2FA" w:themeFill="accent1" w:themeFillTint="33"/>
        <w:rPr>
          <w:rFonts w:cs="Arial"/>
          <w:b/>
        </w:rPr>
      </w:pPr>
      <w:r w:rsidRPr="0026153E">
        <w:rPr>
          <w:rFonts w:cs="Arial"/>
          <w:i/>
        </w:rPr>
        <w:t xml:space="preserve">Timing: </w:t>
      </w:r>
      <w:r w:rsidR="00627742">
        <w:rPr>
          <w:rFonts w:cs="Arial"/>
        </w:rPr>
        <w:t>O</w:t>
      </w:r>
      <w:r w:rsidR="00627742" w:rsidRPr="0026153E">
        <w:rPr>
          <w:rFonts w:cs="Arial"/>
        </w:rPr>
        <w:t>ngoing</w:t>
      </w:r>
    </w:p>
    <w:p w:rsidR="00D1087A" w:rsidRPr="00B7359A" w:rsidRDefault="00D1087A" w:rsidP="00746311">
      <w:pPr>
        <w:pStyle w:val="ListBullet"/>
        <w:numPr>
          <w:ilvl w:val="0"/>
          <w:numId w:val="0"/>
        </w:numPr>
        <w:shd w:val="clear" w:color="auto" w:fill="C7E2FA" w:themeFill="accent1" w:themeFillTint="33"/>
        <w:rPr>
          <w:rFonts w:cs="Arial"/>
        </w:rPr>
      </w:pPr>
      <w:r w:rsidRPr="00B7359A">
        <w:rPr>
          <w:rFonts w:cs="Arial"/>
        </w:rPr>
        <w:t xml:space="preserve">The Department should </w:t>
      </w:r>
      <w:r w:rsidR="00D8710C">
        <w:rPr>
          <w:rFonts w:cs="Arial"/>
        </w:rPr>
        <w:t>strive</w:t>
      </w:r>
      <w:r w:rsidRPr="00B7359A">
        <w:rPr>
          <w:rFonts w:cs="Arial"/>
        </w:rPr>
        <w:t xml:space="preserve"> to maintain or increase staffing levels within EPG. </w:t>
      </w:r>
    </w:p>
    <w:p w:rsidR="00D1087A" w:rsidRDefault="00D1087A" w:rsidP="00746311">
      <w:pPr>
        <w:pStyle w:val="ListBullet"/>
        <w:numPr>
          <w:ilvl w:val="0"/>
          <w:numId w:val="0"/>
        </w:numPr>
        <w:shd w:val="clear" w:color="auto" w:fill="C7E2FA" w:themeFill="accent1" w:themeFillTint="33"/>
        <w:rPr>
          <w:rFonts w:cs="Arial"/>
        </w:rPr>
      </w:pPr>
      <w:r w:rsidRPr="00B7359A">
        <w:rPr>
          <w:rFonts w:cs="Arial"/>
        </w:rPr>
        <w:t xml:space="preserve">The Department should clearly communicate to the Government the risk of regulatory failure associated with </w:t>
      </w:r>
      <w:r w:rsidR="00EA09ED">
        <w:rPr>
          <w:rFonts w:cs="Arial"/>
        </w:rPr>
        <w:t>any further staffing reductions.</w:t>
      </w:r>
    </w:p>
    <w:p w:rsidR="00D1087A" w:rsidRPr="00CC4264" w:rsidRDefault="00D1087A" w:rsidP="00746311">
      <w:pPr>
        <w:pStyle w:val="ListBullet"/>
        <w:numPr>
          <w:ilvl w:val="0"/>
          <w:numId w:val="0"/>
        </w:numPr>
        <w:shd w:val="clear" w:color="auto" w:fill="C7E2FA" w:themeFill="accent1" w:themeFillTint="33"/>
        <w:rPr>
          <w:rFonts w:cs="Arial"/>
        </w:rPr>
      </w:pPr>
      <w:r w:rsidRPr="00CC4264">
        <w:rPr>
          <w:rFonts w:cs="Arial"/>
        </w:rPr>
        <w:t>The Department should consider increasing resourcing for EPBC monitoring activities, or working with states and territories to pool resources so that a larger proportion of high risk projects can be actively monitored (see also</w:t>
      </w:r>
      <w:r w:rsidR="00EA09ED">
        <w:rPr>
          <w:rFonts w:cs="Arial"/>
        </w:rPr>
        <w:t xml:space="preserve"> </w:t>
      </w:r>
      <w:r w:rsidR="00EA09ED">
        <w:rPr>
          <w:rFonts w:cs="Arial"/>
          <w:i/>
        </w:rPr>
        <w:t xml:space="preserve">Recommendation 2.3 (Compliance and enforcement) </w:t>
      </w:r>
      <w:r w:rsidR="00EA09ED">
        <w:rPr>
          <w:rFonts w:cs="Arial"/>
        </w:rPr>
        <w:t xml:space="preserve">and </w:t>
      </w:r>
      <w:r w:rsidR="00EA09ED">
        <w:rPr>
          <w:rFonts w:cs="Arial"/>
          <w:i/>
        </w:rPr>
        <w:t>Recommendation 6.4 (Working with other regulators)</w:t>
      </w:r>
      <w:r w:rsidR="00EA09ED">
        <w:rPr>
          <w:rFonts w:cs="Arial"/>
        </w:rPr>
        <w:t>).</w:t>
      </w:r>
    </w:p>
    <w:p w:rsidR="00D1087A" w:rsidRPr="00746311" w:rsidRDefault="00D1087A" w:rsidP="00746311">
      <w:pPr>
        <w:pStyle w:val="Heading1"/>
        <w:spacing w:after="120"/>
        <w:rPr>
          <w:caps w:val="0"/>
          <w:color w:val="0B5294" w:themeColor="accent1" w:themeShade="BF"/>
          <w:sz w:val="24"/>
          <w:szCs w:val="24"/>
        </w:rPr>
      </w:pPr>
      <w:bookmarkStart w:id="68" w:name="_Toc443405195"/>
      <w:r w:rsidRPr="00746311">
        <w:rPr>
          <w:caps w:val="0"/>
          <w:color w:val="0B5294" w:themeColor="accent1" w:themeShade="BF"/>
          <w:sz w:val="24"/>
          <w:szCs w:val="24"/>
        </w:rPr>
        <w:t>External Communication of Risk</w:t>
      </w:r>
      <w:bookmarkEnd w:id="68"/>
      <w:r w:rsidRPr="00746311">
        <w:rPr>
          <w:caps w:val="0"/>
          <w:color w:val="0B5294" w:themeColor="accent1" w:themeShade="BF"/>
          <w:sz w:val="24"/>
          <w:szCs w:val="24"/>
        </w:rPr>
        <w:t xml:space="preserve"> </w:t>
      </w:r>
    </w:p>
    <w:p w:rsidR="00D1087A" w:rsidRDefault="00D1087A" w:rsidP="00D1087A">
      <w:pPr>
        <w:pStyle w:val="ListBullet"/>
        <w:numPr>
          <w:ilvl w:val="0"/>
          <w:numId w:val="0"/>
        </w:numPr>
        <w:rPr>
          <w:rFonts w:cs="Arial"/>
        </w:rPr>
      </w:pPr>
      <w:r>
        <w:rPr>
          <w:rFonts w:cs="Arial"/>
        </w:rPr>
        <w:t xml:space="preserve">Mature </w:t>
      </w:r>
      <w:r w:rsidR="00342E19">
        <w:rPr>
          <w:rFonts w:cs="Arial"/>
        </w:rPr>
        <w:t xml:space="preserve">regulators </w:t>
      </w:r>
      <w:r>
        <w:rPr>
          <w:rFonts w:cs="Arial"/>
        </w:rPr>
        <w:t xml:space="preserve">clearly communicate their risk approach to interested stakeholders, including the Minister, other regulators, regulated entities and the community. This helps to manage expectations by improving stakeholder understanding of the regulator’s need to consider and manage risk. For example, the Clean Energy Regulator’s </w:t>
      </w:r>
      <w:r w:rsidR="00A337AF">
        <w:t>Compliance, Education and E</w:t>
      </w:r>
      <w:r w:rsidRPr="006F4F7C">
        <w:t>nforceme</w:t>
      </w:r>
      <w:r w:rsidR="00A337AF">
        <w:t>nt P</w:t>
      </w:r>
      <w:r w:rsidRPr="006F4F7C">
        <w:t>olicy</w:t>
      </w:r>
      <w:r w:rsidR="00A337AF">
        <w:rPr>
          <w:rStyle w:val="FootnoteReference"/>
        </w:rPr>
        <w:footnoteReference w:id="26"/>
      </w:r>
      <w:r>
        <w:rPr>
          <w:rFonts w:cs="Arial"/>
        </w:rPr>
        <w:t xml:space="preserve"> includes a clear description of the way they consider risk when deciding what kind of compliance action is appropriate. </w:t>
      </w:r>
    </w:p>
    <w:p w:rsidR="00D1087A" w:rsidRDefault="00D1087A" w:rsidP="00D1087A">
      <w:pPr>
        <w:pStyle w:val="ListBullet"/>
        <w:numPr>
          <w:ilvl w:val="0"/>
          <w:numId w:val="0"/>
        </w:numPr>
        <w:rPr>
          <w:rFonts w:cs="Arial"/>
        </w:rPr>
      </w:pPr>
      <w:r w:rsidRPr="00B9575D">
        <w:rPr>
          <w:rFonts w:cs="Arial"/>
        </w:rPr>
        <w:t xml:space="preserve">The Department does not appear to have communicated its </w:t>
      </w:r>
      <w:r w:rsidR="00342E19">
        <w:rPr>
          <w:rFonts w:cs="Arial"/>
        </w:rPr>
        <w:t>risk approach</w:t>
      </w:r>
      <w:r w:rsidRPr="00B9575D">
        <w:rPr>
          <w:rFonts w:cs="Arial"/>
        </w:rPr>
        <w:t xml:space="preserve"> externally.</w:t>
      </w:r>
    </w:p>
    <w:p w:rsidR="00D1087A" w:rsidRDefault="00D1087A" w:rsidP="00746311">
      <w:pPr>
        <w:shd w:val="clear" w:color="auto" w:fill="C7E2FA" w:themeFill="accent1" w:themeFillTint="33"/>
        <w:rPr>
          <w:rFonts w:cs="Arial"/>
          <w:b/>
        </w:rPr>
      </w:pPr>
      <w:r w:rsidRPr="00FF1B4A">
        <w:rPr>
          <w:rFonts w:cs="Arial"/>
          <w:b/>
        </w:rPr>
        <w:t xml:space="preserve">Recommendation </w:t>
      </w:r>
      <w:r w:rsidR="00E7528D">
        <w:rPr>
          <w:rFonts w:cs="Arial"/>
          <w:b/>
        </w:rPr>
        <w:t>5</w:t>
      </w:r>
      <w:r w:rsidRPr="00FF1B4A">
        <w:rPr>
          <w:rFonts w:cs="Arial"/>
          <w:b/>
        </w:rPr>
        <w:t>.</w:t>
      </w:r>
      <w:r w:rsidR="003B4F08">
        <w:rPr>
          <w:rFonts w:cs="Arial"/>
          <w:b/>
        </w:rPr>
        <w:t>4</w:t>
      </w:r>
      <w:r w:rsidR="003B4F08" w:rsidRPr="00FF1B4A">
        <w:rPr>
          <w:rFonts w:cs="Arial"/>
          <w:b/>
        </w:rPr>
        <w:t xml:space="preserve"> </w:t>
      </w:r>
      <w:r w:rsidRPr="00FF1B4A">
        <w:rPr>
          <w:rFonts w:cs="Arial"/>
          <w:b/>
        </w:rPr>
        <w:t>(External communication of risk):</w:t>
      </w:r>
    </w:p>
    <w:p w:rsidR="00D1087A" w:rsidRPr="0026153E" w:rsidRDefault="00D1087A" w:rsidP="00746311">
      <w:pPr>
        <w:shd w:val="clear" w:color="auto" w:fill="C7E2FA" w:themeFill="accent1" w:themeFillTint="33"/>
        <w:rPr>
          <w:rFonts w:cs="Arial"/>
          <w:i/>
        </w:rPr>
      </w:pPr>
      <w:r w:rsidRPr="0026153E">
        <w:rPr>
          <w:rFonts w:cs="Arial"/>
          <w:i/>
        </w:rPr>
        <w:t xml:space="preserve">Importance: </w:t>
      </w:r>
      <w:r w:rsidR="005A4278" w:rsidRPr="005A4278">
        <w:rPr>
          <w:rFonts w:cs="Arial"/>
        </w:rPr>
        <w:t>2</w:t>
      </w:r>
    </w:p>
    <w:p w:rsidR="00D1087A" w:rsidRPr="0026153E" w:rsidRDefault="00D1087A" w:rsidP="00746311">
      <w:pPr>
        <w:shd w:val="clear" w:color="auto" w:fill="C7E2FA" w:themeFill="accent1" w:themeFillTint="33"/>
        <w:rPr>
          <w:rFonts w:cs="Arial"/>
          <w:i/>
        </w:rPr>
      </w:pPr>
      <w:r w:rsidRPr="0026153E">
        <w:rPr>
          <w:rFonts w:cs="Arial"/>
          <w:i/>
        </w:rPr>
        <w:t xml:space="preserve">Timing: </w:t>
      </w:r>
      <w:r w:rsidR="005A4278" w:rsidRPr="005A4278">
        <w:rPr>
          <w:rFonts w:cs="Arial"/>
        </w:rPr>
        <w:t>2</w:t>
      </w:r>
    </w:p>
    <w:p w:rsidR="00D1087A" w:rsidRPr="00FF1B4A" w:rsidRDefault="00D1087A" w:rsidP="00746311">
      <w:pPr>
        <w:pStyle w:val="ListBullet"/>
        <w:numPr>
          <w:ilvl w:val="0"/>
          <w:numId w:val="0"/>
        </w:numPr>
        <w:shd w:val="clear" w:color="auto" w:fill="C7E2FA" w:themeFill="accent1" w:themeFillTint="33"/>
        <w:rPr>
          <w:rFonts w:cs="Arial"/>
        </w:rPr>
      </w:pPr>
      <w:r w:rsidRPr="00FF1B4A">
        <w:rPr>
          <w:rFonts w:cs="Arial"/>
        </w:rPr>
        <w:t xml:space="preserve">The Chief Risk Officer should consider how best to communicate the Department’s risk </w:t>
      </w:r>
      <w:r w:rsidR="00342E19">
        <w:rPr>
          <w:rFonts w:cs="Arial"/>
        </w:rPr>
        <w:t>approach</w:t>
      </w:r>
      <w:r w:rsidR="00342E19" w:rsidRPr="00FF1B4A">
        <w:rPr>
          <w:rFonts w:cs="Arial"/>
        </w:rPr>
        <w:t xml:space="preserve"> </w:t>
      </w:r>
      <w:r w:rsidRPr="00FF1B4A">
        <w:rPr>
          <w:rFonts w:cs="Arial"/>
        </w:rPr>
        <w:t xml:space="preserve">externally. For example, it may be beneficial for a broader explanation of the Department’s risk </w:t>
      </w:r>
      <w:r w:rsidR="00342E19">
        <w:rPr>
          <w:rFonts w:cs="Arial"/>
        </w:rPr>
        <w:t>approach</w:t>
      </w:r>
      <w:r w:rsidR="00342E19" w:rsidRPr="00FF1B4A">
        <w:rPr>
          <w:rFonts w:cs="Arial"/>
        </w:rPr>
        <w:t xml:space="preserve"> </w:t>
      </w:r>
      <w:r w:rsidRPr="00FF1B4A">
        <w:rPr>
          <w:rFonts w:cs="Arial"/>
        </w:rPr>
        <w:t>to be made publicly available and for tailored information to be provided for specific regulatory functions (such as risk</w:t>
      </w:r>
      <w:r w:rsidR="00342E19">
        <w:rPr>
          <w:rFonts w:cs="Arial"/>
        </w:rPr>
        <w:t>-</w:t>
      </w:r>
      <w:r w:rsidRPr="00FF1B4A">
        <w:rPr>
          <w:rFonts w:cs="Arial"/>
        </w:rPr>
        <w:t xml:space="preserve">based allocation of resources for assessment and compliance </w:t>
      </w:r>
      <w:r w:rsidR="00342E19">
        <w:rPr>
          <w:rFonts w:cs="Arial"/>
        </w:rPr>
        <w:t>functions</w:t>
      </w:r>
      <w:r w:rsidRPr="00FF1B4A">
        <w:rPr>
          <w:rFonts w:cs="Arial"/>
        </w:rPr>
        <w:t>)</w:t>
      </w:r>
      <w:r w:rsidR="00EA09ED">
        <w:rPr>
          <w:rFonts w:cs="Arial"/>
        </w:rPr>
        <w:t>.</w:t>
      </w:r>
      <w:r w:rsidRPr="00FF1B4A">
        <w:rPr>
          <w:rFonts w:cs="Arial"/>
        </w:rPr>
        <w:t xml:space="preserve"> </w:t>
      </w:r>
    </w:p>
    <w:p w:rsidR="00D1087A" w:rsidRPr="00FF1B4A" w:rsidRDefault="00D1087A" w:rsidP="00746311">
      <w:pPr>
        <w:shd w:val="clear" w:color="auto" w:fill="C7E2FA" w:themeFill="accent1" w:themeFillTint="33"/>
        <w:rPr>
          <w:rFonts w:cs="Arial"/>
        </w:rPr>
      </w:pPr>
      <w:r w:rsidRPr="00FF1B4A">
        <w:rPr>
          <w:rFonts w:cs="Arial"/>
        </w:rPr>
        <w:lastRenderedPageBreak/>
        <w:t>The Department should consider the approach taken by the Clean Energy Regulator and the ATO in developing this approach.</w:t>
      </w:r>
    </w:p>
    <w:p w:rsidR="00D1087A" w:rsidRPr="00746311" w:rsidRDefault="00D1087A" w:rsidP="00746311">
      <w:pPr>
        <w:pStyle w:val="Heading1"/>
        <w:spacing w:after="120"/>
        <w:rPr>
          <w:caps w:val="0"/>
          <w:color w:val="0B5294" w:themeColor="accent1" w:themeShade="BF"/>
          <w:sz w:val="24"/>
          <w:szCs w:val="24"/>
        </w:rPr>
      </w:pPr>
      <w:bookmarkStart w:id="69" w:name="_Toc443405196"/>
      <w:r w:rsidRPr="00746311">
        <w:rPr>
          <w:caps w:val="0"/>
          <w:color w:val="0B5294" w:themeColor="accent1" w:themeShade="BF"/>
          <w:sz w:val="24"/>
          <w:szCs w:val="24"/>
        </w:rPr>
        <w:t>Intelligence</w:t>
      </w:r>
      <w:bookmarkEnd w:id="69"/>
      <w:r w:rsidRPr="00746311">
        <w:rPr>
          <w:caps w:val="0"/>
          <w:color w:val="0B5294" w:themeColor="accent1" w:themeShade="BF"/>
          <w:sz w:val="24"/>
          <w:szCs w:val="24"/>
        </w:rPr>
        <w:t xml:space="preserve"> </w:t>
      </w:r>
    </w:p>
    <w:p w:rsidR="00D1087A" w:rsidRDefault="00D1087A" w:rsidP="00D1087A">
      <w:pPr>
        <w:pStyle w:val="ListBullet"/>
        <w:numPr>
          <w:ilvl w:val="0"/>
          <w:numId w:val="0"/>
        </w:numPr>
        <w:rPr>
          <w:rFonts w:cs="Arial"/>
        </w:rPr>
      </w:pPr>
      <w:r>
        <w:rPr>
          <w:rFonts w:cs="Arial"/>
        </w:rPr>
        <w:t>Best practice regulators use strategic intelligence to inform risk assessments. This allows them to identify emerging risks and provide greater confidence that the Department’s analysis of comparative risks is accurate.</w:t>
      </w:r>
    </w:p>
    <w:p w:rsidR="00D1087A" w:rsidRDefault="00342E19" w:rsidP="00D1087A">
      <w:pPr>
        <w:pStyle w:val="ListBullet"/>
        <w:numPr>
          <w:ilvl w:val="0"/>
          <w:numId w:val="0"/>
        </w:numPr>
        <w:rPr>
          <w:rFonts w:cs="Arial"/>
        </w:rPr>
      </w:pPr>
      <w:r>
        <w:rPr>
          <w:rFonts w:cs="Arial"/>
        </w:rPr>
        <w:t xml:space="preserve">In </w:t>
      </w:r>
      <w:r w:rsidR="00D1087A">
        <w:rPr>
          <w:rFonts w:cs="Arial"/>
        </w:rPr>
        <w:t>the long term</w:t>
      </w:r>
      <w:r>
        <w:rPr>
          <w:rFonts w:cs="Arial"/>
        </w:rPr>
        <w:t>,</w:t>
      </w:r>
      <w:r w:rsidR="00D1087A">
        <w:rPr>
          <w:rFonts w:cs="Arial"/>
        </w:rPr>
        <w:t xml:space="preserve"> </w:t>
      </w:r>
      <w:r>
        <w:rPr>
          <w:rFonts w:cs="Arial"/>
        </w:rPr>
        <w:t xml:space="preserve">ESD’s </w:t>
      </w:r>
      <w:r w:rsidR="00D1087A">
        <w:rPr>
          <w:rFonts w:cs="Arial"/>
        </w:rPr>
        <w:t xml:space="preserve">NESTRA tool will have the capacity to incorporate the actual risk outcomes of projects to refine the way the tool calculates risks for future projects. EPG intends to develop this functionality for WiSTRA as well. However, as noted in </w:t>
      </w:r>
      <w:r w:rsidR="00EA09ED">
        <w:rPr>
          <w:rFonts w:cs="Arial"/>
        </w:rPr>
        <w:t xml:space="preserve">the </w:t>
      </w:r>
      <w:r w:rsidR="00EA09ED">
        <w:rPr>
          <w:rFonts w:cs="Arial"/>
          <w:i/>
        </w:rPr>
        <w:t xml:space="preserve">Intelligence </w:t>
      </w:r>
      <w:r w:rsidR="00EA09ED">
        <w:rPr>
          <w:rFonts w:cs="Arial"/>
        </w:rPr>
        <w:t>section in Chapter 2</w:t>
      </w:r>
      <w:r w:rsidR="00D1087A">
        <w:rPr>
          <w:rFonts w:cs="Arial"/>
        </w:rPr>
        <w:t>, the Department, like many environmental regulators, does not have an established strategic intelligence capability. As a result, r</w:t>
      </w:r>
      <w:r w:rsidR="00D1087A" w:rsidRPr="00B9575D">
        <w:rPr>
          <w:rFonts w:cs="Arial"/>
        </w:rPr>
        <w:t xml:space="preserve">isk assessments </w:t>
      </w:r>
      <w:r w:rsidR="00D1087A">
        <w:rPr>
          <w:rFonts w:cs="Arial"/>
        </w:rPr>
        <w:t>are</w:t>
      </w:r>
      <w:r w:rsidR="00D1087A" w:rsidRPr="00B9575D">
        <w:rPr>
          <w:rFonts w:cs="Arial"/>
        </w:rPr>
        <w:t xml:space="preserve"> not intelligence driven </w:t>
      </w:r>
      <w:r w:rsidR="00D1087A">
        <w:rPr>
          <w:rFonts w:cs="Arial"/>
        </w:rPr>
        <w:t>and may be missing important information that could assist risk management.</w:t>
      </w:r>
      <w:r w:rsidR="00D1087A" w:rsidRPr="00B9575D">
        <w:rPr>
          <w:rFonts w:cs="Arial"/>
        </w:rPr>
        <w:t xml:space="preserve"> </w:t>
      </w:r>
    </w:p>
    <w:p w:rsidR="00D1087A" w:rsidRPr="005D6F63" w:rsidRDefault="00D1087A" w:rsidP="00746311">
      <w:pPr>
        <w:pStyle w:val="ListBullet"/>
        <w:numPr>
          <w:ilvl w:val="0"/>
          <w:numId w:val="0"/>
        </w:numPr>
        <w:shd w:val="clear" w:color="auto" w:fill="C7E2FA" w:themeFill="accent1" w:themeFillTint="33"/>
        <w:rPr>
          <w:rFonts w:cs="Arial"/>
          <w:b/>
        </w:rPr>
      </w:pPr>
      <w:r w:rsidRPr="005D6F63">
        <w:rPr>
          <w:rFonts w:cs="Arial"/>
          <w:b/>
        </w:rPr>
        <w:t xml:space="preserve">Recommendation </w:t>
      </w:r>
      <w:r w:rsidR="00E7528D">
        <w:rPr>
          <w:rFonts w:cs="Arial"/>
          <w:b/>
        </w:rPr>
        <w:t>5</w:t>
      </w:r>
      <w:r w:rsidRPr="005D6F63">
        <w:rPr>
          <w:rFonts w:cs="Arial"/>
          <w:b/>
        </w:rPr>
        <w:t>.</w:t>
      </w:r>
      <w:r w:rsidR="003B4F08">
        <w:rPr>
          <w:rFonts w:cs="Arial"/>
          <w:b/>
        </w:rPr>
        <w:t>5</w:t>
      </w:r>
      <w:r w:rsidR="003B4F08" w:rsidRPr="005D6F63">
        <w:rPr>
          <w:rFonts w:cs="Arial"/>
          <w:b/>
        </w:rPr>
        <w:t xml:space="preserve"> </w:t>
      </w:r>
      <w:r w:rsidRPr="005D6F63">
        <w:rPr>
          <w:rFonts w:cs="Arial"/>
          <w:b/>
        </w:rPr>
        <w:t>(Intelligence):</w:t>
      </w:r>
    </w:p>
    <w:p w:rsidR="00D1087A" w:rsidRDefault="00D1087A" w:rsidP="00746311">
      <w:pPr>
        <w:pStyle w:val="ListBullet"/>
        <w:numPr>
          <w:ilvl w:val="0"/>
          <w:numId w:val="0"/>
        </w:numPr>
        <w:shd w:val="clear" w:color="auto" w:fill="C7E2FA" w:themeFill="accent1" w:themeFillTint="33"/>
        <w:rPr>
          <w:rFonts w:cs="Arial"/>
          <w:i/>
        </w:rPr>
      </w:pPr>
      <w:r>
        <w:rPr>
          <w:rFonts w:cs="Arial"/>
          <w:i/>
        </w:rPr>
        <w:t xml:space="preserve">Importance: </w:t>
      </w:r>
      <w:r>
        <w:rPr>
          <w:rFonts w:cs="Arial"/>
        </w:rPr>
        <w:t>2</w:t>
      </w:r>
    </w:p>
    <w:p w:rsidR="00D1087A" w:rsidRPr="000834AC" w:rsidRDefault="00D1087A" w:rsidP="00746311">
      <w:pPr>
        <w:pStyle w:val="ListBullet"/>
        <w:numPr>
          <w:ilvl w:val="0"/>
          <w:numId w:val="0"/>
        </w:numPr>
        <w:shd w:val="clear" w:color="auto" w:fill="C7E2FA" w:themeFill="accent1" w:themeFillTint="33"/>
        <w:rPr>
          <w:rFonts w:cs="Arial"/>
          <w:i/>
        </w:rPr>
      </w:pPr>
      <w:r>
        <w:rPr>
          <w:rFonts w:cs="Arial"/>
          <w:i/>
        </w:rPr>
        <w:t xml:space="preserve">Timing: </w:t>
      </w:r>
      <w:r w:rsidR="00627742">
        <w:rPr>
          <w:rFonts w:cs="Arial"/>
        </w:rPr>
        <w:t>3</w:t>
      </w:r>
    </w:p>
    <w:p w:rsidR="00D1087A" w:rsidRPr="00E7528D" w:rsidRDefault="00D1087A" w:rsidP="00746311">
      <w:pPr>
        <w:pStyle w:val="ListBullet"/>
        <w:numPr>
          <w:ilvl w:val="0"/>
          <w:numId w:val="0"/>
        </w:numPr>
        <w:shd w:val="clear" w:color="auto" w:fill="C7E2FA" w:themeFill="accent1" w:themeFillTint="33"/>
        <w:rPr>
          <w:rFonts w:cs="Arial"/>
          <w:u w:val="single"/>
        </w:rPr>
      </w:pPr>
      <w:r w:rsidRPr="005D6F63">
        <w:rPr>
          <w:rFonts w:cs="Arial"/>
        </w:rPr>
        <w:t>The Department should adopt intelligence gathering and analysis to inform its risk management approach.</w:t>
      </w:r>
    </w:p>
    <w:p w:rsidR="00A337AF" w:rsidRDefault="00A337AF">
      <w:pPr>
        <w:spacing w:after="0" w:line="240" w:lineRule="auto"/>
        <w:rPr>
          <w:rFonts w:cs="Arial"/>
          <w:b/>
        </w:rPr>
      </w:pPr>
      <w:r>
        <w:rPr>
          <w:rFonts w:cs="Arial"/>
          <w:b/>
        </w:rPr>
        <w:br w:type="page"/>
      </w:r>
    </w:p>
    <w:p w:rsidR="00E7528D" w:rsidRPr="00746311" w:rsidRDefault="00D739AE" w:rsidP="00E7528D">
      <w:pPr>
        <w:jc w:val="center"/>
        <w:rPr>
          <w:b/>
          <w:color w:val="0B5294" w:themeColor="accent1" w:themeShade="BF"/>
          <w:sz w:val="44"/>
          <w:szCs w:val="44"/>
        </w:rPr>
      </w:pPr>
      <w:r>
        <w:rPr>
          <w:b/>
          <w:color w:val="0B5294" w:themeColor="accent1" w:themeShade="BF"/>
          <w:sz w:val="44"/>
          <w:szCs w:val="44"/>
        </w:rPr>
        <w:lastRenderedPageBreak/>
        <w:t>Chapter 6: How W</w:t>
      </w:r>
      <w:r w:rsidR="00E7528D" w:rsidRPr="00746311">
        <w:rPr>
          <w:b/>
          <w:color w:val="0B5294" w:themeColor="accent1" w:themeShade="BF"/>
          <w:sz w:val="44"/>
          <w:szCs w:val="44"/>
        </w:rPr>
        <w:t>e Engage</w:t>
      </w:r>
    </w:p>
    <w:tbl>
      <w:tblPr>
        <w:tblStyle w:val="TableGrid"/>
        <w:tblW w:w="0" w:type="auto"/>
        <w:tblLook w:val="04A0" w:firstRow="1" w:lastRow="0" w:firstColumn="1" w:lastColumn="0" w:noHBand="0" w:noVBand="1"/>
      </w:tblPr>
      <w:tblGrid>
        <w:gridCol w:w="9202"/>
      </w:tblGrid>
      <w:tr w:rsidR="00AA785E" w:rsidTr="00FA0F2A">
        <w:trPr>
          <w:cnfStyle w:val="100000000000" w:firstRow="1" w:lastRow="0" w:firstColumn="0" w:lastColumn="0" w:oddVBand="0" w:evenVBand="0" w:oddHBand="0" w:evenHBand="0" w:firstRowFirstColumn="0" w:firstRowLastColumn="0" w:lastRowFirstColumn="0" w:lastRowLastColumn="0"/>
        </w:trPr>
        <w:tc>
          <w:tcPr>
            <w:tcW w:w="9428" w:type="dxa"/>
            <w:shd w:val="clear" w:color="auto" w:fill="D9D9D9" w:themeFill="background1" w:themeFillShade="D9"/>
          </w:tcPr>
          <w:p w:rsidR="00AA785E" w:rsidRDefault="00AA785E" w:rsidP="00AA785E">
            <w:pPr>
              <w:pStyle w:val="Heading1"/>
              <w:spacing w:after="120"/>
              <w:outlineLvl w:val="0"/>
              <w:rPr>
                <w:color w:val="0B5294" w:themeColor="accent1" w:themeShade="BF"/>
                <w:sz w:val="28"/>
                <w:szCs w:val="28"/>
              </w:rPr>
            </w:pPr>
            <w:bookmarkStart w:id="70" w:name="_Toc443405197"/>
            <w:r>
              <w:rPr>
                <w:color w:val="0B5294" w:themeColor="accent1" w:themeShade="BF"/>
                <w:sz w:val="28"/>
                <w:szCs w:val="28"/>
              </w:rPr>
              <w:t>Overview</w:t>
            </w:r>
            <w:bookmarkEnd w:id="70"/>
          </w:p>
          <w:p w:rsidR="00AA785E" w:rsidRPr="00FA0F2A" w:rsidRDefault="00AA785E" w:rsidP="00FA0F2A">
            <w:pPr>
              <w:rPr>
                <w:rFonts w:cs="Arial"/>
              </w:rPr>
            </w:pPr>
            <w:r>
              <w:t xml:space="preserve">Best practice regulators </w:t>
            </w:r>
            <w:r w:rsidR="00960E5E">
              <w:t>adopt</w:t>
            </w:r>
            <w:r w:rsidR="00960E5E" w:rsidRPr="00FA0F2A">
              <w:rPr>
                <w:rFonts w:cs="Arial"/>
              </w:rPr>
              <w:t xml:space="preserve"> </w:t>
            </w:r>
            <w:r w:rsidRPr="00FA0F2A">
              <w:rPr>
                <w:rFonts w:cs="Arial"/>
              </w:rPr>
              <w:t>a strategic approach to engagement with their stakeholders, including regulated entities, other regulators and the broader community. Good engagement can improve regulatory design and implementation, build trust and increase compliance</w:t>
            </w:r>
            <w:r>
              <w:rPr>
                <w:rStyle w:val="FootnoteReference"/>
                <w:rFonts w:cs="Arial"/>
              </w:rPr>
              <w:footnoteReference w:id="27"/>
            </w:r>
            <w:r w:rsidRPr="00FA0F2A">
              <w:rPr>
                <w:rFonts w:cs="Arial"/>
              </w:rPr>
              <w:t xml:space="preserve">. Mature regulators </w:t>
            </w:r>
            <w:r w:rsidR="007649EB" w:rsidRPr="00FA0F2A">
              <w:rPr>
                <w:rFonts w:cs="Arial"/>
              </w:rPr>
              <w:t xml:space="preserve">also </w:t>
            </w:r>
            <w:r w:rsidRPr="00FA0F2A">
              <w:rPr>
                <w:rFonts w:cs="Arial"/>
              </w:rPr>
              <w:t>have sophisticated mechanisms for interacting with stakeholders which ensures communication is user-focused and consistent, and engagement is two-way.</w:t>
            </w:r>
          </w:p>
          <w:p w:rsidR="00AA785E" w:rsidRPr="00AA785E" w:rsidRDefault="00960E5E" w:rsidP="00FA0F2A">
            <w:r>
              <w:rPr>
                <w:rFonts w:cs="Arial"/>
              </w:rPr>
              <w:t xml:space="preserve">The Project consulted </w:t>
            </w:r>
            <w:r w:rsidR="007649EB" w:rsidRPr="00FA0F2A">
              <w:rPr>
                <w:rFonts w:cs="Arial"/>
              </w:rPr>
              <w:t>external s</w:t>
            </w:r>
            <w:r w:rsidR="00AA785E" w:rsidRPr="00FA0F2A">
              <w:rPr>
                <w:rFonts w:cs="Arial"/>
              </w:rPr>
              <w:t>takeholders</w:t>
            </w:r>
            <w:r>
              <w:rPr>
                <w:rFonts w:cs="Arial"/>
              </w:rPr>
              <w:t>. Some Stakeholder (particularly NGOs) requested more proactive engagement by the Department, particularly in relation to the development and implementation of new policies or other Departmental policies or changed. Feedback from some stakeholders also suggested that some staff in EPG do not have a strong understanding of the operating environment of relevant regulated entities and the full range of factors that influence their behaviours.</w:t>
            </w:r>
          </w:p>
          <w:p w:rsidR="00960E5E" w:rsidRDefault="00A40743" w:rsidP="00960E5E">
            <w:pPr>
              <w:pStyle w:val="ListBullet"/>
              <w:numPr>
                <w:ilvl w:val="0"/>
                <w:numId w:val="0"/>
              </w:numPr>
              <w:rPr>
                <w:rFonts w:cs="Arial"/>
              </w:rPr>
            </w:pPr>
            <w:r>
              <w:rPr>
                <w:rFonts w:cs="Arial"/>
              </w:rPr>
              <w:t>Chapter 6</w:t>
            </w:r>
            <w:r w:rsidR="00960E5E">
              <w:rPr>
                <w:rFonts w:cs="Arial"/>
              </w:rPr>
              <w:t xml:space="preserve"> makes recommendations regarding EPG’s approach to engagement, including:</w:t>
            </w:r>
          </w:p>
          <w:p w:rsidR="00FA0F2A" w:rsidRDefault="00FA0F2A" w:rsidP="00E65120">
            <w:pPr>
              <w:pStyle w:val="ListParagraph"/>
              <w:numPr>
                <w:ilvl w:val="0"/>
                <w:numId w:val="39"/>
              </w:numPr>
            </w:pPr>
            <w:r>
              <w:t xml:space="preserve">increasing </w:t>
            </w:r>
            <w:r w:rsidR="00AA785E">
              <w:t>knowledge of regulated industries</w:t>
            </w:r>
            <w:r w:rsidR="00960E5E">
              <w:t>;</w:t>
            </w:r>
          </w:p>
          <w:p w:rsidR="00FA0F2A" w:rsidRDefault="00AA785E" w:rsidP="00E65120">
            <w:pPr>
              <w:pStyle w:val="ListParagraph"/>
              <w:numPr>
                <w:ilvl w:val="0"/>
                <w:numId w:val="39"/>
              </w:numPr>
            </w:pPr>
            <w:r>
              <w:t>reducing the burden of information requests</w:t>
            </w:r>
            <w:r w:rsidR="00960E5E">
              <w:t>;</w:t>
            </w:r>
            <w:r>
              <w:t xml:space="preserve"> </w:t>
            </w:r>
          </w:p>
          <w:p w:rsidR="00FA0F2A" w:rsidRDefault="00AA785E" w:rsidP="00E65120">
            <w:pPr>
              <w:pStyle w:val="ListParagraph"/>
              <w:numPr>
                <w:ilvl w:val="0"/>
                <w:numId w:val="39"/>
              </w:numPr>
            </w:pPr>
            <w:r>
              <w:t>establishing and maintaining a single point of contact</w:t>
            </w:r>
            <w:r w:rsidR="00960E5E">
              <w:t>;</w:t>
            </w:r>
            <w:r>
              <w:t xml:space="preserve"> </w:t>
            </w:r>
          </w:p>
          <w:p w:rsidR="00FA0F2A" w:rsidRDefault="00182C69" w:rsidP="00E65120">
            <w:pPr>
              <w:pStyle w:val="ListParagraph"/>
              <w:numPr>
                <w:ilvl w:val="0"/>
                <w:numId w:val="39"/>
              </w:numPr>
            </w:pPr>
            <w:r>
              <w:t>speaking with a single voice</w:t>
            </w:r>
            <w:r w:rsidR="00960E5E">
              <w:t>; and</w:t>
            </w:r>
            <w:r>
              <w:t xml:space="preserve"> </w:t>
            </w:r>
          </w:p>
          <w:p w:rsidR="00AA785E" w:rsidRPr="00CF386A" w:rsidRDefault="00182C69" w:rsidP="00E65120">
            <w:pPr>
              <w:pStyle w:val="ListParagraph"/>
              <w:numPr>
                <w:ilvl w:val="0"/>
                <w:numId w:val="39"/>
              </w:numPr>
            </w:pPr>
            <w:r>
              <w:t xml:space="preserve">improving engagement with community groups, co-regulators and communities of practice.  </w:t>
            </w:r>
          </w:p>
        </w:tc>
      </w:tr>
    </w:tbl>
    <w:p w:rsidR="00AA785E" w:rsidRDefault="00AA785E" w:rsidP="00746311">
      <w:pPr>
        <w:pStyle w:val="Heading1"/>
        <w:spacing w:after="120"/>
        <w:rPr>
          <w:color w:val="0B5294" w:themeColor="accent1" w:themeShade="BF"/>
          <w:sz w:val="28"/>
          <w:szCs w:val="28"/>
        </w:rPr>
      </w:pPr>
    </w:p>
    <w:p w:rsidR="00E7528D" w:rsidRPr="00746311" w:rsidRDefault="00E7528D" w:rsidP="00746311">
      <w:pPr>
        <w:pStyle w:val="Heading1"/>
        <w:spacing w:after="120"/>
        <w:rPr>
          <w:color w:val="0B5294" w:themeColor="accent1" w:themeShade="BF"/>
          <w:sz w:val="28"/>
          <w:szCs w:val="28"/>
        </w:rPr>
      </w:pPr>
      <w:bookmarkStart w:id="71" w:name="_Toc442970873"/>
      <w:bookmarkStart w:id="72" w:name="_Toc443040017"/>
      <w:bookmarkStart w:id="73" w:name="_Toc443405198"/>
      <w:r w:rsidRPr="00746311">
        <w:rPr>
          <w:color w:val="0B5294" w:themeColor="accent1" w:themeShade="BF"/>
          <w:sz w:val="28"/>
          <w:szCs w:val="28"/>
        </w:rPr>
        <w:t>fINDINGS AND RECOMMENDATIONS</w:t>
      </w:r>
      <w:bookmarkEnd w:id="71"/>
      <w:bookmarkEnd w:id="72"/>
      <w:bookmarkEnd w:id="73"/>
    </w:p>
    <w:p w:rsidR="00E7528D" w:rsidRPr="00746311" w:rsidRDefault="00E7528D" w:rsidP="00746311">
      <w:pPr>
        <w:pStyle w:val="Heading1"/>
        <w:spacing w:after="120"/>
        <w:rPr>
          <w:caps w:val="0"/>
          <w:color w:val="0B5294" w:themeColor="accent1" w:themeShade="BF"/>
          <w:sz w:val="24"/>
          <w:szCs w:val="24"/>
        </w:rPr>
      </w:pPr>
      <w:bookmarkStart w:id="74" w:name="_Toc443405199"/>
      <w:r w:rsidRPr="00746311">
        <w:rPr>
          <w:caps w:val="0"/>
          <w:color w:val="0B5294" w:themeColor="accent1" w:themeShade="BF"/>
          <w:sz w:val="24"/>
          <w:szCs w:val="24"/>
        </w:rPr>
        <w:t>Understanding regulated industries</w:t>
      </w:r>
      <w:bookmarkEnd w:id="74"/>
      <w:r w:rsidRPr="00746311">
        <w:rPr>
          <w:caps w:val="0"/>
          <w:color w:val="0B5294" w:themeColor="accent1" w:themeShade="BF"/>
          <w:sz w:val="24"/>
          <w:szCs w:val="24"/>
        </w:rPr>
        <w:t xml:space="preserve"> </w:t>
      </w:r>
    </w:p>
    <w:p w:rsidR="00E7528D" w:rsidRDefault="00E7528D" w:rsidP="00E7528D">
      <w:pPr>
        <w:rPr>
          <w:rFonts w:cs="Arial"/>
        </w:rPr>
      </w:pPr>
      <w:r>
        <w:rPr>
          <w:rFonts w:cs="Arial"/>
        </w:rPr>
        <w:t xml:space="preserve">Many regulated entities operate within a wider industry and share similar challenges, priorities and business practices. </w:t>
      </w:r>
      <w:r>
        <w:t xml:space="preserve">Effective two-way engagement with industries allows a regulator to develop and maintain a sophisticated understanding of the various operating environments of regulated entities. This allows </w:t>
      </w:r>
      <w:r w:rsidR="00E578DB">
        <w:t xml:space="preserve">regulators </w:t>
      </w:r>
      <w:r>
        <w:t xml:space="preserve">to assess and </w:t>
      </w:r>
      <w:r>
        <w:rPr>
          <w:rFonts w:cs="Arial"/>
        </w:rPr>
        <w:t>improve the design and implementation of regulatory schemes</w:t>
      </w:r>
      <w:r w:rsidR="00E578DB">
        <w:rPr>
          <w:rFonts w:cs="Arial"/>
        </w:rPr>
        <w:t>,</w:t>
      </w:r>
      <w:r>
        <w:rPr>
          <w:rFonts w:cs="Arial"/>
        </w:rPr>
        <w:t xml:space="preserve"> including reducing regulatory burden. Strong relationships with</w:t>
      </w:r>
      <w:r w:rsidR="00E578DB">
        <w:rPr>
          <w:rFonts w:cs="Arial"/>
        </w:rPr>
        <w:t>,</w:t>
      </w:r>
      <w:r>
        <w:rPr>
          <w:rFonts w:cs="Arial"/>
        </w:rPr>
        <w:t xml:space="preserve"> and understanding of</w:t>
      </w:r>
      <w:r w:rsidR="00E578DB">
        <w:rPr>
          <w:rFonts w:cs="Arial"/>
        </w:rPr>
        <w:t>,</w:t>
      </w:r>
      <w:r>
        <w:rPr>
          <w:rFonts w:cs="Arial"/>
        </w:rPr>
        <w:t xml:space="preserve"> industry also helps regulators to identify and respond effectively to emerging threats and issues. </w:t>
      </w:r>
    </w:p>
    <w:p w:rsidR="00E7528D" w:rsidRDefault="00E578DB" w:rsidP="00E7528D">
      <w:pPr>
        <w:rPr>
          <w:rFonts w:cs="Arial"/>
        </w:rPr>
      </w:pPr>
      <w:r>
        <w:rPr>
          <w:rFonts w:cs="Arial"/>
        </w:rPr>
        <w:t>The Project found that s</w:t>
      </w:r>
      <w:r w:rsidR="00E7528D">
        <w:rPr>
          <w:rFonts w:cs="Arial"/>
        </w:rPr>
        <w:t xml:space="preserve">ome staff in EPG do not have </w:t>
      </w:r>
      <w:r w:rsidR="00E7528D" w:rsidRPr="00B9575D">
        <w:rPr>
          <w:rFonts w:cs="Arial"/>
        </w:rPr>
        <w:t xml:space="preserve">a strong understanding of the operating environment of </w:t>
      </w:r>
      <w:r w:rsidR="00E7528D">
        <w:rPr>
          <w:rFonts w:cs="Arial"/>
        </w:rPr>
        <w:t xml:space="preserve">relevant </w:t>
      </w:r>
      <w:r w:rsidR="00E7528D" w:rsidRPr="00B9575D">
        <w:rPr>
          <w:rFonts w:cs="Arial"/>
        </w:rPr>
        <w:t xml:space="preserve">regulated </w:t>
      </w:r>
      <w:r w:rsidR="00E7528D">
        <w:rPr>
          <w:rFonts w:cs="Arial"/>
        </w:rPr>
        <w:t>entities</w:t>
      </w:r>
      <w:r w:rsidR="00E7528D" w:rsidRPr="00B9575D">
        <w:rPr>
          <w:rFonts w:cs="Arial"/>
        </w:rPr>
        <w:t xml:space="preserve"> and the </w:t>
      </w:r>
      <w:r w:rsidR="00E7528D">
        <w:rPr>
          <w:rFonts w:cs="Arial"/>
        </w:rPr>
        <w:t xml:space="preserve">full range of </w:t>
      </w:r>
      <w:r w:rsidR="00E7528D" w:rsidRPr="00B9575D">
        <w:rPr>
          <w:rFonts w:cs="Arial"/>
        </w:rPr>
        <w:t xml:space="preserve">factors that influence their </w:t>
      </w:r>
      <w:r w:rsidR="00E7528D">
        <w:rPr>
          <w:rFonts w:cs="Arial"/>
        </w:rPr>
        <w:t>behaviour. This may</w:t>
      </w:r>
      <w:r>
        <w:rPr>
          <w:rFonts w:cs="Arial"/>
        </w:rPr>
        <w:t xml:space="preserve"> be</w:t>
      </w:r>
      <w:r w:rsidR="00E7528D">
        <w:rPr>
          <w:rFonts w:cs="Arial"/>
        </w:rPr>
        <w:t xml:space="preserve"> due to the wide range of stakeholders and industries that can be </w:t>
      </w:r>
      <w:r w:rsidR="00E7528D">
        <w:rPr>
          <w:rFonts w:cs="Arial"/>
        </w:rPr>
        <w:lastRenderedPageBreak/>
        <w:t>impacted by regulation. It may also be caused by the high volume of staff turnover and movement.</w:t>
      </w:r>
    </w:p>
    <w:tbl>
      <w:tblPr>
        <w:tblStyle w:val="TableGrid"/>
        <w:tblW w:w="0" w:type="auto"/>
        <w:tblLook w:val="04A0" w:firstRow="1" w:lastRow="0" w:firstColumn="1" w:lastColumn="0" w:noHBand="0" w:noVBand="1"/>
      </w:tblPr>
      <w:tblGrid>
        <w:gridCol w:w="9202"/>
      </w:tblGrid>
      <w:tr w:rsidR="00507774" w:rsidTr="001A4DC2">
        <w:trPr>
          <w:cnfStyle w:val="100000000000" w:firstRow="1" w:lastRow="0" w:firstColumn="0" w:lastColumn="0" w:oddVBand="0" w:evenVBand="0" w:oddHBand="0" w:evenHBand="0" w:firstRowFirstColumn="0" w:firstRowLastColumn="0" w:lastRowFirstColumn="0" w:lastRowLastColumn="0"/>
        </w:trPr>
        <w:tc>
          <w:tcPr>
            <w:tcW w:w="9428" w:type="dxa"/>
            <w:shd w:val="clear" w:color="auto" w:fill="E4F4DF" w:themeFill="accent5" w:themeFillTint="33"/>
          </w:tcPr>
          <w:p w:rsidR="001A4DC2" w:rsidRPr="00A466EF" w:rsidRDefault="001A4DC2" w:rsidP="001A4DC2">
            <w:pPr>
              <w:rPr>
                <w:rFonts w:cs="Arial"/>
                <w:b/>
              </w:rPr>
            </w:pPr>
            <w:r w:rsidRPr="00A466EF">
              <w:rPr>
                <w:rFonts w:cs="Arial"/>
                <w:b/>
              </w:rPr>
              <w:t xml:space="preserve">Case study – </w:t>
            </w:r>
            <w:r w:rsidR="0095123A">
              <w:rPr>
                <w:rFonts w:cs="Arial"/>
                <w:b/>
              </w:rPr>
              <w:t>understanding regulated entities</w:t>
            </w:r>
            <w:r w:rsidRPr="00A466EF">
              <w:rPr>
                <w:rFonts w:cs="Arial"/>
                <w:b/>
              </w:rPr>
              <w:t xml:space="preserve">  </w:t>
            </w:r>
          </w:p>
          <w:p w:rsidR="0011470C" w:rsidRPr="00A466EF" w:rsidRDefault="001A4DC2" w:rsidP="001A4DC2">
            <w:pPr>
              <w:rPr>
                <w:rFonts w:cs="Arial"/>
              </w:rPr>
            </w:pPr>
            <w:r>
              <w:rPr>
                <w:rFonts w:cs="Arial"/>
              </w:rPr>
              <w:t>Licensed c</w:t>
            </w:r>
            <w:r w:rsidRPr="00A466EF">
              <w:rPr>
                <w:rFonts w:cs="Arial"/>
              </w:rPr>
              <w:t xml:space="preserve">ustoms </w:t>
            </w:r>
            <w:r>
              <w:rPr>
                <w:rFonts w:cs="Arial"/>
              </w:rPr>
              <w:t>b</w:t>
            </w:r>
            <w:r w:rsidRPr="00A466EF">
              <w:rPr>
                <w:rFonts w:cs="Arial"/>
              </w:rPr>
              <w:t xml:space="preserve">rokers are important allies in regulating </w:t>
            </w:r>
            <w:r>
              <w:rPr>
                <w:rFonts w:cs="Arial"/>
              </w:rPr>
              <w:t xml:space="preserve">the </w:t>
            </w:r>
            <w:r w:rsidRPr="00A466EF">
              <w:rPr>
                <w:rFonts w:cs="Arial"/>
              </w:rPr>
              <w:t xml:space="preserve">import of goods controlled by </w:t>
            </w:r>
            <w:r>
              <w:rPr>
                <w:rFonts w:cs="Arial"/>
              </w:rPr>
              <w:t>the</w:t>
            </w:r>
            <w:r w:rsidRPr="00A466EF">
              <w:rPr>
                <w:rFonts w:cs="Arial"/>
              </w:rPr>
              <w:t xml:space="preserve"> </w:t>
            </w:r>
            <w:r>
              <w:rPr>
                <w:rFonts w:cs="Arial"/>
              </w:rPr>
              <w:t>D</w:t>
            </w:r>
            <w:r w:rsidRPr="00A466EF">
              <w:rPr>
                <w:rFonts w:cs="Arial"/>
              </w:rPr>
              <w:t>epartment</w:t>
            </w:r>
            <w:r w:rsidR="00A40743">
              <w:rPr>
                <w:rFonts w:cs="Arial"/>
              </w:rPr>
              <w:t>. B</w:t>
            </w:r>
            <w:r w:rsidR="0011470C">
              <w:rPr>
                <w:rFonts w:cs="Arial"/>
              </w:rPr>
              <w:t xml:space="preserve">y working closely with customs brokers in recent years, the Department has made it easier for regulated </w:t>
            </w:r>
            <w:r w:rsidR="0095123A">
              <w:rPr>
                <w:rFonts w:cs="Arial"/>
              </w:rPr>
              <w:t>entities</w:t>
            </w:r>
            <w:r w:rsidR="0011470C">
              <w:rPr>
                <w:rFonts w:cs="Arial"/>
              </w:rPr>
              <w:t xml:space="preserve"> to comply with import and export requirements. </w:t>
            </w:r>
          </w:p>
          <w:p w:rsidR="001A4DC2" w:rsidRDefault="0011470C" w:rsidP="001A4DC2">
            <w:pPr>
              <w:rPr>
                <w:rFonts w:cs="Arial"/>
              </w:rPr>
            </w:pPr>
            <w:r>
              <w:rPr>
                <w:rFonts w:cs="Arial"/>
              </w:rPr>
              <w:t>Customs b</w:t>
            </w:r>
            <w:r w:rsidR="001A4DC2" w:rsidRPr="00A466EF">
              <w:rPr>
                <w:rFonts w:cs="Arial"/>
              </w:rPr>
              <w:t xml:space="preserve">rokers are licensed by </w:t>
            </w:r>
            <w:r w:rsidR="00E578DB">
              <w:rPr>
                <w:rFonts w:cs="Arial"/>
              </w:rPr>
              <w:t xml:space="preserve">the </w:t>
            </w:r>
            <w:r w:rsidR="001A4DC2">
              <w:rPr>
                <w:rFonts w:cs="Arial"/>
              </w:rPr>
              <w:t>Australian Border Force</w:t>
            </w:r>
            <w:r w:rsidR="001A4DC2" w:rsidRPr="00A466EF">
              <w:rPr>
                <w:rFonts w:cs="Arial"/>
              </w:rPr>
              <w:t xml:space="preserve"> and need to maintain their knowledge of thousands of categories of goods </w:t>
            </w:r>
            <w:r w:rsidR="001A4DC2">
              <w:rPr>
                <w:rFonts w:cs="Arial"/>
              </w:rPr>
              <w:t>in order to fulfil customs clearance requirements.</w:t>
            </w:r>
            <w:r w:rsidR="001A4DC2" w:rsidRPr="00A466EF">
              <w:rPr>
                <w:rFonts w:cs="Arial"/>
              </w:rPr>
              <w:t xml:space="preserve"> </w:t>
            </w:r>
            <w:r>
              <w:rPr>
                <w:rFonts w:cs="Arial"/>
              </w:rPr>
              <w:t>Customs b</w:t>
            </w:r>
            <w:r w:rsidR="001A4DC2" w:rsidRPr="00A466EF">
              <w:rPr>
                <w:rFonts w:cs="Arial"/>
              </w:rPr>
              <w:t>rokers</w:t>
            </w:r>
            <w:r>
              <w:rPr>
                <w:rFonts w:cs="Arial"/>
              </w:rPr>
              <w:t xml:space="preserve"> </w:t>
            </w:r>
            <w:r w:rsidR="001A4DC2" w:rsidRPr="00A466EF">
              <w:rPr>
                <w:rFonts w:cs="Arial"/>
              </w:rPr>
              <w:t xml:space="preserve">need a clear process map to explain </w:t>
            </w:r>
            <w:r w:rsidR="001A4DC2">
              <w:rPr>
                <w:rFonts w:cs="Arial"/>
              </w:rPr>
              <w:t xml:space="preserve">the </w:t>
            </w:r>
            <w:r w:rsidR="001A4DC2" w:rsidRPr="00A466EF">
              <w:rPr>
                <w:rFonts w:cs="Arial"/>
              </w:rPr>
              <w:t>steps in the clearance process</w:t>
            </w:r>
            <w:r w:rsidR="0095123A">
              <w:rPr>
                <w:rFonts w:cs="Arial"/>
              </w:rPr>
              <w:t xml:space="preserve"> to regulated entities</w:t>
            </w:r>
            <w:r w:rsidR="001A4DC2" w:rsidRPr="00A466EF">
              <w:rPr>
                <w:rFonts w:cs="Arial"/>
              </w:rPr>
              <w:t>, and a list of documentation their clients must provide.</w:t>
            </w:r>
          </w:p>
          <w:p w:rsidR="001A4DC2" w:rsidRDefault="001A4DC2" w:rsidP="001A4DC2">
            <w:pPr>
              <w:rPr>
                <w:rFonts w:cs="Arial"/>
              </w:rPr>
            </w:pPr>
            <w:r w:rsidRPr="00A466EF">
              <w:rPr>
                <w:rFonts w:cs="Arial"/>
              </w:rPr>
              <w:t>Over the past two years</w:t>
            </w:r>
            <w:r>
              <w:rPr>
                <w:rFonts w:cs="Arial"/>
              </w:rPr>
              <w:t>,</w:t>
            </w:r>
            <w:r w:rsidRPr="00A466EF">
              <w:rPr>
                <w:rFonts w:cs="Arial"/>
              </w:rPr>
              <w:t xml:space="preserve"> </w:t>
            </w:r>
            <w:r w:rsidR="00E578DB">
              <w:rPr>
                <w:rFonts w:cs="Arial"/>
              </w:rPr>
              <w:t xml:space="preserve">Departmental </w:t>
            </w:r>
            <w:r w:rsidRPr="00A466EF">
              <w:rPr>
                <w:rFonts w:cs="Arial"/>
              </w:rPr>
              <w:t xml:space="preserve">staff have provided training for </w:t>
            </w:r>
            <w:r w:rsidR="0095123A">
              <w:rPr>
                <w:rFonts w:cs="Arial"/>
              </w:rPr>
              <w:t xml:space="preserve">customs </w:t>
            </w:r>
            <w:r>
              <w:rPr>
                <w:rFonts w:cs="Arial"/>
              </w:rPr>
              <w:t>b</w:t>
            </w:r>
            <w:r w:rsidRPr="00A466EF">
              <w:rPr>
                <w:rFonts w:cs="Arial"/>
              </w:rPr>
              <w:t>rokers</w:t>
            </w:r>
            <w:r w:rsidR="0011470C">
              <w:rPr>
                <w:rFonts w:cs="Arial"/>
              </w:rPr>
              <w:t xml:space="preserve"> regarding the </w:t>
            </w:r>
            <w:r w:rsidR="0011470C" w:rsidRPr="00A466EF">
              <w:rPr>
                <w:rFonts w:cs="Arial"/>
              </w:rPr>
              <w:t>import and export of Ozone Depleting Substances and Synthetic Greenhouse Gases</w:t>
            </w:r>
            <w:r w:rsidRPr="00A466EF">
              <w:rPr>
                <w:rFonts w:cs="Arial"/>
              </w:rPr>
              <w:t xml:space="preserve">. </w:t>
            </w:r>
            <w:r>
              <w:rPr>
                <w:rFonts w:cs="Arial"/>
              </w:rPr>
              <w:t>The Department developed broker-focused training</w:t>
            </w:r>
            <w:r w:rsidRPr="00A466EF">
              <w:rPr>
                <w:rFonts w:cs="Arial"/>
              </w:rPr>
              <w:t xml:space="preserve"> </w:t>
            </w:r>
            <w:r>
              <w:rPr>
                <w:rFonts w:cs="Arial"/>
              </w:rPr>
              <w:t>material</w:t>
            </w:r>
            <w:r w:rsidRPr="00A466EF">
              <w:rPr>
                <w:rFonts w:cs="Arial"/>
              </w:rPr>
              <w:t xml:space="preserve"> </w:t>
            </w:r>
            <w:r>
              <w:rPr>
                <w:rFonts w:cs="Arial"/>
              </w:rPr>
              <w:t>and</w:t>
            </w:r>
            <w:r w:rsidRPr="00A466EF">
              <w:rPr>
                <w:rFonts w:cs="Arial"/>
              </w:rPr>
              <w:t xml:space="preserve"> presented</w:t>
            </w:r>
            <w:r>
              <w:rPr>
                <w:rFonts w:cs="Arial"/>
              </w:rPr>
              <w:t xml:space="preserve"> it</w:t>
            </w:r>
            <w:r w:rsidRPr="00A466EF">
              <w:rPr>
                <w:rFonts w:cs="Arial"/>
              </w:rPr>
              <w:t xml:space="preserve"> at five regional conferences</w:t>
            </w:r>
            <w:r>
              <w:rPr>
                <w:rFonts w:cs="Arial"/>
              </w:rPr>
              <w:t xml:space="preserve">. Further information specifically created for </w:t>
            </w:r>
            <w:r w:rsidR="0095123A">
              <w:rPr>
                <w:rFonts w:cs="Arial"/>
              </w:rPr>
              <w:t xml:space="preserve">customs </w:t>
            </w:r>
            <w:r>
              <w:rPr>
                <w:rFonts w:cs="Arial"/>
              </w:rPr>
              <w:t xml:space="preserve">brokers </w:t>
            </w:r>
            <w:r w:rsidR="0095123A">
              <w:rPr>
                <w:rFonts w:cs="Arial"/>
              </w:rPr>
              <w:t xml:space="preserve">has also been published </w:t>
            </w:r>
            <w:r>
              <w:rPr>
                <w:rFonts w:cs="Arial"/>
              </w:rPr>
              <w:t>on the D</w:t>
            </w:r>
            <w:r w:rsidRPr="00A466EF">
              <w:rPr>
                <w:rFonts w:cs="Arial"/>
              </w:rPr>
              <w:t>epartment</w:t>
            </w:r>
            <w:r>
              <w:rPr>
                <w:rFonts w:cs="Arial"/>
              </w:rPr>
              <w:t xml:space="preserve">’s website. </w:t>
            </w:r>
          </w:p>
          <w:p w:rsidR="001A4DC2" w:rsidRDefault="001A4DC2" w:rsidP="001A4DC2">
            <w:pPr>
              <w:rPr>
                <w:rFonts w:cs="Arial"/>
              </w:rPr>
            </w:pPr>
            <w:r w:rsidRPr="00A466EF">
              <w:rPr>
                <w:rFonts w:cs="Arial"/>
              </w:rPr>
              <w:t>This</w:t>
            </w:r>
            <w:r>
              <w:rPr>
                <w:rFonts w:cs="Arial"/>
              </w:rPr>
              <w:t xml:space="preserve"> work</w:t>
            </w:r>
            <w:r w:rsidRPr="00A466EF">
              <w:rPr>
                <w:rFonts w:cs="Arial"/>
              </w:rPr>
              <w:t xml:space="preserve"> </w:t>
            </w:r>
            <w:r>
              <w:rPr>
                <w:rFonts w:cs="Arial"/>
              </w:rPr>
              <w:t xml:space="preserve">has </w:t>
            </w:r>
            <w:r w:rsidRPr="00A466EF">
              <w:rPr>
                <w:rFonts w:cs="Arial"/>
              </w:rPr>
              <w:t xml:space="preserve">raised </w:t>
            </w:r>
            <w:r w:rsidR="0095123A">
              <w:rPr>
                <w:rFonts w:cs="Arial"/>
              </w:rPr>
              <w:t xml:space="preserve">customs </w:t>
            </w:r>
            <w:r>
              <w:rPr>
                <w:rFonts w:cs="Arial"/>
              </w:rPr>
              <w:t>brokers’</w:t>
            </w:r>
            <w:r w:rsidRPr="00A466EF">
              <w:rPr>
                <w:rFonts w:cs="Arial"/>
              </w:rPr>
              <w:t xml:space="preserve"> awareness of licensing requirements and significantly reduce</w:t>
            </w:r>
            <w:r>
              <w:rPr>
                <w:rFonts w:cs="Arial"/>
              </w:rPr>
              <w:t>d</w:t>
            </w:r>
            <w:r w:rsidRPr="00A466EF">
              <w:rPr>
                <w:rFonts w:cs="Arial"/>
              </w:rPr>
              <w:t xml:space="preserve"> the number of </w:t>
            </w:r>
            <w:r w:rsidR="0011470C">
              <w:rPr>
                <w:rFonts w:cs="Arial"/>
              </w:rPr>
              <w:t xml:space="preserve">delays in </w:t>
            </w:r>
            <w:r>
              <w:rPr>
                <w:rFonts w:cs="Arial"/>
              </w:rPr>
              <w:t>the customs clearance process. T</w:t>
            </w:r>
            <w:r w:rsidRPr="00A466EF">
              <w:rPr>
                <w:rFonts w:cs="Arial"/>
              </w:rPr>
              <w:t xml:space="preserve">he number of </w:t>
            </w:r>
            <w:r>
              <w:rPr>
                <w:rFonts w:cs="Arial"/>
              </w:rPr>
              <w:t>unlicensed imports</w:t>
            </w:r>
            <w:r w:rsidRPr="00A466EF">
              <w:rPr>
                <w:rFonts w:cs="Arial"/>
              </w:rPr>
              <w:t xml:space="preserve"> has</w:t>
            </w:r>
            <w:r>
              <w:rPr>
                <w:rFonts w:cs="Arial"/>
              </w:rPr>
              <w:t xml:space="preserve"> also been</w:t>
            </w:r>
            <w:r w:rsidRPr="00A466EF">
              <w:rPr>
                <w:rFonts w:cs="Arial"/>
              </w:rPr>
              <w:t xml:space="preserve"> reduced significantly</w:t>
            </w:r>
            <w:r>
              <w:rPr>
                <w:rFonts w:cs="Arial"/>
              </w:rPr>
              <w:t xml:space="preserve">. </w:t>
            </w:r>
          </w:p>
          <w:p w:rsidR="00507774" w:rsidRDefault="001A4DC2" w:rsidP="001A4DC2">
            <w:pPr>
              <w:rPr>
                <w:rFonts w:cs="Arial"/>
              </w:rPr>
            </w:pPr>
            <w:r>
              <w:rPr>
                <w:rFonts w:cs="Arial"/>
              </w:rPr>
              <w:t xml:space="preserve">This process has also been beneficial for </w:t>
            </w:r>
            <w:r w:rsidR="0011470C">
              <w:rPr>
                <w:rFonts w:cs="Arial"/>
              </w:rPr>
              <w:t>D</w:t>
            </w:r>
            <w:r>
              <w:rPr>
                <w:rFonts w:cs="Arial"/>
              </w:rPr>
              <w:t xml:space="preserve">epartmental staff as they have gained key </w:t>
            </w:r>
            <w:r w:rsidRPr="00A466EF">
              <w:rPr>
                <w:rFonts w:cs="Arial"/>
              </w:rPr>
              <w:t>insight</w:t>
            </w:r>
            <w:r>
              <w:rPr>
                <w:rFonts w:cs="Arial"/>
              </w:rPr>
              <w:t>s into</w:t>
            </w:r>
            <w:r w:rsidRPr="00A466EF">
              <w:rPr>
                <w:rFonts w:cs="Arial"/>
              </w:rPr>
              <w:t xml:space="preserve"> </w:t>
            </w:r>
            <w:r w:rsidR="0095123A">
              <w:rPr>
                <w:rFonts w:cs="Arial"/>
              </w:rPr>
              <w:t xml:space="preserve">the </w:t>
            </w:r>
            <w:r w:rsidRPr="00A466EF">
              <w:rPr>
                <w:rFonts w:cs="Arial"/>
              </w:rPr>
              <w:t>role and information needs</w:t>
            </w:r>
            <w:r w:rsidR="0095123A">
              <w:rPr>
                <w:rFonts w:cs="Arial"/>
              </w:rPr>
              <w:t xml:space="preserve"> of custom brokers</w:t>
            </w:r>
            <w:r w:rsidRPr="00A466EF">
              <w:rPr>
                <w:rFonts w:cs="Arial"/>
              </w:rPr>
              <w:t xml:space="preserve">. </w:t>
            </w:r>
            <w:r>
              <w:rPr>
                <w:rFonts w:cs="Arial"/>
              </w:rPr>
              <w:t xml:space="preserve">The Department is also spending less time responding to urgent calls from customs brokers and clients, allowing </w:t>
            </w:r>
            <w:r w:rsidR="0095123A">
              <w:rPr>
                <w:rFonts w:cs="Arial"/>
              </w:rPr>
              <w:t>the Department</w:t>
            </w:r>
            <w:r w:rsidR="0095123A" w:rsidRPr="00A466EF">
              <w:rPr>
                <w:rFonts w:cs="Arial"/>
              </w:rPr>
              <w:t xml:space="preserve"> </w:t>
            </w:r>
            <w:r w:rsidRPr="00A466EF">
              <w:rPr>
                <w:rFonts w:cs="Arial"/>
              </w:rPr>
              <w:t xml:space="preserve">to re-direct resources to </w:t>
            </w:r>
            <w:r>
              <w:rPr>
                <w:rFonts w:cs="Arial"/>
              </w:rPr>
              <w:t>other</w:t>
            </w:r>
            <w:r w:rsidRPr="00A466EF">
              <w:rPr>
                <w:rFonts w:cs="Arial"/>
              </w:rPr>
              <w:t xml:space="preserve"> priorities, such as compliance and enforcement.</w:t>
            </w:r>
            <w:r>
              <w:rPr>
                <w:rFonts w:cs="Arial"/>
              </w:rPr>
              <w:t xml:space="preserve"> This work has also improved the Department’s relationship with Border Force.</w:t>
            </w:r>
          </w:p>
        </w:tc>
      </w:tr>
    </w:tbl>
    <w:p w:rsidR="00507774" w:rsidRDefault="00507774" w:rsidP="00E7528D">
      <w:pPr>
        <w:rPr>
          <w:rFonts w:cs="Arial"/>
        </w:rPr>
      </w:pPr>
    </w:p>
    <w:tbl>
      <w:tblPr>
        <w:tblStyle w:val="TableGrid"/>
        <w:tblW w:w="0" w:type="auto"/>
        <w:tblLook w:val="04A0" w:firstRow="1" w:lastRow="0" w:firstColumn="1" w:lastColumn="0" w:noHBand="0" w:noVBand="1"/>
      </w:tblPr>
      <w:tblGrid>
        <w:gridCol w:w="9212"/>
      </w:tblGrid>
      <w:tr w:rsidR="00E7528D" w:rsidTr="00746311">
        <w:trPr>
          <w:cnfStyle w:val="100000000000" w:firstRow="1" w:lastRow="0" w:firstColumn="0" w:lastColumn="0" w:oddVBand="0" w:evenVBand="0" w:oddHBand="0" w:evenHBand="0" w:firstRowFirstColumn="0" w:firstRowLastColumn="0" w:lastRowFirstColumn="0" w:lastRowLastColumn="0"/>
        </w:trPr>
        <w:tc>
          <w:tcPr>
            <w:tcW w:w="9428" w:type="dxa"/>
            <w:tcBorders>
              <w:top w:val="nil"/>
              <w:left w:val="nil"/>
              <w:bottom w:val="nil"/>
              <w:right w:val="nil"/>
            </w:tcBorders>
            <w:shd w:val="clear" w:color="auto" w:fill="C7E2FA" w:themeFill="accent1" w:themeFillTint="33"/>
          </w:tcPr>
          <w:p w:rsidR="00E7528D" w:rsidRDefault="00E7528D" w:rsidP="00E7528D">
            <w:pPr>
              <w:spacing w:after="0"/>
              <w:rPr>
                <w:b/>
              </w:rPr>
            </w:pPr>
            <w:r w:rsidRPr="009908F8">
              <w:rPr>
                <w:b/>
              </w:rPr>
              <w:t>Recommendation</w:t>
            </w:r>
            <w:r>
              <w:rPr>
                <w:b/>
              </w:rPr>
              <w:t xml:space="preserve"> 6.</w:t>
            </w:r>
            <w:r w:rsidRPr="009908F8">
              <w:rPr>
                <w:b/>
              </w:rPr>
              <w:t xml:space="preserve">1 (Understanding regulated </w:t>
            </w:r>
            <w:r>
              <w:rPr>
                <w:b/>
              </w:rPr>
              <w:t>industries)</w:t>
            </w:r>
          </w:p>
          <w:p w:rsidR="00E7528D" w:rsidRDefault="00E7528D" w:rsidP="00E7528D">
            <w:pPr>
              <w:spacing w:after="0"/>
              <w:rPr>
                <w:b/>
              </w:rPr>
            </w:pPr>
          </w:p>
          <w:p w:rsidR="00E7528D" w:rsidRDefault="00E7528D" w:rsidP="00E7528D">
            <w:pPr>
              <w:spacing w:after="0"/>
            </w:pPr>
            <w:r>
              <w:rPr>
                <w:i/>
              </w:rPr>
              <w:t xml:space="preserve">Importance: </w:t>
            </w:r>
            <w:r>
              <w:t>2</w:t>
            </w:r>
          </w:p>
          <w:p w:rsidR="00E7528D" w:rsidRPr="00756D7E" w:rsidRDefault="00E7528D" w:rsidP="00E7528D">
            <w:pPr>
              <w:spacing w:after="0"/>
            </w:pPr>
          </w:p>
          <w:p w:rsidR="00E7528D" w:rsidRDefault="00E7528D" w:rsidP="00E7528D">
            <w:pPr>
              <w:spacing w:after="0"/>
            </w:pPr>
            <w:r>
              <w:rPr>
                <w:i/>
              </w:rPr>
              <w:t>Tim</w:t>
            </w:r>
            <w:r w:rsidR="00627742">
              <w:rPr>
                <w:i/>
              </w:rPr>
              <w:t>ing</w:t>
            </w:r>
            <w:r>
              <w:rPr>
                <w:i/>
              </w:rPr>
              <w:t>:</w:t>
            </w:r>
            <w:r>
              <w:t xml:space="preserve"> 2 and ongoing</w:t>
            </w:r>
          </w:p>
          <w:p w:rsidR="00E7528D" w:rsidRPr="00756D7E" w:rsidRDefault="00E7528D" w:rsidP="00E7528D">
            <w:pPr>
              <w:spacing w:after="0"/>
            </w:pPr>
          </w:p>
          <w:p w:rsidR="005D008E" w:rsidRDefault="00E7528D" w:rsidP="00ED2F95">
            <w:pPr>
              <w:rPr>
                <w:rFonts w:cs="Arial"/>
              </w:rPr>
            </w:pPr>
            <w:r w:rsidRPr="009908F8">
              <w:rPr>
                <w:rFonts w:cs="Arial"/>
              </w:rPr>
              <w:t xml:space="preserve">EPG should </w:t>
            </w:r>
            <w:r w:rsidR="00ED2F95">
              <w:rPr>
                <w:rFonts w:cs="Arial"/>
              </w:rPr>
              <w:t xml:space="preserve">establish a group of </w:t>
            </w:r>
            <w:r w:rsidRPr="009908F8">
              <w:rPr>
                <w:rFonts w:cs="Arial"/>
              </w:rPr>
              <w:t>industry or stakeholder expert</w:t>
            </w:r>
            <w:r w:rsidR="00ED2F95">
              <w:rPr>
                <w:rFonts w:cs="Arial"/>
              </w:rPr>
              <w:t>s</w:t>
            </w:r>
            <w:r w:rsidRPr="009908F8">
              <w:rPr>
                <w:rFonts w:cs="Arial"/>
              </w:rPr>
              <w:t xml:space="preserve">. </w:t>
            </w:r>
            <w:r w:rsidR="00ED2F95">
              <w:rPr>
                <w:rFonts w:cs="Arial"/>
              </w:rPr>
              <w:t>Each</w:t>
            </w:r>
            <w:r w:rsidR="00ED2F95" w:rsidRPr="009908F8">
              <w:rPr>
                <w:rFonts w:cs="Arial"/>
              </w:rPr>
              <w:t xml:space="preserve"> </w:t>
            </w:r>
            <w:r w:rsidRPr="009908F8">
              <w:rPr>
                <w:rFonts w:cs="Arial"/>
              </w:rPr>
              <w:t>‘expert’ would be an internal source of information and intelligence on particular stakeholder</w:t>
            </w:r>
            <w:r w:rsidR="00ED2F95">
              <w:rPr>
                <w:rFonts w:cs="Arial"/>
              </w:rPr>
              <w:t>s</w:t>
            </w:r>
            <w:r>
              <w:rPr>
                <w:rFonts w:cs="Arial"/>
              </w:rPr>
              <w:t xml:space="preserve"> or industr</w:t>
            </w:r>
            <w:r w:rsidR="00ED2F95">
              <w:rPr>
                <w:rFonts w:cs="Arial"/>
              </w:rPr>
              <w:t>ie</w:t>
            </w:r>
            <w:r w:rsidRPr="009908F8">
              <w:rPr>
                <w:rFonts w:cs="Arial"/>
              </w:rPr>
              <w:t xml:space="preserve">. This would be recognised in the work allocation for </w:t>
            </w:r>
            <w:r w:rsidR="00ED2F95">
              <w:rPr>
                <w:rFonts w:cs="Arial"/>
              </w:rPr>
              <w:t>each</w:t>
            </w:r>
            <w:r w:rsidR="00ED2F95" w:rsidRPr="009908F8">
              <w:rPr>
                <w:rFonts w:cs="Arial"/>
              </w:rPr>
              <w:t xml:space="preserve"> </w:t>
            </w:r>
            <w:r w:rsidRPr="009908F8">
              <w:rPr>
                <w:rFonts w:cs="Arial"/>
              </w:rPr>
              <w:t>officer.</w:t>
            </w:r>
            <w:r>
              <w:rPr>
                <w:rFonts w:cs="Arial"/>
              </w:rPr>
              <w:t xml:space="preserve"> </w:t>
            </w:r>
            <w:r w:rsidRPr="00EC5BB0">
              <w:rPr>
                <w:rFonts w:cs="Arial"/>
              </w:rPr>
              <w:t>These officers could undertake a range of formal and informal training activities to improve in their understanding of the o</w:t>
            </w:r>
            <w:r>
              <w:rPr>
                <w:rFonts w:cs="Arial"/>
              </w:rPr>
              <w:t>perating context of key industries, as well as the broader regulatory, social and economic pressures they face.</w:t>
            </w:r>
          </w:p>
        </w:tc>
      </w:tr>
    </w:tbl>
    <w:p w:rsidR="00913A4E" w:rsidRDefault="00913A4E" w:rsidP="00746311">
      <w:pPr>
        <w:pStyle w:val="Heading1"/>
        <w:spacing w:after="120"/>
        <w:rPr>
          <w:caps w:val="0"/>
          <w:color w:val="0B5294" w:themeColor="accent1" w:themeShade="BF"/>
          <w:sz w:val="24"/>
          <w:szCs w:val="24"/>
        </w:rPr>
      </w:pPr>
    </w:p>
    <w:p w:rsidR="00E7528D" w:rsidRPr="00746311" w:rsidRDefault="00E7528D" w:rsidP="00746311">
      <w:pPr>
        <w:pStyle w:val="Heading1"/>
        <w:spacing w:after="120"/>
        <w:rPr>
          <w:caps w:val="0"/>
          <w:color w:val="0B5294" w:themeColor="accent1" w:themeShade="BF"/>
          <w:sz w:val="24"/>
          <w:szCs w:val="24"/>
        </w:rPr>
      </w:pPr>
      <w:bookmarkStart w:id="75" w:name="_Toc443405200"/>
      <w:r w:rsidRPr="00746311">
        <w:rPr>
          <w:caps w:val="0"/>
          <w:color w:val="0B5294" w:themeColor="accent1" w:themeShade="BF"/>
          <w:sz w:val="24"/>
          <w:szCs w:val="24"/>
        </w:rPr>
        <w:t>Reducing the burden of information requests</w:t>
      </w:r>
      <w:bookmarkEnd w:id="75"/>
    </w:p>
    <w:p w:rsidR="00E7528D" w:rsidRDefault="00E7528D" w:rsidP="00E7528D">
      <w:pPr>
        <w:rPr>
          <w:rFonts w:cs="Arial"/>
        </w:rPr>
      </w:pPr>
      <w:r w:rsidRPr="009908F8">
        <w:rPr>
          <w:rFonts w:cs="Arial"/>
        </w:rPr>
        <w:t xml:space="preserve">When regulated entities understand the requirements and expectations of legislation or a </w:t>
      </w:r>
      <w:r>
        <w:rPr>
          <w:rFonts w:cs="Arial"/>
        </w:rPr>
        <w:t>regulatory</w:t>
      </w:r>
      <w:r w:rsidRPr="009908F8">
        <w:rPr>
          <w:rFonts w:cs="Arial"/>
        </w:rPr>
        <w:t xml:space="preserve"> process, burden is significantly reduced for both the agency and the entity and compliance with these expectations is high</w:t>
      </w:r>
      <w:r w:rsidR="00BE451A">
        <w:rPr>
          <w:rFonts w:cs="Arial"/>
        </w:rPr>
        <w:t>er</w:t>
      </w:r>
      <w:r w:rsidRPr="009908F8">
        <w:rPr>
          <w:rFonts w:cs="Arial"/>
        </w:rPr>
        <w:t xml:space="preserve">. </w:t>
      </w:r>
      <w:r>
        <w:rPr>
          <w:rFonts w:cs="Arial"/>
        </w:rPr>
        <w:t xml:space="preserve">Mature regulators have fit-for-purpose forms and </w:t>
      </w:r>
      <w:r>
        <w:rPr>
          <w:rFonts w:cs="Arial"/>
        </w:rPr>
        <w:lastRenderedPageBreak/>
        <w:t xml:space="preserve">guidance for regulated entities to use during a determination processes, outlining informational requirements and expectations. </w:t>
      </w:r>
      <w:r w:rsidR="00BE451A">
        <w:rPr>
          <w:rFonts w:cs="Arial"/>
        </w:rPr>
        <w:t xml:space="preserve">Mature regulators </w:t>
      </w:r>
      <w:r>
        <w:rPr>
          <w:rFonts w:cs="Arial"/>
        </w:rPr>
        <w:t xml:space="preserve">only request information that is necessary for the relevant regulatory scheme. </w:t>
      </w:r>
      <w:r w:rsidR="00BE451A">
        <w:rPr>
          <w:rFonts w:cs="Arial"/>
        </w:rPr>
        <w:t>Mature regulators</w:t>
      </w:r>
      <w:r>
        <w:rPr>
          <w:rFonts w:cs="Arial"/>
        </w:rPr>
        <w:t xml:space="preserve"> coordinate requests for information internally and with other regulators and, where possible, rely on information that is already available. </w:t>
      </w:r>
    </w:p>
    <w:p w:rsidR="00E7528D" w:rsidRPr="00250B0C" w:rsidRDefault="00BE451A" w:rsidP="00E7528D">
      <w:pPr>
        <w:rPr>
          <w:rFonts w:cs="Arial"/>
        </w:rPr>
      </w:pPr>
      <w:r>
        <w:rPr>
          <w:rFonts w:cs="Arial"/>
        </w:rPr>
        <w:t>During consultation, i</w:t>
      </w:r>
      <w:r w:rsidR="00E7528D">
        <w:rPr>
          <w:rFonts w:cs="Arial"/>
        </w:rPr>
        <w:t>ndustry groups advised that their members reported that Departmental officers are professional and dedicated, and attempt to work constructively with the regulated community throughout regulatory processes. However</w:t>
      </w:r>
      <w:r>
        <w:rPr>
          <w:rFonts w:cs="Arial"/>
        </w:rPr>
        <w:t xml:space="preserve">, the </w:t>
      </w:r>
      <w:r w:rsidR="00E7528D">
        <w:rPr>
          <w:rFonts w:cs="Arial"/>
        </w:rPr>
        <w:t xml:space="preserve">high </w:t>
      </w:r>
      <w:r>
        <w:rPr>
          <w:rFonts w:cs="Arial"/>
        </w:rPr>
        <w:t xml:space="preserve">rate of </w:t>
      </w:r>
      <w:r w:rsidR="00E7528D">
        <w:rPr>
          <w:rFonts w:cs="Arial"/>
        </w:rPr>
        <w:t>staff turnover</w:t>
      </w:r>
      <w:r>
        <w:rPr>
          <w:rFonts w:cs="Arial"/>
        </w:rPr>
        <w:t xml:space="preserve"> in EPG has</w:t>
      </w:r>
      <w:r w:rsidR="00E7528D">
        <w:rPr>
          <w:rFonts w:cs="Arial"/>
        </w:rPr>
        <w:t xml:space="preserve"> meant that businesses often have to </w:t>
      </w:r>
      <w:r>
        <w:rPr>
          <w:rFonts w:cs="Arial"/>
        </w:rPr>
        <w:t>repeat</w:t>
      </w:r>
      <w:r w:rsidR="00E7528D">
        <w:rPr>
          <w:rFonts w:cs="Arial"/>
        </w:rPr>
        <w:t xml:space="preserve"> details and information about their projects several times, and can result in inconsistent requirements or advice. One industry </w:t>
      </w:r>
      <w:r w:rsidR="00A40743">
        <w:rPr>
          <w:rFonts w:cs="Arial"/>
        </w:rPr>
        <w:t xml:space="preserve">representative </w:t>
      </w:r>
      <w:r w:rsidR="00CF2185">
        <w:rPr>
          <w:rFonts w:cs="Arial"/>
        </w:rPr>
        <w:t xml:space="preserve">noted that </w:t>
      </w:r>
      <w:r w:rsidR="0098019E">
        <w:rPr>
          <w:rFonts w:cs="Arial"/>
        </w:rPr>
        <w:t xml:space="preserve">a proponent </w:t>
      </w:r>
      <w:r w:rsidR="00E7528D">
        <w:rPr>
          <w:rFonts w:cs="Arial"/>
        </w:rPr>
        <w:t xml:space="preserve">had to deal with </w:t>
      </w:r>
      <w:r w:rsidR="00CF2185">
        <w:rPr>
          <w:rFonts w:cs="Arial"/>
        </w:rPr>
        <w:t>eight</w:t>
      </w:r>
      <w:r w:rsidR="00CF2185" w:rsidRPr="0098019E">
        <w:rPr>
          <w:rFonts w:cs="Arial"/>
        </w:rPr>
        <w:t xml:space="preserve"> </w:t>
      </w:r>
      <w:r w:rsidR="0098019E" w:rsidRPr="0098019E">
        <w:rPr>
          <w:rFonts w:cs="Arial"/>
        </w:rPr>
        <w:t xml:space="preserve">primary assessment officers over a period of </w:t>
      </w:r>
      <w:r w:rsidR="00CF2185">
        <w:rPr>
          <w:rFonts w:cs="Arial"/>
        </w:rPr>
        <w:t>two</w:t>
      </w:r>
      <w:r w:rsidR="0098019E">
        <w:rPr>
          <w:rFonts w:cs="Arial"/>
        </w:rPr>
        <w:t xml:space="preserve"> years</w:t>
      </w:r>
      <w:r w:rsidR="00E7528D">
        <w:rPr>
          <w:rFonts w:cs="Arial"/>
        </w:rPr>
        <w:t xml:space="preserve"> on a particular proposal. Industry groups advised that it would help</w:t>
      </w:r>
      <w:r w:rsidR="00CF2185">
        <w:rPr>
          <w:rFonts w:cs="Arial"/>
        </w:rPr>
        <w:t>ful</w:t>
      </w:r>
      <w:r w:rsidR="00E7528D">
        <w:rPr>
          <w:rFonts w:cs="Arial"/>
        </w:rPr>
        <w:t xml:space="preserve"> to have a single and consistent point of contact or case manager throughout the assessment process.</w:t>
      </w:r>
    </w:p>
    <w:p w:rsidR="00E7528D" w:rsidRDefault="00E7528D" w:rsidP="00E7528D">
      <w:r>
        <w:rPr>
          <w:rFonts w:cs="Arial"/>
        </w:rPr>
        <w:t xml:space="preserve">Some stakeholders noted that their members do not always understand the Department’s information requirements, or the purpose of </w:t>
      </w:r>
      <w:r w:rsidR="00CF2185">
        <w:rPr>
          <w:rFonts w:cs="Arial"/>
        </w:rPr>
        <w:t>particular requests</w:t>
      </w:r>
      <w:r>
        <w:rPr>
          <w:rFonts w:cs="Arial"/>
        </w:rPr>
        <w:t xml:space="preserve">. Departmental officers sometimes request information that is already available or has been previously provided. In other cases, broad terms of reference can mean that regulated entities are required to provide large amounts of information that is not relevant to the core issues under assessment. </w:t>
      </w:r>
      <w:r w:rsidRPr="009908F8">
        <w:t xml:space="preserve">This may be due to a lack of training and experience (see </w:t>
      </w:r>
      <w:r w:rsidR="00EA09ED">
        <w:t xml:space="preserve">the </w:t>
      </w:r>
      <w:r w:rsidR="00EA09ED">
        <w:rPr>
          <w:i/>
        </w:rPr>
        <w:t xml:space="preserve">Skills and Training </w:t>
      </w:r>
      <w:r w:rsidR="00EA09ED">
        <w:t>section in Chapter 3)</w:t>
      </w:r>
      <w:r w:rsidRPr="009908F8">
        <w:t xml:space="preserve">, and is compounded by staff </w:t>
      </w:r>
      <w:r>
        <w:t>turnover and movement.</w:t>
      </w:r>
      <w:r w:rsidRPr="009908F8">
        <w:t xml:space="preserve">  </w:t>
      </w:r>
    </w:p>
    <w:tbl>
      <w:tblPr>
        <w:tblStyle w:val="TableGrid"/>
        <w:tblW w:w="0" w:type="auto"/>
        <w:tblLook w:val="04A0" w:firstRow="1" w:lastRow="0" w:firstColumn="1" w:lastColumn="0" w:noHBand="0" w:noVBand="1"/>
      </w:tblPr>
      <w:tblGrid>
        <w:gridCol w:w="9212"/>
      </w:tblGrid>
      <w:tr w:rsidR="00E7528D" w:rsidTr="00746311">
        <w:trPr>
          <w:cnfStyle w:val="100000000000" w:firstRow="1" w:lastRow="0" w:firstColumn="0" w:lastColumn="0" w:oddVBand="0" w:evenVBand="0" w:oddHBand="0" w:evenHBand="0" w:firstRowFirstColumn="0" w:firstRowLastColumn="0" w:lastRowFirstColumn="0" w:lastRowLastColumn="0"/>
        </w:trPr>
        <w:tc>
          <w:tcPr>
            <w:tcW w:w="9428" w:type="dxa"/>
            <w:tcBorders>
              <w:top w:val="nil"/>
              <w:left w:val="nil"/>
              <w:bottom w:val="nil"/>
              <w:right w:val="nil"/>
            </w:tcBorders>
            <w:shd w:val="clear" w:color="auto" w:fill="C7E2FA" w:themeFill="accent1" w:themeFillTint="33"/>
          </w:tcPr>
          <w:p w:rsidR="00E7528D" w:rsidRDefault="00E7528D" w:rsidP="00E7528D">
            <w:pPr>
              <w:spacing w:after="0"/>
              <w:rPr>
                <w:b/>
              </w:rPr>
            </w:pPr>
            <w:r w:rsidRPr="001B629F">
              <w:rPr>
                <w:b/>
              </w:rPr>
              <w:t xml:space="preserve">Recommendation </w:t>
            </w:r>
            <w:r>
              <w:rPr>
                <w:b/>
              </w:rPr>
              <w:t>6.2 (Reducing the burden of information requests)</w:t>
            </w:r>
          </w:p>
          <w:p w:rsidR="00E7528D" w:rsidRDefault="00E7528D" w:rsidP="00E7528D">
            <w:pPr>
              <w:spacing w:after="0"/>
              <w:rPr>
                <w:b/>
              </w:rPr>
            </w:pPr>
          </w:p>
          <w:p w:rsidR="00E7528D" w:rsidRDefault="00E7528D" w:rsidP="00E7528D">
            <w:pPr>
              <w:spacing w:after="0"/>
            </w:pPr>
            <w:r>
              <w:rPr>
                <w:i/>
              </w:rPr>
              <w:t xml:space="preserve">Importance: </w:t>
            </w:r>
            <w:r>
              <w:t>1</w:t>
            </w:r>
          </w:p>
          <w:p w:rsidR="00E7528D" w:rsidRPr="00756D7E" w:rsidRDefault="00E7528D" w:rsidP="00E7528D">
            <w:pPr>
              <w:spacing w:after="0"/>
            </w:pPr>
          </w:p>
          <w:p w:rsidR="00E7528D" w:rsidRPr="00756D7E" w:rsidRDefault="00E7528D" w:rsidP="00E7528D">
            <w:pPr>
              <w:spacing w:after="0"/>
            </w:pPr>
            <w:r>
              <w:rPr>
                <w:i/>
              </w:rPr>
              <w:t>Tim</w:t>
            </w:r>
            <w:r w:rsidR="00627742">
              <w:rPr>
                <w:i/>
              </w:rPr>
              <w:t>ing</w:t>
            </w:r>
            <w:r>
              <w:rPr>
                <w:i/>
              </w:rPr>
              <w:t>:</w:t>
            </w:r>
            <w:r>
              <w:t xml:space="preserve"> 2 </w:t>
            </w:r>
          </w:p>
          <w:p w:rsidR="00E7528D" w:rsidRPr="00756D7E" w:rsidRDefault="00E7528D" w:rsidP="00E7528D">
            <w:pPr>
              <w:spacing w:after="0"/>
              <w:rPr>
                <w:i/>
              </w:rPr>
            </w:pPr>
          </w:p>
          <w:p w:rsidR="00E7528D" w:rsidRPr="001B629F" w:rsidRDefault="00E7528D" w:rsidP="00E7528D">
            <w:pPr>
              <w:rPr>
                <w:rFonts w:cs="Arial"/>
              </w:rPr>
            </w:pPr>
            <w:r w:rsidRPr="001B629F">
              <w:rPr>
                <w:rFonts w:cs="Arial"/>
              </w:rPr>
              <w:t xml:space="preserve">EPG should </w:t>
            </w:r>
            <w:r w:rsidR="00CF2185">
              <w:rPr>
                <w:rFonts w:cs="Arial"/>
              </w:rPr>
              <w:t>reduce the burden associated with information requests</w:t>
            </w:r>
            <w:r w:rsidRPr="001B629F">
              <w:rPr>
                <w:rFonts w:cs="Arial"/>
              </w:rPr>
              <w:t xml:space="preserve"> by:</w:t>
            </w:r>
          </w:p>
          <w:p w:rsidR="00E7528D" w:rsidRPr="001B629F" w:rsidRDefault="00E7528D" w:rsidP="00E65120">
            <w:pPr>
              <w:pStyle w:val="ListParagraph"/>
              <w:numPr>
                <w:ilvl w:val="0"/>
                <w:numId w:val="15"/>
              </w:numPr>
              <w:spacing w:after="0" w:line="240" w:lineRule="auto"/>
              <w:contextualSpacing/>
              <w:rPr>
                <w:rFonts w:cs="Arial"/>
              </w:rPr>
            </w:pPr>
            <w:r w:rsidRPr="001B629F">
              <w:rPr>
                <w:rFonts w:cs="Arial"/>
              </w:rPr>
              <w:t>making requirements</w:t>
            </w:r>
            <w:r w:rsidR="00A6701B">
              <w:rPr>
                <w:rFonts w:cs="Arial"/>
              </w:rPr>
              <w:t xml:space="preserve"> and/or </w:t>
            </w:r>
            <w:r w:rsidR="00CF2185">
              <w:rPr>
                <w:rFonts w:cs="Arial"/>
              </w:rPr>
              <w:t>requests</w:t>
            </w:r>
            <w:r w:rsidRPr="001B629F">
              <w:rPr>
                <w:rFonts w:cs="Arial"/>
              </w:rPr>
              <w:t xml:space="preserve"> clear;</w:t>
            </w:r>
          </w:p>
          <w:p w:rsidR="00E7528D" w:rsidRPr="001B629F" w:rsidRDefault="00E7528D" w:rsidP="00E65120">
            <w:pPr>
              <w:pStyle w:val="ListParagraph"/>
              <w:numPr>
                <w:ilvl w:val="0"/>
                <w:numId w:val="15"/>
              </w:numPr>
              <w:spacing w:after="0" w:line="240" w:lineRule="auto"/>
              <w:contextualSpacing/>
              <w:rPr>
                <w:rFonts w:cs="Arial"/>
              </w:rPr>
            </w:pPr>
            <w:r w:rsidRPr="001B629F">
              <w:rPr>
                <w:rFonts w:cs="Arial"/>
              </w:rPr>
              <w:t>only requesting information that is necessary;</w:t>
            </w:r>
          </w:p>
          <w:p w:rsidR="00E7528D" w:rsidRPr="001B629F" w:rsidRDefault="00E7528D" w:rsidP="00E65120">
            <w:pPr>
              <w:pStyle w:val="ListParagraph"/>
              <w:numPr>
                <w:ilvl w:val="0"/>
                <w:numId w:val="15"/>
              </w:numPr>
              <w:spacing w:after="0" w:line="240" w:lineRule="auto"/>
              <w:contextualSpacing/>
              <w:rPr>
                <w:rFonts w:cs="Arial"/>
              </w:rPr>
            </w:pPr>
            <w:r w:rsidRPr="001B629F">
              <w:rPr>
                <w:rFonts w:cs="Arial"/>
              </w:rPr>
              <w:t>clearly explaining the reasoning behind requirements</w:t>
            </w:r>
            <w:r w:rsidR="00A6701B">
              <w:rPr>
                <w:rFonts w:cs="Arial"/>
              </w:rPr>
              <w:t xml:space="preserve"> and/or </w:t>
            </w:r>
            <w:r w:rsidR="00CF2185">
              <w:rPr>
                <w:rFonts w:cs="Arial"/>
              </w:rPr>
              <w:t>requests</w:t>
            </w:r>
            <w:r w:rsidRPr="001B629F">
              <w:rPr>
                <w:rFonts w:cs="Arial"/>
              </w:rPr>
              <w:t xml:space="preserve">; </w:t>
            </w:r>
            <w:r w:rsidR="00CF2185">
              <w:rPr>
                <w:rFonts w:cs="Arial"/>
              </w:rPr>
              <w:t>and</w:t>
            </w:r>
          </w:p>
          <w:p w:rsidR="00E7528D" w:rsidRDefault="00E7528D" w:rsidP="00E65120">
            <w:pPr>
              <w:pStyle w:val="ListParagraph"/>
              <w:numPr>
                <w:ilvl w:val="0"/>
                <w:numId w:val="15"/>
              </w:numPr>
              <w:spacing w:after="0" w:line="240" w:lineRule="auto"/>
              <w:contextualSpacing/>
              <w:rPr>
                <w:rFonts w:cs="Arial"/>
              </w:rPr>
            </w:pPr>
            <w:r w:rsidRPr="001B629F">
              <w:rPr>
                <w:rFonts w:cs="Arial"/>
              </w:rPr>
              <w:t>maintain</w:t>
            </w:r>
            <w:r>
              <w:rPr>
                <w:rFonts w:cs="Arial"/>
              </w:rPr>
              <w:t>ing</w:t>
            </w:r>
            <w:r w:rsidRPr="001B629F">
              <w:rPr>
                <w:rFonts w:cs="Arial"/>
              </w:rPr>
              <w:t xml:space="preserve"> relationships through a single point of contact during licensing</w:t>
            </w:r>
            <w:r w:rsidR="00A6701B">
              <w:rPr>
                <w:rFonts w:cs="Arial"/>
              </w:rPr>
              <w:t xml:space="preserve">, </w:t>
            </w:r>
            <w:r w:rsidRPr="001B629F">
              <w:rPr>
                <w:rFonts w:cs="Arial"/>
              </w:rPr>
              <w:t>permitting</w:t>
            </w:r>
            <w:r w:rsidR="00A6701B">
              <w:rPr>
                <w:rFonts w:cs="Arial"/>
              </w:rPr>
              <w:t xml:space="preserve">, and </w:t>
            </w:r>
            <w:r w:rsidRPr="001B629F">
              <w:rPr>
                <w:rFonts w:cs="Arial"/>
              </w:rPr>
              <w:t>assessment processes, where possible</w:t>
            </w:r>
            <w:r w:rsidR="00CF2185">
              <w:rPr>
                <w:rFonts w:cs="Arial"/>
              </w:rPr>
              <w:t>.</w:t>
            </w:r>
          </w:p>
          <w:p w:rsidR="00E7528D" w:rsidRPr="00E7528D" w:rsidRDefault="00E7528D" w:rsidP="00E7528D">
            <w:pPr>
              <w:pStyle w:val="ListParagraph"/>
              <w:numPr>
                <w:ilvl w:val="0"/>
                <w:numId w:val="0"/>
              </w:numPr>
              <w:spacing w:after="0" w:line="240" w:lineRule="auto"/>
              <w:ind w:left="720"/>
              <w:contextualSpacing/>
              <w:rPr>
                <w:rFonts w:cs="Arial"/>
              </w:rPr>
            </w:pPr>
          </w:p>
          <w:p w:rsidR="00E7528D" w:rsidRDefault="007C695A" w:rsidP="006A5A65">
            <w:r>
              <w:rPr>
                <w:rFonts w:cs="Arial"/>
                <w:i/>
              </w:rPr>
              <w:t xml:space="preserve">Recommendation 2.8 (Making it easier to comply through consistent and </w:t>
            </w:r>
            <w:r w:rsidR="00CF2185">
              <w:rPr>
                <w:rFonts w:cs="Arial"/>
                <w:i/>
              </w:rPr>
              <w:t>proactive</w:t>
            </w:r>
            <w:r>
              <w:rPr>
                <w:rFonts w:cs="Arial"/>
                <w:i/>
              </w:rPr>
              <w:t xml:space="preserve"> stakeholder engagement) </w:t>
            </w:r>
            <w:r w:rsidR="00E7528D">
              <w:rPr>
                <w:rFonts w:cs="Arial"/>
              </w:rPr>
              <w:t xml:space="preserve">relates to improving the Department’s </w:t>
            </w:r>
            <w:r w:rsidR="00E3593E">
              <w:rPr>
                <w:rFonts w:cs="Arial"/>
              </w:rPr>
              <w:t>program</w:t>
            </w:r>
            <w:r w:rsidR="00E7528D">
              <w:rPr>
                <w:rFonts w:cs="Arial"/>
              </w:rPr>
              <w:t xml:space="preserve">s </w:t>
            </w:r>
            <w:r w:rsidR="006A5A65">
              <w:rPr>
                <w:rFonts w:cs="Arial"/>
              </w:rPr>
              <w:t>that assist stakeholders to better understand the Department’s requirements</w:t>
            </w:r>
            <w:r w:rsidR="006A5A65" w:rsidRPr="00666B41">
              <w:rPr>
                <w:rFonts w:cs="Arial"/>
              </w:rPr>
              <w:t>, including by using behavioural insights.</w:t>
            </w:r>
          </w:p>
        </w:tc>
      </w:tr>
    </w:tbl>
    <w:p w:rsidR="00E7528D" w:rsidRPr="009908F8" w:rsidRDefault="00E7528D" w:rsidP="00E7528D"/>
    <w:p w:rsidR="00E7528D" w:rsidRPr="00746311" w:rsidRDefault="00E7528D" w:rsidP="00746311">
      <w:pPr>
        <w:pStyle w:val="Heading1"/>
        <w:spacing w:after="120"/>
        <w:rPr>
          <w:caps w:val="0"/>
          <w:color w:val="0B5294" w:themeColor="accent1" w:themeShade="BF"/>
          <w:sz w:val="24"/>
          <w:szCs w:val="24"/>
        </w:rPr>
      </w:pPr>
      <w:bookmarkStart w:id="76" w:name="_Toc443405201"/>
      <w:r w:rsidRPr="00746311">
        <w:rPr>
          <w:caps w:val="0"/>
          <w:color w:val="0B5294" w:themeColor="accent1" w:themeShade="BF"/>
          <w:sz w:val="24"/>
          <w:szCs w:val="24"/>
        </w:rPr>
        <w:t>Proactive engagement with community stakeholders</w:t>
      </w:r>
      <w:bookmarkEnd w:id="76"/>
    </w:p>
    <w:p w:rsidR="00E7528D" w:rsidRPr="00974FCB" w:rsidRDefault="00CF2185" w:rsidP="00E7528D">
      <w:pPr>
        <w:spacing w:after="0"/>
        <w:rPr>
          <w:rFonts w:cs="Arial"/>
          <w:b/>
          <w:u w:val="single"/>
        </w:rPr>
      </w:pPr>
      <w:r>
        <w:rPr>
          <w:rFonts w:cs="Arial"/>
        </w:rPr>
        <w:t>All r</w:t>
      </w:r>
      <w:r w:rsidR="00E7528D">
        <w:rPr>
          <w:rFonts w:cs="Arial"/>
        </w:rPr>
        <w:t>egulators are accountable to the broader community as well as the Government</w:t>
      </w:r>
      <w:r>
        <w:rPr>
          <w:rFonts w:cs="Arial"/>
        </w:rPr>
        <w:t>,</w:t>
      </w:r>
      <w:r w:rsidR="00E7528D">
        <w:rPr>
          <w:rFonts w:cs="Arial"/>
        </w:rPr>
        <w:t xml:space="preserve"> and </w:t>
      </w:r>
      <w:r>
        <w:rPr>
          <w:rFonts w:cs="Arial"/>
        </w:rPr>
        <w:t xml:space="preserve">mature regulators </w:t>
      </w:r>
      <w:r w:rsidR="00E7528D">
        <w:rPr>
          <w:rFonts w:cs="Arial"/>
        </w:rPr>
        <w:t xml:space="preserve">publish information about expectations about </w:t>
      </w:r>
      <w:r>
        <w:rPr>
          <w:rFonts w:cs="Arial"/>
        </w:rPr>
        <w:t>regulatory performance</w:t>
      </w:r>
      <w:r w:rsidR="00E7528D">
        <w:rPr>
          <w:rFonts w:cs="Arial"/>
        </w:rPr>
        <w:t xml:space="preserve"> </w:t>
      </w:r>
      <w:r w:rsidR="00E7528D" w:rsidRPr="007C695A">
        <w:rPr>
          <w:rFonts w:cs="Arial"/>
        </w:rPr>
        <w:t>(see</w:t>
      </w:r>
      <w:r w:rsidR="007C695A" w:rsidRPr="007C695A">
        <w:rPr>
          <w:rFonts w:cs="Arial"/>
        </w:rPr>
        <w:t xml:space="preserve"> the </w:t>
      </w:r>
      <w:r w:rsidR="007C695A" w:rsidRPr="007C695A">
        <w:rPr>
          <w:rFonts w:cs="Arial"/>
          <w:i/>
        </w:rPr>
        <w:t xml:space="preserve">Performance Monitoring and Communication </w:t>
      </w:r>
      <w:r w:rsidR="007C695A" w:rsidRPr="007C695A">
        <w:rPr>
          <w:rFonts w:cs="Arial"/>
        </w:rPr>
        <w:t>section in Chapter 1)</w:t>
      </w:r>
      <w:r w:rsidR="00E7528D" w:rsidRPr="007C695A">
        <w:rPr>
          <w:rFonts w:cs="Arial"/>
        </w:rPr>
        <w:t>. Mature</w:t>
      </w:r>
      <w:r w:rsidR="00E7528D">
        <w:rPr>
          <w:rFonts w:cs="Arial"/>
        </w:rPr>
        <w:t xml:space="preserve"> regulators use fit-for-purpose mechanisms to explain, and where appropriate seek feedback on regulatory approaches and policies</w:t>
      </w:r>
      <w:r>
        <w:rPr>
          <w:rFonts w:cs="Arial"/>
        </w:rPr>
        <w:t>, and they</w:t>
      </w:r>
      <w:r w:rsidR="00E7528D">
        <w:rPr>
          <w:rFonts w:cs="Arial"/>
        </w:rPr>
        <w:t xml:space="preserve"> provide feedback on the outcomes of consultation to demonstrate that concerns were understood and addressed. </w:t>
      </w:r>
    </w:p>
    <w:p w:rsidR="00E7528D" w:rsidRDefault="00E7528D" w:rsidP="00E7528D">
      <w:pPr>
        <w:spacing w:after="0"/>
        <w:rPr>
          <w:rFonts w:cs="Arial"/>
        </w:rPr>
      </w:pPr>
    </w:p>
    <w:p w:rsidR="00E7528D" w:rsidRDefault="006D694C" w:rsidP="00E7528D">
      <w:pPr>
        <w:spacing w:after="0"/>
        <w:rPr>
          <w:rFonts w:cs="Arial"/>
        </w:rPr>
      </w:pPr>
      <w:r>
        <w:rPr>
          <w:rFonts w:cs="Arial"/>
        </w:rPr>
        <w:t>During consultation, s</w:t>
      </w:r>
      <w:r w:rsidR="00E7528D" w:rsidRPr="00DB0325">
        <w:rPr>
          <w:rFonts w:cs="Arial"/>
        </w:rPr>
        <w:t xml:space="preserve">ome stakeholders (particularly NGOs) requested more proactive engagement by the Department, particularly in relation to the development and implementation of new policies or other Departmental priorities or changes. </w:t>
      </w:r>
      <w:r>
        <w:rPr>
          <w:rFonts w:cs="Arial"/>
        </w:rPr>
        <w:t>Some s</w:t>
      </w:r>
      <w:r w:rsidR="00E7528D" w:rsidRPr="00DB0325">
        <w:rPr>
          <w:rFonts w:cs="Arial"/>
        </w:rPr>
        <w:t>takeholders suggested</w:t>
      </w:r>
      <w:r w:rsidR="00E7528D">
        <w:rPr>
          <w:rFonts w:cs="Arial"/>
        </w:rPr>
        <w:t xml:space="preserve"> that</w:t>
      </w:r>
      <w:r w:rsidR="00E7528D" w:rsidRPr="00DB0325">
        <w:rPr>
          <w:rFonts w:cs="Arial"/>
        </w:rPr>
        <w:t xml:space="preserve"> earlier engagement </w:t>
      </w:r>
      <w:r>
        <w:rPr>
          <w:rFonts w:cs="Arial"/>
        </w:rPr>
        <w:t>on the</w:t>
      </w:r>
      <w:r w:rsidR="00E7528D" w:rsidRPr="00DB0325">
        <w:rPr>
          <w:rFonts w:cs="Arial"/>
        </w:rPr>
        <w:t xml:space="preserve"> development of new policies would allow a greater contribution to the policy development process. In some instances, stakeholders suggested that the public consultation</w:t>
      </w:r>
      <w:r w:rsidR="00A6701B">
        <w:rPr>
          <w:rFonts w:cs="Arial"/>
        </w:rPr>
        <w:t xml:space="preserve"> and </w:t>
      </w:r>
      <w:r w:rsidR="00E7528D" w:rsidRPr="00DB0325">
        <w:rPr>
          <w:rFonts w:cs="Arial"/>
        </w:rPr>
        <w:t xml:space="preserve">comment period for new policies is too late in the process to make a substantive contribution. </w:t>
      </w:r>
      <w:r w:rsidR="00E7528D">
        <w:rPr>
          <w:rFonts w:cs="Arial"/>
        </w:rPr>
        <w:t xml:space="preserve">It was also noted that on occasion the purpose of engagement was unclear to stakeholders. </w:t>
      </w:r>
      <w:r w:rsidR="00E7528D" w:rsidRPr="009452A1">
        <w:rPr>
          <w:rFonts w:cs="Arial"/>
        </w:rPr>
        <w:t>For example, stakeholders mentioned instances where they believed</w:t>
      </w:r>
      <w:r w:rsidR="00A40743">
        <w:rPr>
          <w:rFonts w:cs="Arial"/>
        </w:rPr>
        <w:t xml:space="preserve"> the purpose of a meeting was to seek feedback, but it was to actually explain </w:t>
      </w:r>
      <w:r w:rsidR="00E7528D">
        <w:rPr>
          <w:rFonts w:cs="Arial"/>
        </w:rPr>
        <w:t xml:space="preserve">a policy that had </w:t>
      </w:r>
      <w:r>
        <w:rPr>
          <w:rFonts w:cs="Arial"/>
        </w:rPr>
        <w:t xml:space="preserve">already </w:t>
      </w:r>
      <w:r w:rsidR="00E7528D">
        <w:rPr>
          <w:rFonts w:cs="Arial"/>
        </w:rPr>
        <w:t>been finalised</w:t>
      </w:r>
      <w:r w:rsidR="00E7528D" w:rsidRPr="00913A4E">
        <w:rPr>
          <w:rFonts w:cs="Arial"/>
        </w:rPr>
        <w:t>.</w:t>
      </w:r>
      <w:r w:rsidR="00E7528D">
        <w:rPr>
          <w:rFonts w:cs="Arial"/>
        </w:rPr>
        <w:t xml:space="preserve"> </w:t>
      </w:r>
      <w:r w:rsidR="00E7528D" w:rsidRPr="00DB0325">
        <w:rPr>
          <w:rFonts w:cs="Arial"/>
        </w:rPr>
        <w:t xml:space="preserve">  </w:t>
      </w:r>
    </w:p>
    <w:p w:rsidR="00E7528D" w:rsidRPr="00DB0325" w:rsidRDefault="00E7528D" w:rsidP="00E7528D">
      <w:pPr>
        <w:spacing w:after="0"/>
        <w:rPr>
          <w:rFonts w:cs="Arial"/>
        </w:rPr>
      </w:pPr>
    </w:p>
    <w:tbl>
      <w:tblPr>
        <w:tblStyle w:val="TableGrid"/>
        <w:tblW w:w="0" w:type="auto"/>
        <w:tblLook w:val="04A0" w:firstRow="1" w:lastRow="0" w:firstColumn="1" w:lastColumn="0" w:noHBand="0" w:noVBand="1"/>
      </w:tblPr>
      <w:tblGrid>
        <w:gridCol w:w="9212"/>
      </w:tblGrid>
      <w:tr w:rsidR="00E7528D" w:rsidTr="00746311">
        <w:trPr>
          <w:cnfStyle w:val="100000000000" w:firstRow="1" w:lastRow="0" w:firstColumn="0" w:lastColumn="0" w:oddVBand="0" w:evenVBand="0" w:oddHBand="0" w:evenHBand="0" w:firstRowFirstColumn="0" w:firstRowLastColumn="0" w:lastRowFirstColumn="0" w:lastRowLastColumn="0"/>
        </w:trPr>
        <w:tc>
          <w:tcPr>
            <w:tcW w:w="9428" w:type="dxa"/>
            <w:tcBorders>
              <w:top w:val="nil"/>
              <w:left w:val="nil"/>
              <w:bottom w:val="nil"/>
              <w:right w:val="nil"/>
            </w:tcBorders>
            <w:shd w:val="clear" w:color="auto" w:fill="C7E2FA" w:themeFill="accent1" w:themeFillTint="33"/>
          </w:tcPr>
          <w:p w:rsidR="00E7528D" w:rsidRDefault="001E2167" w:rsidP="00E7528D">
            <w:pPr>
              <w:spacing w:after="0"/>
              <w:rPr>
                <w:b/>
              </w:rPr>
            </w:pPr>
            <w:r>
              <w:rPr>
                <w:b/>
              </w:rPr>
              <w:t>Recommendation 6</w:t>
            </w:r>
            <w:r w:rsidR="00E7528D">
              <w:rPr>
                <w:b/>
              </w:rPr>
              <w:t>.3</w:t>
            </w:r>
            <w:r w:rsidR="00E7528D" w:rsidRPr="00002750">
              <w:rPr>
                <w:b/>
              </w:rPr>
              <w:t xml:space="preserve"> (</w:t>
            </w:r>
            <w:r w:rsidR="007C695A">
              <w:rPr>
                <w:b/>
              </w:rPr>
              <w:t>Proactive engagement with community s</w:t>
            </w:r>
            <w:r w:rsidR="00E7528D" w:rsidRPr="00002750">
              <w:rPr>
                <w:b/>
              </w:rPr>
              <w:t>takeholders):</w:t>
            </w:r>
          </w:p>
          <w:p w:rsidR="001E2167" w:rsidRDefault="001E2167" w:rsidP="00E7528D">
            <w:pPr>
              <w:spacing w:after="0"/>
              <w:rPr>
                <w:b/>
              </w:rPr>
            </w:pPr>
          </w:p>
          <w:p w:rsidR="00E7528D" w:rsidRDefault="00E7528D" w:rsidP="00E7528D">
            <w:pPr>
              <w:spacing w:after="0"/>
            </w:pPr>
            <w:r>
              <w:rPr>
                <w:i/>
              </w:rPr>
              <w:t xml:space="preserve">Importance: </w:t>
            </w:r>
            <w:r>
              <w:t>2</w:t>
            </w:r>
          </w:p>
          <w:p w:rsidR="001E2167" w:rsidRPr="00756D7E" w:rsidRDefault="001E2167" w:rsidP="00E7528D">
            <w:pPr>
              <w:spacing w:after="0"/>
            </w:pPr>
          </w:p>
          <w:p w:rsidR="00E7528D" w:rsidRPr="00756D7E" w:rsidRDefault="00E7528D" w:rsidP="00E7528D">
            <w:pPr>
              <w:spacing w:after="0"/>
            </w:pPr>
            <w:r>
              <w:rPr>
                <w:i/>
              </w:rPr>
              <w:t>Tim</w:t>
            </w:r>
            <w:r w:rsidR="00AE0D3D">
              <w:rPr>
                <w:i/>
              </w:rPr>
              <w:t>ing</w:t>
            </w:r>
            <w:r>
              <w:rPr>
                <w:i/>
              </w:rPr>
              <w:t>:</w:t>
            </w:r>
            <w:r>
              <w:t xml:space="preserve"> </w:t>
            </w:r>
            <w:r w:rsidR="00627742">
              <w:t xml:space="preserve">3 </w:t>
            </w:r>
            <w:r>
              <w:t xml:space="preserve">and ongoing </w:t>
            </w:r>
          </w:p>
          <w:p w:rsidR="001E2167" w:rsidRDefault="001E2167" w:rsidP="00E7528D">
            <w:pPr>
              <w:rPr>
                <w:rFonts w:cs="Arial"/>
              </w:rPr>
            </w:pPr>
          </w:p>
          <w:p w:rsidR="00E7528D" w:rsidRPr="00002750" w:rsidRDefault="00E7528D" w:rsidP="00E7528D">
            <w:pPr>
              <w:rPr>
                <w:rFonts w:cs="Arial"/>
              </w:rPr>
            </w:pPr>
            <w:r w:rsidRPr="00002750">
              <w:rPr>
                <w:rFonts w:cs="Arial"/>
              </w:rPr>
              <w:t xml:space="preserve">EPG should ensure that it routinely engages with relevant stakeholders during all phases of the design and implementation of regulatory processes. This should be reflected in </w:t>
            </w:r>
            <w:r>
              <w:rPr>
                <w:rFonts w:cs="Arial"/>
              </w:rPr>
              <w:t xml:space="preserve">the </w:t>
            </w:r>
            <w:r w:rsidRPr="00002750">
              <w:rPr>
                <w:rFonts w:cs="Arial"/>
              </w:rPr>
              <w:t xml:space="preserve">relevant </w:t>
            </w:r>
            <w:r>
              <w:rPr>
                <w:rFonts w:cs="Arial"/>
              </w:rPr>
              <w:t>regulatory framework</w:t>
            </w:r>
            <w:r w:rsidR="00D54F6D">
              <w:rPr>
                <w:rFonts w:cs="Arial"/>
              </w:rPr>
              <w:t xml:space="preserve"> (see </w:t>
            </w:r>
            <w:r w:rsidR="00D54F6D">
              <w:rPr>
                <w:rFonts w:cs="Arial"/>
                <w:i/>
              </w:rPr>
              <w:t>Recommendation 1.1 (Regulatory Framework)</w:t>
            </w:r>
            <w:r w:rsidRPr="00002750">
              <w:rPr>
                <w:rFonts w:cs="Arial"/>
              </w:rPr>
              <w:t xml:space="preserve">). </w:t>
            </w:r>
          </w:p>
          <w:p w:rsidR="00E7528D" w:rsidRDefault="00E7528D" w:rsidP="00E7528D">
            <w:pPr>
              <w:pStyle w:val="ListBullet2"/>
              <w:numPr>
                <w:ilvl w:val="0"/>
                <w:numId w:val="0"/>
              </w:numPr>
            </w:pPr>
            <w:r w:rsidRPr="00002750">
              <w:t>EPG could improve stakeholder relations and trust by establish</w:t>
            </w:r>
            <w:r w:rsidR="006D694C">
              <w:t xml:space="preserve">ing a </w:t>
            </w:r>
            <w:r w:rsidRPr="00002750">
              <w:t xml:space="preserve">policy roundtable comprising NGOs, industry, professional organisations (e.g. EIANZ) and academics to co-identify and co-design policy initiatives. This roundtable would also be a useful mechanism to review and evaluate policies and further understand the operating environment of stakeholders. </w:t>
            </w:r>
          </w:p>
          <w:p w:rsidR="00E7528D" w:rsidRDefault="006D694C" w:rsidP="006D694C">
            <w:pPr>
              <w:rPr>
                <w:rFonts w:cs="Arial"/>
                <w:highlight w:val="yellow"/>
              </w:rPr>
            </w:pPr>
            <w:r>
              <w:rPr>
                <w:rFonts w:cs="Arial"/>
              </w:rPr>
              <w:t>EPG</w:t>
            </w:r>
            <w:r w:rsidR="00E7528D" w:rsidRPr="00002750">
              <w:rPr>
                <w:rFonts w:cs="Arial"/>
              </w:rPr>
              <w:t xml:space="preserve"> should identify the purpose and desired outcome of each proposed consultation and make this clear to the stakeholder. For example, officers should be up front about whether </w:t>
            </w:r>
            <w:r>
              <w:rPr>
                <w:rFonts w:cs="Arial"/>
              </w:rPr>
              <w:t>they are</w:t>
            </w:r>
            <w:r w:rsidR="00E7528D" w:rsidRPr="00002750">
              <w:rPr>
                <w:rFonts w:cs="Arial"/>
              </w:rPr>
              <w:t xml:space="preserve"> explaining a new policy and its rationale, or whether there is scope for the stakeholder to influence the policy.   </w:t>
            </w:r>
          </w:p>
        </w:tc>
      </w:tr>
    </w:tbl>
    <w:p w:rsidR="00E7528D" w:rsidRDefault="00E7528D" w:rsidP="00E7528D">
      <w:pPr>
        <w:rPr>
          <w:rFonts w:cs="Arial"/>
          <w:highlight w:val="yellow"/>
        </w:rPr>
      </w:pPr>
    </w:p>
    <w:p w:rsidR="00E7528D" w:rsidRPr="00746311" w:rsidRDefault="00E7528D" w:rsidP="00746311">
      <w:pPr>
        <w:pStyle w:val="Heading1"/>
        <w:spacing w:after="120"/>
        <w:rPr>
          <w:caps w:val="0"/>
          <w:color w:val="0B5294" w:themeColor="accent1" w:themeShade="BF"/>
          <w:sz w:val="24"/>
          <w:szCs w:val="24"/>
        </w:rPr>
      </w:pPr>
      <w:bookmarkStart w:id="77" w:name="_Toc443405202"/>
      <w:r w:rsidRPr="00746311">
        <w:rPr>
          <w:caps w:val="0"/>
          <w:color w:val="0B5294" w:themeColor="accent1" w:themeShade="BF"/>
          <w:sz w:val="24"/>
          <w:szCs w:val="24"/>
        </w:rPr>
        <w:t>Working with other regulators</w:t>
      </w:r>
      <w:bookmarkEnd w:id="77"/>
    </w:p>
    <w:p w:rsidR="00E7528D" w:rsidRDefault="00E7528D" w:rsidP="00E7528D">
      <w:pPr>
        <w:rPr>
          <w:rFonts w:cs="Arial"/>
        </w:rPr>
      </w:pPr>
      <w:r>
        <w:rPr>
          <w:rFonts w:cs="Arial"/>
        </w:rPr>
        <w:t xml:space="preserve">Many regulators share similar objectives and challenges. Mature regulators establish networks with other regulators to share experiences and insights and help solve common problems and improve consistency of approaches. This allows agencies to improve their capability and performance. </w:t>
      </w:r>
      <w:r w:rsidR="00DE1F67">
        <w:rPr>
          <w:rFonts w:cs="Arial"/>
        </w:rPr>
        <w:t>Mature</w:t>
      </w:r>
      <w:r w:rsidRPr="00970ACE">
        <w:rPr>
          <w:rFonts w:cs="Arial"/>
        </w:rPr>
        <w:t xml:space="preserve"> regulators </w:t>
      </w:r>
      <w:r>
        <w:rPr>
          <w:rFonts w:cs="Arial"/>
        </w:rPr>
        <w:t xml:space="preserve">also have clear institutional arrangements to work </w:t>
      </w:r>
      <w:r w:rsidRPr="00970ACE">
        <w:rPr>
          <w:rFonts w:cs="Arial"/>
        </w:rPr>
        <w:t>with</w:t>
      </w:r>
      <w:r>
        <w:rPr>
          <w:rFonts w:cs="Arial"/>
        </w:rPr>
        <w:t xml:space="preserve"> co-regulators </w:t>
      </w:r>
      <w:r w:rsidR="00DE1F67">
        <w:rPr>
          <w:rFonts w:cs="Arial"/>
        </w:rPr>
        <w:t xml:space="preserve">to </w:t>
      </w:r>
      <w:r>
        <w:rPr>
          <w:rFonts w:cs="Arial"/>
        </w:rPr>
        <w:t xml:space="preserve">avoid duplication and maximise </w:t>
      </w:r>
      <w:r w:rsidR="00DE1F67">
        <w:rPr>
          <w:rFonts w:cs="Arial"/>
        </w:rPr>
        <w:t xml:space="preserve">the </w:t>
      </w:r>
      <w:r>
        <w:rPr>
          <w:rFonts w:cs="Arial"/>
        </w:rPr>
        <w:t>outcome of their collective efforts. For example, coordinating inspection and monitoring activities increases an agenc</w:t>
      </w:r>
      <w:r w:rsidR="00DE1F67">
        <w:rPr>
          <w:rFonts w:cs="Arial"/>
        </w:rPr>
        <w:t>y’s</w:t>
      </w:r>
      <w:r>
        <w:rPr>
          <w:rFonts w:cs="Arial"/>
        </w:rPr>
        <w:t xml:space="preserve"> oversight of compliance. </w:t>
      </w:r>
      <w:r w:rsidR="005B4983">
        <w:rPr>
          <w:rFonts w:cs="Arial"/>
        </w:rPr>
        <w:t>Mature</w:t>
      </w:r>
      <w:r>
        <w:rPr>
          <w:rFonts w:cs="Arial"/>
        </w:rPr>
        <w:t xml:space="preserve"> regulators also </w:t>
      </w:r>
      <w:r w:rsidR="005B4983">
        <w:rPr>
          <w:rFonts w:cs="Arial"/>
        </w:rPr>
        <w:t xml:space="preserve">routinely </w:t>
      </w:r>
      <w:r>
        <w:rPr>
          <w:rFonts w:cs="Arial"/>
        </w:rPr>
        <w:t>share relevant information and data, which can be used for a number of planning, compliance and engagement activities.</w:t>
      </w:r>
    </w:p>
    <w:p w:rsidR="00E7528D" w:rsidRDefault="00E7528D" w:rsidP="00E7528D">
      <w:pPr>
        <w:rPr>
          <w:rFonts w:cs="Arial"/>
        </w:rPr>
      </w:pPr>
      <w:r>
        <w:rPr>
          <w:rFonts w:cs="Arial"/>
        </w:rPr>
        <w:t xml:space="preserve">Like the Department, many regulatory agencies, both at the Commonwealth and state level are looking for ways to improve their regulatory maturity. Increasing engagement with these agencies would allow EPG to learn from their experience. For example, the Department could benefit from work conducted by other agencies such as the Clean Energy Regulator and the NSW Environment Protection Authority in relation to their regulatory capability frameworks (see also </w:t>
      </w:r>
      <w:r w:rsidR="00D54F6D">
        <w:rPr>
          <w:rFonts w:cs="Arial"/>
          <w:i/>
        </w:rPr>
        <w:t>Recommendation 3.1 (Skills and training)</w:t>
      </w:r>
      <w:r>
        <w:rPr>
          <w:rFonts w:cs="Arial"/>
        </w:rPr>
        <w:t>).</w:t>
      </w:r>
      <w:r w:rsidRPr="00B9575D">
        <w:rPr>
          <w:rFonts w:cs="Arial"/>
        </w:rPr>
        <w:t xml:space="preserve"> </w:t>
      </w:r>
    </w:p>
    <w:p w:rsidR="005B4983" w:rsidRDefault="00E7528D" w:rsidP="00E7528D">
      <w:pPr>
        <w:rPr>
          <w:rFonts w:cs="Arial"/>
        </w:rPr>
      </w:pPr>
      <w:r>
        <w:rPr>
          <w:rFonts w:cs="Arial"/>
        </w:rPr>
        <w:lastRenderedPageBreak/>
        <w:t>The Department also relies on other regulators to gather information and carry out monitoring activities</w:t>
      </w:r>
      <w:r w:rsidRPr="00787AB6">
        <w:rPr>
          <w:rFonts w:cs="Arial"/>
        </w:rPr>
        <w:t>. The Department has an established relationship with the International Criminal Police Organisation (INTERPOL),</w:t>
      </w:r>
      <w:r>
        <w:rPr>
          <w:rFonts w:cs="Arial"/>
        </w:rPr>
        <w:t xml:space="preserve"> </w:t>
      </w:r>
      <w:r w:rsidR="005B4983">
        <w:rPr>
          <w:rFonts w:cs="Arial"/>
        </w:rPr>
        <w:t xml:space="preserve">and the Australian </w:t>
      </w:r>
      <w:r>
        <w:rPr>
          <w:rFonts w:cs="Arial"/>
        </w:rPr>
        <w:t xml:space="preserve">Border Force monitors imports and exports of various items </w:t>
      </w:r>
      <w:r w:rsidR="005B4983">
        <w:rPr>
          <w:rFonts w:cs="Arial"/>
        </w:rPr>
        <w:t xml:space="preserve">that the </w:t>
      </w:r>
      <w:r>
        <w:rPr>
          <w:rFonts w:cs="Arial"/>
        </w:rPr>
        <w:t>Department</w:t>
      </w:r>
      <w:r w:rsidR="005B4983">
        <w:rPr>
          <w:rFonts w:cs="Arial"/>
        </w:rPr>
        <w:t xml:space="preserve"> is responsible for regulating</w:t>
      </w:r>
      <w:r>
        <w:rPr>
          <w:rFonts w:cs="Arial"/>
        </w:rPr>
        <w:t xml:space="preserve">, such as wildlife trade products, ozone equipment and hazardous waste. State and territory environment and planning agencies, fisheries officers and the Australian Federal Police also provide assistance on a range of monitoring, compliance and enforcement activities. </w:t>
      </w:r>
    </w:p>
    <w:p w:rsidR="00E7528D" w:rsidRDefault="005B4983" w:rsidP="00E7528D">
      <w:pPr>
        <w:rPr>
          <w:rFonts w:cs="Arial"/>
        </w:rPr>
      </w:pPr>
      <w:r>
        <w:rPr>
          <w:rFonts w:cs="Arial"/>
        </w:rPr>
        <w:t>Despite this heavy reliance, t</w:t>
      </w:r>
      <w:r w:rsidR="00E7528D">
        <w:rPr>
          <w:rFonts w:cs="Arial"/>
        </w:rPr>
        <w:t xml:space="preserve">he Department does not have clear institutional arrangements for managing relationships with these agencies. For example, where they exist, Memorandums of Understanding (MOUs) are out of date or inadequate, and coordination with </w:t>
      </w:r>
      <w:r w:rsidR="00B02B86">
        <w:rPr>
          <w:rFonts w:cs="Arial"/>
        </w:rPr>
        <w:t>other agencies varies across</w:t>
      </w:r>
      <w:r w:rsidR="00E7528D">
        <w:rPr>
          <w:rFonts w:cs="Arial"/>
        </w:rPr>
        <w:t xml:space="preserve"> EPG.  </w:t>
      </w:r>
    </w:p>
    <w:p w:rsidR="00E7528D" w:rsidRDefault="006740FB" w:rsidP="00E7528D">
      <w:pPr>
        <w:pStyle w:val="ListBullet"/>
        <w:numPr>
          <w:ilvl w:val="0"/>
          <w:numId w:val="0"/>
        </w:numPr>
        <w:rPr>
          <w:rFonts w:cs="Arial"/>
        </w:rPr>
      </w:pPr>
      <w:r>
        <w:rPr>
          <w:rFonts w:cs="Arial"/>
        </w:rPr>
        <w:t>Most of t</w:t>
      </w:r>
      <w:r w:rsidR="00E7528D">
        <w:rPr>
          <w:rFonts w:cs="Arial"/>
        </w:rPr>
        <w:t>he regulation administered by ESD either automatically appoints, or allows for the appointment of, officers from other agencies</w:t>
      </w:r>
      <w:r w:rsidR="00672687">
        <w:rPr>
          <w:rFonts w:cs="Arial"/>
        </w:rPr>
        <w:t xml:space="preserve"> as authorised officers for the purpose of the regulatory schemes (for examples, customs officers authorised to enforce provisions of the EPBC Act)</w:t>
      </w:r>
      <w:r w:rsidR="00E7528D">
        <w:rPr>
          <w:rFonts w:cs="Arial"/>
        </w:rPr>
        <w:t>. However, the facilitating provisions vary and the Department does not appear to have a coordinated approach to managing these appointments.</w:t>
      </w:r>
    </w:p>
    <w:p w:rsidR="00E7528D" w:rsidRDefault="00E7528D" w:rsidP="00E7528D">
      <w:pPr>
        <w:rPr>
          <w:rFonts w:cs="Arial"/>
        </w:rPr>
      </w:pPr>
      <w:r>
        <w:rPr>
          <w:rFonts w:cs="Arial"/>
        </w:rPr>
        <w:t>The Department has started to take steps to formalise its relationship with other regulators. For example, t</w:t>
      </w:r>
      <w:r w:rsidRPr="00E042B7">
        <w:rPr>
          <w:rFonts w:cs="Arial"/>
        </w:rPr>
        <w:t>he Compliance and Enforcement Branch has been working to improve and standardise the Department’s relationship with Border Force, including participating in the National Border Targeting Centre</w:t>
      </w:r>
      <w:r>
        <w:rPr>
          <w:rFonts w:cs="Arial"/>
        </w:rPr>
        <w:t xml:space="preserve">, </w:t>
      </w:r>
      <w:r w:rsidRPr="00E042B7">
        <w:rPr>
          <w:rFonts w:cs="Arial"/>
        </w:rPr>
        <w:t>identifying the requirements of all relevant areas of</w:t>
      </w:r>
      <w:r>
        <w:rPr>
          <w:rFonts w:cs="Arial"/>
        </w:rPr>
        <w:t xml:space="preserve"> the Department and leveraging</w:t>
      </w:r>
      <w:r w:rsidRPr="00E042B7">
        <w:rPr>
          <w:rFonts w:cs="Arial"/>
        </w:rPr>
        <w:t xml:space="preserve"> existing relationships between officers to build better formal and informal linkages across the two agencies.</w:t>
      </w:r>
      <w:r w:rsidRPr="004569EF">
        <w:rPr>
          <w:rFonts w:cs="Arial"/>
        </w:rPr>
        <w:t xml:space="preserve"> </w:t>
      </w:r>
    </w:p>
    <w:p w:rsidR="00E7528D" w:rsidRDefault="00E7528D" w:rsidP="00E7528D">
      <w:pPr>
        <w:rPr>
          <w:rFonts w:cs="Arial"/>
        </w:rPr>
      </w:pPr>
      <w:r>
        <w:rPr>
          <w:rFonts w:cs="Arial"/>
        </w:rPr>
        <w:t xml:space="preserve">EPG is </w:t>
      </w:r>
      <w:r w:rsidR="00F15BF7">
        <w:rPr>
          <w:rFonts w:cs="Arial"/>
        </w:rPr>
        <w:t xml:space="preserve">also </w:t>
      </w:r>
      <w:r>
        <w:rPr>
          <w:rFonts w:cs="Arial"/>
        </w:rPr>
        <w:t>working with Border Force and the Digital Transformation Office on an IT project to automate information-sharing services between the two agencies, in relation to export seizures and permit acquittals relating to wildlife trade. A separate proje</w:t>
      </w:r>
      <w:r w:rsidR="00B02B86">
        <w:rPr>
          <w:rFonts w:cs="Arial"/>
        </w:rPr>
        <w:t xml:space="preserve">ct between Border Force and </w:t>
      </w:r>
      <w:r>
        <w:rPr>
          <w:rFonts w:cs="Arial"/>
        </w:rPr>
        <w:t>EPG is addressing an issue raised by the recent ANAO audit around the two agencies’ ability to share confidential and protected information digitally, which will assist with broader compliance and enforcement activities by the two agencies. Both projects are good step</w:t>
      </w:r>
      <w:r w:rsidR="00A6701B">
        <w:rPr>
          <w:rFonts w:cs="Arial"/>
        </w:rPr>
        <w:t>s</w:t>
      </w:r>
      <w:r>
        <w:rPr>
          <w:rFonts w:cs="Arial"/>
        </w:rPr>
        <w:t xml:space="preserve"> towards improving the c</w:t>
      </w:r>
      <w:r w:rsidR="00B02B86">
        <w:rPr>
          <w:rFonts w:cs="Arial"/>
        </w:rPr>
        <w:t xml:space="preserve">apability and efficiency of </w:t>
      </w:r>
      <w:r>
        <w:rPr>
          <w:rFonts w:cs="Arial"/>
        </w:rPr>
        <w:t>EPG.</w:t>
      </w:r>
    </w:p>
    <w:p w:rsidR="00E7528D" w:rsidRDefault="00F15BF7" w:rsidP="00E7528D">
      <w:pPr>
        <w:pStyle w:val="ListBullet"/>
        <w:numPr>
          <w:ilvl w:val="0"/>
          <w:numId w:val="0"/>
        </w:numPr>
        <w:rPr>
          <w:rFonts w:cs="Arial"/>
        </w:rPr>
      </w:pPr>
      <w:r>
        <w:rPr>
          <w:rFonts w:cs="Arial"/>
        </w:rPr>
        <w:t>During consultation, s</w:t>
      </w:r>
      <w:r w:rsidR="00E7528D">
        <w:rPr>
          <w:rFonts w:cs="Arial"/>
        </w:rPr>
        <w:t>ome s</w:t>
      </w:r>
      <w:r w:rsidR="00E7528D" w:rsidRPr="00E76566">
        <w:rPr>
          <w:rFonts w:cs="Arial"/>
        </w:rPr>
        <w:t xml:space="preserve">taff </w:t>
      </w:r>
      <w:r w:rsidR="00E7528D">
        <w:rPr>
          <w:rFonts w:cs="Arial"/>
        </w:rPr>
        <w:t>commented that</w:t>
      </w:r>
      <w:r w:rsidR="00E7528D" w:rsidRPr="00E76566">
        <w:rPr>
          <w:rFonts w:cs="Arial"/>
        </w:rPr>
        <w:t xml:space="preserve"> engagement with states and territories </w:t>
      </w:r>
      <w:r w:rsidRPr="00E76566">
        <w:rPr>
          <w:rFonts w:cs="Arial"/>
        </w:rPr>
        <w:t>ha</w:t>
      </w:r>
      <w:r>
        <w:rPr>
          <w:rFonts w:cs="Arial"/>
        </w:rPr>
        <w:t xml:space="preserve">s </w:t>
      </w:r>
      <w:r w:rsidR="00E7528D" w:rsidRPr="00E76566">
        <w:rPr>
          <w:rFonts w:cs="Arial"/>
        </w:rPr>
        <w:t>decreased due to resourcing constraints</w:t>
      </w:r>
      <w:r w:rsidR="00AC46E7">
        <w:rPr>
          <w:rFonts w:cs="Arial"/>
        </w:rPr>
        <w:t>,</w:t>
      </w:r>
      <w:r w:rsidR="00E7528D">
        <w:rPr>
          <w:rFonts w:cs="Arial"/>
        </w:rPr>
        <w:t xml:space="preserve"> and relationships are</w:t>
      </w:r>
      <w:r w:rsidR="00E7528D" w:rsidRPr="00E76566">
        <w:rPr>
          <w:rFonts w:cs="Arial"/>
        </w:rPr>
        <w:t xml:space="preserve"> not being maintained to an optimal standard. </w:t>
      </w:r>
      <w:r w:rsidR="00E7528D">
        <w:rPr>
          <w:rFonts w:cs="Arial"/>
        </w:rPr>
        <w:t>The Department has commenced embedding officers within state environment agencies to assist with the EPBC one-stop-shop process. This has been welcomed by state agencies, however</w:t>
      </w:r>
      <w:r w:rsidR="00E7528D" w:rsidRPr="00B9575D">
        <w:rPr>
          <w:rFonts w:cs="Arial"/>
        </w:rPr>
        <w:t xml:space="preserve"> there is some concern that roles have not been articulated clearly enough which is preventing full benefit from the </w:t>
      </w:r>
      <w:r w:rsidR="00E3593E">
        <w:rPr>
          <w:rFonts w:cs="Arial"/>
        </w:rPr>
        <w:t>progra</w:t>
      </w:r>
      <w:r w:rsidR="00607573">
        <w:rPr>
          <w:rFonts w:cs="Arial"/>
        </w:rPr>
        <w:t>m</w:t>
      </w:r>
      <w:r w:rsidR="00E7528D" w:rsidRPr="00B9575D">
        <w:rPr>
          <w:rFonts w:cs="Arial"/>
        </w:rPr>
        <w:t>.</w:t>
      </w:r>
      <w:r w:rsidR="00E7528D" w:rsidRPr="00CA7412">
        <w:rPr>
          <w:rFonts w:cs="Arial"/>
        </w:rPr>
        <w:t xml:space="preserve"> </w:t>
      </w:r>
      <w:r w:rsidR="00E7528D" w:rsidRPr="00B9575D">
        <w:rPr>
          <w:rFonts w:cs="Arial"/>
        </w:rPr>
        <w:t>State agencies</w:t>
      </w:r>
      <w:r w:rsidR="00E7528D">
        <w:rPr>
          <w:rFonts w:cs="Arial"/>
        </w:rPr>
        <w:t xml:space="preserve"> also</w:t>
      </w:r>
      <w:r w:rsidR="00E7528D" w:rsidRPr="00B9575D">
        <w:rPr>
          <w:rFonts w:cs="Arial"/>
        </w:rPr>
        <w:t xml:space="preserve"> expressed a desire to have ac</w:t>
      </w:r>
      <w:r w:rsidR="007571BD">
        <w:rPr>
          <w:rFonts w:cs="Arial"/>
        </w:rPr>
        <w:t xml:space="preserve"> </w:t>
      </w:r>
      <w:r w:rsidR="00E7528D" w:rsidRPr="00B9575D">
        <w:rPr>
          <w:rFonts w:cs="Arial"/>
        </w:rPr>
        <w:t xml:space="preserve">cess to reasons for decisions, to aid in their assessment of those </w:t>
      </w:r>
      <w:r w:rsidR="00E7528D">
        <w:rPr>
          <w:rFonts w:cs="Arial"/>
        </w:rPr>
        <w:t>project</w:t>
      </w:r>
      <w:r w:rsidR="00E7528D" w:rsidRPr="00B9575D">
        <w:rPr>
          <w:rFonts w:cs="Arial"/>
        </w:rPr>
        <w:t xml:space="preserve">s </w:t>
      </w:r>
      <w:r w:rsidR="00E7528D">
        <w:rPr>
          <w:rFonts w:cs="Arial"/>
        </w:rPr>
        <w:t xml:space="preserve">which are assessed by states and territories as well as by </w:t>
      </w:r>
      <w:r w:rsidR="00AC46E7">
        <w:rPr>
          <w:rFonts w:cs="Arial"/>
        </w:rPr>
        <w:t xml:space="preserve">the Department. </w:t>
      </w:r>
    </w:p>
    <w:tbl>
      <w:tblPr>
        <w:tblStyle w:val="TableGrid"/>
        <w:tblW w:w="0" w:type="auto"/>
        <w:tblLook w:val="04A0" w:firstRow="1" w:lastRow="0" w:firstColumn="1" w:lastColumn="0" w:noHBand="0" w:noVBand="1"/>
      </w:tblPr>
      <w:tblGrid>
        <w:gridCol w:w="9212"/>
      </w:tblGrid>
      <w:tr w:rsidR="00E7528D" w:rsidTr="00746311">
        <w:trPr>
          <w:cnfStyle w:val="100000000000" w:firstRow="1" w:lastRow="0" w:firstColumn="0" w:lastColumn="0" w:oddVBand="0" w:evenVBand="0" w:oddHBand="0" w:evenHBand="0" w:firstRowFirstColumn="0" w:firstRowLastColumn="0" w:lastRowFirstColumn="0" w:lastRowLastColumn="0"/>
        </w:trPr>
        <w:tc>
          <w:tcPr>
            <w:tcW w:w="9428" w:type="dxa"/>
            <w:tcBorders>
              <w:top w:val="nil"/>
              <w:left w:val="nil"/>
              <w:bottom w:val="nil"/>
              <w:right w:val="nil"/>
            </w:tcBorders>
            <w:shd w:val="clear" w:color="auto" w:fill="C7E2FA" w:themeFill="accent1" w:themeFillTint="33"/>
          </w:tcPr>
          <w:p w:rsidR="00E7528D" w:rsidRDefault="001E2167" w:rsidP="00E7528D">
            <w:pPr>
              <w:spacing w:after="0"/>
              <w:rPr>
                <w:b/>
              </w:rPr>
            </w:pPr>
            <w:r>
              <w:rPr>
                <w:b/>
              </w:rPr>
              <w:t>Recommendation 6</w:t>
            </w:r>
            <w:r w:rsidR="00E7528D">
              <w:rPr>
                <w:b/>
              </w:rPr>
              <w:t>.4</w:t>
            </w:r>
            <w:r w:rsidR="00E7528D" w:rsidRPr="00E76566">
              <w:rPr>
                <w:b/>
              </w:rPr>
              <w:t xml:space="preserve"> (Working with other regulators):</w:t>
            </w:r>
          </w:p>
          <w:p w:rsidR="001E2167" w:rsidRDefault="001E2167" w:rsidP="00E7528D">
            <w:pPr>
              <w:spacing w:after="0"/>
              <w:rPr>
                <w:b/>
              </w:rPr>
            </w:pPr>
          </w:p>
          <w:p w:rsidR="00E7528D" w:rsidRDefault="00E7528D" w:rsidP="00E7528D">
            <w:pPr>
              <w:spacing w:after="0"/>
            </w:pPr>
            <w:r>
              <w:rPr>
                <w:i/>
              </w:rPr>
              <w:t xml:space="preserve">Importance: </w:t>
            </w:r>
            <w:r w:rsidR="00627742">
              <w:t>2</w:t>
            </w:r>
          </w:p>
          <w:p w:rsidR="00AE0D3D" w:rsidRPr="00756D7E" w:rsidRDefault="00AE0D3D" w:rsidP="00E7528D">
            <w:pPr>
              <w:spacing w:after="0"/>
            </w:pPr>
          </w:p>
          <w:p w:rsidR="00E7528D" w:rsidRDefault="00E7528D" w:rsidP="001E2167">
            <w:pPr>
              <w:spacing w:after="0"/>
            </w:pPr>
            <w:r>
              <w:rPr>
                <w:i/>
              </w:rPr>
              <w:t>Tim</w:t>
            </w:r>
            <w:r w:rsidR="00AE0D3D">
              <w:rPr>
                <w:i/>
              </w:rPr>
              <w:t>ing</w:t>
            </w:r>
            <w:r>
              <w:rPr>
                <w:i/>
              </w:rPr>
              <w:t>:</w:t>
            </w:r>
            <w:r>
              <w:t xml:space="preserve"> </w:t>
            </w:r>
            <w:r w:rsidR="00AE0D3D">
              <w:t xml:space="preserve">2 </w:t>
            </w:r>
          </w:p>
          <w:p w:rsidR="001E2167" w:rsidRPr="00E76566" w:rsidRDefault="001E2167" w:rsidP="001E2167">
            <w:pPr>
              <w:spacing w:after="0"/>
              <w:rPr>
                <w:b/>
              </w:rPr>
            </w:pPr>
          </w:p>
          <w:p w:rsidR="00E7528D" w:rsidRDefault="00E7528D" w:rsidP="00E7528D">
            <w:pPr>
              <w:rPr>
                <w:rFonts w:cs="Arial"/>
              </w:rPr>
            </w:pPr>
            <w:r w:rsidRPr="00E76566">
              <w:rPr>
                <w:rFonts w:cs="Arial"/>
              </w:rPr>
              <w:t>The Department should increase engagement with other Commonwealth and state regulators to build its regulatory capability. This could include</w:t>
            </w:r>
            <w:r>
              <w:rPr>
                <w:rFonts w:cs="Arial"/>
              </w:rPr>
              <w:t xml:space="preserve"> </w:t>
            </w:r>
            <w:r w:rsidRPr="00E76566">
              <w:rPr>
                <w:rFonts w:cs="Arial"/>
              </w:rPr>
              <w:t xml:space="preserve">building stronger bilateral </w:t>
            </w:r>
            <w:r w:rsidRPr="00E76566">
              <w:rPr>
                <w:rFonts w:cs="Arial"/>
              </w:rPr>
              <w:lastRenderedPageBreak/>
              <w:t xml:space="preserve">relationships with other regulators, </w:t>
            </w:r>
            <w:r>
              <w:rPr>
                <w:rFonts w:cs="Arial"/>
              </w:rPr>
              <w:t>for example through staff exchanges, secondments,</w:t>
            </w:r>
            <w:r w:rsidR="0056484D">
              <w:rPr>
                <w:rFonts w:cs="Arial"/>
              </w:rPr>
              <w:t xml:space="preserve"> or</w:t>
            </w:r>
            <w:r>
              <w:rPr>
                <w:rFonts w:cs="Arial"/>
              </w:rPr>
              <w:t xml:space="preserve"> ad hoc or standing working groups.</w:t>
            </w:r>
          </w:p>
          <w:p w:rsidR="00E7528D" w:rsidRDefault="00E7528D" w:rsidP="00E7528D">
            <w:pPr>
              <w:pStyle w:val="ListBullet"/>
              <w:numPr>
                <w:ilvl w:val="0"/>
                <w:numId w:val="0"/>
              </w:numPr>
              <w:rPr>
                <w:rFonts w:cs="Arial"/>
              </w:rPr>
            </w:pPr>
            <w:r w:rsidRPr="00E76566">
              <w:rPr>
                <w:rFonts w:cs="Arial"/>
              </w:rPr>
              <w:t xml:space="preserve">The Compliance and Enforcement Branch should continue working to develop more systematic arrangements with Border Force. These should be formalised through an updated MOU. The Department should </w:t>
            </w:r>
            <w:r w:rsidR="0056484D">
              <w:rPr>
                <w:rFonts w:cs="Arial"/>
              </w:rPr>
              <w:t>develop</w:t>
            </w:r>
            <w:r w:rsidR="0056484D" w:rsidRPr="00E76566">
              <w:rPr>
                <w:rFonts w:cs="Arial"/>
              </w:rPr>
              <w:t xml:space="preserve"> </w:t>
            </w:r>
            <w:r w:rsidRPr="00E76566">
              <w:rPr>
                <w:rFonts w:cs="Arial"/>
              </w:rPr>
              <w:t>similar</w:t>
            </w:r>
            <w:r w:rsidR="0056484D">
              <w:rPr>
                <w:rFonts w:cs="Arial"/>
              </w:rPr>
              <w:t xml:space="preserve"> arrangements</w:t>
            </w:r>
            <w:r w:rsidRPr="00E76566">
              <w:rPr>
                <w:rFonts w:cs="Arial"/>
              </w:rPr>
              <w:t xml:space="preserve"> with other co-regulators. </w:t>
            </w:r>
          </w:p>
          <w:p w:rsidR="00E7528D" w:rsidRDefault="009B05E8" w:rsidP="00E7528D">
            <w:pPr>
              <w:pStyle w:val="ListBullet"/>
              <w:numPr>
                <w:ilvl w:val="0"/>
                <w:numId w:val="0"/>
              </w:numPr>
              <w:rPr>
                <w:rFonts w:cs="Arial"/>
              </w:rPr>
            </w:pPr>
            <w:r w:rsidRPr="00672687">
              <w:rPr>
                <w:rFonts w:cs="Arial"/>
              </w:rPr>
              <w:t xml:space="preserve">The Department should develop a more consistent and systematic approach to appointing </w:t>
            </w:r>
            <w:r w:rsidR="005A4278" w:rsidRPr="005A4278">
              <w:rPr>
                <w:rFonts w:cs="Arial"/>
              </w:rPr>
              <w:t xml:space="preserve">authorised </w:t>
            </w:r>
            <w:r w:rsidRPr="00672687">
              <w:rPr>
                <w:rFonts w:cs="Arial"/>
              </w:rPr>
              <w:t>officers</w:t>
            </w:r>
            <w:r w:rsidR="005A4278" w:rsidRPr="005A4278">
              <w:rPr>
                <w:rFonts w:cs="Arial"/>
              </w:rPr>
              <w:t xml:space="preserve"> from other state or Commonwealth agencies</w:t>
            </w:r>
            <w:r w:rsidRPr="00A6701B">
              <w:rPr>
                <w:rFonts w:cs="Arial"/>
              </w:rPr>
              <w:t>.</w:t>
            </w:r>
          </w:p>
          <w:p w:rsidR="00E7528D" w:rsidRPr="00E76566" w:rsidRDefault="0056484D" w:rsidP="00E7528D">
            <w:pPr>
              <w:pStyle w:val="ListBullet"/>
              <w:numPr>
                <w:ilvl w:val="0"/>
                <w:numId w:val="0"/>
              </w:numPr>
              <w:rPr>
                <w:rFonts w:cs="Arial"/>
              </w:rPr>
            </w:pPr>
            <w:r>
              <w:rPr>
                <w:rFonts w:cs="Arial"/>
              </w:rPr>
              <w:t>EPG</w:t>
            </w:r>
            <w:r w:rsidR="00E7528D" w:rsidRPr="00E76566">
              <w:rPr>
                <w:rFonts w:cs="Arial"/>
              </w:rPr>
              <w:t xml:space="preserve"> should work with relevant state and territory co-regulators to agree on cooperative approaches to monitoring and compliance activities for shared areas of responsibility</w:t>
            </w:r>
            <w:r w:rsidR="00E7528D">
              <w:rPr>
                <w:rFonts w:cs="Arial"/>
              </w:rPr>
              <w:t>. This should include sharing supporting information such as briefs etc</w:t>
            </w:r>
            <w:r w:rsidR="004D1716">
              <w:rPr>
                <w:rFonts w:cs="Arial"/>
              </w:rPr>
              <w:t>.</w:t>
            </w:r>
          </w:p>
          <w:p w:rsidR="00E7528D" w:rsidRPr="00E76566" w:rsidRDefault="00B02B86" w:rsidP="00E7528D">
            <w:pPr>
              <w:rPr>
                <w:rFonts w:cs="Arial"/>
              </w:rPr>
            </w:pPr>
            <w:r>
              <w:rPr>
                <w:rFonts w:cs="Arial"/>
              </w:rPr>
              <w:t xml:space="preserve">EPG </w:t>
            </w:r>
            <w:r w:rsidR="00E7528D" w:rsidRPr="00E76566">
              <w:rPr>
                <w:rFonts w:cs="Arial"/>
              </w:rPr>
              <w:t xml:space="preserve">should provide additional support and guidance to embedded officers working with state </w:t>
            </w:r>
            <w:r w:rsidR="0056484D">
              <w:rPr>
                <w:rFonts w:cs="Arial"/>
              </w:rPr>
              <w:t xml:space="preserve">and territory </w:t>
            </w:r>
            <w:r w:rsidR="00E7528D" w:rsidRPr="00E76566">
              <w:rPr>
                <w:rFonts w:cs="Arial"/>
              </w:rPr>
              <w:t>governments, in particular:</w:t>
            </w:r>
          </w:p>
          <w:p w:rsidR="00E7528D" w:rsidRPr="00E76566" w:rsidRDefault="00E7528D" w:rsidP="00E65120">
            <w:pPr>
              <w:pStyle w:val="ListParagraph"/>
              <w:numPr>
                <w:ilvl w:val="0"/>
                <w:numId w:val="25"/>
              </w:numPr>
              <w:spacing w:after="0" w:line="240" w:lineRule="auto"/>
              <w:contextualSpacing/>
              <w:rPr>
                <w:rFonts w:cs="Arial"/>
              </w:rPr>
            </w:pPr>
            <w:r w:rsidRPr="00E76566">
              <w:rPr>
                <w:rFonts w:cs="Arial"/>
              </w:rPr>
              <w:t>clarify roles with the embedded officer and the relevant agency</w:t>
            </w:r>
            <w:r>
              <w:rPr>
                <w:rFonts w:cs="Arial"/>
              </w:rPr>
              <w:t xml:space="preserve"> with respect to the amount of assistance provided on assessments</w:t>
            </w:r>
            <w:r w:rsidRPr="00E76566">
              <w:rPr>
                <w:rFonts w:cs="Arial"/>
              </w:rPr>
              <w:t>;</w:t>
            </w:r>
          </w:p>
          <w:p w:rsidR="00E7528D" w:rsidRPr="00E76566" w:rsidRDefault="00E7528D" w:rsidP="00E65120">
            <w:pPr>
              <w:pStyle w:val="ListParagraph"/>
              <w:numPr>
                <w:ilvl w:val="0"/>
                <w:numId w:val="25"/>
              </w:numPr>
              <w:contextualSpacing/>
              <w:rPr>
                <w:rFonts w:cs="Arial"/>
              </w:rPr>
            </w:pPr>
            <w:r w:rsidRPr="00E76566">
              <w:rPr>
                <w:rFonts w:cs="Arial"/>
              </w:rPr>
              <w:t>monitor performance at regular intervals; and</w:t>
            </w:r>
          </w:p>
          <w:p w:rsidR="00E7528D" w:rsidRPr="00E76566" w:rsidRDefault="00E7528D" w:rsidP="00E65120">
            <w:pPr>
              <w:pStyle w:val="ListParagraph"/>
              <w:numPr>
                <w:ilvl w:val="0"/>
                <w:numId w:val="25"/>
              </w:numPr>
              <w:rPr>
                <w:rFonts w:cs="Arial"/>
              </w:rPr>
            </w:pPr>
            <w:r w:rsidRPr="00E76566">
              <w:rPr>
                <w:rFonts w:cs="Arial"/>
              </w:rPr>
              <w:t>facilitate regular meetings between the Department, the embedded officer and the relevant agency.</w:t>
            </w:r>
            <w:r w:rsidRPr="00E76566">
              <w:rPr>
                <w:rFonts w:cs="Arial"/>
              </w:rPr>
              <w:tab/>
            </w:r>
          </w:p>
          <w:p w:rsidR="00E7528D" w:rsidRDefault="0056484D" w:rsidP="00E7528D">
            <w:pPr>
              <w:pStyle w:val="ListBullet"/>
              <w:numPr>
                <w:ilvl w:val="0"/>
                <w:numId w:val="0"/>
              </w:numPr>
              <w:rPr>
                <w:rFonts w:cs="Arial"/>
              </w:rPr>
            </w:pPr>
            <w:r>
              <w:rPr>
                <w:rFonts w:cs="Arial"/>
              </w:rPr>
              <w:t>EPG</w:t>
            </w:r>
            <w:r w:rsidR="00E7528D" w:rsidRPr="00E76566">
              <w:rPr>
                <w:rFonts w:cs="Arial"/>
              </w:rPr>
              <w:t xml:space="preserve"> should routinely share key assessment documentation with co-regulators (such as state and territory agencies). </w:t>
            </w:r>
          </w:p>
        </w:tc>
      </w:tr>
    </w:tbl>
    <w:p w:rsidR="00A6701B" w:rsidRDefault="00A6701B" w:rsidP="00746311">
      <w:pPr>
        <w:pStyle w:val="Heading1"/>
        <w:spacing w:after="120"/>
        <w:rPr>
          <w:caps w:val="0"/>
          <w:color w:val="0B5294" w:themeColor="accent1" w:themeShade="BF"/>
          <w:sz w:val="24"/>
          <w:szCs w:val="24"/>
        </w:rPr>
      </w:pPr>
      <w:bookmarkStart w:id="78" w:name="_Toc443405203"/>
    </w:p>
    <w:p w:rsidR="00E7528D" w:rsidRPr="00746311" w:rsidRDefault="00E7528D" w:rsidP="00746311">
      <w:pPr>
        <w:pStyle w:val="Heading1"/>
        <w:spacing w:after="120"/>
        <w:rPr>
          <w:caps w:val="0"/>
          <w:color w:val="0B5294" w:themeColor="accent1" w:themeShade="BF"/>
          <w:sz w:val="24"/>
          <w:szCs w:val="24"/>
        </w:rPr>
      </w:pPr>
      <w:r w:rsidRPr="00746311">
        <w:rPr>
          <w:caps w:val="0"/>
          <w:color w:val="0B5294" w:themeColor="accent1" w:themeShade="BF"/>
          <w:sz w:val="24"/>
          <w:szCs w:val="24"/>
        </w:rPr>
        <w:t>Engaging with communities of practice</w:t>
      </w:r>
      <w:bookmarkEnd w:id="78"/>
    </w:p>
    <w:p w:rsidR="00E7528D" w:rsidRDefault="0056484D" w:rsidP="00E7528D">
      <w:pPr>
        <w:rPr>
          <w:rFonts w:cs="Arial"/>
        </w:rPr>
      </w:pPr>
      <w:r>
        <w:rPr>
          <w:rFonts w:cs="Arial"/>
        </w:rPr>
        <w:t xml:space="preserve">Mature regulators use </w:t>
      </w:r>
      <w:r w:rsidR="00E7528D">
        <w:rPr>
          <w:rFonts w:cs="Arial"/>
        </w:rPr>
        <w:t xml:space="preserve">forums, ad hoc meetings, seminars and conferences to increase their knowledge of issues facing the community and build capability. Communities of practice are useful for exploring common issues, sharing lessons learnt and promoting best practice regulation. </w:t>
      </w:r>
    </w:p>
    <w:p w:rsidR="00E7528D" w:rsidRDefault="0056484D" w:rsidP="00E7528D">
      <w:pPr>
        <w:rPr>
          <w:rFonts w:cs="Arial"/>
        </w:rPr>
      </w:pPr>
      <w:r>
        <w:rPr>
          <w:rFonts w:cs="Arial"/>
        </w:rPr>
        <w:t xml:space="preserve">The </w:t>
      </w:r>
      <w:r w:rsidR="00797C11">
        <w:rPr>
          <w:rFonts w:cs="Arial"/>
        </w:rPr>
        <w:t xml:space="preserve">Project </w:t>
      </w:r>
      <w:r>
        <w:rPr>
          <w:rFonts w:cs="Arial"/>
        </w:rPr>
        <w:t>has found that s</w:t>
      </w:r>
      <w:r w:rsidR="00B02B86">
        <w:rPr>
          <w:rFonts w:cs="Arial"/>
        </w:rPr>
        <w:t>ome members of</w:t>
      </w:r>
      <w:r w:rsidR="00E7528D">
        <w:rPr>
          <w:rFonts w:cs="Arial"/>
        </w:rPr>
        <w:t xml:space="preserve"> EPG positively engag</w:t>
      </w:r>
      <w:r>
        <w:rPr>
          <w:rFonts w:cs="Arial"/>
        </w:rPr>
        <w:t>e</w:t>
      </w:r>
      <w:r w:rsidR="00E7528D">
        <w:rPr>
          <w:rFonts w:cs="Arial"/>
        </w:rPr>
        <w:t xml:space="preserve"> in a number of communities of practice and for</w:t>
      </w:r>
      <w:r w:rsidR="001E2167">
        <w:rPr>
          <w:rFonts w:cs="Arial"/>
        </w:rPr>
        <w:t>ums</w:t>
      </w:r>
      <w:r w:rsidR="00E7528D">
        <w:rPr>
          <w:rFonts w:cs="Arial"/>
        </w:rPr>
        <w:t xml:space="preserve"> such as </w:t>
      </w:r>
      <w:r>
        <w:rPr>
          <w:rFonts w:cs="Arial"/>
        </w:rPr>
        <w:t xml:space="preserve">the </w:t>
      </w:r>
      <w:r w:rsidR="00E7528D">
        <w:rPr>
          <w:rFonts w:cs="Arial"/>
        </w:rPr>
        <w:t xml:space="preserve">Australasian Environmental Law Enforcement and Regulators </w:t>
      </w:r>
      <w:r>
        <w:rPr>
          <w:rFonts w:cs="Arial"/>
        </w:rPr>
        <w:t xml:space="preserve">neTwork </w:t>
      </w:r>
      <w:r w:rsidR="00E7528D">
        <w:rPr>
          <w:rFonts w:cs="Arial"/>
        </w:rPr>
        <w:t>(AELERT) and the Environment Institute of Australia and New Zealand (EIANZ)</w:t>
      </w:r>
      <w:r>
        <w:rPr>
          <w:rFonts w:cs="Arial"/>
        </w:rPr>
        <w:t xml:space="preserve">, although </w:t>
      </w:r>
      <w:r w:rsidR="00E7528D">
        <w:rPr>
          <w:rFonts w:cs="Arial"/>
        </w:rPr>
        <w:t>engagement with AELERT has largely been limited to officers from the Complia</w:t>
      </w:r>
      <w:r w:rsidR="00B02B86">
        <w:rPr>
          <w:rFonts w:cs="Arial"/>
        </w:rPr>
        <w:t xml:space="preserve">nce and Enforcement Branch. </w:t>
      </w:r>
      <w:r w:rsidR="00E7528D">
        <w:rPr>
          <w:rFonts w:cs="Arial"/>
        </w:rPr>
        <w:t>EPG should look to extend its involvement with</w:t>
      </w:r>
      <w:r>
        <w:rPr>
          <w:rFonts w:cs="Arial"/>
        </w:rPr>
        <w:t xml:space="preserve"> these networks and</w:t>
      </w:r>
      <w:r w:rsidR="00E7528D">
        <w:rPr>
          <w:rFonts w:cs="Arial"/>
        </w:rPr>
        <w:t xml:space="preserve"> other communities such as the International Network for Environmental Compliance and Enforcement (INECE)</w:t>
      </w:r>
      <w:r>
        <w:rPr>
          <w:rFonts w:cs="Arial"/>
        </w:rPr>
        <w:t>.</w:t>
      </w:r>
      <w:r w:rsidR="00E7528D">
        <w:rPr>
          <w:rFonts w:cs="Arial"/>
        </w:rPr>
        <w:t xml:space="preserve"> </w:t>
      </w:r>
    </w:p>
    <w:p w:rsidR="00E7528D" w:rsidRDefault="00E7528D" w:rsidP="00E7528D">
      <w:pPr>
        <w:rPr>
          <w:rFonts w:cs="Arial"/>
        </w:rPr>
      </w:pPr>
      <w:r w:rsidRPr="00787AB6">
        <w:rPr>
          <w:rFonts w:cs="Arial"/>
        </w:rPr>
        <w:t>Feedback from state regulators and other stakeholders indicated that they look to the Department to be a national leader in environmental regulation. While the Department does work with states and territories on a number of issues and projects, such as the Common Assessment Method, further proactive engagement on environmental best practice would be beneficial for all parties. The Department should consider establishing ad-hoc or regular working groups and panels to discuss common risks and trends, environmental issues, regulatory best practice, and develop opportunities for further collaboration.</w:t>
      </w:r>
      <w:r>
        <w:rPr>
          <w:rFonts w:cs="Arial"/>
        </w:rPr>
        <w:t xml:space="preserve">   </w:t>
      </w:r>
    </w:p>
    <w:tbl>
      <w:tblPr>
        <w:tblStyle w:val="TableGrid"/>
        <w:tblW w:w="0" w:type="auto"/>
        <w:tblLook w:val="04A0" w:firstRow="1" w:lastRow="0" w:firstColumn="1" w:lastColumn="0" w:noHBand="0" w:noVBand="1"/>
      </w:tblPr>
      <w:tblGrid>
        <w:gridCol w:w="9212"/>
      </w:tblGrid>
      <w:tr w:rsidR="00E7528D" w:rsidTr="00746311">
        <w:trPr>
          <w:cnfStyle w:val="100000000000" w:firstRow="1" w:lastRow="0" w:firstColumn="0" w:lastColumn="0" w:oddVBand="0" w:evenVBand="0" w:oddHBand="0" w:evenHBand="0" w:firstRowFirstColumn="0" w:firstRowLastColumn="0" w:lastRowFirstColumn="0" w:lastRowLastColumn="0"/>
        </w:trPr>
        <w:tc>
          <w:tcPr>
            <w:tcW w:w="9428" w:type="dxa"/>
            <w:tcBorders>
              <w:top w:val="nil"/>
              <w:left w:val="nil"/>
              <w:bottom w:val="nil"/>
              <w:right w:val="nil"/>
            </w:tcBorders>
            <w:shd w:val="clear" w:color="auto" w:fill="C7E2FA" w:themeFill="accent1" w:themeFillTint="33"/>
          </w:tcPr>
          <w:p w:rsidR="00E7528D" w:rsidRPr="0059773F" w:rsidRDefault="001E2167" w:rsidP="00E7528D">
            <w:pPr>
              <w:rPr>
                <w:rFonts w:cs="Arial"/>
                <w:b/>
              </w:rPr>
            </w:pPr>
            <w:r>
              <w:rPr>
                <w:rFonts w:cs="Arial"/>
                <w:b/>
              </w:rPr>
              <w:t>Recommendation 6</w:t>
            </w:r>
            <w:r w:rsidR="00E7528D" w:rsidRPr="0059773F">
              <w:rPr>
                <w:rFonts w:cs="Arial"/>
                <w:b/>
              </w:rPr>
              <w:t xml:space="preserve">.5 </w:t>
            </w:r>
            <w:r>
              <w:rPr>
                <w:rFonts w:cs="Arial"/>
                <w:b/>
              </w:rPr>
              <w:t>(Engaging with communities of practice</w:t>
            </w:r>
            <w:r w:rsidR="00AE0D3D">
              <w:rPr>
                <w:rFonts w:cs="Arial"/>
                <w:b/>
              </w:rPr>
              <w:t>)</w:t>
            </w:r>
          </w:p>
          <w:p w:rsidR="00E7528D" w:rsidRDefault="00E7528D" w:rsidP="00E7528D">
            <w:pPr>
              <w:spacing w:after="0"/>
              <w:rPr>
                <w:i/>
              </w:rPr>
            </w:pPr>
            <w:r>
              <w:rPr>
                <w:i/>
              </w:rPr>
              <w:t xml:space="preserve">Importance: </w:t>
            </w:r>
            <w:r w:rsidR="00AE0D3D">
              <w:t>3</w:t>
            </w:r>
          </w:p>
          <w:p w:rsidR="00AE0D3D" w:rsidRPr="00756D7E" w:rsidRDefault="00AE0D3D" w:rsidP="00E7528D">
            <w:pPr>
              <w:spacing w:after="0"/>
            </w:pPr>
          </w:p>
          <w:p w:rsidR="00E7528D" w:rsidRDefault="00E7528D" w:rsidP="00E7528D">
            <w:pPr>
              <w:spacing w:after="0"/>
            </w:pPr>
            <w:r>
              <w:rPr>
                <w:i/>
              </w:rPr>
              <w:t>Tim</w:t>
            </w:r>
            <w:r w:rsidR="00AE0D3D">
              <w:rPr>
                <w:i/>
              </w:rPr>
              <w:t>ing</w:t>
            </w:r>
            <w:r>
              <w:rPr>
                <w:i/>
              </w:rPr>
              <w:t>:</w:t>
            </w:r>
            <w:r>
              <w:t xml:space="preserve"> 2</w:t>
            </w:r>
          </w:p>
          <w:p w:rsidR="001E2167" w:rsidRPr="00756D7E" w:rsidRDefault="001E2167" w:rsidP="00E7528D">
            <w:pPr>
              <w:spacing w:after="0"/>
            </w:pPr>
          </w:p>
          <w:p w:rsidR="00E7528D" w:rsidRPr="00E76566" w:rsidRDefault="00E7528D" w:rsidP="00E7528D">
            <w:pPr>
              <w:rPr>
                <w:rFonts w:cs="Arial"/>
              </w:rPr>
            </w:pPr>
            <w:r w:rsidRPr="00E76566">
              <w:rPr>
                <w:rFonts w:cs="Arial"/>
              </w:rPr>
              <w:t xml:space="preserve">The Department should increase engagement </w:t>
            </w:r>
            <w:r>
              <w:rPr>
                <w:rFonts w:cs="Arial"/>
              </w:rPr>
              <w:t>with relevant communities of practice</w:t>
            </w:r>
            <w:r w:rsidRPr="00E76566">
              <w:rPr>
                <w:rFonts w:cs="Arial"/>
              </w:rPr>
              <w:t xml:space="preserve"> to build its regulatory capability. This could include:</w:t>
            </w:r>
          </w:p>
          <w:p w:rsidR="00E7528D" w:rsidRPr="00E76566" w:rsidRDefault="00E7528D" w:rsidP="00E65120">
            <w:pPr>
              <w:pStyle w:val="ListParagraph"/>
              <w:numPr>
                <w:ilvl w:val="0"/>
                <w:numId w:val="24"/>
              </w:numPr>
              <w:spacing w:after="0"/>
              <w:ind w:left="760" w:hanging="357"/>
              <w:rPr>
                <w:rFonts w:cs="Arial"/>
              </w:rPr>
            </w:pPr>
            <w:r w:rsidRPr="00E76566">
              <w:rPr>
                <w:rFonts w:cs="Arial"/>
              </w:rPr>
              <w:t>further engagement with Commonwealth forums (such as those managed by PM&amp;C) and na</w:t>
            </w:r>
            <w:r w:rsidR="001E2167">
              <w:rPr>
                <w:rFonts w:cs="Arial"/>
              </w:rPr>
              <w:t>tional forums such AEL</w:t>
            </w:r>
            <w:r w:rsidRPr="00E76566">
              <w:rPr>
                <w:rFonts w:cs="Arial"/>
              </w:rPr>
              <w:t>ERT</w:t>
            </w:r>
            <w:r w:rsidR="00970654">
              <w:rPr>
                <w:rFonts w:cs="Arial"/>
              </w:rPr>
              <w:t xml:space="preserve"> and EIANZ</w:t>
            </w:r>
            <w:r w:rsidRPr="00E76566">
              <w:rPr>
                <w:rFonts w:cs="Arial"/>
              </w:rPr>
              <w:t>;</w:t>
            </w:r>
          </w:p>
          <w:p w:rsidR="00E7528D" w:rsidRPr="001E2167" w:rsidRDefault="00E7528D" w:rsidP="00E65120">
            <w:pPr>
              <w:pStyle w:val="ListParagraph"/>
              <w:numPr>
                <w:ilvl w:val="0"/>
                <w:numId w:val="23"/>
              </w:numPr>
              <w:spacing w:after="0"/>
              <w:rPr>
                <w:rFonts w:cs="Arial"/>
              </w:rPr>
            </w:pPr>
            <w:r w:rsidRPr="00E76566">
              <w:rPr>
                <w:rFonts w:cs="Arial"/>
              </w:rPr>
              <w:t xml:space="preserve">convening ad-hoc </w:t>
            </w:r>
            <w:r w:rsidR="00970654">
              <w:rPr>
                <w:rFonts w:cs="Arial"/>
              </w:rPr>
              <w:t xml:space="preserve">working </w:t>
            </w:r>
            <w:r w:rsidRPr="00E76566">
              <w:rPr>
                <w:rFonts w:cs="Arial"/>
              </w:rPr>
              <w:t xml:space="preserve">groups with states and territories and/or </w:t>
            </w:r>
            <w:r w:rsidR="00970654">
              <w:rPr>
                <w:rFonts w:cs="Arial"/>
              </w:rPr>
              <w:t xml:space="preserve">other </w:t>
            </w:r>
            <w:r w:rsidRPr="00E76566">
              <w:rPr>
                <w:rFonts w:cs="Arial"/>
              </w:rPr>
              <w:t>Commonwealth regulator</w:t>
            </w:r>
            <w:r>
              <w:rPr>
                <w:rFonts w:cs="Arial"/>
              </w:rPr>
              <w:t>s to consider particular issues.</w:t>
            </w:r>
          </w:p>
        </w:tc>
      </w:tr>
    </w:tbl>
    <w:p w:rsidR="00A6701B" w:rsidRDefault="00A6701B" w:rsidP="00746311">
      <w:pPr>
        <w:pStyle w:val="Heading1"/>
        <w:spacing w:after="120"/>
        <w:rPr>
          <w:caps w:val="0"/>
          <w:color w:val="0B5294" w:themeColor="accent1" w:themeShade="BF"/>
          <w:sz w:val="24"/>
          <w:szCs w:val="24"/>
        </w:rPr>
      </w:pPr>
      <w:bookmarkStart w:id="79" w:name="_Toc443405204"/>
    </w:p>
    <w:p w:rsidR="00E7528D" w:rsidRDefault="00E7528D" w:rsidP="00746311">
      <w:pPr>
        <w:pStyle w:val="Heading1"/>
        <w:spacing w:after="120"/>
        <w:rPr>
          <w:caps w:val="0"/>
          <w:color w:val="0B5294" w:themeColor="accent1" w:themeShade="BF"/>
          <w:sz w:val="24"/>
          <w:szCs w:val="24"/>
        </w:rPr>
      </w:pPr>
      <w:r w:rsidRPr="00746311">
        <w:rPr>
          <w:caps w:val="0"/>
          <w:color w:val="0B5294" w:themeColor="accent1" w:themeShade="BF"/>
          <w:sz w:val="24"/>
          <w:szCs w:val="24"/>
        </w:rPr>
        <w:t>Speaking with a single voice</w:t>
      </w:r>
      <w:bookmarkEnd w:id="79"/>
      <w:r w:rsidRPr="00746311">
        <w:rPr>
          <w:caps w:val="0"/>
          <w:color w:val="0B5294" w:themeColor="accent1" w:themeShade="BF"/>
          <w:sz w:val="24"/>
          <w:szCs w:val="24"/>
        </w:rPr>
        <w:t xml:space="preserve"> </w:t>
      </w:r>
    </w:p>
    <w:p w:rsidR="00E25CCF" w:rsidRDefault="00E25CCF" w:rsidP="00E25CCF">
      <w:pPr>
        <w:rPr>
          <w:rFonts w:cs="Arial"/>
        </w:rPr>
      </w:pPr>
      <w:r>
        <w:rPr>
          <w:rFonts w:cs="Arial"/>
        </w:rPr>
        <w:t xml:space="preserve">Best practice regulators have integrated communication strategies to ensure that messaging and advice is clear and consistent. This includes maintaining and sharing information about past and planned interactions with stakeholders. Mature regulators use this information to inform intelligence and analysis, to support an accurate understanding of the operating environment of the regulated community, and to support risk management. </w:t>
      </w:r>
    </w:p>
    <w:p w:rsidR="00E25CCF" w:rsidRDefault="00E25CCF" w:rsidP="00E25CCF">
      <w:pPr>
        <w:rPr>
          <w:rFonts w:cs="Arial"/>
        </w:rPr>
      </w:pPr>
      <w:r>
        <w:rPr>
          <w:rFonts w:cs="Arial"/>
        </w:rPr>
        <w:t>The Project found that s</w:t>
      </w:r>
      <w:r w:rsidRPr="00002750">
        <w:rPr>
          <w:rFonts w:cs="Arial"/>
        </w:rPr>
        <w:t>takeholder engagement is conducted inconsistently ac</w:t>
      </w:r>
      <w:r>
        <w:rPr>
          <w:rFonts w:cs="Arial"/>
        </w:rPr>
        <w:t xml:space="preserve">ross </w:t>
      </w:r>
      <w:r w:rsidRPr="00002750">
        <w:rPr>
          <w:rFonts w:cs="Arial"/>
        </w:rPr>
        <w:t xml:space="preserve">EPG. Strategies are not regularly coordinated across </w:t>
      </w:r>
      <w:r>
        <w:rPr>
          <w:rFonts w:cs="Arial"/>
        </w:rPr>
        <w:t>Sections and Branches,</w:t>
      </w:r>
      <w:r w:rsidRPr="00002750">
        <w:rPr>
          <w:rFonts w:cs="Arial"/>
        </w:rPr>
        <w:t xml:space="preserve"> and staff are often unaware of </w:t>
      </w:r>
      <w:r>
        <w:rPr>
          <w:rFonts w:cs="Arial"/>
        </w:rPr>
        <w:t>previous or concurrent</w:t>
      </w:r>
      <w:r w:rsidRPr="00002750">
        <w:rPr>
          <w:rFonts w:cs="Arial"/>
        </w:rPr>
        <w:t xml:space="preserve"> engagement with particular stakeholders. This can result in confusing and inconsistent advice or repetitive information requests from the Department. </w:t>
      </w:r>
    </w:p>
    <w:p w:rsidR="00E25CCF" w:rsidRDefault="00E25CCF" w:rsidP="00E25CCF">
      <w:pPr>
        <w:rPr>
          <w:rFonts w:cs="Arial"/>
        </w:rPr>
      </w:pPr>
      <w:r>
        <w:rPr>
          <w:rFonts w:cs="Arial"/>
        </w:rPr>
        <w:t>T</w:t>
      </w:r>
      <w:r w:rsidRPr="00002750">
        <w:rPr>
          <w:rFonts w:cs="Arial"/>
        </w:rPr>
        <w:t>he recording of stakeholder engagement is conducted in an ad hoc manner</w:t>
      </w:r>
      <w:r>
        <w:rPr>
          <w:rFonts w:cs="Arial"/>
        </w:rPr>
        <w:t xml:space="preserve">; </w:t>
      </w:r>
      <w:r w:rsidRPr="00002750">
        <w:rPr>
          <w:rFonts w:cs="Arial"/>
        </w:rPr>
        <w:t>predominantly through file n</w:t>
      </w:r>
      <w:r>
        <w:rPr>
          <w:rFonts w:cs="Arial"/>
        </w:rPr>
        <w:t>otes and hand-written notation.</w:t>
      </w:r>
      <w:r w:rsidRPr="00002750">
        <w:rPr>
          <w:rFonts w:cs="Arial"/>
        </w:rPr>
        <w:t xml:space="preserve"> This makes it difficult for stakeholder data to be incorporated into corporate memory for fu</w:t>
      </w:r>
      <w:r>
        <w:rPr>
          <w:rFonts w:cs="Arial"/>
        </w:rPr>
        <w:t>ture</w:t>
      </w:r>
      <w:r w:rsidRPr="00002750">
        <w:rPr>
          <w:rFonts w:cs="Arial"/>
        </w:rPr>
        <w:t xml:space="preserve"> use.</w:t>
      </w:r>
      <w:r>
        <w:rPr>
          <w:rFonts w:cs="Arial"/>
        </w:rPr>
        <w:t xml:space="preserve"> This is of particular concern given the current resource restraints and high level of staff turnover in EPG. </w:t>
      </w:r>
    </w:p>
    <w:p w:rsidR="00E25CCF" w:rsidRDefault="00E25CCF" w:rsidP="00E25CCF">
      <w:pPr>
        <w:rPr>
          <w:rFonts w:cs="Arial"/>
        </w:rPr>
      </w:pPr>
      <w:r>
        <w:rPr>
          <w:rFonts w:cs="Arial"/>
        </w:rPr>
        <w:t xml:space="preserve">During consultation, the Minerals Council of Australia noted that proponents often have to re-establish relationships and repeat explanations or discussions of issues over the life of an EPBC assessment, due to the high turnover of assessment officers. Separate stakeholders noted that the assessment process was more efficient and consistent when one assessment officer was responsible over the life of the assessment. </w:t>
      </w:r>
    </w:p>
    <w:tbl>
      <w:tblPr>
        <w:tblStyle w:val="TableGrid"/>
        <w:tblW w:w="0" w:type="auto"/>
        <w:tblInd w:w="-34" w:type="dxa"/>
        <w:tblLook w:val="04A0" w:firstRow="1" w:lastRow="0" w:firstColumn="1" w:lastColumn="0" w:noHBand="0" w:noVBand="1"/>
      </w:tblPr>
      <w:tblGrid>
        <w:gridCol w:w="9246"/>
      </w:tblGrid>
      <w:tr w:rsidR="00E7528D" w:rsidTr="00746311">
        <w:trPr>
          <w:cnfStyle w:val="100000000000" w:firstRow="1" w:lastRow="0" w:firstColumn="0" w:lastColumn="0" w:oddVBand="0" w:evenVBand="0" w:oddHBand="0" w:evenHBand="0" w:firstRowFirstColumn="0" w:firstRowLastColumn="0" w:lastRowFirstColumn="0" w:lastRowLastColumn="0"/>
        </w:trPr>
        <w:tc>
          <w:tcPr>
            <w:tcW w:w="9462" w:type="dxa"/>
            <w:tcBorders>
              <w:top w:val="nil"/>
              <w:left w:val="nil"/>
              <w:bottom w:val="nil"/>
              <w:right w:val="nil"/>
            </w:tcBorders>
            <w:shd w:val="clear" w:color="auto" w:fill="C7E2FA" w:themeFill="accent1" w:themeFillTint="33"/>
          </w:tcPr>
          <w:p w:rsidR="00E7528D" w:rsidRDefault="00E7528D" w:rsidP="00E7528D">
            <w:pPr>
              <w:rPr>
                <w:rFonts w:cs="Arial"/>
                <w:b/>
              </w:rPr>
            </w:pPr>
            <w:r>
              <w:rPr>
                <w:rFonts w:cs="Arial"/>
                <w:b/>
              </w:rPr>
              <w:t>Recommendation</w:t>
            </w:r>
            <w:r w:rsidR="001E2167">
              <w:rPr>
                <w:rFonts w:cs="Arial"/>
                <w:b/>
              </w:rPr>
              <w:t xml:space="preserve"> 6.6 (Speaking with a single voice</w:t>
            </w:r>
            <w:r w:rsidR="00746311">
              <w:rPr>
                <w:rFonts w:cs="Arial"/>
                <w:b/>
              </w:rPr>
              <w:t>)</w:t>
            </w:r>
          </w:p>
          <w:p w:rsidR="00E7528D" w:rsidRPr="00AE0D3D" w:rsidRDefault="00E7528D" w:rsidP="00E7528D">
            <w:pPr>
              <w:spacing w:after="0"/>
            </w:pPr>
            <w:r>
              <w:rPr>
                <w:i/>
              </w:rPr>
              <w:t xml:space="preserve">Importance: </w:t>
            </w:r>
            <w:r w:rsidR="005A4278" w:rsidRPr="005A4278">
              <w:t>3</w:t>
            </w:r>
          </w:p>
          <w:p w:rsidR="00AE0D3D" w:rsidRPr="00756D7E" w:rsidRDefault="00AE0D3D" w:rsidP="00E7528D">
            <w:pPr>
              <w:spacing w:after="0"/>
            </w:pPr>
          </w:p>
          <w:p w:rsidR="00E7528D" w:rsidRPr="00756D7E" w:rsidRDefault="00E7528D" w:rsidP="00E7528D">
            <w:pPr>
              <w:spacing w:after="0"/>
            </w:pPr>
            <w:r>
              <w:rPr>
                <w:i/>
              </w:rPr>
              <w:t>Tim</w:t>
            </w:r>
            <w:r w:rsidR="00AE0D3D">
              <w:rPr>
                <w:i/>
              </w:rPr>
              <w:t>ing</w:t>
            </w:r>
            <w:r>
              <w:rPr>
                <w:i/>
              </w:rPr>
              <w:t>:</w:t>
            </w:r>
            <w:r>
              <w:t xml:space="preserve"> 2</w:t>
            </w:r>
          </w:p>
          <w:p w:rsidR="00970654" w:rsidRDefault="00970654" w:rsidP="00E7528D">
            <w:pPr>
              <w:rPr>
                <w:rFonts w:cs="Arial"/>
              </w:rPr>
            </w:pPr>
          </w:p>
          <w:p w:rsidR="00E7528D" w:rsidRPr="00002750" w:rsidRDefault="00E7528D" w:rsidP="00E7528D">
            <w:pPr>
              <w:rPr>
                <w:rFonts w:cs="Arial"/>
              </w:rPr>
            </w:pPr>
            <w:r w:rsidRPr="00002750">
              <w:rPr>
                <w:rFonts w:cs="Arial"/>
              </w:rPr>
              <w:t>EPG should work with the Policy and Communication Branch in</w:t>
            </w:r>
            <w:r w:rsidR="004D1716">
              <w:rPr>
                <w:rFonts w:cs="Arial"/>
              </w:rPr>
              <w:t xml:space="preserve"> PAID</w:t>
            </w:r>
            <w:r w:rsidRPr="00002750">
              <w:rPr>
                <w:rFonts w:cs="Arial"/>
              </w:rPr>
              <w:t xml:space="preserve"> to develop a broad</w:t>
            </w:r>
            <w:r w:rsidR="00B02B86">
              <w:rPr>
                <w:rFonts w:cs="Arial"/>
              </w:rPr>
              <w:t xml:space="preserve"> communication strategy for </w:t>
            </w:r>
            <w:r w:rsidRPr="00002750">
              <w:rPr>
                <w:rFonts w:cs="Arial"/>
              </w:rPr>
              <w:t>EPG. This should focus on identifying the most effective engagement options given limited resources. In the longer term, this policy should also map stakeh</w:t>
            </w:r>
            <w:r w:rsidR="00B02B86">
              <w:rPr>
                <w:rFonts w:cs="Arial"/>
              </w:rPr>
              <w:t xml:space="preserve">olders across </w:t>
            </w:r>
            <w:r w:rsidRPr="00002750">
              <w:rPr>
                <w:rFonts w:cs="Arial"/>
              </w:rPr>
              <w:t>EPG and the Department to allow a more coordinated approach to engagement.</w:t>
            </w:r>
            <w:r w:rsidR="00EB0AC0">
              <w:rPr>
                <w:rFonts w:cs="Arial"/>
              </w:rPr>
              <w:t xml:space="preserve"> </w:t>
            </w:r>
          </w:p>
          <w:p w:rsidR="00E7528D" w:rsidRDefault="00E7528D" w:rsidP="00A6701B">
            <w:pPr>
              <w:rPr>
                <w:rFonts w:cs="Arial"/>
              </w:rPr>
            </w:pPr>
            <w:r w:rsidRPr="00002750">
              <w:rPr>
                <w:rFonts w:cs="Arial"/>
              </w:rPr>
              <w:t xml:space="preserve">EPG should record </w:t>
            </w:r>
            <w:r>
              <w:rPr>
                <w:rFonts w:cs="Arial"/>
              </w:rPr>
              <w:t xml:space="preserve">all relevant </w:t>
            </w:r>
            <w:r w:rsidRPr="00002750">
              <w:rPr>
                <w:rFonts w:cs="Arial"/>
              </w:rPr>
              <w:t>information about its interactions with stakeholders</w:t>
            </w:r>
            <w:r w:rsidR="009B714A">
              <w:rPr>
                <w:rFonts w:cs="Arial"/>
              </w:rPr>
              <w:t xml:space="preserve"> (i.e. meetings, phone calls, e-mails, inspections)</w:t>
            </w:r>
            <w:r w:rsidRPr="00002750">
              <w:rPr>
                <w:rFonts w:cs="Arial"/>
              </w:rPr>
              <w:t xml:space="preserve"> and make this information available to all relevant officers to improve corporate memory, inform intelligence and analysis, support an accurate understanding of the operating environment</w:t>
            </w:r>
            <w:r w:rsidR="00970654">
              <w:rPr>
                <w:rFonts w:cs="Arial"/>
              </w:rPr>
              <w:t xml:space="preserve"> of the regulated </w:t>
            </w:r>
            <w:r w:rsidR="00B61830">
              <w:rPr>
                <w:rFonts w:cs="Arial"/>
              </w:rPr>
              <w:t>community</w:t>
            </w:r>
            <w:r w:rsidRPr="00002750">
              <w:rPr>
                <w:rFonts w:cs="Arial"/>
              </w:rPr>
              <w:t xml:space="preserve">, and </w:t>
            </w:r>
            <w:r w:rsidR="00B61830">
              <w:rPr>
                <w:rFonts w:cs="Arial"/>
              </w:rPr>
              <w:t>support risk</w:t>
            </w:r>
            <w:r w:rsidRPr="00002750">
              <w:rPr>
                <w:rFonts w:cs="Arial"/>
              </w:rPr>
              <w:t xml:space="preserve"> management (see</w:t>
            </w:r>
            <w:r w:rsidR="004D1716">
              <w:rPr>
                <w:rFonts w:cs="Arial"/>
              </w:rPr>
              <w:t xml:space="preserve"> also the </w:t>
            </w:r>
            <w:r w:rsidR="004D1716">
              <w:rPr>
                <w:rFonts w:cs="Arial"/>
                <w:i/>
              </w:rPr>
              <w:t xml:space="preserve">Strategic Risk Assessment </w:t>
            </w:r>
            <w:r w:rsidR="004D1716">
              <w:rPr>
                <w:rFonts w:cs="Arial"/>
              </w:rPr>
              <w:t>section</w:t>
            </w:r>
            <w:r w:rsidR="004D1716">
              <w:rPr>
                <w:rFonts w:cs="Arial"/>
                <w:i/>
              </w:rPr>
              <w:t xml:space="preserve"> </w:t>
            </w:r>
            <w:r w:rsidR="004D1716">
              <w:rPr>
                <w:rFonts w:cs="Arial"/>
              </w:rPr>
              <w:t xml:space="preserve">and the </w:t>
            </w:r>
            <w:r w:rsidR="004D1716">
              <w:rPr>
                <w:rFonts w:cs="Arial"/>
                <w:i/>
              </w:rPr>
              <w:lastRenderedPageBreak/>
              <w:t xml:space="preserve">Resource Allocation </w:t>
            </w:r>
            <w:r w:rsidR="004D1716">
              <w:rPr>
                <w:rFonts w:cs="Arial"/>
              </w:rPr>
              <w:t>section in Chapter 5).</w:t>
            </w:r>
            <w:r w:rsidRPr="00002750">
              <w:rPr>
                <w:rFonts w:cs="Arial"/>
              </w:rPr>
              <w:t xml:space="preserve"> In co</w:t>
            </w:r>
            <w:r w:rsidR="00B02B86">
              <w:rPr>
                <w:rFonts w:cs="Arial"/>
              </w:rPr>
              <w:t>njunction with intelligence,</w:t>
            </w:r>
            <w:r w:rsidRPr="00002750">
              <w:rPr>
                <w:rFonts w:cs="Arial"/>
              </w:rPr>
              <w:t xml:space="preserve"> EPG should also use this information to target and prioritise stakeholder engagement</w:t>
            </w:r>
            <w:r>
              <w:rPr>
                <w:rFonts w:cs="Arial"/>
              </w:rPr>
              <w:t xml:space="preserve"> and inform strategies. </w:t>
            </w:r>
          </w:p>
          <w:p w:rsidR="00E25CCF" w:rsidRDefault="00E25CCF" w:rsidP="00A6701B">
            <w:pPr>
              <w:rPr>
                <w:rFonts w:cs="Arial"/>
              </w:rPr>
            </w:pPr>
          </w:p>
          <w:p w:rsidR="00E25CCF" w:rsidRDefault="00E25CCF" w:rsidP="00A6701B">
            <w:pPr>
              <w:rPr>
                <w:rFonts w:cs="Arial"/>
              </w:rPr>
            </w:pPr>
          </w:p>
          <w:p w:rsidR="00E25CCF" w:rsidRDefault="00E25CCF" w:rsidP="00E25CCF">
            <w:pPr>
              <w:spacing w:after="0"/>
            </w:pPr>
            <w:r>
              <w:rPr>
                <w:i/>
              </w:rPr>
              <w:t xml:space="preserve">Importance: </w:t>
            </w:r>
            <w:r>
              <w:t>1</w:t>
            </w:r>
          </w:p>
          <w:p w:rsidR="00E25CCF" w:rsidRPr="00756D7E" w:rsidRDefault="00E25CCF" w:rsidP="00E25CCF">
            <w:pPr>
              <w:spacing w:after="0"/>
            </w:pPr>
          </w:p>
          <w:p w:rsidR="00E25CCF" w:rsidRPr="00756D7E" w:rsidRDefault="00E25CCF" w:rsidP="00E25CCF">
            <w:pPr>
              <w:spacing w:after="0"/>
            </w:pPr>
            <w:r>
              <w:rPr>
                <w:i/>
              </w:rPr>
              <w:t>Timing:</w:t>
            </w:r>
            <w:r>
              <w:t xml:space="preserve"> 2 </w:t>
            </w:r>
          </w:p>
          <w:p w:rsidR="00E25CCF" w:rsidRDefault="00E25CCF" w:rsidP="00E25CCF">
            <w:pPr>
              <w:rPr>
                <w:rFonts w:cs="Arial"/>
              </w:rPr>
            </w:pPr>
          </w:p>
          <w:p w:rsidR="00E25CCF" w:rsidRPr="00002750" w:rsidRDefault="00E25CCF" w:rsidP="00E25CCF">
            <w:pPr>
              <w:rPr>
                <w:rFonts w:cs="Arial"/>
              </w:rPr>
            </w:pPr>
            <w:r w:rsidRPr="00002750">
              <w:rPr>
                <w:rFonts w:cs="Arial"/>
              </w:rPr>
              <w:t xml:space="preserve">EPG should establish designated points of contact for key stakeholders (not necessarily the stakeholder expert from </w:t>
            </w:r>
            <w:r>
              <w:rPr>
                <w:rFonts w:cs="Arial"/>
                <w:i/>
              </w:rPr>
              <w:t>Recommendation 6.1 (Understanding Regulated Industries)</w:t>
            </w:r>
            <w:r w:rsidRPr="00002750">
              <w:rPr>
                <w:rFonts w:cs="Arial"/>
              </w:rPr>
              <w:t>).</w:t>
            </w:r>
          </w:p>
          <w:p w:rsidR="00E25CCF" w:rsidRPr="00002750" w:rsidRDefault="00E25CCF" w:rsidP="00E25CCF">
            <w:pPr>
              <w:rPr>
                <w:rFonts w:cs="Arial"/>
              </w:rPr>
            </w:pPr>
            <w:r w:rsidRPr="00002750">
              <w:rPr>
                <w:rFonts w:cs="Arial"/>
              </w:rPr>
              <w:t>Those officers should:</w:t>
            </w:r>
          </w:p>
          <w:p w:rsidR="00E25CCF" w:rsidRPr="00002750" w:rsidRDefault="00E25CCF" w:rsidP="00E65120">
            <w:pPr>
              <w:pStyle w:val="ListParagraph"/>
              <w:numPr>
                <w:ilvl w:val="0"/>
                <w:numId w:val="26"/>
              </w:numPr>
              <w:spacing w:after="0" w:line="240" w:lineRule="auto"/>
              <w:contextualSpacing/>
              <w:rPr>
                <w:rFonts w:cs="Arial"/>
              </w:rPr>
            </w:pPr>
            <w:r w:rsidRPr="00002750">
              <w:rPr>
                <w:rFonts w:cs="Arial"/>
              </w:rPr>
              <w:t>be a first point of contact;</w:t>
            </w:r>
          </w:p>
          <w:p w:rsidR="00E25CCF" w:rsidRPr="00002750" w:rsidRDefault="00E25CCF" w:rsidP="00E65120">
            <w:pPr>
              <w:pStyle w:val="ListParagraph"/>
              <w:numPr>
                <w:ilvl w:val="0"/>
                <w:numId w:val="26"/>
              </w:numPr>
              <w:spacing w:after="0" w:line="240" w:lineRule="auto"/>
              <w:contextualSpacing/>
              <w:rPr>
                <w:rFonts w:cs="Arial"/>
              </w:rPr>
            </w:pPr>
            <w:r w:rsidRPr="00002750">
              <w:rPr>
                <w:rFonts w:cs="Arial"/>
              </w:rPr>
              <w:t xml:space="preserve">have a general understanding of the interests of the stakeholder; </w:t>
            </w:r>
          </w:p>
          <w:p w:rsidR="00E25CCF" w:rsidRPr="00002750" w:rsidRDefault="00E25CCF" w:rsidP="00E65120">
            <w:pPr>
              <w:pStyle w:val="ListParagraph"/>
              <w:numPr>
                <w:ilvl w:val="0"/>
                <w:numId w:val="26"/>
              </w:numPr>
              <w:spacing w:after="0" w:line="240" w:lineRule="auto"/>
              <w:contextualSpacing/>
              <w:rPr>
                <w:rFonts w:cs="Arial"/>
              </w:rPr>
            </w:pPr>
            <w:r w:rsidRPr="00002750">
              <w:rPr>
                <w:rFonts w:cs="Arial"/>
              </w:rPr>
              <w:t>advise the stakeholder about any relevant new policies or other information;</w:t>
            </w:r>
          </w:p>
          <w:p w:rsidR="00E25CCF" w:rsidRPr="00002750" w:rsidRDefault="00E25CCF" w:rsidP="00E65120">
            <w:pPr>
              <w:pStyle w:val="ListParagraph"/>
              <w:numPr>
                <w:ilvl w:val="0"/>
                <w:numId w:val="26"/>
              </w:numPr>
              <w:spacing w:after="0" w:line="240" w:lineRule="auto"/>
              <w:contextualSpacing/>
              <w:rPr>
                <w:rFonts w:cs="Arial"/>
              </w:rPr>
            </w:pPr>
            <w:r w:rsidRPr="00002750">
              <w:rPr>
                <w:rFonts w:cs="Arial"/>
              </w:rPr>
              <w:t xml:space="preserve">facilitate effective transfer to another person if more specific information is required; </w:t>
            </w:r>
          </w:p>
          <w:p w:rsidR="00E25CCF" w:rsidRPr="00002750" w:rsidRDefault="00E25CCF" w:rsidP="00E65120">
            <w:pPr>
              <w:pStyle w:val="ListParagraph"/>
              <w:numPr>
                <w:ilvl w:val="0"/>
                <w:numId w:val="26"/>
              </w:numPr>
              <w:spacing w:after="0" w:line="240" w:lineRule="auto"/>
              <w:contextualSpacing/>
              <w:rPr>
                <w:rFonts w:cs="Arial"/>
              </w:rPr>
            </w:pPr>
            <w:r>
              <w:rPr>
                <w:rFonts w:cs="Arial"/>
              </w:rPr>
              <w:t>proactively facilitate</w:t>
            </w:r>
            <w:r w:rsidRPr="00002750">
              <w:rPr>
                <w:rFonts w:cs="Arial"/>
              </w:rPr>
              <w:t xml:space="preserve"> any proposed transfer of responsibility to another person; and</w:t>
            </w:r>
          </w:p>
          <w:p w:rsidR="00E25CCF" w:rsidRPr="00002750" w:rsidRDefault="00E25CCF" w:rsidP="00E65120">
            <w:pPr>
              <w:pStyle w:val="ListParagraph"/>
              <w:numPr>
                <w:ilvl w:val="0"/>
                <w:numId w:val="26"/>
              </w:numPr>
              <w:rPr>
                <w:rFonts w:cs="Arial"/>
              </w:rPr>
            </w:pPr>
            <w:r w:rsidRPr="00002750">
              <w:rPr>
                <w:rFonts w:cs="Arial"/>
              </w:rPr>
              <w:t>be a general problem solver for the stakeholder.</w:t>
            </w:r>
          </w:p>
          <w:p w:rsidR="00E25CCF" w:rsidRDefault="00E25CCF" w:rsidP="00E25CCF">
            <w:pPr>
              <w:rPr>
                <w:rFonts w:cs="Arial"/>
                <w:b/>
                <w:color w:val="0B5294" w:themeColor="accent1" w:themeShade="BF"/>
              </w:rPr>
            </w:pPr>
            <w:r w:rsidRPr="00002750">
              <w:rPr>
                <w:rFonts w:cs="Arial"/>
              </w:rPr>
              <w:t>EPG should endeavour to maintain single points of contact during licensing</w:t>
            </w:r>
            <w:r>
              <w:rPr>
                <w:rFonts w:cs="Arial"/>
              </w:rPr>
              <w:t xml:space="preserve">, </w:t>
            </w:r>
            <w:r w:rsidRPr="00002750">
              <w:rPr>
                <w:rFonts w:cs="Arial"/>
              </w:rPr>
              <w:t>permitting</w:t>
            </w:r>
            <w:r>
              <w:rPr>
                <w:rFonts w:cs="Arial"/>
              </w:rPr>
              <w:t xml:space="preserve">, and </w:t>
            </w:r>
            <w:r w:rsidRPr="00002750">
              <w:rPr>
                <w:rFonts w:cs="Arial"/>
              </w:rPr>
              <w:t>approvals processes to maintain and improve working relationships with proponents and state governments.</w:t>
            </w:r>
          </w:p>
        </w:tc>
      </w:tr>
    </w:tbl>
    <w:p w:rsidR="00E7528D" w:rsidRDefault="00E7528D" w:rsidP="00E7528D">
      <w:pPr>
        <w:ind w:left="369" w:hanging="369"/>
        <w:rPr>
          <w:rFonts w:cs="Arial"/>
          <w:b/>
          <w:color w:val="0B5294" w:themeColor="accent1" w:themeShade="BF"/>
        </w:rPr>
      </w:pPr>
    </w:p>
    <w:p w:rsidR="006F5D47" w:rsidRDefault="006F5D47" w:rsidP="001E2167">
      <w:pPr>
        <w:ind w:left="369" w:hanging="369"/>
        <w:rPr>
          <w:rFonts w:cs="Arial"/>
          <w:i/>
        </w:rPr>
        <w:sectPr w:rsidR="006F5D47" w:rsidSect="0097270B">
          <w:pgSz w:w="11906" w:h="16838"/>
          <w:pgMar w:top="1418" w:right="1276" w:bottom="567" w:left="1418" w:header="425" w:footer="425" w:gutter="0"/>
          <w:cols w:space="708"/>
          <w:docGrid w:linePitch="360"/>
        </w:sectPr>
      </w:pPr>
    </w:p>
    <w:p w:rsidR="006F5D47" w:rsidRPr="00C95E78" w:rsidRDefault="006F5D47" w:rsidP="00C95E78">
      <w:pPr>
        <w:pStyle w:val="Heading1"/>
        <w:spacing w:after="120"/>
        <w:jc w:val="center"/>
        <w:rPr>
          <w:color w:val="0B5294" w:themeColor="accent1" w:themeShade="BF"/>
          <w:sz w:val="36"/>
          <w:szCs w:val="36"/>
        </w:rPr>
      </w:pPr>
      <w:bookmarkStart w:id="80" w:name="_Toc443405206"/>
      <w:r w:rsidRPr="00C95E78">
        <w:rPr>
          <w:color w:val="0B5294" w:themeColor="accent1" w:themeShade="BF"/>
          <w:sz w:val="36"/>
          <w:szCs w:val="36"/>
        </w:rPr>
        <w:lastRenderedPageBreak/>
        <w:t>Appendix 1: Terms of Reference</w:t>
      </w:r>
      <w:bookmarkEnd w:id="80"/>
    </w:p>
    <w:p w:rsidR="006F5D47" w:rsidRPr="00275F3E" w:rsidRDefault="006F5D47" w:rsidP="00275F3E">
      <w:pPr>
        <w:jc w:val="center"/>
        <w:rPr>
          <w:color w:val="1F497D"/>
          <w:sz w:val="36"/>
          <w:szCs w:val="36"/>
        </w:rPr>
      </w:pPr>
      <w:r w:rsidRPr="00275F3E">
        <w:rPr>
          <w:color w:val="1F497D"/>
          <w:sz w:val="36"/>
          <w:szCs w:val="36"/>
        </w:rPr>
        <w:t>Towards Regulatory Maturity</w:t>
      </w:r>
    </w:p>
    <w:p w:rsidR="006F5D47" w:rsidRPr="00275F3E" w:rsidRDefault="0098019E" w:rsidP="00275F3E">
      <w:pPr>
        <w:jc w:val="center"/>
        <w:rPr>
          <w:color w:val="1F497D"/>
          <w:sz w:val="36"/>
          <w:szCs w:val="36"/>
        </w:rPr>
      </w:pPr>
      <w:r>
        <w:rPr>
          <w:color w:val="1F497D"/>
          <w:sz w:val="36"/>
          <w:szCs w:val="36"/>
        </w:rPr>
        <w:t>a</w:t>
      </w:r>
      <w:r w:rsidR="006F5D47" w:rsidRPr="00275F3E">
        <w:rPr>
          <w:color w:val="1F497D"/>
          <w:sz w:val="36"/>
          <w:szCs w:val="36"/>
        </w:rPr>
        <w:t xml:space="preserve"> regulatory capability review of the </w:t>
      </w:r>
      <w:r w:rsidR="006F5D47" w:rsidRPr="00275F3E">
        <w:rPr>
          <w:color w:val="1F497D"/>
          <w:sz w:val="36"/>
          <w:szCs w:val="36"/>
        </w:rPr>
        <w:br/>
        <w:t>Environment Protection Group</w:t>
      </w:r>
    </w:p>
    <w:p w:rsidR="006F5D47" w:rsidRPr="00BA2499" w:rsidRDefault="006F5D47" w:rsidP="006F5D47">
      <w:pPr>
        <w:rPr>
          <w:rFonts w:cs="Arial"/>
          <w:b/>
          <w:caps/>
          <w:color w:val="0B5294" w:themeColor="accent1" w:themeShade="BF"/>
          <w:sz w:val="28"/>
          <w:szCs w:val="28"/>
        </w:rPr>
      </w:pPr>
      <w:r w:rsidRPr="00BA2499">
        <w:rPr>
          <w:rFonts w:cs="Arial"/>
          <w:b/>
          <w:caps/>
          <w:color w:val="0B5294" w:themeColor="accent1" w:themeShade="BF"/>
          <w:sz w:val="28"/>
          <w:szCs w:val="28"/>
        </w:rPr>
        <w:t>Purpose of the Review</w:t>
      </w:r>
    </w:p>
    <w:p w:rsidR="006F5D47" w:rsidRPr="007E1A8D" w:rsidRDefault="006F5D47" w:rsidP="006F5D47">
      <w:pPr>
        <w:rPr>
          <w:rFonts w:cs="Arial"/>
        </w:rPr>
      </w:pPr>
      <w:r w:rsidRPr="007E1A8D">
        <w:rPr>
          <w:rFonts w:cs="Arial"/>
        </w:rPr>
        <w:t>The review will assess the maturity, capability and capacity of the Environment Protection Group to fulfil its regulatory functions and provide recommendations on how the Department can establish and maintain a position as a contemporary, mature and trusted regulator.</w:t>
      </w:r>
    </w:p>
    <w:p w:rsidR="006F5D47" w:rsidRPr="00BA2499" w:rsidRDefault="006F5D47" w:rsidP="006F5D47">
      <w:pPr>
        <w:rPr>
          <w:rFonts w:cs="Arial"/>
          <w:b/>
          <w:caps/>
          <w:color w:val="0B5294" w:themeColor="accent1" w:themeShade="BF"/>
          <w:sz w:val="28"/>
          <w:szCs w:val="28"/>
        </w:rPr>
      </w:pPr>
      <w:r w:rsidRPr="00BA2499">
        <w:rPr>
          <w:rFonts w:cs="Arial"/>
          <w:b/>
          <w:caps/>
          <w:color w:val="0B5294" w:themeColor="accent1" w:themeShade="BF"/>
          <w:sz w:val="28"/>
          <w:szCs w:val="28"/>
        </w:rPr>
        <w:t>Scope and parameters</w:t>
      </w:r>
    </w:p>
    <w:p w:rsidR="006F5D47" w:rsidRPr="007E1A8D" w:rsidRDefault="006F5D47" w:rsidP="006F5D47">
      <w:pPr>
        <w:rPr>
          <w:rFonts w:cs="Arial"/>
        </w:rPr>
      </w:pPr>
      <w:r w:rsidRPr="007E1A8D">
        <w:rPr>
          <w:rFonts w:cs="Arial"/>
        </w:rPr>
        <w:t xml:space="preserve">The review will focus on the regulatory activities of the Environment Protection Group related to the legislation listed at </w:t>
      </w:r>
      <w:r w:rsidRPr="007E1A8D">
        <w:rPr>
          <w:rFonts w:cs="Arial"/>
          <w:u w:val="single"/>
        </w:rPr>
        <w:t>Attachment A.</w:t>
      </w:r>
      <w:r w:rsidRPr="007E1A8D">
        <w:rPr>
          <w:rFonts w:cs="Arial"/>
        </w:rPr>
        <w:t xml:space="preserve"> </w:t>
      </w:r>
    </w:p>
    <w:p w:rsidR="006F5D47" w:rsidRPr="007E1A8D" w:rsidRDefault="006F5D47" w:rsidP="006F5D47">
      <w:pPr>
        <w:rPr>
          <w:rFonts w:cs="Arial"/>
        </w:rPr>
      </w:pPr>
      <w:r w:rsidRPr="007E1A8D">
        <w:rPr>
          <w:rFonts w:cs="Arial"/>
        </w:rPr>
        <w:t>The review will address:</w:t>
      </w:r>
    </w:p>
    <w:p w:rsidR="006F5D47" w:rsidRPr="007E1A8D" w:rsidRDefault="006F5D47" w:rsidP="006F5D47">
      <w:pPr>
        <w:pStyle w:val="ListBullet"/>
        <w:rPr>
          <w:rFonts w:cs="Arial"/>
        </w:rPr>
      </w:pPr>
      <w:r w:rsidRPr="007E1A8D">
        <w:rPr>
          <w:rFonts w:cs="Arial"/>
        </w:rPr>
        <w:t>The attributes of a ‘best practice regulatory agency’, taking into account experience and practice in like regulatory agencies at the Commonwealth and state levels and, if appropriate, internationally</w:t>
      </w:r>
    </w:p>
    <w:p w:rsidR="006F5D47" w:rsidRPr="007E1A8D" w:rsidRDefault="006F5D47" w:rsidP="006F5D47">
      <w:pPr>
        <w:pStyle w:val="ListBullet"/>
        <w:rPr>
          <w:rFonts w:cs="Arial"/>
        </w:rPr>
      </w:pPr>
      <w:r w:rsidRPr="007E1A8D">
        <w:rPr>
          <w:rFonts w:cs="Arial"/>
        </w:rPr>
        <w:t>Any changes required to ensure the Environment Protection Group’s regulatory functions reflect those attributes.</w:t>
      </w:r>
    </w:p>
    <w:p w:rsidR="006F5D47" w:rsidRPr="007E1A8D" w:rsidRDefault="006F5D47" w:rsidP="006F5D47">
      <w:pPr>
        <w:pStyle w:val="ListBullet"/>
        <w:numPr>
          <w:ilvl w:val="0"/>
          <w:numId w:val="0"/>
        </w:numPr>
        <w:rPr>
          <w:rFonts w:cs="Arial"/>
        </w:rPr>
      </w:pPr>
      <w:r w:rsidRPr="007E1A8D">
        <w:rPr>
          <w:rFonts w:cs="Arial"/>
        </w:rPr>
        <w:t>In addressing the above requirements, the reviewer will consider:</w:t>
      </w:r>
    </w:p>
    <w:p w:rsidR="006F5D47" w:rsidRPr="007E1A8D" w:rsidRDefault="006F5D47" w:rsidP="006F5D47">
      <w:pPr>
        <w:pStyle w:val="ListBullet"/>
        <w:rPr>
          <w:rFonts w:cs="Arial"/>
        </w:rPr>
      </w:pPr>
      <w:r w:rsidRPr="007E1A8D">
        <w:rPr>
          <w:rFonts w:cs="Arial"/>
        </w:rPr>
        <w:t xml:space="preserve">The most appropriate institutional arrangements for a ‘best practice regulatory agency’, including organisational design and structure, designation of responsibilities, resourcing and opportunities for efficiencies </w:t>
      </w:r>
    </w:p>
    <w:p w:rsidR="006F5D47" w:rsidRPr="007E1A8D" w:rsidRDefault="006F5D47" w:rsidP="006F5D47">
      <w:pPr>
        <w:pStyle w:val="ListBullet"/>
        <w:rPr>
          <w:rFonts w:cs="Arial"/>
        </w:rPr>
      </w:pPr>
      <w:r w:rsidRPr="007E1A8D">
        <w:rPr>
          <w:rFonts w:cs="Arial"/>
        </w:rPr>
        <w:t>Organisational processes for identifying and managing regulatory risks</w:t>
      </w:r>
    </w:p>
    <w:p w:rsidR="006F5D47" w:rsidRPr="007E1A8D" w:rsidRDefault="006F5D47" w:rsidP="006F5D47">
      <w:pPr>
        <w:pStyle w:val="ListBullet"/>
        <w:rPr>
          <w:rFonts w:cs="Arial"/>
        </w:rPr>
      </w:pPr>
      <w:r w:rsidRPr="007E1A8D">
        <w:rPr>
          <w:rFonts w:cs="Arial"/>
        </w:rPr>
        <w:t>Staff capability, including regulatory knowledge and capacity</w:t>
      </w:r>
    </w:p>
    <w:p w:rsidR="006F5D47" w:rsidRPr="007E1A8D" w:rsidRDefault="006F5D47" w:rsidP="006F5D47">
      <w:pPr>
        <w:pStyle w:val="ListBullet"/>
        <w:rPr>
          <w:rFonts w:cs="Arial"/>
        </w:rPr>
      </w:pPr>
      <w:r w:rsidRPr="007E1A8D">
        <w:rPr>
          <w:rFonts w:cs="Arial"/>
        </w:rPr>
        <w:t>The adequacy of, and potential improvements to, business systems.</w:t>
      </w:r>
    </w:p>
    <w:p w:rsidR="006F5D47" w:rsidRPr="007E1A8D" w:rsidRDefault="006F5D47" w:rsidP="006F5D47">
      <w:pPr>
        <w:pStyle w:val="ListBullet"/>
        <w:numPr>
          <w:ilvl w:val="0"/>
          <w:numId w:val="0"/>
        </w:numPr>
        <w:rPr>
          <w:rFonts w:cs="Arial"/>
        </w:rPr>
      </w:pPr>
      <w:r w:rsidRPr="007E1A8D">
        <w:rPr>
          <w:rFonts w:cs="Arial"/>
        </w:rPr>
        <w:t xml:space="preserve">As discussed further under “Consultation,” the review will contribute to the regulatory knowledge and capabilities of staff in the Environment Protection Group. </w:t>
      </w:r>
    </w:p>
    <w:p w:rsidR="006F5D47" w:rsidRPr="007E1A8D" w:rsidRDefault="006F5D47" w:rsidP="006F5D47">
      <w:pPr>
        <w:pStyle w:val="ListBullet"/>
        <w:numPr>
          <w:ilvl w:val="0"/>
          <w:numId w:val="0"/>
        </w:numPr>
        <w:rPr>
          <w:rFonts w:cs="Arial"/>
        </w:rPr>
      </w:pPr>
      <w:r w:rsidRPr="007E1A8D">
        <w:rPr>
          <w:rFonts w:cs="Arial"/>
        </w:rPr>
        <w:t>In undertaking the review, the reviewer will have regard for relevant Australian Government policies (including the Regulator Performance Framework) and the findings of recent past assessments of the Department’s regulatory functions (e.g. ANAO performance audits).</w:t>
      </w:r>
    </w:p>
    <w:p w:rsidR="006F5D47" w:rsidRPr="007E1A8D" w:rsidRDefault="006F5D47" w:rsidP="006F5D47">
      <w:pPr>
        <w:rPr>
          <w:rFonts w:cs="Arial"/>
        </w:rPr>
      </w:pPr>
      <w:r w:rsidRPr="007E1A8D">
        <w:rPr>
          <w:rFonts w:cs="Arial"/>
        </w:rPr>
        <w:t>The following matters are beyond the scope of the review:</w:t>
      </w:r>
    </w:p>
    <w:p w:rsidR="006F5D47" w:rsidRPr="007E1A8D" w:rsidRDefault="006F5D47" w:rsidP="006F5D47">
      <w:pPr>
        <w:pStyle w:val="ListBullet"/>
        <w:rPr>
          <w:rFonts w:cs="Arial"/>
        </w:rPr>
      </w:pPr>
      <w:r w:rsidRPr="007E1A8D">
        <w:rPr>
          <w:rFonts w:cs="Arial"/>
        </w:rPr>
        <w:t xml:space="preserve">The regulatory functions of Portfolio agencies and other Departmental groups. </w:t>
      </w:r>
    </w:p>
    <w:p w:rsidR="006F5D47" w:rsidRPr="007E1A8D" w:rsidRDefault="006F5D47" w:rsidP="006F5D47">
      <w:pPr>
        <w:pStyle w:val="ListBullet"/>
        <w:rPr>
          <w:rFonts w:cs="Arial"/>
        </w:rPr>
      </w:pPr>
      <w:r w:rsidRPr="007E1A8D">
        <w:rPr>
          <w:rFonts w:cs="Arial"/>
        </w:rPr>
        <w:t>Amendments to current legislation. However the reviewer may choose to highlight aspects of the legislation that create constraints to best practice regulatory performance.</w:t>
      </w:r>
    </w:p>
    <w:p w:rsidR="006F5D47" w:rsidRPr="007E1A8D" w:rsidRDefault="006F5D47" w:rsidP="006F5D47">
      <w:pPr>
        <w:rPr>
          <w:rFonts w:cs="Arial"/>
          <w:b/>
          <w:sz w:val="24"/>
        </w:rPr>
      </w:pPr>
      <w:r w:rsidRPr="00BA2499">
        <w:rPr>
          <w:rFonts w:cs="Arial"/>
          <w:b/>
          <w:caps/>
          <w:color w:val="0B5294" w:themeColor="accent1" w:themeShade="BF"/>
          <w:sz w:val="28"/>
          <w:szCs w:val="28"/>
        </w:rPr>
        <w:t>Deliverables</w:t>
      </w:r>
    </w:p>
    <w:p w:rsidR="006F5D47" w:rsidRPr="007E1A8D" w:rsidRDefault="006F5D47" w:rsidP="006F5D47">
      <w:pPr>
        <w:rPr>
          <w:rFonts w:cs="Arial"/>
        </w:rPr>
      </w:pPr>
      <w:r w:rsidRPr="007E1A8D">
        <w:rPr>
          <w:rFonts w:cs="Arial"/>
        </w:rPr>
        <w:t>The reviewer will provide a report on their assessment of the regulatory capability and capacity of the Environment Protection Group, together with recommendations for moving towards best practice and positioning the Department as a contemporary, mature and trusted regulator.</w:t>
      </w:r>
    </w:p>
    <w:p w:rsidR="006F5D47" w:rsidRPr="007E1A8D" w:rsidRDefault="006F5D47" w:rsidP="006F5D47">
      <w:pPr>
        <w:rPr>
          <w:rFonts w:cs="Arial"/>
        </w:rPr>
      </w:pPr>
      <w:r w:rsidRPr="007E1A8D">
        <w:rPr>
          <w:rFonts w:cs="Arial"/>
        </w:rPr>
        <w:t>A draft report will be provided for discussion prior to finalisation of the final report.</w:t>
      </w:r>
    </w:p>
    <w:p w:rsidR="006F5D47" w:rsidRPr="007E1A8D" w:rsidRDefault="006F5D47" w:rsidP="006F5D47">
      <w:pPr>
        <w:rPr>
          <w:rFonts w:cs="Arial"/>
          <w:b/>
        </w:rPr>
      </w:pPr>
      <w:r w:rsidRPr="007E1A8D">
        <w:rPr>
          <w:rFonts w:cs="Arial"/>
        </w:rPr>
        <w:t>The reviewer will liaise with the Functional and Efficiency Review team to discuss early findings that may inform that process.</w:t>
      </w:r>
    </w:p>
    <w:p w:rsidR="006F5D47" w:rsidRPr="00BA2499" w:rsidRDefault="006F5D47" w:rsidP="006F5D47">
      <w:pPr>
        <w:rPr>
          <w:rFonts w:cs="Arial"/>
          <w:b/>
          <w:caps/>
          <w:color w:val="0B5294" w:themeColor="accent1" w:themeShade="BF"/>
          <w:sz w:val="28"/>
          <w:szCs w:val="28"/>
        </w:rPr>
      </w:pPr>
      <w:r w:rsidRPr="00BA2499">
        <w:rPr>
          <w:rFonts w:cs="Arial"/>
          <w:b/>
          <w:caps/>
          <w:color w:val="0B5294" w:themeColor="accent1" w:themeShade="BF"/>
          <w:sz w:val="28"/>
          <w:szCs w:val="28"/>
        </w:rPr>
        <w:t>Consultation</w:t>
      </w:r>
    </w:p>
    <w:p w:rsidR="006F5D47" w:rsidRPr="007E1A8D" w:rsidRDefault="006F5D47" w:rsidP="006F5D47">
      <w:pPr>
        <w:pStyle w:val="ListBullet"/>
        <w:numPr>
          <w:ilvl w:val="0"/>
          <w:numId w:val="0"/>
        </w:numPr>
        <w:rPr>
          <w:rFonts w:cs="Arial"/>
        </w:rPr>
      </w:pPr>
      <w:r w:rsidRPr="007E1A8D">
        <w:rPr>
          <w:rFonts w:cs="Arial"/>
        </w:rPr>
        <w:t xml:space="preserve">The review will engage staff in the Environment Standards Division and Wildlife, Heritage and Marine Division. The reviewer will draw on internal knowledge and experience, seeking staff views on current practices and potential improvements. Engagement will be structured to build the regulatory knowledge and capacity of staff, including through discussions about relevant best practice and possible directions for reform. </w:t>
      </w:r>
    </w:p>
    <w:p w:rsidR="006F5D47" w:rsidRPr="007E1A8D" w:rsidRDefault="006F5D47" w:rsidP="006F5D47">
      <w:pPr>
        <w:rPr>
          <w:rFonts w:cs="Arial"/>
        </w:rPr>
      </w:pPr>
      <w:r w:rsidRPr="007E1A8D">
        <w:rPr>
          <w:rFonts w:cs="Arial"/>
        </w:rPr>
        <w:t xml:space="preserve">The review will include consultation with key stakeholders in the Commonwealth’s environmental regulatory process, including: peak industry organisations; environmental organisations; regulatory agencies in other jurisdictions and Commonwealth agencies; and regulated parties. </w:t>
      </w:r>
    </w:p>
    <w:p w:rsidR="006F5D47" w:rsidRPr="007E1A8D" w:rsidRDefault="006F5D47" w:rsidP="006F5D47">
      <w:pPr>
        <w:rPr>
          <w:rFonts w:cs="Arial"/>
        </w:rPr>
      </w:pPr>
      <w:r w:rsidRPr="007E1A8D">
        <w:rPr>
          <w:rFonts w:cs="Arial"/>
        </w:rPr>
        <w:t>The Review will consider the views of the regulated community on opportunities for the Department to improve its regulatory systems and stakeholder engagement.</w:t>
      </w:r>
    </w:p>
    <w:p w:rsidR="006F5D47" w:rsidRPr="007E1A8D" w:rsidRDefault="006F5D47" w:rsidP="006F5D47">
      <w:pPr>
        <w:pStyle w:val="ListBullet"/>
        <w:numPr>
          <w:ilvl w:val="0"/>
          <w:numId w:val="0"/>
        </w:numPr>
        <w:rPr>
          <w:rFonts w:cs="Arial"/>
        </w:rPr>
      </w:pPr>
      <w:r w:rsidRPr="007E1A8D">
        <w:rPr>
          <w:rFonts w:cs="Arial"/>
        </w:rPr>
        <w:t xml:space="preserve">The reviewer may engage with other Departmental divisions and Portfolio agencies as required. </w:t>
      </w:r>
    </w:p>
    <w:p w:rsidR="006F5D47" w:rsidRPr="007E1A8D" w:rsidRDefault="006F5D47" w:rsidP="006F5D47">
      <w:pPr>
        <w:rPr>
          <w:rFonts w:cs="Arial"/>
          <w:b/>
        </w:rPr>
      </w:pPr>
      <w:r w:rsidRPr="00BA2499">
        <w:rPr>
          <w:rFonts w:cs="Arial"/>
          <w:b/>
          <w:caps/>
          <w:color w:val="0B5294" w:themeColor="accent1" w:themeShade="BF"/>
          <w:sz w:val="28"/>
          <w:szCs w:val="28"/>
        </w:rPr>
        <w:t>Governance</w:t>
      </w:r>
      <w:r w:rsidRPr="007E1A8D">
        <w:rPr>
          <w:rFonts w:cs="Arial"/>
          <w:b/>
          <w:sz w:val="24"/>
        </w:rPr>
        <w:t xml:space="preserve"> </w:t>
      </w:r>
    </w:p>
    <w:p w:rsidR="006F5D47" w:rsidRPr="007E1A8D" w:rsidRDefault="006F5D47" w:rsidP="006F5D47">
      <w:pPr>
        <w:rPr>
          <w:rFonts w:cs="Arial"/>
        </w:rPr>
      </w:pPr>
      <w:r w:rsidRPr="007E1A8D">
        <w:rPr>
          <w:rFonts w:cs="Arial"/>
        </w:rPr>
        <w:t>The review will be undertaken by an independent external reviewer, reporting to the Secretary and Deputy Secretary, Environment Protection Group. The reviewer will provide regular updates on progress to the Deputy Secretary, Environment Protection Group.</w:t>
      </w:r>
    </w:p>
    <w:p w:rsidR="006F5D47" w:rsidRPr="007E1A8D" w:rsidRDefault="006F5D47" w:rsidP="006F5D47">
      <w:pPr>
        <w:spacing w:after="120"/>
        <w:rPr>
          <w:rFonts w:cs="Arial"/>
        </w:rPr>
      </w:pPr>
      <w:r w:rsidRPr="007E1A8D">
        <w:rPr>
          <w:rFonts w:cs="Arial"/>
        </w:rPr>
        <w:t>An Executive Advisory Panel will provide strategic advice and guidance to the reviewer. The panel will comprise:</w:t>
      </w:r>
    </w:p>
    <w:p w:rsidR="006F5D47" w:rsidRPr="007E1A8D" w:rsidRDefault="006F5D47" w:rsidP="006F5D47">
      <w:pPr>
        <w:pStyle w:val="ListBullet"/>
        <w:spacing w:after="120"/>
        <w:rPr>
          <w:rFonts w:cs="Arial"/>
        </w:rPr>
      </w:pPr>
      <w:r w:rsidRPr="007E1A8D">
        <w:rPr>
          <w:rFonts w:cs="Arial"/>
        </w:rPr>
        <w:t>First Assistant Secretary, Policy Analysis and Implementation Division</w:t>
      </w:r>
    </w:p>
    <w:p w:rsidR="006F5D47" w:rsidRPr="007E1A8D" w:rsidRDefault="006F5D47" w:rsidP="006F5D47">
      <w:pPr>
        <w:pStyle w:val="ListBullet"/>
        <w:spacing w:after="120"/>
        <w:rPr>
          <w:rFonts w:cs="Arial"/>
        </w:rPr>
      </w:pPr>
      <w:r w:rsidRPr="007E1A8D">
        <w:rPr>
          <w:rFonts w:cs="Arial"/>
        </w:rPr>
        <w:t>First Assistant Secretary, Environment Standards Division</w:t>
      </w:r>
    </w:p>
    <w:p w:rsidR="006F5D47" w:rsidRPr="007E1A8D" w:rsidRDefault="006F5D47" w:rsidP="006F5D47">
      <w:pPr>
        <w:pStyle w:val="ListBullet"/>
        <w:spacing w:after="120"/>
        <w:rPr>
          <w:rFonts w:cs="Arial"/>
        </w:rPr>
      </w:pPr>
      <w:r w:rsidRPr="007E1A8D">
        <w:rPr>
          <w:rFonts w:cs="Arial"/>
        </w:rPr>
        <w:t xml:space="preserve">First Assistant Secretary, Wildlife, Heritage and Marine Division </w:t>
      </w:r>
    </w:p>
    <w:p w:rsidR="006F5D47" w:rsidRPr="007E1A8D" w:rsidRDefault="006F5D47" w:rsidP="006F5D47">
      <w:pPr>
        <w:pStyle w:val="ListBullet"/>
        <w:rPr>
          <w:rFonts w:cs="Arial"/>
        </w:rPr>
      </w:pPr>
      <w:r w:rsidRPr="007E1A8D">
        <w:rPr>
          <w:rFonts w:cs="Arial"/>
        </w:rPr>
        <w:lastRenderedPageBreak/>
        <w:t>The Department’s General Counsel.</w:t>
      </w:r>
    </w:p>
    <w:p w:rsidR="006F5D47" w:rsidRPr="007E1A8D" w:rsidRDefault="006F5D47" w:rsidP="006F5D47">
      <w:pPr>
        <w:rPr>
          <w:rFonts w:cs="Arial"/>
        </w:rPr>
      </w:pPr>
      <w:r w:rsidRPr="007E1A8D">
        <w:rPr>
          <w:rFonts w:cs="Arial"/>
        </w:rPr>
        <w:t>The reviewer will be supported by a secretariat based in the Policy Analysis and Implementation Division.</w:t>
      </w:r>
    </w:p>
    <w:p w:rsidR="006F5D47" w:rsidRPr="007E1A8D" w:rsidRDefault="006F5D47" w:rsidP="006F5D47">
      <w:pPr>
        <w:spacing w:after="0" w:line="240" w:lineRule="auto"/>
        <w:rPr>
          <w:rFonts w:cs="Arial"/>
          <w:b/>
          <w:sz w:val="24"/>
        </w:rPr>
      </w:pPr>
      <w:r w:rsidRPr="007E1A8D">
        <w:rPr>
          <w:rFonts w:cs="Arial"/>
          <w:b/>
          <w:sz w:val="24"/>
        </w:rPr>
        <w:br w:type="page"/>
      </w:r>
    </w:p>
    <w:p w:rsidR="006F5D47" w:rsidRPr="00BA2499" w:rsidRDefault="006F5D47" w:rsidP="006F5D47">
      <w:pPr>
        <w:rPr>
          <w:rFonts w:cs="Arial"/>
          <w:b/>
          <w:caps/>
          <w:color w:val="0B5294" w:themeColor="accent1" w:themeShade="BF"/>
          <w:sz w:val="28"/>
          <w:szCs w:val="28"/>
        </w:rPr>
      </w:pPr>
      <w:r w:rsidRPr="00BA2499">
        <w:rPr>
          <w:rFonts w:cs="Arial"/>
          <w:b/>
          <w:caps/>
          <w:color w:val="0B5294" w:themeColor="accent1" w:themeShade="BF"/>
          <w:sz w:val="28"/>
          <w:szCs w:val="28"/>
        </w:rPr>
        <w:lastRenderedPageBreak/>
        <w:t>Timeframe</w:t>
      </w:r>
    </w:p>
    <w:p w:rsidR="006F5D47" w:rsidRPr="007E1A8D" w:rsidRDefault="006F5D47" w:rsidP="006F5D47">
      <w:pPr>
        <w:rPr>
          <w:rFonts w:cs="Arial"/>
        </w:rPr>
      </w:pPr>
      <w:r w:rsidRPr="007E1A8D">
        <w:rPr>
          <w:rFonts w:cs="Arial"/>
        </w:rPr>
        <w:t>The reviewer will discuss early findings with the Functional and Efficiency Review team in mid-October.</w:t>
      </w:r>
    </w:p>
    <w:p w:rsidR="006F5D47" w:rsidRPr="007E1A8D" w:rsidRDefault="006F5D47" w:rsidP="006F5D47">
      <w:pPr>
        <w:rPr>
          <w:rFonts w:cs="Arial"/>
        </w:rPr>
      </w:pPr>
      <w:r w:rsidRPr="007E1A8D">
        <w:rPr>
          <w:rFonts w:cs="Arial"/>
        </w:rPr>
        <w:t>A draft report will be presented to the Secretary and Deputy Secretary, Environment Protection Group within two months of the commencement of the review.</w:t>
      </w:r>
    </w:p>
    <w:p w:rsidR="006F5D47" w:rsidRPr="007E1A8D" w:rsidRDefault="006F5D47" w:rsidP="006F5D47">
      <w:pPr>
        <w:rPr>
          <w:rFonts w:cs="Arial"/>
        </w:rPr>
      </w:pPr>
      <w:r w:rsidRPr="007E1A8D">
        <w:rPr>
          <w:rFonts w:cs="Arial"/>
        </w:rPr>
        <w:t xml:space="preserve">The final report will be delivered by 20 February 2016. </w:t>
      </w:r>
    </w:p>
    <w:p w:rsidR="006F5D47" w:rsidRPr="00BA2499" w:rsidRDefault="006F5D47" w:rsidP="006F5D47">
      <w:pPr>
        <w:rPr>
          <w:rFonts w:cs="Arial"/>
          <w:b/>
          <w:caps/>
          <w:color w:val="0B5294" w:themeColor="accent1" w:themeShade="BF"/>
          <w:sz w:val="28"/>
          <w:szCs w:val="28"/>
        </w:rPr>
      </w:pPr>
      <w:r w:rsidRPr="00BA2499">
        <w:rPr>
          <w:rFonts w:cs="Arial"/>
          <w:b/>
          <w:caps/>
          <w:color w:val="0B5294" w:themeColor="accent1" w:themeShade="BF"/>
          <w:sz w:val="28"/>
          <w:szCs w:val="28"/>
        </w:rPr>
        <w:t>Legislation within scope of the review</w:t>
      </w:r>
    </w:p>
    <w:p w:rsidR="006F5D47" w:rsidRPr="00451C8E" w:rsidRDefault="006F5D47" w:rsidP="006F5D47">
      <w:pPr>
        <w:pStyle w:val="ListBullet"/>
        <w:rPr>
          <w:rFonts w:cs="Arial"/>
          <w:i/>
        </w:rPr>
      </w:pPr>
      <w:r w:rsidRPr="00451C8E">
        <w:rPr>
          <w:rFonts w:cs="Arial"/>
          <w:i/>
        </w:rPr>
        <w:t>Aboriginal and Torres Strait Islander Heritage Protection Act 1984</w:t>
      </w:r>
    </w:p>
    <w:p w:rsidR="006F5D47" w:rsidRPr="00451C8E" w:rsidRDefault="006F5D47" w:rsidP="006F5D47">
      <w:pPr>
        <w:pStyle w:val="ListBullet"/>
        <w:rPr>
          <w:rFonts w:cs="Arial"/>
          <w:i/>
        </w:rPr>
      </w:pPr>
      <w:r w:rsidRPr="00451C8E">
        <w:rPr>
          <w:rFonts w:cs="Arial"/>
          <w:i/>
        </w:rPr>
        <w:t>Australian Heritage Council Act 2003</w:t>
      </w:r>
    </w:p>
    <w:p w:rsidR="006F5D47" w:rsidRPr="00451C8E" w:rsidRDefault="006F5D47" w:rsidP="006F5D47">
      <w:pPr>
        <w:pStyle w:val="ListBullet"/>
        <w:rPr>
          <w:rFonts w:cs="Arial"/>
          <w:i/>
          <w:iCs/>
        </w:rPr>
      </w:pPr>
      <w:r w:rsidRPr="00451C8E">
        <w:rPr>
          <w:rFonts w:cs="Arial"/>
          <w:i/>
          <w:iCs/>
        </w:rPr>
        <w:t>Environment Protection and Biodiversity Conservation Act 1999</w:t>
      </w:r>
    </w:p>
    <w:p w:rsidR="006F5D47" w:rsidRPr="00451C8E" w:rsidRDefault="006F5D47" w:rsidP="006F5D47">
      <w:pPr>
        <w:pStyle w:val="ListBullet"/>
        <w:rPr>
          <w:rFonts w:cs="Arial"/>
          <w:i/>
          <w:iCs/>
        </w:rPr>
      </w:pPr>
      <w:r w:rsidRPr="00451C8E">
        <w:rPr>
          <w:rFonts w:cs="Arial"/>
          <w:i/>
          <w:iCs/>
        </w:rPr>
        <w:t>Environment Protection (Sea Dumping) Act 1981</w:t>
      </w:r>
    </w:p>
    <w:p w:rsidR="006F5D47" w:rsidRPr="00451C8E" w:rsidRDefault="006F5D47" w:rsidP="006F5D47">
      <w:pPr>
        <w:pStyle w:val="ListBullet"/>
        <w:rPr>
          <w:rFonts w:cs="Arial"/>
          <w:i/>
        </w:rPr>
      </w:pPr>
      <w:r w:rsidRPr="00451C8E">
        <w:rPr>
          <w:rFonts w:cs="Arial"/>
          <w:i/>
        </w:rPr>
        <w:t>Fuel Quality Standards Act 2000</w:t>
      </w:r>
    </w:p>
    <w:p w:rsidR="006F5D47" w:rsidRPr="00451C8E" w:rsidRDefault="006F5D47" w:rsidP="006F5D47">
      <w:pPr>
        <w:pStyle w:val="ListBullet"/>
        <w:rPr>
          <w:rFonts w:cs="Arial"/>
          <w:i/>
        </w:rPr>
      </w:pPr>
      <w:r w:rsidRPr="00451C8E">
        <w:rPr>
          <w:rFonts w:cs="Arial"/>
          <w:i/>
        </w:rPr>
        <w:t>Hazardous Waste (Regulation of Exports and Imports) Act 1989</w:t>
      </w:r>
    </w:p>
    <w:p w:rsidR="006F5D47" w:rsidRPr="00451C8E" w:rsidRDefault="006F5D47" w:rsidP="006F5D47">
      <w:pPr>
        <w:pStyle w:val="ListBullet"/>
        <w:rPr>
          <w:rFonts w:cs="Arial"/>
          <w:i/>
        </w:rPr>
      </w:pPr>
      <w:r w:rsidRPr="00451C8E">
        <w:rPr>
          <w:rFonts w:cs="Arial"/>
          <w:i/>
        </w:rPr>
        <w:t>Historic Shipwrecks Act 1976</w:t>
      </w:r>
    </w:p>
    <w:p w:rsidR="006F5D47" w:rsidRPr="00451C8E" w:rsidRDefault="006F5D47" w:rsidP="006F5D47">
      <w:pPr>
        <w:pStyle w:val="ListBullet"/>
        <w:rPr>
          <w:rFonts w:cs="Arial"/>
          <w:i/>
        </w:rPr>
      </w:pPr>
      <w:r w:rsidRPr="00451C8E">
        <w:rPr>
          <w:rFonts w:cs="Arial"/>
          <w:i/>
        </w:rPr>
        <w:t>National Environment Protection Council Act 1994</w:t>
      </w:r>
    </w:p>
    <w:p w:rsidR="006F5D47" w:rsidRPr="00451C8E" w:rsidRDefault="006F5D47" w:rsidP="006F5D47">
      <w:pPr>
        <w:pStyle w:val="ListBullet"/>
        <w:rPr>
          <w:rFonts w:cs="Arial"/>
          <w:i/>
        </w:rPr>
      </w:pPr>
      <w:r w:rsidRPr="00451C8E">
        <w:rPr>
          <w:rFonts w:cs="Arial"/>
          <w:i/>
        </w:rPr>
        <w:t>National Environment Protection Measures (Implementation) Act 1998</w:t>
      </w:r>
    </w:p>
    <w:p w:rsidR="006F5D47" w:rsidRPr="00451C8E" w:rsidRDefault="006F5D47" w:rsidP="006F5D47">
      <w:pPr>
        <w:pStyle w:val="ListBullet"/>
        <w:rPr>
          <w:rFonts w:cs="Arial"/>
          <w:i/>
        </w:rPr>
      </w:pPr>
      <w:r w:rsidRPr="00451C8E">
        <w:rPr>
          <w:rFonts w:cs="Arial"/>
          <w:i/>
        </w:rPr>
        <w:t>Ozone Protection and Synthetic Greenhouse Gas (Import Levy) Act 1995</w:t>
      </w:r>
    </w:p>
    <w:p w:rsidR="006F5D47" w:rsidRPr="00451C8E" w:rsidRDefault="006F5D47" w:rsidP="006F5D47">
      <w:pPr>
        <w:pStyle w:val="ListBullet"/>
        <w:rPr>
          <w:rFonts w:cs="Arial"/>
          <w:i/>
        </w:rPr>
      </w:pPr>
      <w:r w:rsidRPr="00451C8E">
        <w:rPr>
          <w:rFonts w:cs="Arial"/>
          <w:i/>
        </w:rPr>
        <w:t>Ozone Protection and Synthetic Greenhouse Gas (Import Levy) (Transitional Provisions) Act 2014</w:t>
      </w:r>
    </w:p>
    <w:p w:rsidR="006F5D47" w:rsidRPr="00451C8E" w:rsidRDefault="006F5D47" w:rsidP="006F5D47">
      <w:pPr>
        <w:pStyle w:val="ListBullet"/>
        <w:rPr>
          <w:rFonts w:cs="Arial"/>
          <w:i/>
        </w:rPr>
      </w:pPr>
      <w:r w:rsidRPr="00451C8E">
        <w:rPr>
          <w:rFonts w:cs="Arial"/>
          <w:i/>
        </w:rPr>
        <w:t>Ozone Protection and Synthetic Greenhouse Gas Management Act 1989</w:t>
      </w:r>
    </w:p>
    <w:p w:rsidR="006F5D47" w:rsidRPr="00451C8E" w:rsidRDefault="006F5D47" w:rsidP="006F5D47">
      <w:pPr>
        <w:pStyle w:val="ListBullet"/>
        <w:rPr>
          <w:rFonts w:cs="Arial"/>
          <w:i/>
        </w:rPr>
      </w:pPr>
      <w:r w:rsidRPr="00451C8E">
        <w:rPr>
          <w:rFonts w:cs="Arial"/>
          <w:i/>
        </w:rPr>
        <w:t>Ozone Protection and Synthetic Greenhouse Gas (Manufacture Levy) Act 1995</w:t>
      </w:r>
    </w:p>
    <w:p w:rsidR="006F5D47" w:rsidRPr="00451C8E" w:rsidRDefault="006F5D47" w:rsidP="006F5D47">
      <w:pPr>
        <w:pStyle w:val="ListBullet"/>
        <w:rPr>
          <w:rFonts w:cs="Arial"/>
          <w:i/>
        </w:rPr>
      </w:pPr>
      <w:r w:rsidRPr="00451C8E">
        <w:rPr>
          <w:rFonts w:cs="Arial"/>
          <w:i/>
        </w:rPr>
        <w:t>Product Stewardship Act 2011</w:t>
      </w:r>
    </w:p>
    <w:p w:rsidR="006F5D47" w:rsidRPr="00451C8E" w:rsidRDefault="006F5D47" w:rsidP="006F5D47">
      <w:pPr>
        <w:pStyle w:val="ListBullet"/>
        <w:rPr>
          <w:rFonts w:cs="Arial"/>
          <w:i/>
        </w:rPr>
      </w:pPr>
      <w:r w:rsidRPr="00451C8E">
        <w:rPr>
          <w:rFonts w:cs="Arial"/>
          <w:i/>
        </w:rPr>
        <w:t>Product Stewardship (Oil) Act 2000</w:t>
      </w:r>
    </w:p>
    <w:p w:rsidR="006F5D47" w:rsidRPr="00451C8E" w:rsidRDefault="006F5D47" w:rsidP="006F5D47">
      <w:pPr>
        <w:pStyle w:val="ListBullet"/>
        <w:rPr>
          <w:rFonts w:cs="Arial"/>
          <w:i/>
        </w:rPr>
      </w:pPr>
      <w:r w:rsidRPr="00451C8E">
        <w:rPr>
          <w:rFonts w:cs="Arial"/>
          <w:i/>
        </w:rPr>
        <w:t>Wet Tropics of Queensland World Heritage Area Conservation Act 1994</w:t>
      </w:r>
    </w:p>
    <w:p w:rsidR="006F5D47" w:rsidRDefault="006F5D47">
      <w:pPr>
        <w:spacing w:after="0" w:line="240" w:lineRule="auto"/>
        <w:rPr>
          <w:b/>
          <w:color w:val="0B5294" w:themeColor="accent1" w:themeShade="BF"/>
          <w:sz w:val="44"/>
          <w:szCs w:val="44"/>
        </w:rPr>
      </w:pPr>
    </w:p>
    <w:p w:rsidR="006F5D47" w:rsidRDefault="006F5D47">
      <w:pPr>
        <w:spacing w:after="0" w:line="240" w:lineRule="auto"/>
        <w:rPr>
          <w:b/>
          <w:color w:val="0B5294" w:themeColor="accent1" w:themeShade="BF"/>
          <w:sz w:val="44"/>
          <w:szCs w:val="44"/>
        </w:rPr>
      </w:pPr>
      <w:r>
        <w:rPr>
          <w:b/>
          <w:color w:val="0B5294" w:themeColor="accent1" w:themeShade="BF"/>
          <w:sz w:val="44"/>
          <w:szCs w:val="44"/>
        </w:rPr>
        <w:br w:type="page"/>
      </w:r>
    </w:p>
    <w:p w:rsidR="006F5D47" w:rsidRPr="00C95E78" w:rsidRDefault="006F5D47" w:rsidP="00C95E78">
      <w:pPr>
        <w:pStyle w:val="Heading1"/>
        <w:spacing w:after="120"/>
        <w:jc w:val="center"/>
        <w:rPr>
          <w:color w:val="0B5294" w:themeColor="accent1" w:themeShade="BF"/>
          <w:sz w:val="36"/>
          <w:szCs w:val="36"/>
        </w:rPr>
      </w:pPr>
      <w:bookmarkStart w:id="81" w:name="_Toc443405207"/>
      <w:r w:rsidRPr="00C95E78">
        <w:rPr>
          <w:color w:val="0B5294" w:themeColor="accent1" w:themeShade="BF"/>
          <w:sz w:val="36"/>
          <w:szCs w:val="36"/>
        </w:rPr>
        <w:lastRenderedPageBreak/>
        <w:t>Appendix 2: Bibliography</w:t>
      </w:r>
      <w:bookmarkEnd w:id="81"/>
    </w:p>
    <w:p w:rsidR="006F5D47" w:rsidRPr="00BA2499" w:rsidRDefault="006F5D47" w:rsidP="006F5D47">
      <w:pPr>
        <w:rPr>
          <w:rFonts w:cs="Arial"/>
          <w:b/>
          <w:caps/>
          <w:color w:val="0B5294" w:themeColor="accent1" w:themeShade="BF"/>
          <w:sz w:val="28"/>
          <w:szCs w:val="28"/>
        </w:rPr>
      </w:pPr>
      <w:r w:rsidRPr="00BA2499">
        <w:rPr>
          <w:rFonts w:cs="Arial"/>
          <w:b/>
          <w:caps/>
          <w:color w:val="0B5294" w:themeColor="accent1" w:themeShade="BF"/>
          <w:sz w:val="28"/>
          <w:szCs w:val="28"/>
        </w:rPr>
        <w:t>Policies &amp; Other Documents Considered by this Project</w:t>
      </w:r>
    </w:p>
    <w:p w:rsidR="006F5D47" w:rsidRDefault="006F5D47" w:rsidP="006F5D47">
      <w:r>
        <w:t xml:space="preserve">Department of the Environment (2014). </w:t>
      </w:r>
      <w:r w:rsidRPr="009261F3">
        <w:rPr>
          <w:i/>
        </w:rPr>
        <w:t>Compliance Monitoring Plan 2014-15</w:t>
      </w:r>
      <w:r>
        <w:t xml:space="preserve">, Environment Protection and Biodiversity Conservation Act 1999 and the Environment Protection (Sea Dumping) Act 1981. </w:t>
      </w:r>
    </w:p>
    <w:p w:rsidR="006F5D47" w:rsidRDefault="006F5D47" w:rsidP="006F5D47">
      <w:r>
        <w:t xml:space="preserve">Department of the Environment (2013). </w:t>
      </w:r>
      <w:r w:rsidRPr="009261F3">
        <w:rPr>
          <w:i/>
        </w:rPr>
        <w:t>Regulatory Policy</w:t>
      </w:r>
      <w:r>
        <w:t>.</w:t>
      </w:r>
    </w:p>
    <w:p w:rsidR="006F5D47" w:rsidRPr="009261F3" w:rsidRDefault="006F5D47" w:rsidP="006F5D47">
      <w:r>
        <w:t xml:space="preserve">Department of the Environment (2014). </w:t>
      </w:r>
      <w:r w:rsidRPr="009261F3">
        <w:rPr>
          <w:i/>
        </w:rPr>
        <w:t>Risk Management Policy</w:t>
      </w:r>
      <w:r>
        <w:t>.</w:t>
      </w:r>
    </w:p>
    <w:p w:rsidR="006F5D47" w:rsidRPr="009261F3" w:rsidRDefault="006F5D47" w:rsidP="006F5D47">
      <w:r>
        <w:t xml:space="preserve">Department of Finance (2014). </w:t>
      </w:r>
      <w:r w:rsidRPr="009261F3">
        <w:rPr>
          <w:i/>
        </w:rPr>
        <w:t>Commonwealth Risk Management Policy</w:t>
      </w:r>
      <w:r>
        <w:t>.</w:t>
      </w:r>
    </w:p>
    <w:p w:rsidR="006F5D47" w:rsidRDefault="006F5D47" w:rsidP="006F5D47">
      <w:r>
        <w:t xml:space="preserve">EPA SA (2013). </w:t>
      </w:r>
      <w:r w:rsidRPr="001B17F1">
        <w:rPr>
          <w:i/>
        </w:rPr>
        <w:t>Review of South Australian Environment Protection Authority regulatory practice – tools and approaches</w:t>
      </w:r>
      <w:r>
        <w:t xml:space="preserve">. </w:t>
      </w:r>
    </w:p>
    <w:p w:rsidR="006F5D47" w:rsidRDefault="006F5D47" w:rsidP="006F5D47">
      <w:r>
        <w:t xml:space="preserve">NSW EPA (2013). </w:t>
      </w:r>
      <w:r w:rsidRPr="007C21A4">
        <w:rPr>
          <w:i/>
        </w:rPr>
        <w:t>Environment Protection Authority Compliancy Policy</w:t>
      </w:r>
      <w:r>
        <w:t>.</w:t>
      </w:r>
    </w:p>
    <w:p w:rsidR="006F5D47" w:rsidRPr="00BA2499" w:rsidRDefault="006F5D47" w:rsidP="006F5D47">
      <w:pPr>
        <w:rPr>
          <w:rFonts w:cs="Arial"/>
          <w:b/>
          <w:caps/>
          <w:color w:val="0B5294" w:themeColor="accent1" w:themeShade="BF"/>
          <w:sz w:val="28"/>
          <w:szCs w:val="28"/>
        </w:rPr>
      </w:pPr>
      <w:r w:rsidRPr="00BA2499">
        <w:rPr>
          <w:rFonts w:cs="Arial"/>
          <w:b/>
          <w:caps/>
          <w:color w:val="0B5294" w:themeColor="accent1" w:themeShade="BF"/>
          <w:sz w:val="28"/>
          <w:szCs w:val="28"/>
        </w:rPr>
        <w:t>Audits, Reviews &amp; Other Reports</w:t>
      </w:r>
    </w:p>
    <w:p w:rsidR="006F5D47" w:rsidRDefault="006F5D47" w:rsidP="006F5D47">
      <w:r>
        <w:t>(2015). Functional &amp; Efficiency Review</w:t>
      </w:r>
    </w:p>
    <w:p w:rsidR="006F5D47" w:rsidRDefault="006F5D47" w:rsidP="006F5D47">
      <w:r>
        <w:t xml:space="preserve">ANAO (2014). </w:t>
      </w:r>
      <w:r w:rsidRPr="002207E0">
        <w:rPr>
          <w:i/>
        </w:rPr>
        <w:t>Managing Compliance with Environment Protection and Biodiversity Conservation Act 1999 Conditions of Approval</w:t>
      </w:r>
      <w:r>
        <w:t xml:space="preserve">. </w:t>
      </w:r>
    </w:p>
    <w:p w:rsidR="006F5D47" w:rsidRDefault="006F5D47" w:rsidP="006F5D47">
      <w:r>
        <w:t xml:space="preserve">ANAO (2015). </w:t>
      </w:r>
      <w:r w:rsidRPr="007C21A4">
        <w:rPr>
          <w:i/>
        </w:rPr>
        <w:t>Managing Compliance with the Wildlife Trade Provisions of the Environment Protection and Biodiversity Conservation Act 1999</w:t>
      </w:r>
      <w:r>
        <w:t xml:space="preserve">. </w:t>
      </w:r>
    </w:p>
    <w:p w:rsidR="006F5D47" w:rsidRDefault="006F5D47" w:rsidP="006F5D47">
      <w:r>
        <w:t xml:space="preserve">Department of the Environment (2014). </w:t>
      </w:r>
      <w:r w:rsidRPr="002207E0">
        <w:rPr>
          <w:i/>
        </w:rPr>
        <w:t>Internal Strategic Review Final Report</w:t>
      </w:r>
      <w:r>
        <w:t xml:space="preserve">. </w:t>
      </w:r>
    </w:p>
    <w:p w:rsidR="006F5D47" w:rsidRDefault="006F5D47" w:rsidP="006F5D47">
      <w:r>
        <w:t xml:space="preserve">NOUS Group (2015). </w:t>
      </w:r>
      <w:r w:rsidRPr="002207E0">
        <w:rPr>
          <w:i/>
        </w:rPr>
        <w:t>Policy and Operations Review to Inform Creation of Environment Standards Division – Summary Report</w:t>
      </w:r>
      <w:r>
        <w:t xml:space="preserve">. </w:t>
      </w:r>
    </w:p>
    <w:p w:rsidR="006F5D47" w:rsidRDefault="006F5D47" w:rsidP="006F5D47">
      <w:r>
        <w:t xml:space="preserve">PricewaterhouseCoopers (2013). </w:t>
      </w:r>
      <w:r w:rsidRPr="002207E0">
        <w:rPr>
          <w:i/>
        </w:rPr>
        <w:t>Internal Audit – Final Report – Review of Compliance and Enforcement Program Management</w:t>
      </w:r>
      <w:r>
        <w:t xml:space="preserve">. </w:t>
      </w:r>
    </w:p>
    <w:p w:rsidR="006F5D47" w:rsidRPr="00BA2499" w:rsidRDefault="006F5D47" w:rsidP="00BA2499">
      <w:pPr>
        <w:rPr>
          <w:rFonts w:cs="Arial"/>
          <w:b/>
          <w:caps/>
          <w:color w:val="0B5294" w:themeColor="accent1" w:themeShade="BF"/>
          <w:sz w:val="28"/>
          <w:szCs w:val="28"/>
        </w:rPr>
      </w:pPr>
      <w:r w:rsidRPr="00BA2499">
        <w:rPr>
          <w:rFonts w:cs="Arial"/>
          <w:b/>
          <w:caps/>
          <w:color w:val="0B5294" w:themeColor="accent1" w:themeShade="BF"/>
          <w:sz w:val="28"/>
          <w:szCs w:val="28"/>
        </w:rPr>
        <w:t>Best Practice Regulation</w:t>
      </w:r>
    </w:p>
    <w:p w:rsidR="006F5D47" w:rsidRDefault="006F5D47" w:rsidP="006F5D47">
      <w:r>
        <w:t>ANAO (2014</w:t>
      </w:r>
      <w:r w:rsidRPr="001B17F1">
        <w:t>).</w:t>
      </w:r>
      <w:r w:rsidRPr="001B17F1">
        <w:rPr>
          <w:i/>
        </w:rPr>
        <w:t xml:space="preserve"> Administering Regulation: Achieving the Right Balance</w:t>
      </w:r>
      <w:r>
        <w:t>.</w:t>
      </w:r>
    </w:p>
    <w:p w:rsidR="006F5D47" w:rsidRDefault="006F5D47" w:rsidP="006F5D47">
      <w:r>
        <w:t xml:space="preserve">Australasian Environmental Law Enforcement and Regulators Network (2015). </w:t>
      </w:r>
      <w:r w:rsidRPr="001C2C72">
        <w:rPr>
          <w:i/>
        </w:rPr>
        <w:t>Modern Regulator Improvement Tool – MRIT</w:t>
      </w:r>
      <w:r>
        <w:t xml:space="preserve">. </w:t>
      </w:r>
    </w:p>
    <w:p w:rsidR="006F5D47" w:rsidRDefault="006F5D47" w:rsidP="006F5D47">
      <w:r>
        <w:t xml:space="preserve">Department of Prime Minister &amp; Cabinet (2014). </w:t>
      </w:r>
      <w:r w:rsidRPr="00B8384A">
        <w:rPr>
          <w:i/>
        </w:rPr>
        <w:t>The Australian Government Guide to Regulation</w:t>
      </w:r>
      <w:r>
        <w:t>.</w:t>
      </w:r>
    </w:p>
    <w:p w:rsidR="006F5D47" w:rsidRDefault="006F5D47" w:rsidP="006F5D47">
      <w:r>
        <w:t xml:space="preserve">OECD (2012). </w:t>
      </w:r>
      <w:r w:rsidRPr="001B17F1">
        <w:rPr>
          <w:i/>
        </w:rPr>
        <w:t>Recommendation of the Council on Regulatory Policy and Governance</w:t>
      </w:r>
      <w:r>
        <w:t xml:space="preserve">. </w:t>
      </w:r>
    </w:p>
    <w:p w:rsidR="006F5D47" w:rsidRDefault="006F5D47" w:rsidP="006F5D47">
      <w:r>
        <w:t xml:space="preserve">OECD (2014). </w:t>
      </w:r>
      <w:r w:rsidRPr="001B17F1">
        <w:rPr>
          <w:i/>
        </w:rPr>
        <w:t>The Governance of Regulators</w:t>
      </w:r>
      <w:r>
        <w:t>, OECD Best Practice Principles for Regulatory Policy.</w:t>
      </w:r>
    </w:p>
    <w:p w:rsidR="006F5D47" w:rsidRDefault="006F5D47" w:rsidP="006F5D47">
      <w:r>
        <w:t xml:space="preserve">OECD (2014). </w:t>
      </w:r>
      <w:r w:rsidRPr="00B8384A">
        <w:rPr>
          <w:i/>
        </w:rPr>
        <w:t>Regulatory Enforcement and Inspections</w:t>
      </w:r>
      <w:r>
        <w:t xml:space="preserve">, OECD Best Practice Principles for Regulatory Policy. </w:t>
      </w:r>
    </w:p>
    <w:p w:rsidR="006F5D47" w:rsidRDefault="006F5D47" w:rsidP="006F5D47">
      <w:r>
        <w:t xml:space="preserve">New Zealand Productivity Commission (2014). </w:t>
      </w:r>
      <w:r w:rsidRPr="001C2C72">
        <w:rPr>
          <w:i/>
        </w:rPr>
        <w:t>Regulatory Institutions and Practices</w:t>
      </w:r>
      <w:r>
        <w:t xml:space="preserve">. </w:t>
      </w:r>
    </w:p>
    <w:p w:rsidR="00E7528D" w:rsidRDefault="006F5D47" w:rsidP="00D23CF4">
      <w:r>
        <w:t xml:space="preserve">Productivity Commission (2014). </w:t>
      </w:r>
      <w:r w:rsidRPr="00B8384A">
        <w:rPr>
          <w:i/>
        </w:rPr>
        <w:t>Regulator Audit Framework</w:t>
      </w:r>
      <w:r>
        <w:t>.</w:t>
      </w:r>
    </w:p>
    <w:p w:rsidR="00D23CF4" w:rsidRDefault="00D23CF4">
      <w:pPr>
        <w:spacing w:after="0" w:line="240" w:lineRule="auto"/>
      </w:pPr>
      <w:r>
        <w:br w:type="page"/>
      </w:r>
    </w:p>
    <w:p w:rsidR="00D23CF4" w:rsidRPr="00C95E78" w:rsidRDefault="00D23CF4" w:rsidP="00C95E78">
      <w:pPr>
        <w:pStyle w:val="Heading1"/>
        <w:spacing w:after="120"/>
        <w:jc w:val="center"/>
        <w:rPr>
          <w:color w:val="0B5294" w:themeColor="accent1" w:themeShade="BF"/>
          <w:sz w:val="36"/>
          <w:szCs w:val="36"/>
        </w:rPr>
      </w:pPr>
      <w:bookmarkStart w:id="82" w:name="_Toc443405208"/>
      <w:r w:rsidRPr="00C95E78">
        <w:rPr>
          <w:color w:val="0B5294" w:themeColor="accent1" w:themeShade="BF"/>
          <w:sz w:val="36"/>
          <w:szCs w:val="36"/>
        </w:rPr>
        <w:lastRenderedPageBreak/>
        <w:t>Appendix 3: Principles of Best Practice</w:t>
      </w:r>
      <w:bookmarkEnd w:id="82"/>
    </w:p>
    <w:p w:rsidR="00D23CF4" w:rsidRPr="00275F3E" w:rsidRDefault="003A5915" w:rsidP="00D23CF4">
      <w:pPr>
        <w:jc w:val="center"/>
        <w:rPr>
          <w:color w:val="1F497D"/>
          <w:sz w:val="36"/>
          <w:szCs w:val="36"/>
        </w:rPr>
      </w:pPr>
      <w:r w:rsidRPr="00BA2499">
        <w:rPr>
          <w:rFonts w:cs="Arial"/>
          <w:b/>
          <w:caps/>
          <w:color w:val="0B5294" w:themeColor="accent1" w:themeShade="BF"/>
          <w:sz w:val="28"/>
          <w:szCs w:val="28"/>
        </w:rPr>
        <w:t xml:space="preserve">A: </w:t>
      </w:r>
      <w:r w:rsidR="00D23CF4" w:rsidRPr="00BA2499">
        <w:rPr>
          <w:rFonts w:cs="Arial"/>
          <w:b/>
          <w:caps/>
          <w:color w:val="0B5294" w:themeColor="accent1" w:themeShade="BF"/>
          <w:sz w:val="28"/>
          <w:szCs w:val="28"/>
        </w:rPr>
        <w:t>Principles of Organisational Best Practice</w:t>
      </w:r>
    </w:p>
    <w:tbl>
      <w:tblPr>
        <w:tblStyle w:val="TableGrid"/>
        <w:tblW w:w="0" w:type="auto"/>
        <w:tblBorders>
          <w:insideV w:val="none" w:sz="0" w:space="0" w:color="auto"/>
        </w:tblBorders>
        <w:tblLook w:val="04A0" w:firstRow="1" w:lastRow="0" w:firstColumn="1" w:lastColumn="0" w:noHBand="0" w:noVBand="1"/>
      </w:tblPr>
      <w:tblGrid>
        <w:gridCol w:w="2093"/>
        <w:gridCol w:w="7335"/>
      </w:tblGrid>
      <w:tr w:rsidR="00D23CF4" w:rsidRPr="00D23CF4" w:rsidTr="00D23CF4">
        <w:trPr>
          <w:cnfStyle w:val="100000000000" w:firstRow="1" w:lastRow="0" w:firstColumn="0" w:lastColumn="0" w:oddVBand="0" w:evenVBand="0" w:oddHBand="0" w:evenHBand="0" w:firstRowFirstColumn="0" w:firstRowLastColumn="0" w:lastRowFirstColumn="0" w:lastRowLastColumn="0"/>
        </w:trPr>
        <w:tc>
          <w:tcPr>
            <w:tcW w:w="2093" w:type="dxa"/>
          </w:tcPr>
          <w:p w:rsidR="00D23CF4" w:rsidRPr="00D10CBC" w:rsidRDefault="00D23CF4" w:rsidP="00D23CF4">
            <w:pPr>
              <w:rPr>
                <w:rFonts w:cs="Arial"/>
                <w:b/>
                <w:color w:val="0B5294" w:themeColor="accent1" w:themeShade="BF"/>
                <w:sz w:val="20"/>
                <w:szCs w:val="20"/>
              </w:rPr>
            </w:pPr>
            <w:r w:rsidRPr="00D10CBC">
              <w:rPr>
                <w:rFonts w:cs="Arial"/>
                <w:b/>
                <w:color w:val="0B5294" w:themeColor="accent1" w:themeShade="BF"/>
                <w:sz w:val="20"/>
                <w:szCs w:val="20"/>
              </w:rPr>
              <w:t>Well defined outcomes</w:t>
            </w:r>
          </w:p>
        </w:tc>
        <w:tc>
          <w:tcPr>
            <w:tcW w:w="7335" w:type="dxa"/>
          </w:tcPr>
          <w:p w:rsidR="00D23CF4" w:rsidRPr="00D23CF4" w:rsidRDefault="00D23CF4" w:rsidP="00E65120">
            <w:pPr>
              <w:pStyle w:val="ListParagraph"/>
              <w:numPr>
                <w:ilvl w:val="0"/>
                <w:numId w:val="27"/>
              </w:numPr>
              <w:spacing w:after="20" w:line="240" w:lineRule="auto"/>
              <w:ind w:left="714" w:hanging="357"/>
              <w:rPr>
                <w:rFonts w:cs="Arial"/>
                <w:sz w:val="20"/>
                <w:szCs w:val="20"/>
              </w:rPr>
            </w:pPr>
            <w:r w:rsidRPr="00D23CF4">
              <w:rPr>
                <w:rFonts w:cs="Arial"/>
                <w:sz w:val="20"/>
                <w:szCs w:val="20"/>
              </w:rPr>
              <w:t>The organisation adopts policies and institutional mechanisms on regulatory enforcement with clear objectives, optimises harmonisation with other relevant regulators and has a long-term roadmap.</w:t>
            </w:r>
          </w:p>
          <w:p w:rsidR="00D23CF4" w:rsidRPr="00D23CF4" w:rsidRDefault="00D23CF4" w:rsidP="00E65120">
            <w:pPr>
              <w:pStyle w:val="ListParagraph"/>
              <w:numPr>
                <w:ilvl w:val="0"/>
                <w:numId w:val="27"/>
              </w:numPr>
              <w:spacing w:after="20" w:line="240" w:lineRule="auto"/>
              <w:ind w:left="714" w:hanging="357"/>
              <w:rPr>
                <w:rFonts w:cs="Arial"/>
                <w:sz w:val="20"/>
                <w:szCs w:val="20"/>
              </w:rPr>
            </w:pPr>
            <w:r w:rsidRPr="00D23CF4">
              <w:rPr>
                <w:rFonts w:cs="Arial"/>
                <w:sz w:val="20"/>
                <w:szCs w:val="20"/>
              </w:rPr>
              <w:t xml:space="preserve">The legislative and authorising environment is considered at all times and steps are taken to minimise the duplication of regulation. </w:t>
            </w:r>
          </w:p>
          <w:p w:rsidR="00D23CF4" w:rsidRPr="00D23CF4" w:rsidRDefault="00D23CF4" w:rsidP="00E65120">
            <w:pPr>
              <w:pStyle w:val="ListParagraph"/>
              <w:numPr>
                <w:ilvl w:val="0"/>
                <w:numId w:val="27"/>
              </w:numPr>
              <w:spacing w:after="20" w:line="240" w:lineRule="auto"/>
              <w:ind w:left="714" w:hanging="357"/>
              <w:rPr>
                <w:rFonts w:cs="Arial"/>
                <w:sz w:val="20"/>
                <w:szCs w:val="20"/>
              </w:rPr>
            </w:pPr>
            <w:r w:rsidRPr="00D23CF4">
              <w:rPr>
                <w:rFonts w:cs="Arial"/>
                <w:sz w:val="20"/>
                <w:szCs w:val="20"/>
              </w:rPr>
              <w:t>The organisation achieves the intended outcomes of their regulations without unnecessarily restricting or imposing unnecessary burden on regulated entities.</w:t>
            </w:r>
          </w:p>
        </w:tc>
      </w:tr>
      <w:tr w:rsidR="00D23CF4" w:rsidRPr="00D23CF4" w:rsidTr="00D23CF4">
        <w:trPr>
          <w:cnfStyle w:val="000000100000" w:firstRow="0" w:lastRow="0" w:firstColumn="0" w:lastColumn="0" w:oddVBand="0" w:evenVBand="0" w:oddHBand="1" w:evenHBand="0" w:firstRowFirstColumn="0" w:firstRowLastColumn="0" w:lastRowFirstColumn="0" w:lastRowLastColumn="0"/>
        </w:trPr>
        <w:tc>
          <w:tcPr>
            <w:tcW w:w="2093" w:type="dxa"/>
          </w:tcPr>
          <w:p w:rsidR="00D23CF4" w:rsidRPr="00D10CBC" w:rsidRDefault="00D23CF4" w:rsidP="00D23CF4">
            <w:pPr>
              <w:rPr>
                <w:rFonts w:cs="Arial"/>
                <w:b/>
                <w:color w:val="0B5294" w:themeColor="accent1" w:themeShade="BF"/>
                <w:sz w:val="20"/>
                <w:szCs w:val="20"/>
              </w:rPr>
            </w:pPr>
            <w:r w:rsidRPr="00D10CBC">
              <w:rPr>
                <w:rFonts w:cs="Arial"/>
                <w:b/>
                <w:color w:val="0B5294" w:themeColor="accent1" w:themeShade="BF"/>
                <w:sz w:val="20"/>
                <w:szCs w:val="20"/>
              </w:rPr>
              <w:t>Risk management</w:t>
            </w:r>
          </w:p>
        </w:tc>
        <w:tc>
          <w:tcPr>
            <w:tcW w:w="7335" w:type="dxa"/>
          </w:tcPr>
          <w:p w:rsidR="00D23CF4" w:rsidRPr="00D23CF4" w:rsidRDefault="00D23CF4" w:rsidP="00E65120">
            <w:pPr>
              <w:pStyle w:val="ListParagraph"/>
              <w:numPr>
                <w:ilvl w:val="0"/>
                <w:numId w:val="27"/>
              </w:numPr>
              <w:spacing w:after="20" w:line="240" w:lineRule="auto"/>
              <w:ind w:left="714" w:hanging="357"/>
              <w:rPr>
                <w:rFonts w:cs="Arial"/>
                <w:sz w:val="20"/>
                <w:szCs w:val="20"/>
              </w:rPr>
            </w:pPr>
            <w:r w:rsidRPr="00D23CF4">
              <w:rPr>
                <w:rFonts w:cs="Arial"/>
                <w:sz w:val="20"/>
                <w:szCs w:val="20"/>
              </w:rPr>
              <w:t>The organisation promotes a risk management culture that supports an integrated approach to the identification and management of risk that informs activities and the design of strategies.</w:t>
            </w:r>
          </w:p>
          <w:p w:rsidR="00D23CF4" w:rsidRPr="00D23CF4" w:rsidRDefault="00D23CF4" w:rsidP="00E65120">
            <w:pPr>
              <w:pStyle w:val="ListParagraph"/>
              <w:numPr>
                <w:ilvl w:val="0"/>
                <w:numId w:val="27"/>
              </w:numPr>
              <w:spacing w:after="20" w:line="240" w:lineRule="auto"/>
              <w:ind w:left="714" w:hanging="357"/>
              <w:rPr>
                <w:rFonts w:cs="Arial"/>
                <w:sz w:val="20"/>
                <w:szCs w:val="20"/>
              </w:rPr>
            </w:pPr>
            <w:r w:rsidRPr="00D23CF4">
              <w:rPr>
                <w:rFonts w:cs="Arial"/>
                <w:sz w:val="20"/>
                <w:szCs w:val="20"/>
              </w:rPr>
              <w:t>Risk assessments are balanced and implemented uniformly and impartially, while also being dynamic and open to scrutiny.</w:t>
            </w:r>
          </w:p>
        </w:tc>
      </w:tr>
      <w:tr w:rsidR="00D23CF4" w:rsidRPr="00D23CF4" w:rsidTr="00D23CF4">
        <w:trPr>
          <w:cnfStyle w:val="000000010000" w:firstRow="0" w:lastRow="0" w:firstColumn="0" w:lastColumn="0" w:oddVBand="0" w:evenVBand="0" w:oddHBand="0" w:evenHBand="1" w:firstRowFirstColumn="0" w:firstRowLastColumn="0" w:lastRowFirstColumn="0" w:lastRowLastColumn="0"/>
        </w:trPr>
        <w:tc>
          <w:tcPr>
            <w:tcW w:w="2093" w:type="dxa"/>
          </w:tcPr>
          <w:p w:rsidR="00D23CF4" w:rsidRPr="00D10CBC" w:rsidRDefault="00D23CF4" w:rsidP="00D23CF4">
            <w:pPr>
              <w:rPr>
                <w:rFonts w:cs="Arial"/>
                <w:b/>
                <w:color w:val="0B5294" w:themeColor="accent1" w:themeShade="BF"/>
                <w:sz w:val="20"/>
                <w:szCs w:val="20"/>
              </w:rPr>
            </w:pPr>
            <w:r w:rsidRPr="00D10CBC">
              <w:rPr>
                <w:rFonts w:cs="Arial"/>
                <w:b/>
                <w:color w:val="0B5294" w:themeColor="accent1" w:themeShade="BF"/>
                <w:sz w:val="20"/>
                <w:szCs w:val="20"/>
              </w:rPr>
              <w:t>Staffing</w:t>
            </w:r>
          </w:p>
        </w:tc>
        <w:tc>
          <w:tcPr>
            <w:tcW w:w="7335" w:type="dxa"/>
          </w:tcPr>
          <w:p w:rsidR="00D23CF4" w:rsidRPr="00D23CF4" w:rsidRDefault="00D23CF4" w:rsidP="00E65120">
            <w:pPr>
              <w:pStyle w:val="ListParagraph"/>
              <w:numPr>
                <w:ilvl w:val="0"/>
                <w:numId w:val="27"/>
              </w:numPr>
              <w:spacing w:after="20" w:line="240" w:lineRule="auto"/>
              <w:ind w:left="714" w:hanging="357"/>
              <w:rPr>
                <w:rFonts w:cs="Arial"/>
                <w:sz w:val="20"/>
                <w:szCs w:val="20"/>
              </w:rPr>
            </w:pPr>
            <w:r w:rsidRPr="00D23CF4">
              <w:rPr>
                <w:rFonts w:cs="Arial"/>
                <w:sz w:val="20"/>
                <w:szCs w:val="20"/>
              </w:rPr>
              <w:t xml:space="preserve">Staff training and recruitment are managed to ensure professionalism, integrity, consistency and transparency. </w:t>
            </w:r>
          </w:p>
          <w:p w:rsidR="00D23CF4" w:rsidRPr="00D23CF4" w:rsidRDefault="00D23CF4" w:rsidP="00E65120">
            <w:pPr>
              <w:pStyle w:val="ListParagraph"/>
              <w:numPr>
                <w:ilvl w:val="0"/>
                <w:numId w:val="27"/>
              </w:numPr>
              <w:spacing w:after="20" w:line="240" w:lineRule="auto"/>
              <w:ind w:left="714" w:hanging="357"/>
              <w:rPr>
                <w:rFonts w:cs="Arial"/>
                <w:sz w:val="20"/>
                <w:szCs w:val="20"/>
              </w:rPr>
            </w:pPr>
            <w:r w:rsidRPr="00D23CF4">
              <w:rPr>
                <w:rFonts w:cs="Arial"/>
                <w:sz w:val="20"/>
                <w:szCs w:val="20"/>
              </w:rPr>
              <w:t xml:space="preserve">Performance management policies reflect the overall aims of enforcement activities, specific goals of the agency, and in particular the performance indicators for the agency. </w:t>
            </w:r>
          </w:p>
        </w:tc>
      </w:tr>
      <w:tr w:rsidR="00D23CF4" w:rsidRPr="00D23CF4" w:rsidTr="00D23CF4">
        <w:trPr>
          <w:cnfStyle w:val="000000100000" w:firstRow="0" w:lastRow="0" w:firstColumn="0" w:lastColumn="0" w:oddVBand="0" w:evenVBand="0" w:oddHBand="1" w:evenHBand="0" w:firstRowFirstColumn="0" w:firstRowLastColumn="0" w:lastRowFirstColumn="0" w:lastRowLastColumn="0"/>
        </w:trPr>
        <w:tc>
          <w:tcPr>
            <w:tcW w:w="2093" w:type="dxa"/>
          </w:tcPr>
          <w:p w:rsidR="00D23CF4" w:rsidRPr="00D10CBC" w:rsidRDefault="00D23CF4" w:rsidP="00D23CF4">
            <w:pPr>
              <w:rPr>
                <w:rFonts w:cs="Arial"/>
                <w:b/>
                <w:color w:val="0B5294" w:themeColor="accent1" w:themeShade="BF"/>
                <w:sz w:val="20"/>
                <w:szCs w:val="20"/>
              </w:rPr>
            </w:pPr>
            <w:r w:rsidRPr="00D10CBC">
              <w:rPr>
                <w:rFonts w:cs="Arial"/>
                <w:b/>
                <w:color w:val="0B5294" w:themeColor="accent1" w:themeShade="BF"/>
                <w:sz w:val="20"/>
                <w:szCs w:val="20"/>
              </w:rPr>
              <w:t>Resourcing</w:t>
            </w:r>
          </w:p>
        </w:tc>
        <w:tc>
          <w:tcPr>
            <w:tcW w:w="7335" w:type="dxa"/>
          </w:tcPr>
          <w:p w:rsidR="00D23CF4" w:rsidRPr="00D23CF4" w:rsidRDefault="00D23CF4" w:rsidP="00E65120">
            <w:pPr>
              <w:pStyle w:val="ListParagraph"/>
              <w:numPr>
                <w:ilvl w:val="0"/>
                <w:numId w:val="27"/>
              </w:numPr>
              <w:spacing w:after="20" w:line="240" w:lineRule="auto"/>
              <w:ind w:left="714" w:hanging="357"/>
              <w:rPr>
                <w:rFonts w:cs="Arial"/>
                <w:sz w:val="20"/>
                <w:szCs w:val="20"/>
              </w:rPr>
            </w:pPr>
            <w:r w:rsidRPr="00D23CF4">
              <w:rPr>
                <w:rFonts w:cs="Arial"/>
                <w:sz w:val="20"/>
                <w:szCs w:val="20"/>
              </w:rPr>
              <w:t>There are appropriate resources with a level of stability that allows for proper planning, professional development and long-term improvements.</w:t>
            </w:r>
          </w:p>
          <w:p w:rsidR="00D23CF4" w:rsidRPr="00D23CF4" w:rsidRDefault="00D23CF4" w:rsidP="00E65120">
            <w:pPr>
              <w:pStyle w:val="ListParagraph"/>
              <w:numPr>
                <w:ilvl w:val="0"/>
                <w:numId w:val="27"/>
              </w:numPr>
              <w:spacing w:after="20" w:line="240" w:lineRule="auto"/>
              <w:ind w:left="714" w:hanging="357"/>
              <w:rPr>
                <w:rFonts w:cs="Arial"/>
                <w:sz w:val="20"/>
                <w:szCs w:val="20"/>
              </w:rPr>
            </w:pPr>
            <w:r w:rsidRPr="00D23CF4">
              <w:rPr>
                <w:rFonts w:cs="Arial"/>
                <w:sz w:val="20"/>
                <w:szCs w:val="20"/>
              </w:rPr>
              <w:t>Funding levels are adequate to enable the regulator, operating efficiently, to effectively fulfil the objectives set by government, including obligations imposed by other legislation.</w:t>
            </w:r>
          </w:p>
        </w:tc>
      </w:tr>
      <w:tr w:rsidR="00D23CF4" w:rsidRPr="00D23CF4" w:rsidTr="00D23CF4">
        <w:trPr>
          <w:cnfStyle w:val="000000010000" w:firstRow="0" w:lastRow="0" w:firstColumn="0" w:lastColumn="0" w:oddVBand="0" w:evenVBand="0" w:oddHBand="0" w:evenHBand="1" w:firstRowFirstColumn="0" w:firstRowLastColumn="0" w:lastRowFirstColumn="0" w:lastRowLastColumn="0"/>
        </w:trPr>
        <w:tc>
          <w:tcPr>
            <w:tcW w:w="2093" w:type="dxa"/>
          </w:tcPr>
          <w:p w:rsidR="00D23CF4" w:rsidRPr="00D10CBC" w:rsidRDefault="00D23CF4" w:rsidP="00D23CF4">
            <w:pPr>
              <w:rPr>
                <w:rFonts w:cs="Arial"/>
                <w:b/>
                <w:color w:val="0B5294" w:themeColor="accent1" w:themeShade="BF"/>
                <w:sz w:val="20"/>
                <w:szCs w:val="20"/>
              </w:rPr>
            </w:pPr>
            <w:r w:rsidRPr="00D10CBC">
              <w:rPr>
                <w:rFonts w:cs="Arial"/>
                <w:b/>
                <w:color w:val="0B5294" w:themeColor="accent1" w:themeShade="BF"/>
                <w:sz w:val="20"/>
                <w:szCs w:val="20"/>
              </w:rPr>
              <w:t>Information management</w:t>
            </w:r>
          </w:p>
        </w:tc>
        <w:tc>
          <w:tcPr>
            <w:tcW w:w="7335" w:type="dxa"/>
          </w:tcPr>
          <w:p w:rsidR="00D23CF4" w:rsidRPr="00D23CF4" w:rsidRDefault="00D23CF4" w:rsidP="00E65120">
            <w:pPr>
              <w:pStyle w:val="ListParagraph"/>
              <w:numPr>
                <w:ilvl w:val="0"/>
                <w:numId w:val="27"/>
              </w:numPr>
              <w:spacing w:after="20" w:line="240" w:lineRule="auto"/>
              <w:ind w:left="714" w:hanging="357"/>
              <w:rPr>
                <w:rFonts w:cs="Arial"/>
                <w:sz w:val="20"/>
                <w:szCs w:val="20"/>
              </w:rPr>
            </w:pPr>
            <w:r w:rsidRPr="00D23CF4">
              <w:rPr>
                <w:rFonts w:cs="Arial"/>
                <w:sz w:val="20"/>
                <w:szCs w:val="20"/>
              </w:rPr>
              <w:t>Information and communication technologies are used to maximise risk-focus, the collection and analysis of data, coordination and information-sharing.</w:t>
            </w:r>
          </w:p>
          <w:p w:rsidR="00D23CF4" w:rsidRPr="00D23CF4" w:rsidRDefault="00D23CF4" w:rsidP="00E65120">
            <w:pPr>
              <w:pStyle w:val="ListParagraph"/>
              <w:numPr>
                <w:ilvl w:val="0"/>
                <w:numId w:val="27"/>
              </w:numPr>
              <w:spacing w:after="20" w:line="240" w:lineRule="auto"/>
              <w:ind w:left="714" w:hanging="357"/>
              <w:rPr>
                <w:rFonts w:cs="Arial"/>
                <w:sz w:val="20"/>
                <w:szCs w:val="20"/>
              </w:rPr>
            </w:pPr>
            <w:r w:rsidRPr="00D23CF4">
              <w:rPr>
                <w:rFonts w:cs="Arial"/>
                <w:sz w:val="20"/>
                <w:szCs w:val="20"/>
              </w:rPr>
              <w:t>The organisation shares resources with other agencies to satisfy accurate information needs that inform risk assessments and other activities.</w:t>
            </w:r>
          </w:p>
        </w:tc>
      </w:tr>
      <w:tr w:rsidR="00D23CF4" w:rsidRPr="00D23CF4" w:rsidTr="00D23CF4">
        <w:trPr>
          <w:cnfStyle w:val="000000100000" w:firstRow="0" w:lastRow="0" w:firstColumn="0" w:lastColumn="0" w:oddVBand="0" w:evenVBand="0" w:oddHBand="1" w:evenHBand="0" w:firstRowFirstColumn="0" w:firstRowLastColumn="0" w:lastRowFirstColumn="0" w:lastRowLastColumn="0"/>
        </w:trPr>
        <w:tc>
          <w:tcPr>
            <w:tcW w:w="2093" w:type="dxa"/>
          </w:tcPr>
          <w:p w:rsidR="00D23CF4" w:rsidRPr="00D10CBC" w:rsidRDefault="00D23CF4" w:rsidP="00D23CF4">
            <w:pPr>
              <w:rPr>
                <w:rFonts w:cs="Arial"/>
                <w:b/>
                <w:color w:val="0B5294" w:themeColor="accent1" w:themeShade="BF"/>
                <w:sz w:val="20"/>
                <w:szCs w:val="20"/>
              </w:rPr>
            </w:pPr>
            <w:r w:rsidRPr="00D10CBC">
              <w:rPr>
                <w:rFonts w:cs="Arial"/>
                <w:b/>
                <w:color w:val="0B5294" w:themeColor="accent1" w:themeShade="BF"/>
                <w:sz w:val="20"/>
                <w:szCs w:val="20"/>
              </w:rPr>
              <w:t>Stakeholder engagement</w:t>
            </w:r>
          </w:p>
        </w:tc>
        <w:tc>
          <w:tcPr>
            <w:tcW w:w="7335" w:type="dxa"/>
          </w:tcPr>
          <w:p w:rsidR="00D23CF4" w:rsidRPr="00D23CF4" w:rsidRDefault="00D23CF4" w:rsidP="00E65120">
            <w:pPr>
              <w:pStyle w:val="ListParagraph"/>
              <w:numPr>
                <w:ilvl w:val="0"/>
                <w:numId w:val="27"/>
              </w:numPr>
              <w:spacing w:after="20" w:line="240" w:lineRule="auto"/>
              <w:ind w:left="714" w:hanging="357"/>
              <w:rPr>
                <w:rFonts w:cs="Arial"/>
                <w:sz w:val="20"/>
                <w:szCs w:val="20"/>
              </w:rPr>
            </w:pPr>
            <w:r w:rsidRPr="00D23CF4">
              <w:rPr>
                <w:rFonts w:cs="Arial"/>
                <w:sz w:val="20"/>
                <w:szCs w:val="20"/>
              </w:rPr>
              <w:t xml:space="preserve">Mechanisms exist for ongoing, two-way engagement with regulated entities and the organisation strives wherever possible and appropriate to establish a cooperative approach. </w:t>
            </w:r>
          </w:p>
          <w:p w:rsidR="00D23CF4" w:rsidRPr="00D23CF4" w:rsidRDefault="00D23CF4" w:rsidP="00E65120">
            <w:pPr>
              <w:pStyle w:val="ListParagraph"/>
              <w:numPr>
                <w:ilvl w:val="0"/>
                <w:numId w:val="27"/>
              </w:numPr>
              <w:spacing w:after="20" w:line="240" w:lineRule="auto"/>
              <w:ind w:left="714" w:hanging="357"/>
              <w:rPr>
                <w:rFonts w:cs="Arial"/>
                <w:sz w:val="20"/>
                <w:szCs w:val="20"/>
              </w:rPr>
            </w:pPr>
            <w:r w:rsidRPr="00D23CF4">
              <w:rPr>
                <w:rFonts w:cs="Arial"/>
                <w:sz w:val="20"/>
                <w:szCs w:val="20"/>
              </w:rPr>
              <w:t>There is a demonstrated understanding of the operating environment, the circumstances of individuals and the current and emerging issues that affect the sector.</w:t>
            </w:r>
          </w:p>
          <w:p w:rsidR="00D23CF4" w:rsidRPr="00D23CF4" w:rsidRDefault="00D23CF4" w:rsidP="00E65120">
            <w:pPr>
              <w:pStyle w:val="ListParagraph"/>
              <w:numPr>
                <w:ilvl w:val="0"/>
                <w:numId w:val="27"/>
              </w:numPr>
              <w:spacing w:after="20" w:line="240" w:lineRule="auto"/>
              <w:ind w:left="714" w:hanging="357"/>
              <w:rPr>
                <w:rFonts w:cs="Arial"/>
                <w:sz w:val="20"/>
                <w:szCs w:val="20"/>
              </w:rPr>
            </w:pPr>
            <w:r w:rsidRPr="00D23CF4">
              <w:rPr>
                <w:rFonts w:cs="Arial"/>
                <w:sz w:val="20"/>
                <w:szCs w:val="20"/>
              </w:rPr>
              <w:t xml:space="preserve">Information, including expectations, is available to stakeholders and is easily accessible, streamlined and user-focused. </w:t>
            </w:r>
          </w:p>
        </w:tc>
      </w:tr>
      <w:tr w:rsidR="00D23CF4" w:rsidRPr="00D23CF4" w:rsidTr="00D23CF4">
        <w:trPr>
          <w:cnfStyle w:val="000000010000" w:firstRow="0" w:lastRow="0" w:firstColumn="0" w:lastColumn="0" w:oddVBand="0" w:evenVBand="0" w:oddHBand="0" w:evenHBand="1" w:firstRowFirstColumn="0" w:firstRowLastColumn="0" w:lastRowFirstColumn="0" w:lastRowLastColumn="0"/>
        </w:trPr>
        <w:tc>
          <w:tcPr>
            <w:tcW w:w="2093" w:type="dxa"/>
          </w:tcPr>
          <w:p w:rsidR="00D23CF4" w:rsidRPr="00D10CBC" w:rsidRDefault="00D23CF4" w:rsidP="00D23CF4">
            <w:pPr>
              <w:rPr>
                <w:rFonts w:cs="Arial"/>
                <w:b/>
                <w:color w:val="0B5294" w:themeColor="accent1" w:themeShade="BF"/>
                <w:sz w:val="20"/>
                <w:szCs w:val="20"/>
              </w:rPr>
            </w:pPr>
            <w:r w:rsidRPr="00D10CBC">
              <w:rPr>
                <w:rFonts w:cs="Arial"/>
                <w:b/>
                <w:color w:val="0B5294" w:themeColor="accent1" w:themeShade="BF"/>
                <w:sz w:val="20"/>
                <w:szCs w:val="20"/>
              </w:rPr>
              <w:t>Transparency and accountability</w:t>
            </w:r>
          </w:p>
        </w:tc>
        <w:tc>
          <w:tcPr>
            <w:tcW w:w="7335" w:type="dxa"/>
          </w:tcPr>
          <w:p w:rsidR="00D23CF4" w:rsidRPr="00D23CF4" w:rsidRDefault="00D23CF4" w:rsidP="00E65120">
            <w:pPr>
              <w:pStyle w:val="ListParagraph"/>
              <w:numPr>
                <w:ilvl w:val="0"/>
                <w:numId w:val="27"/>
              </w:numPr>
              <w:spacing w:after="20" w:line="240" w:lineRule="auto"/>
              <w:ind w:left="714" w:hanging="357"/>
              <w:rPr>
                <w:rFonts w:cs="Arial"/>
                <w:sz w:val="20"/>
                <w:szCs w:val="20"/>
              </w:rPr>
            </w:pPr>
            <w:r w:rsidRPr="00D23CF4">
              <w:rPr>
                <w:rFonts w:cs="Arial"/>
                <w:sz w:val="20"/>
                <w:szCs w:val="20"/>
              </w:rPr>
              <w:t>Governance structures and human resources policies for regulatory enforcement support transparency, professionalism, and results-oriented management.</w:t>
            </w:r>
          </w:p>
          <w:p w:rsidR="00D23CF4" w:rsidRPr="00D23CF4" w:rsidRDefault="00D23CF4" w:rsidP="00E65120">
            <w:pPr>
              <w:pStyle w:val="ListParagraph"/>
              <w:numPr>
                <w:ilvl w:val="0"/>
                <w:numId w:val="27"/>
              </w:numPr>
              <w:spacing w:after="20" w:line="240" w:lineRule="auto"/>
              <w:ind w:left="714" w:hanging="357"/>
              <w:rPr>
                <w:rFonts w:cs="Arial"/>
                <w:sz w:val="20"/>
                <w:szCs w:val="20"/>
              </w:rPr>
            </w:pPr>
            <w:r w:rsidRPr="00D23CF4">
              <w:rPr>
                <w:rFonts w:cs="Arial"/>
                <w:sz w:val="20"/>
                <w:szCs w:val="20"/>
              </w:rPr>
              <w:t xml:space="preserve">Regulatory decisions and functions are timely and are conducted with the upmost integrity. They are made on an evidence-based, objective, impartial and consistent basis, without conflict of interest, bias or improper influence. Evidence is recorded and publicly available. </w:t>
            </w:r>
          </w:p>
          <w:p w:rsidR="00D23CF4" w:rsidRPr="00D23CF4" w:rsidRDefault="00D23CF4" w:rsidP="00E65120">
            <w:pPr>
              <w:pStyle w:val="ListParagraph"/>
              <w:numPr>
                <w:ilvl w:val="0"/>
                <w:numId w:val="27"/>
              </w:numPr>
              <w:spacing w:after="20" w:line="240" w:lineRule="auto"/>
              <w:ind w:left="714" w:hanging="357"/>
              <w:rPr>
                <w:rFonts w:cs="Arial"/>
                <w:sz w:val="20"/>
                <w:szCs w:val="20"/>
              </w:rPr>
            </w:pPr>
            <w:r w:rsidRPr="00D23CF4">
              <w:rPr>
                <w:rFonts w:cs="Arial"/>
                <w:sz w:val="20"/>
                <w:szCs w:val="20"/>
              </w:rPr>
              <w:t xml:space="preserve">Regulated entities have access to complaints and appeal processes and systems. </w:t>
            </w:r>
          </w:p>
          <w:p w:rsidR="00D23CF4" w:rsidRPr="00D23CF4" w:rsidRDefault="00D23CF4" w:rsidP="00E65120">
            <w:pPr>
              <w:pStyle w:val="ListParagraph"/>
              <w:numPr>
                <w:ilvl w:val="0"/>
                <w:numId w:val="27"/>
              </w:numPr>
              <w:spacing w:after="20" w:line="240" w:lineRule="auto"/>
              <w:ind w:left="714" w:hanging="357"/>
              <w:rPr>
                <w:rFonts w:cs="Arial"/>
                <w:sz w:val="20"/>
                <w:szCs w:val="20"/>
              </w:rPr>
            </w:pPr>
            <w:r w:rsidRPr="00D23CF4">
              <w:rPr>
                <w:rFonts w:cs="Arial"/>
                <w:sz w:val="20"/>
                <w:szCs w:val="20"/>
              </w:rPr>
              <w:t>Organisational objectives and risk frameworks are publicly available.</w:t>
            </w:r>
          </w:p>
        </w:tc>
      </w:tr>
      <w:tr w:rsidR="00D23CF4" w:rsidRPr="00D23CF4" w:rsidTr="00D23CF4">
        <w:trPr>
          <w:cnfStyle w:val="000000100000" w:firstRow="0" w:lastRow="0" w:firstColumn="0" w:lastColumn="0" w:oddVBand="0" w:evenVBand="0" w:oddHBand="1" w:evenHBand="0" w:firstRowFirstColumn="0" w:firstRowLastColumn="0" w:lastRowFirstColumn="0" w:lastRowLastColumn="0"/>
        </w:trPr>
        <w:tc>
          <w:tcPr>
            <w:tcW w:w="2093" w:type="dxa"/>
          </w:tcPr>
          <w:p w:rsidR="00D23CF4" w:rsidRPr="00D10CBC" w:rsidRDefault="00D23CF4" w:rsidP="00D23CF4">
            <w:pPr>
              <w:rPr>
                <w:rFonts w:cs="Arial"/>
                <w:b/>
                <w:color w:val="0B5294" w:themeColor="accent1" w:themeShade="BF"/>
                <w:sz w:val="20"/>
                <w:szCs w:val="20"/>
              </w:rPr>
            </w:pPr>
            <w:r w:rsidRPr="00D10CBC">
              <w:rPr>
                <w:rFonts w:cs="Arial"/>
                <w:b/>
                <w:color w:val="0B5294" w:themeColor="accent1" w:themeShade="BF"/>
                <w:sz w:val="20"/>
                <w:szCs w:val="20"/>
              </w:rPr>
              <w:t>Performance monitoring and reporting</w:t>
            </w:r>
          </w:p>
        </w:tc>
        <w:tc>
          <w:tcPr>
            <w:tcW w:w="7335" w:type="dxa"/>
          </w:tcPr>
          <w:p w:rsidR="00D23CF4" w:rsidRPr="00D23CF4" w:rsidRDefault="00D23CF4" w:rsidP="00E65120">
            <w:pPr>
              <w:pStyle w:val="ListParagraph"/>
              <w:numPr>
                <w:ilvl w:val="0"/>
                <w:numId w:val="27"/>
              </w:numPr>
              <w:spacing w:after="20" w:line="240" w:lineRule="auto"/>
              <w:ind w:left="714" w:hanging="357"/>
              <w:rPr>
                <w:rFonts w:cs="Arial"/>
                <w:sz w:val="20"/>
                <w:szCs w:val="20"/>
              </w:rPr>
            </w:pPr>
            <w:r w:rsidRPr="00D23CF4">
              <w:rPr>
                <w:rFonts w:cs="Arial"/>
                <w:sz w:val="20"/>
                <w:szCs w:val="20"/>
              </w:rPr>
              <w:t xml:space="preserve">The organisation’s actions and their effectiveness are regularly evaluated against a set of well-defined indicators and based on reliable and trusted data. Reports are available to both internal and external stakeholders.  </w:t>
            </w:r>
          </w:p>
          <w:p w:rsidR="00D23CF4" w:rsidRPr="00D23CF4" w:rsidRDefault="00D23CF4" w:rsidP="00E65120">
            <w:pPr>
              <w:pStyle w:val="ListParagraph"/>
              <w:numPr>
                <w:ilvl w:val="0"/>
                <w:numId w:val="27"/>
              </w:numPr>
              <w:spacing w:after="20" w:line="240" w:lineRule="auto"/>
              <w:ind w:left="714" w:hanging="357"/>
              <w:rPr>
                <w:rFonts w:cs="Arial"/>
                <w:sz w:val="20"/>
                <w:szCs w:val="20"/>
              </w:rPr>
            </w:pPr>
            <w:r w:rsidRPr="00D23CF4">
              <w:rPr>
                <w:rFonts w:cs="Arial"/>
                <w:sz w:val="20"/>
                <w:szCs w:val="20"/>
              </w:rPr>
              <w:t>The organisation actively contributes to the continuous improvement of regulatory frameworks.</w:t>
            </w:r>
          </w:p>
        </w:tc>
      </w:tr>
    </w:tbl>
    <w:p w:rsidR="00913A4E" w:rsidRDefault="00913A4E" w:rsidP="00275F3E">
      <w:pPr>
        <w:jc w:val="center"/>
        <w:rPr>
          <w:rFonts w:cs="Arial"/>
          <w:b/>
          <w:caps/>
          <w:color w:val="0B5294" w:themeColor="accent1" w:themeShade="BF"/>
          <w:sz w:val="28"/>
          <w:szCs w:val="28"/>
        </w:rPr>
      </w:pPr>
    </w:p>
    <w:p w:rsidR="00D23CF4" w:rsidRPr="00BA2499" w:rsidRDefault="003A5915" w:rsidP="00275F3E">
      <w:pPr>
        <w:jc w:val="center"/>
        <w:rPr>
          <w:rFonts w:cs="Arial"/>
          <w:b/>
          <w:caps/>
          <w:color w:val="0B5294" w:themeColor="accent1" w:themeShade="BF"/>
          <w:sz w:val="28"/>
          <w:szCs w:val="28"/>
        </w:rPr>
      </w:pPr>
      <w:r w:rsidRPr="00BA2499">
        <w:rPr>
          <w:rFonts w:cs="Arial"/>
          <w:b/>
          <w:caps/>
          <w:color w:val="0B5294" w:themeColor="accent1" w:themeShade="BF"/>
          <w:sz w:val="28"/>
          <w:szCs w:val="28"/>
        </w:rPr>
        <w:t xml:space="preserve">B: </w:t>
      </w:r>
      <w:r w:rsidR="00D23CF4" w:rsidRPr="00BA2499">
        <w:rPr>
          <w:rFonts w:cs="Arial"/>
          <w:b/>
          <w:caps/>
          <w:color w:val="0B5294" w:themeColor="accent1" w:themeShade="BF"/>
          <w:sz w:val="28"/>
          <w:szCs w:val="28"/>
        </w:rPr>
        <w:t>Principles of Operational Best Practice</w:t>
      </w:r>
    </w:p>
    <w:tbl>
      <w:tblPr>
        <w:tblStyle w:val="TableGrid"/>
        <w:tblW w:w="0" w:type="auto"/>
        <w:tblBorders>
          <w:insideV w:val="none" w:sz="0" w:space="0" w:color="auto"/>
        </w:tblBorders>
        <w:tblLook w:val="04A0" w:firstRow="1" w:lastRow="0" w:firstColumn="1" w:lastColumn="0" w:noHBand="0" w:noVBand="1"/>
      </w:tblPr>
      <w:tblGrid>
        <w:gridCol w:w="2093"/>
        <w:gridCol w:w="7335"/>
      </w:tblGrid>
      <w:tr w:rsidR="00D23CF4" w:rsidRPr="00D23CF4" w:rsidTr="00D23CF4">
        <w:trPr>
          <w:cnfStyle w:val="100000000000" w:firstRow="1" w:lastRow="0" w:firstColumn="0" w:lastColumn="0" w:oddVBand="0" w:evenVBand="0" w:oddHBand="0" w:evenHBand="0" w:firstRowFirstColumn="0" w:firstRowLastColumn="0" w:lastRowFirstColumn="0" w:lastRowLastColumn="0"/>
        </w:trPr>
        <w:tc>
          <w:tcPr>
            <w:tcW w:w="2093" w:type="dxa"/>
          </w:tcPr>
          <w:p w:rsidR="00D23CF4" w:rsidRPr="00D10CBC" w:rsidRDefault="00D23CF4" w:rsidP="00D23CF4">
            <w:pPr>
              <w:rPr>
                <w:rFonts w:cs="Arial"/>
                <w:b/>
                <w:color w:val="0B5294" w:themeColor="accent1" w:themeShade="BF"/>
                <w:sz w:val="20"/>
                <w:szCs w:val="20"/>
              </w:rPr>
            </w:pPr>
            <w:r w:rsidRPr="00D10CBC">
              <w:rPr>
                <w:rFonts w:cs="Arial"/>
                <w:b/>
                <w:color w:val="0B5294" w:themeColor="accent1" w:themeShade="BF"/>
                <w:sz w:val="20"/>
                <w:szCs w:val="20"/>
              </w:rPr>
              <w:t>Advice</w:t>
            </w:r>
            <w:r w:rsidR="00A6701B">
              <w:rPr>
                <w:rFonts w:cs="Arial"/>
                <w:b/>
                <w:color w:val="0B5294" w:themeColor="accent1" w:themeShade="BF"/>
                <w:sz w:val="20"/>
                <w:szCs w:val="20"/>
              </w:rPr>
              <w:t xml:space="preserve"> and </w:t>
            </w:r>
            <w:r w:rsidRPr="00D10CBC">
              <w:rPr>
                <w:rFonts w:cs="Arial"/>
                <w:b/>
                <w:color w:val="0B5294" w:themeColor="accent1" w:themeShade="BF"/>
                <w:sz w:val="20"/>
                <w:szCs w:val="20"/>
              </w:rPr>
              <w:t>Guidance</w:t>
            </w:r>
          </w:p>
        </w:tc>
        <w:tc>
          <w:tcPr>
            <w:tcW w:w="7335" w:type="dxa"/>
          </w:tcPr>
          <w:p w:rsidR="00D23CF4" w:rsidRPr="00D23CF4" w:rsidRDefault="00D23CF4" w:rsidP="00E65120">
            <w:pPr>
              <w:pStyle w:val="ListParagraph"/>
              <w:numPr>
                <w:ilvl w:val="0"/>
                <w:numId w:val="27"/>
              </w:numPr>
              <w:spacing w:after="20" w:line="240" w:lineRule="auto"/>
              <w:ind w:left="714" w:hanging="357"/>
              <w:rPr>
                <w:rFonts w:cs="Arial"/>
                <w:sz w:val="20"/>
                <w:szCs w:val="20"/>
              </w:rPr>
            </w:pPr>
            <w:r w:rsidRPr="00D23CF4">
              <w:rPr>
                <w:rFonts w:cs="Arial"/>
                <w:sz w:val="20"/>
                <w:szCs w:val="20"/>
              </w:rPr>
              <w:t>Tailored guidance and advice is provided where appropriate and cost-effective. Advice and guidance services take into account business size and industry.</w:t>
            </w:r>
          </w:p>
          <w:p w:rsidR="00D23CF4" w:rsidRPr="00D23CF4" w:rsidRDefault="00D23CF4" w:rsidP="00E65120">
            <w:pPr>
              <w:pStyle w:val="ListParagraph"/>
              <w:numPr>
                <w:ilvl w:val="0"/>
                <w:numId w:val="27"/>
              </w:numPr>
              <w:spacing w:after="20" w:line="240" w:lineRule="auto"/>
              <w:ind w:left="714" w:hanging="357"/>
              <w:rPr>
                <w:rFonts w:cs="Arial"/>
                <w:sz w:val="20"/>
                <w:szCs w:val="20"/>
              </w:rPr>
            </w:pPr>
            <w:r w:rsidRPr="00D23CF4">
              <w:rPr>
                <w:rFonts w:cs="Arial"/>
                <w:sz w:val="20"/>
                <w:szCs w:val="20"/>
              </w:rPr>
              <w:t>Transparency and compliance is promoted through the appropriate use of instruments including toolkits and checklists (including self-check tools).</w:t>
            </w:r>
          </w:p>
          <w:p w:rsidR="00D23CF4" w:rsidRPr="00D23CF4" w:rsidRDefault="00D23CF4" w:rsidP="00E65120">
            <w:pPr>
              <w:pStyle w:val="ListParagraph"/>
              <w:numPr>
                <w:ilvl w:val="0"/>
                <w:numId w:val="27"/>
              </w:numPr>
              <w:spacing w:after="20" w:line="240" w:lineRule="auto"/>
              <w:ind w:left="714" w:hanging="357"/>
              <w:rPr>
                <w:rFonts w:cs="Arial"/>
                <w:sz w:val="20"/>
                <w:szCs w:val="20"/>
              </w:rPr>
            </w:pPr>
            <w:r w:rsidRPr="00D23CF4">
              <w:rPr>
                <w:rFonts w:cs="Arial"/>
                <w:sz w:val="20"/>
                <w:szCs w:val="20"/>
              </w:rPr>
              <w:t xml:space="preserve">Advice, policies and guidance is widely available, accessible, clearly communicated, consistent and two-way engagement is promoted and harnessed.  </w:t>
            </w:r>
          </w:p>
        </w:tc>
      </w:tr>
      <w:tr w:rsidR="00D23CF4" w:rsidRPr="00D23CF4" w:rsidTr="00D23CF4">
        <w:trPr>
          <w:cnfStyle w:val="000000100000" w:firstRow="0" w:lastRow="0" w:firstColumn="0" w:lastColumn="0" w:oddVBand="0" w:evenVBand="0" w:oddHBand="1" w:evenHBand="0" w:firstRowFirstColumn="0" w:firstRowLastColumn="0" w:lastRowFirstColumn="0" w:lastRowLastColumn="0"/>
        </w:trPr>
        <w:tc>
          <w:tcPr>
            <w:tcW w:w="2093" w:type="dxa"/>
          </w:tcPr>
          <w:p w:rsidR="00D23CF4" w:rsidRPr="00D10CBC" w:rsidRDefault="00D23CF4" w:rsidP="00D23CF4">
            <w:pPr>
              <w:rPr>
                <w:rFonts w:cs="Arial"/>
                <w:b/>
                <w:color w:val="0B5294" w:themeColor="accent1" w:themeShade="BF"/>
                <w:sz w:val="20"/>
                <w:szCs w:val="20"/>
              </w:rPr>
            </w:pPr>
            <w:r w:rsidRPr="00D10CBC">
              <w:rPr>
                <w:rFonts w:cs="Arial"/>
                <w:b/>
                <w:color w:val="0B5294" w:themeColor="accent1" w:themeShade="BF"/>
                <w:sz w:val="20"/>
                <w:szCs w:val="20"/>
              </w:rPr>
              <w:t>Licensing &amp; Approvals</w:t>
            </w:r>
          </w:p>
        </w:tc>
        <w:tc>
          <w:tcPr>
            <w:tcW w:w="7335" w:type="dxa"/>
          </w:tcPr>
          <w:p w:rsidR="00D23CF4" w:rsidRPr="00D23CF4" w:rsidRDefault="00D23CF4" w:rsidP="00E65120">
            <w:pPr>
              <w:pStyle w:val="ListParagraph"/>
              <w:numPr>
                <w:ilvl w:val="0"/>
                <w:numId w:val="27"/>
              </w:numPr>
              <w:spacing w:after="20" w:line="240" w:lineRule="auto"/>
              <w:ind w:left="714" w:hanging="357"/>
              <w:rPr>
                <w:rFonts w:cs="Arial"/>
                <w:sz w:val="20"/>
                <w:szCs w:val="20"/>
              </w:rPr>
            </w:pPr>
            <w:r w:rsidRPr="00D23CF4">
              <w:rPr>
                <w:rFonts w:cs="Arial"/>
                <w:sz w:val="20"/>
                <w:szCs w:val="20"/>
              </w:rPr>
              <w:t>Licensing, registration, and other processes and requirements are simple and streamlined. There are a range of options for businesses to submit applications and provide data, at minimum cost to the applicant and regulator.</w:t>
            </w:r>
          </w:p>
          <w:p w:rsidR="00D23CF4" w:rsidRPr="00D23CF4" w:rsidRDefault="00D23CF4" w:rsidP="00E65120">
            <w:pPr>
              <w:pStyle w:val="ListParagraph"/>
              <w:numPr>
                <w:ilvl w:val="0"/>
                <w:numId w:val="27"/>
              </w:numPr>
              <w:spacing w:after="20" w:line="240" w:lineRule="auto"/>
              <w:ind w:left="714" w:hanging="357"/>
              <w:rPr>
                <w:rFonts w:cs="Arial"/>
                <w:sz w:val="20"/>
                <w:szCs w:val="20"/>
              </w:rPr>
            </w:pPr>
            <w:r w:rsidRPr="00D23CF4">
              <w:rPr>
                <w:rFonts w:cs="Arial"/>
                <w:sz w:val="20"/>
                <w:szCs w:val="20"/>
              </w:rPr>
              <w:t xml:space="preserve">Policies and guidance - including decision timelines, eligibility and assessment criteria - are provided to applicants. </w:t>
            </w:r>
          </w:p>
          <w:p w:rsidR="00D23CF4" w:rsidRPr="00D23CF4" w:rsidRDefault="00D23CF4" w:rsidP="00E65120">
            <w:pPr>
              <w:pStyle w:val="ListParagraph"/>
              <w:numPr>
                <w:ilvl w:val="0"/>
                <w:numId w:val="27"/>
              </w:numPr>
              <w:spacing w:after="20" w:line="240" w:lineRule="auto"/>
              <w:ind w:left="714" w:hanging="357"/>
              <w:rPr>
                <w:rFonts w:cs="Arial"/>
                <w:sz w:val="20"/>
                <w:szCs w:val="20"/>
              </w:rPr>
            </w:pPr>
            <w:r w:rsidRPr="00D23CF4">
              <w:rPr>
                <w:rFonts w:cs="Arial"/>
                <w:sz w:val="20"/>
                <w:szCs w:val="20"/>
              </w:rPr>
              <w:t>Applicants are provided with full-documented decisions that state the reasons for the decision and any conditions imposed. Advice is provided about relevant review or appeal mechanisms, where appropriate.</w:t>
            </w:r>
          </w:p>
          <w:p w:rsidR="00D23CF4" w:rsidRPr="00D23CF4" w:rsidRDefault="00D23CF4" w:rsidP="00E65120">
            <w:pPr>
              <w:pStyle w:val="ListParagraph"/>
              <w:numPr>
                <w:ilvl w:val="0"/>
                <w:numId w:val="27"/>
              </w:numPr>
              <w:spacing w:after="20" w:line="240" w:lineRule="auto"/>
              <w:ind w:left="714" w:hanging="357"/>
              <w:rPr>
                <w:rFonts w:cs="Arial"/>
                <w:sz w:val="20"/>
                <w:szCs w:val="20"/>
              </w:rPr>
            </w:pPr>
            <w:r w:rsidRPr="00D23CF4">
              <w:rPr>
                <w:rFonts w:cs="Arial"/>
                <w:sz w:val="20"/>
                <w:szCs w:val="20"/>
              </w:rPr>
              <w:t>There are internal quality control and review processes, and officers assessing applications have the required knowledge, skills and experience to do so.</w:t>
            </w:r>
          </w:p>
        </w:tc>
      </w:tr>
      <w:tr w:rsidR="00D23CF4" w:rsidRPr="00D23CF4" w:rsidTr="00D23CF4">
        <w:trPr>
          <w:cnfStyle w:val="000000010000" w:firstRow="0" w:lastRow="0" w:firstColumn="0" w:lastColumn="0" w:oddVBand="0" w:evenVBand="0" w:oddHBand="0" w:evenHBand="1" w:firstRowFirstColumn="0" w:firstRowLastColumn="0" w:lastRowFirstColumn="0" w:lastRowLastColumn="0"/>
        </w:trPr>
        <w:tc>
          <w:tcPr>
            <w:tcW w:w="2093" w:type="dxa"/>
          </w:tcPr>
          <w:p w:rsidR="00D23CF4" w:rsidRPr="00D10CBC" w:rsidRDefault="00D23CF4" w:rsidP="00D23CF4">
            <w:pPr>
              <w:rPr>
                <w:rFonts w:cs="Arial"/>
                <w:b/>
                <w:color w:val="0B5294" w:themeColor="accent1" w:themeShade="BF"/>
                <w:sz w:val="20"/>
                <w:szCs w:val="20"/>
              </w:rPr>
            </w:pPr>
            <w:r w:rsidRPr="00D10CBC">
              <w:rPr>
                <w:rFonts w:cs="Arial"/>
                <w:b/>
                <w:color w:val="0B5294" w:themeColor="accent1" w:themeShade="BF"/>
                <w:sz w:val="20"/>
                <w:szCs w:val="20"/>
              </w:rPr>
              <w:t>Monitoring &amp; Compliance</w:t>
            </w:r>
          </w:p>
        </w:tc>
        <w:tc>
          <w:tcPr>
            <w:tcW w:w="7335" w:type="dxa"/>
          </w:tcPr>
          <w:p w:rsidR="00D23CF4" w:rsidRPr="00D23CF4" w:rsidRDefault="00D23CF4" w:rsidP="00E65120">
            <w:pPr>
              <w:pStyle w:val="ListParagraph"/>
              <w:numPr>
                <w:ilvl w:val="0"/>
                <w:numId w:val="27"/>
              </w:numPr>
              <w:spacing w:after="20" w:line="240" w:lineRule="auto"/>
              <w:ind w:left="714" w:hanging="357"/>
              <w:rPr>
                <w:rFonts w:cs="Arial"/>
                <w:sz w:val="20"/>
                <w:szCs w:val="20"/>
              </w:rPr>
            </w:pPr>
            <w:r w:rsidRPr="00D23CF4">
              <w:rPr>
                <w:rFonts w:cs="Arial"/>
                <w:sz w:val="20"/>
                <w:szCs w:val="20"/>
              </w:rPr>
              <w:t>A risk-based and proportionate approach to monitoring and compliance is applied and takes into account the circumstance and operational needs of the regulated entity.</w:t>
            </w:r>
          </w:p>
          <w:p w:rsidR="00D23CF4" w:rsidRPr="00D23CF4" w:rsidRDefault="00D23CF4" w:rsidP="00E65120">
            <w:pPr>
              <w:pStyle w:val="ListParagraph"/>
              <w:numPr>
                <w:ilvl w:val="0"/>
                <w:numId w:val="27"/>
              </w:numPr>
              <w:spacing w:after="20" w:line="240" w:lineRule="auto"/>
              <w:ind w:left="714" w:hanging="357"/>
              <w:rPr>
                <w:rFonts w:cs="Arial"/>
                <w:sz w:val="20"/>
                <w:szCs w:val="20"/>
              </w:rPr>
            </w:pPr>
            <w:r w:rsidRPr="00D23CF4">
              <w:rPr>
                <w:rFonts w:cs="Arial"/>
                <w:sz w:val="20"/>
                <w:szCs w:val="20"/>
              </w:rPr>
              <w:lastRenderedPageBreak/>
              <w:t xml:space="preserve">The organisation endeavours to communicate with regulated entities, where appropriate, such as prior to inspections and providing feedback. </w:t>
            </w:r>
          </w:p>
          <w:p w:rsidR="00D23CF4" w:rsidRPr="00D23CF4" w:rsidRDefault="00D23CF4" w:rsidP="00E65120">
            <w:pPr>
              <w:pStyle w:val="ListParagraph"/>
              <w:numPr>
                <w:ilvl w:val="0"/>
                <w:numId w:val="27"/>
              </w:numPr>
              <w:spacing w:after="20" w:line="240" w:lineRule="auto"/>
              <w:ind w:left="714" w:hanging="357"/>
              <w:rPr>
                <w:rFonts w:cs="Arial"/>
                <w:sz w:val="20"/>
                <w:szCs w:val="20"/>
              </w:rPr>
            </w:pPr>
            <w:r w:rsidRPr="00D23CF4">
              <w:rPr>
                <w:rFonts w:cs="Arial"/>
                <w:sz w:val="20"/>
                <w:szCs w:val="20"/>
              </w:rPr>
              <w:t xml:space="preserve">The organisation allows businesses flexibility in how they meet their obligations, encourages self-regulation, utilises joint or coordinated inspections with other regulators and allows for a range of regulatory responses. </w:t>
            </w:r>
          </w:p>
          <w:p w:rsidR="00D23CF4" w:rsidRPr="00D23CF4" w:rsidRDefault="00D23CF4" w:rsidP="00E65120">
            <w:pPr>
              <w:pStyle w:val="ListParagraph"/>
              <w:numPr>
                <w:ilvl w:val="0"/>
                <w:numId w:val="27"/>
              </w:numPr>
              <w:spacing w:after="20" w:line="240" w:lineRule="auto"/>
              <w:ind w:left="714" w:hanging="357"/>
              <w:rPr>
                <w:rFonts w:cs="Arial"/>
                <w:sz w:val="20"/>
                <w:szCs w:val="20"/>
              </w:rPr>
            </w:pPr>
            <w:r w:rsidRPr="00D23CF4">
              <w:rPr>
                <w:rFonts w:cs="Arial"/>
                <w:sz w:val="20"/>
                <w:szCs w:val="20"/>
              </w:rPr>
              <w:t>Positive incentives, cooperation from industry groups, and other means to encourage compliance are regularly used.</w:t>
            </w:r>
          </w:p>
          <w:p w:rsidR="00D23CF4" w:rsidRPr="00D23CF4" w:rsidRDefault="00D23CF4" w:rsidP="00E65120">
            <w:pPr>
              <w:pStyle w:val="ListParagraph"/>
              <w:numPr>
                <w:ilvl w:val="0"/>
                <w:numId w:val="27"/>
              </w:numPr>
              <w:spacing w:after="20" w:line="240" w:lineRule="auto"/>
              <w:ind w:left="714" w:hanging="357"/>
              <w:rPr>
                <w:rFonts w:cs="Arial"/>
                <w:sz w:val="20"/>
                <w:szCs w:val="20"/>
              </w:rPr>
            </w:pPr>
            <w:r w:rsidRPr="00D23CF4">
              <w:rPr>
                <w:rFonts w:cs="Arial"/>
                <w:sz w:val="20"/>
                <w:szCs w:val="20"/>
              </w:rPr>
              <w:t>The frequency of information collection is minimised and coordinated. Information requests are tailored and only made when necessary to secure regulatory objectives.</w:t>
            </w:r>
          </w:p>
          <w:p w:rsidR="00D23CF4" w:rsidRPr="00D23CF4" w:rsidRDefault="00D23CF4" w:rsidP="00E65120">
            <w:pPr>
              <w:pStyle w:val="ListParagraph"/>
              <w:numPr>
                <w:ilvl w:val="0"/>
                <w:numId w:val="27"/>
              </w:numPr>
              <w:spacing w:after="20" w:line="240" w:lineRule="auto"/>
              <w:ind w:left="714" w:hanging="357"/>
              <w:rPr>
                <w:rFonts w:cs="Arial"/>
                <w:sz w:val="20"/>
                <w:szCs w:val="20"/>
              </w:rPr>
            </w:pPr>
            <w:r w:rsidRPr="00D23CF4">
              <w:rPr>
                <w:rFonts w:cs="Arial"/>
                <w:sz w:val="20"/>
                <w:szCs w:val="20"/>
              </w:rPr>
              <w:t>Policies and practices for inspections and enforcement respect the legitimate rights of those subject to the enforcement, are designed to maximise the net public benefits through compliance and enforcement and avoid unnecessary burdens on those subject to inspections.</w:t>
            </w:r>
          </w:p>
          <w:p w:rsidR="00D23CF4" w:rsidRPr="00D23CF4" w:rsidRDefault="00D23CF4" w:rsidP="00E65120">
            <w:pPr>
              <w:pStyle w:val="ListBullet"/>
              <w:numPr>
                <w:ilvl w:val="0"/>
                <w:numId w:val="27"/>
              </w:numPr>
              <w:rPr>
                <w:rFonts w:cs="Arial"/>
                <w:sz w:val="20"/>
                <w:szCs w:val="20"/>
              </w:rPr>
            </w:pPr>
            <w:r w:rsidRPr="00D23CF4">
              <w:rPr>
                <w:rFonts w:cs="Arial"/>
                <w:sz w:val="20"/>
                <w:szCs w:val="20"/>
              </w:rPr>
              <w:t xml:space="preserve">The organisation has a risk-based compliance monitoring strategy which includes the types of activities to be undertaken, the reasons for their selection, and the frequency of activities.  </w:t>
            </w:r>
          </w:p>
        </w:tc>
      </w:tr>
      <w:tr w:rsidR="00D23CF4" w:rsidRPr="00D23CF4" w:rsidTr="00D23CF4">
        <w:trPr>
          <w:cnfStyle w:val="000000100000" w:firstRow="0" w:lastRow="0" w:firstColumn="0" w:lastColumn="0" w:oddVBand="0" w:evenVBand="0" w:oddHBand="1" w:evenHBand="0" w:firstRowFirstColumn="0" w:firstRowLastColumn="0" w:lastRowFirstColumn="0" w:lastRowLastColumn="0"/>
        </w:trPr>
        <w:tc>
          <w:tcPr>
            <w:tcW w:w="2093" w:type="dxa"/>
          </w:tcPr>
          <w:p w:rsidR="00D23CF4" w:rsidRPr="00D10CBC" w:rsidRDefault="00D23CF4" w:rsidP="00D23CF4">
            <w:pPr>
              <w:rPr>
                <w:rFonts w:cs="Arial"/>
                <w:b/>
                <w:color w:val="0B5294" w:themeColor="accent1" w:themeShade="BF"/>
                <w:sz w:val="20"/>
                <w:szCs w:val="20"/>
              </w:rPr>
            </w:pPr>
            <w:r w:rsidRPr="00D10CBC">
              <w:rPr>
                <w:rFonts w:cs="Arial"/>
                <w:b/>
                <w:color w:val="0B5294" w:themeColor="accent1" w:themeShade="BF"/>
                <w:sz w:val="20"/>
                <w:szCs w:val="20"/>
              </w:rPr>
              <w:lastRenderedPageBreak/>
              <w:t>Enforcement</w:t>
            </w:r>
          </w:p>
        </w:tc>
        <w:tc>
          <w:tcPr>
            <w:tcW w:w="7335" w:type="dxa"/>
          </w:tcPr>
          <w:p w:rsidR="00D23CF4" w:rsidRPr="00D23CF4" w:rsidRDefault="00D23CF4" w:rsidP="00E65120">
            <w:pPr>
              <w:pStyle w:val="ListParagraph"/>
              <w:numPr>
                <w:ilvl w:val="0"/>
                <w:numId w:val="27"/>
              </w:numPr>
              <w:spacing w:after="20" w:line="240" w:lineRule="auto"/>
              <w:ind w:left="714" w:hanging="357"/>
              <w:rPr>
                <w:rFonts w:cs="Arial"/>
                <w:sz w:val="20"/>
                <w:szCs w:val="20"/>
              </w:rPr>
            </w:pPr>
            <w:r w:rsidRPr="00D23CF4">
              <w:rPr>
                <w:rFonts w:cs="Arial"/>
                <w:sz w:val="20"/>
                <w:szCs w:val="20"/>
              </w:rPr>
              <w:t>A consistent, risk-based, graduated approach is used with tools that are suitable and proportionate to different types of non-compliance in accordance with published enforcement guidance.</w:t>
            </w:r>
          </w:p>
          <w:p w:rsidR="00D23CF4" w:rsidRPr="00D23CF4" w:rsidRDefault="00D23CF4" w:rsidP="00E65120">
            <w:pPr>
              <w:pStyle w:val="ListParagraph"/>
              <w:numPr>
                <w:ilvl w:val="0"/>
                <w:numId w:val="27"/>
              </w:numPr>
              <w:spacing w:after="20" w:line="240" w:lineRule="auto"/>
              <w:ind w:left="714" w:hanging="357"/>
              <w:rPr>
                <w:rFonts w:cs="Arial"/>
                <w:sz w:val="20"/>
                <w:szCs w:val="20"/>
              </w:rPr>
            </w:pPr>
            <w:r w:rsidRPr="00D23CF4">
              <w:rPr>
                <w:rFonts w:cs="Arial"/>
                <w:sz w:val="20"/>
                <w:szCs w:val="20"/>
              </w:rPr>
              <w:t>The organisation makes businesses aware of the reasons why enforcement action is necessary and ensures they understand what is expected of them.</w:t>
            </w:r>
          </w:p>
          <w:p w:rsidR="00D23CF4" w:rsidRPr="00D23CF4" w:rsidRDefault="00D23CF4" w:rsidP="00E65120">
            <w:pPr>
              <w:pStyle w:val="ListParagraph"/>
              <w:numPr>
                <w:ilvl w:val="0"/>
                <w:numId w:val="27"/>
              </w:numPr>
              <w:spacing w:after="20" w:line="240" w:lineRule="auto"/>
              <w:ind w:left="714" w:hanging="357"/>
              <w:rPr>
                <w:rFonts w:cs="Arial"/>
                <w:sz w:val="20"/>
                <w:szCs w:val="20"/>
              </w:rPr>
            </w:pPr>
            <w:r w:rsidRPr="00D23CF4">
              <w:rPr>
                <w:rFonts w:cs="Arial"/>
                <w:sz w:val="20"/>
                <w:szCs w:val="20"/>
              </w:rPr>
              <w:t>Regulatory enforcement is evidence-based and is evaluated regularly.</w:t>
            </w:r>
          </w:p>
          <w:p w:rsidR="00D23CF4" w:rsidRPr="00D23CF4" w:rsidRDefault="00D23CF4" w:rsidP="00E65120">
            <w:pPr>
              <w:pStyle w:val="ListParagraph"/>
              <w:numPr>
                <w:ilvl w:val="0"/>
                <w:numId w:val="27"/>
              </w:numPr>
              <w:spacing w:after="20" w:line="240" w:lineRule="auto"/>
              <w:ind w:left="714" w:hanging="357"/>
              <w:rPr>
                <w:rFonts w:cs="Arial"/>
                <w:sz w:val="20"/>
                <w:szCs w:val="20"/>
              </w:rPr>
            </w:pPr>
            <w:r w:rsidRPr="00D23CF4">
              <w:rPr>
                <w:rFonts w:cs="Arial"/>
                <w:sz w:val="20"/>
                <w:szCs w:val="20"/>
              </w:rPr>
              <w:t>The frequency of inspections and the resources employed are proportional to the level of risk; enforcement actions aim to reduce the actual risk posed by infractions.</w:t>
            </w:r>
          </w:p>
        </w:tc>
      </w:tr>
    </w:tbl>
    <w:p w:rsidR="00D23CF4" w:rsidRDefault="00D23CF4" w:rsidP="00D23CF4"/>
    <w:p w:rsidR="00D23CF4" w:rsidRDefault="00D23CF4" w:rsidP="00C95E78">
      <w:pPr>
        <w:pStyle w:val="Heading1"/>
        <w:spacing w:after="120"/>
        <w:jc w:val="center"/>
        <w:rPr>
          <w:b w:val="0"/>
          <w:color w:val="0B5294" w:themeColor="accent1" w:themeShade="BF"/>
          <w:sz w:val="44"/>
          <w:szCs w:val="44"/>
        </w:rPr>
      </w:pPr>
      <w:r>
        <w:br w:type="page"/>
      </w:r>
      <w:bookmarkStart w:id="83" w:name="_Toc443405209"/>
      <w:r w:rsidRPr="00C95E78">
        <w:rPr>
          <w:color w:val="0B5294" w:themeColor="accent1" w:themeShade="BF"/>
          <w:sz w:val="36"/>
          <w:szCs w:val="36"/>
        </w:rPr>
        <w:lastRenderedPageBreak/>
        <w:t>Appendix 4: List of Regulatory Tools</w:t>
      </w:r>
      <w:bookmarkEnd w:id="83"/>
    </w:p>
    <w:p w:rsidR="00D23CF4" w:rsidRPr="00BA2499" w:rsidRDefault="00D23CF4" w:rsidP="00D23CF4">
      <w:pPr>
        <w:jc w:val="center"/>
        <w:rPr>
          <w:rFonts w:cs="Arial"/>
          <w:b/>
          <w:caps/>
          <w:color w:val="0B5294" w:themeColor="accent1" w:themeShade="BF"/>
          <w:sz w:val="28"/>
          <w:szCs w:val="28"/>
        </w:rPr>
      </w:pPr>
      <w:r w:rsidRPr="00BA2499">
        <w:rPr>
          <w:rFonts w:cs="Arial"/>
          <w:b/>
          <w:caps/>
          <w:color w:val="0B5294" w:themeColor="accent1" w:themeShade="BF"/>
          <w:sz w:val="28"/>
          <w:szCs w:val="28"/>
        </w:rPr>
        <w:t>A. Examples of regulatory tools</w:t>
      </w:r>
    </w:p>
    <w:tbl>
      <w:tblPr>
        <w:tblStyle w:val="LightShading-Accent11"/>
        <w:tblW w:w="0" w:type="auto"/>
        <w:tblLook w:val="04A0" w:firstRow="1" w:lastRow="0" w:firstColumn="1" w:lastColumn="0" w:noHBand="0" w:noVBand="1"/>
      </w:tblPr>
      <w:tblGrid>
        <w:gridCol w:w="4621"/>
        <w:gridCol w:w="4621"/>
      </w:tblGrid>
      <w:tr w:rsidR="00D23CF4" w:rsidRPr="00A90DD1" w:rsidTr="00D23C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bottom w:val="nil"/>
            </w:tcBorders>
          </w:tcPr>
          <w:p w:rsidR="00D23CF4" w:rsidRPr="004D24C1" w:rsidRDefault="00D23CF4" w:rsidP="00D23CF4">
            <w:pPr>
              <w:spacing w:before="120" w:after="120"/>
              <w:rPr>
                <w:rFonts w:ascii="Arial" w:hAnsi="Arial" w:cs="Arial"/>
                <w:color w:val="auto"/>
              </w:rPr>
            </w:pPr>
            <w:r w:rsidRPr="004D24C1">
              <w:rPr>
                <w:rFonts w:ascii="Arial" w:hAnsi="Arial" w:cs="Arial"/>
                <w:color w:val="auto"/>
              </w:rPr>
              <w:t>Information</w:t>
            </w:r>
          </w:p>
          <w:p w:rsidR="00D23CF4" w:rsidRPr="004D24C1" w:rsidRDefault="00D23CF4" w:rsidP="00D23CF4">
            <w:pPr>
              <w:spacing w:before="120" w:after="120"/>
              <w:rPr>
                <w:rFonts w:ascii="Arial" w:hAnsi="Arial" w:cs="Arial"/>
                <w:b w:val="0"/>
                <w:color w:val="auto"/>
              </w:rPr>
            </w:pPr>
          </w:p>
        </w:tc>
        <w:tc>
          <w:tcPr>
            <w:tcW w:w="4621" w:type="dxa"/>
            <w:tcBorders>
              <w:bottom w:val="nil"/>
            </w:tcBorders>
          </w:tcPr>
          <w:p w:rsidR="00D23CF4" w:rsidRPr="004D24C1" w:rsidRDefault="006A5A65" w:rsidP="00D23CF4">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4D24C1">
              <w:rPr>
                <w:rFonts w:ascii="Arial" w:hAnsi="Arial" w:cs="Arial"/>
                <w:b w:val="0"/>
                <w:color w:val="auto"/>
              </w:rPr>
              <w:t xml:space="preserve">Information </w:t>
            </w:r>
            <w:r w:rsidR="00D23CF4" w:rsidRPr="004D24C1">
              <w:rPr>
                <w:rFonts w:ascii="Arial" w:hAnsi="Arial" w:cs="Arial"/>
                <w:b w:val="0"/>
                <w:color w:val="auto"/>
              </w:rPr>
              <w:t>campaigns</w:t>
            </w:r>
          </w:p>
          <w:p w:rsidR="00D23CF4" w:rsidRPr="004D24C1" w:rsidRDefault="00D23CF4" w:rsidP="00D23CF4">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4D24C1">
              <w:rPr>
                <w:rFonts w:ascii="Arial" w:hAnsi="Arial" w:cs="Arial"/>
                <w:b w:val="0"/>
                <w:color w:val="auto"/>
              </w:rPr>
              <w:t>Disclosure</w:t>
            </w:r>
          </w:p>
          <w:p w:rsidR="00D23CF4" w:rsidRPr="004D24C1" w:rsidRDefault="00D23CF4" w:rsidP="00D23CF4">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4D24C1">
              <w:rPr>
                <w:rFonts w:ascii="Arial" w:hAnsi="Arial" w:cs="Arial"/>
                <w:b w:val="0"/>
                <w:color w:val="auto"/>
              </w:rPr>
              <w:t>Performance indicators</w:t>
            </w:r>
          </w:p>
          <w:p w:rsidR="00D23CF4" w:rsidRPr="004D24C1" w:rsidRDefault="00D23CF4" w:rsidP="00D23CF4">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4D24C1">
              <w:rPr>
                <w:rFonts w:ascii="Arial" w:hAnsi="Arial" w:cs="Arial"/>
                <w:b w:val="0"/>
                <w:color w:val="auto"/>
              </w:rPr>
              <w:t>Capability, advice, attitude change</w:t>
            </w:r>
          </w:p>
          <w:p w:rsidR="00D23CF4" w:rsidRPr="004D24C1" w:rsidRDefault="00D23CF4" w:rsidP="00D23CF4">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4D24C1">
              <w:rPr>
                <w:rFonts w:ascii="Arial" w:hAnsi="Arial" w:cs="Arial"/>
                <w:b w:val="0"/>
                <w:color w:val="auto"/>
              </w:rPr>
              <w:t>Monitoring schemes</w:t>
            </w:r>
          </w:p>
          <w:p w:rsidR="00D23CF4" w:rsidRPr="004D24C1" w:rsidRDefault="00D23CF4" w:rsidP="00D23CF4">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4D24C1">
              <w:rPr>
                <w:rFonts w:ascii="Arial" w:hAnsi="Arial" w:cs="Arial"/>
                <w:b w:val="0"/>
                <w:color w:val="auto"/>
              </w:rPr>
              <w:t xml:space="preserve">Accreditation rating schemes </w:t>
            </w:r>
          </w:p>
          <w:p w:rsidR="00D23CF4" w:rsidRPr="004D24C1" w:rsidRDefault="00D23CF4" w:rsidP="00D23CF4">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4D24C1">
              <w:rPr>
                <w:rFonts w:ascii="Arial" w:hAnsi="Arial" w:cs="Arial"/>
                <w:b w:val="0"/>
                <w:color w:val="auto"/>
              </w:rPr>
              <w:t>Capability, advice, attitude change</w:t>
            </w:r>
          </w:p>
        </w:tc>
      </w:tr>
      <w:tr w:rsidR="00D23CF4" w:rsidRPr="00A90DD1" w:rsidTr="00D23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nil"/>
            </w:tcBorders>
          </w:tcPr>
          <w:p w:rsidR="00D23CF4" w:rsidRPr="004D24C1" w:rsidRDefault="00D23CF4" w:rsidP="00D23CF4">
            <w:pPr>
              <w:spacing w:before="120" w:after="120"/>
              <w:rPr>
                <w:rFonts w:ascii="Arial" w:hAnsi="Arial" w:cs="Arial"/>
                <w:color w:val="auto"/>
              </w:rPr>
            </w:pPr>
            <w:r w:rsidRPr="004D24C1">
              <w:rPr>
                <w:rFonts w:ascii="Arial" w:hAnsi="Arial" w:cs="Arial"/>
                <w:color w:val="auto"/>
              </w:rPr>
              <w:t>Assistance</w:t>
            </w:r>
          </w:p>
          <w:p w:rsidR="00D23CF4" w:rsidRPr="004D24C1" w:rsidRDefault="00D23CF4" w:rsidP="00D23CF4">
            <w:pPr>
              <w:spacing w:before="120" w:after="120"/>
              <w:rPr>
                <w:rFonts w:ascii="Arial" w:hAnsi="Arial" w:cs="Arial"/>
                <w:b w:val="0"/>
                <w:color w:val="auto"/>
              </w:rPr>
            </w:pPr>
          </w:p>
        </w:tc>
        <w:tc>
          <w:tcPr>
            <w:tcW w:w="4621" w:type="dxa"/>
            <w:tcBorders>
              <w:top w:val="nil"/>
            </w:tcBorders>
          </w:tcPr>
          <w:p w:rsidR="00D23CF4" w:rsidRPr="004D24C1" w:rsidRDefault="00D23CF4" w:rsidP="00D23CF4">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24C1">
              <w:rPr>
                <w:rFonts w:ascii="Arial" w:hAnsi="Arial" w:cs="Arial"/>
                <w:color w:val="auto"/>
              </w:rPr>
              <w:t>Subsidies</w:t>
            </w:r>
          </w:p>
          <w:p w:rsidR="00D23CF4" w:rsidRPr="004D24C1" w:rsidRDefault="00D23CF4" w:rsidP="00D23CF4">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24C1">
              <w:rPr>
                <w:rFonts w:ascii="Arial" w:hAnsi="Arial" w:cs="Arial"/>
                <w:color w:val="auto"/>
              </w:rPr>
              <w:t>Tax concessions</w:t>
            </w:r>
          </w:p>
          <w:p w:rsidR="00D23CF4" w:rsidRPr="004D24C1" w:rsidRDefault="00D23CF4" w:rsidP="00D23CF4">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24C1">
              <w:rPr>
                <w:rFonts w:ascii="Arial" w:hAnsi="Arial" w:cs="Arial"/>
                <w:color w:val="auto"/>
              </w:rPr>
              <w:t>Stewardship payments</w:t>
            </w:r>
          </w:p>
          <w:p w:rsidR="00D23CF4" w:rsidRPr="004D24C1" w:rsidRDefault="00D23CF4" w:rsidP="00D23CF4">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24C1">
              <w:rPr>
                <w:rFonts w:ascii="Arial" w:hAnsi="Arial" w:cs="Arial"/>
                <w:color w:val="auto"/>
              </w:rPr>
              <w:t>Grants and Procurement</w:t>
            </w:r>
          </w:p>
        </w:tc>
      </w:tr>
      <w:tr w:rsidR="00D23CF4" w:rsidRPr="00A90DD1" w:rsidTr="00D23CF4">
        <w:tc>
          <w:tcPr>
            <w:cnfStyle w:val="001000000000" w:firstRow="0" w:lastRow="0" w:firstColumn="1" w:lastColumn="0" w:oddVBand="0" w:evenVBand="0" w:oddHBand="0" w:evenHBand="0" w:firstRowFirstColumn="0" w:firstRowLastColumn="0" w:lastRowFirstColumn="0" w:lastRowLastColumn="0"/>
            <w:tcW w:w="4621" w:type="dxa"/>
          </w:tcPr>
          <w:p w:rsidR="00D23CF4" w:rsidRPr="004D24C1" w:rsidRDefault="00D23CF4" w:rsidP="00D23CF4">
            <w:pPr>
              <w:spacing w:before="120" w:after="120"/>
              <w:rPr>
                <w:rFonts w:ascii="Arial" w:hAnsi="Arial" w:cs="Arial"/>
                <w:color w:val="auto"/>
              </w:rPr>
            </w:pPr>
            <w:r w:rsidRPr="004D24C1">
              <w:rPr>
                <w:rFonts w:ascii="Arial" w:hAnsi="Arial" w:cs="Arial"/>
                <w:color w:val="auto"/>
              </w:rPr>
              <w:t xml:space="preserve">Regulation </w:t>
            </w:r>
          </w:p>
          <w:p w:rsidR="00D23CF4" w:rsidRPr="004D24C1" w:rsidRDefault="00D23CF4" w:rsidP="00D23CF4">
            <w:pPr>
              <w:spacing w:before="120" w:after="120"/>
              <w:rPr>
                <w:rFonts w:ascii="Arial" w:hAnsi="Arial" w:cs="Arial"/>
                <w:b w:val="0"/>
                <w:color w:val="auto"/>
              </w:rPr>
            </w:pPr>
          </w:p>
        </w:tc>
        <w:tc>
          <w:tcPr>
            <w:tcW w:w="4621" w:type="dxa"/>
          </w:tcPr>
          <w:p w:rsidR="00D23CF4" w:rsidRPr="004D24C1" w:rsidRDefault="00D23CF4" w:rsidP="00D23CF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D24C1">
              <w:rPr>
                <w:rFonts w:ascii="Arial" w:hAnsi="Arial" w:cs="Arial"/>
                <w:color w:val="auto"/>
              </w:rPr>
              <w:t>Removal of perverse incentives</w:t>
            </w:r>
          </w:p>
          <w:p w:rsidR="00D23CF4" w:rsidRPr="004D24C1" w:rsidRDefault="00D23CF4" w:rsidP="00D23CF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D24C1">
              <w:rPr>
                <w:rFonts w:ascii="Arial" w:hAnsi="Arial" w:cs="Arial"/>
                <w:color w:val="auto"/>
              </w:rPr>
              <w:t>Registration</w:t>
            </w:r>
          </w:p>
          <w:p w:rsidR="00D23CF4" w:rsidRPr="004D24C1" w:rsidRDefault="00D23CF4" w:rsidP="00D23CF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D24C1">
              <w:rPr>
                <w:rFonts w:ascii="Arial" w:hAnsi="Arial" w:cs="Arial"/>
                <w:color w:val="auto"/>
              </w:rPr>
              <w:t>Certification</w:t>
            </w:r>
          </w:p>
          <w:p w:rsidR="00D23CF4" w:rsidRPr="004D24C1" w:rsidRDefault="00D23CF4" w:rsidP="00D23CF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D24C1">
              <w:rPr>
                <w:rFonts w:ascii="Arial" w:hAnsi="Arial" w:cs="Arial"/>
                <w:color w:val="auto"/>
              </w:rPr>
              <w:t>Standards</w:t>
            </w:r>
          </w:p>
          <w:p w:rsidR="00D23CF4" w:rsidRPr="004D24C1" w:rsidRDefault="00D23CF4" w:rsidP="00D23CF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D24C1">
              <w:rPr>
                <w:rFonts w:ascii="Arial" w:hAnsi="Arial" w:cs="Arial"/>
                <w:color w:val="auto"/>
              </w:rPr>
              <w:t>Codes of conduct or practice</w:t>
            </w:r>
          </w:p>
          <w:p w:rsidR="00D23CF4" w:rsidRPr="004D24C1" w:rsidRDefault="00D23CF4" w:rsidP="00D23CF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D24C1">
              <w:rPr>
                <w:rFonts w:ascii="Arial" w:hAnsi="Arial" w:cs="Arial"/>
                <w:color w:val="auto"/>
              </w:rPr>
              <w:t xml:space="preserve">Guidelines, principles and policies </w:t>
            </w:r>
          </w:p>
          <w:p w:rsidR="00D23CF4" w:rsidRPr="004D24C1" w:rsidRDefault="00D23CF4" w:rsidP="00D23CF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D24C1">
              <w:rPr>
                <w:rFonts w:ascii="Arial" w:hAnsi="Arial" w:cs="Arial"/>
                <w:color w:val="auto"/>
              </w:rPr>
              <w:t xml:space="preserve">Covenants </w:t>
            </w:r>
          </w:p>
          <w:p w:rsidR="00D23CF4" w:rsidRPr="004D24C1" w:rsidRDefault="00D23CF4" w:rsidP="00D23CF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D24C1">
              <w:rPr>
                <w:rFonts w:ascii="Arial" w:hAnsi="Arial" w:cs="Arial"/>
                <w:color w:val="auto"/>
              </w:rPr>
              <w:t>Legal regulation</w:t>
            </w:r>
          </w:p>
          <w:p w:rsidR="00D23CF4" w:rsidRPr="004D24C1" w:rsidRDefault="00D23CF4" w:rsidP="00D23CF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D24C1">
              <w:rPr>
                <w:rFonts w:ascii="Arial" w:hAnsi="Arial" w:cs="Arial"/>
                <w:color w:val="auto"/>
              </w:rPr>
              <w:t>Conditional licensing</w:t>
            </w:r>
          </w:p>
          <w:p w:rsidR="00D23CF4" w:rsidRPr="004D24C1" w:rsidRDefault="00D23CF4" w:rsidP="00D23CF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D24C1">
              <w:rPr>
                <w:rFonts w:ascii="Arial" w:hAnsi="Arial" w:cs="Arial"/>
                <w:color w:val="auto"/>
              </w:rPr>
              <w:t>Permits</w:t>
            </w:r>
          </w:p>
          <w:p w:rsidR="00D23CF4" w:rsidRPr="004D24C1" w:rsidRDefault="00D23CF4" w:rsidP="00D23CF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D24C1">
              <w:rPr>
                <w:rFonts w:ascii="Arial" w:hAnsi="Arial" w:cs="Arial"/>
                <w:color w:val="auto"/>
              </w:rPr>
              <w:t>Prohibition</w:t>
            </w:r>
          </w:p>
          <w:p w:rsidR="00D23CF4" w:rsidRPr="004D24C1" w:rsidRDefault="00D23CF4" w:rsidP="00D23CF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D24C1">
              <w:rPr>
                <w:rFonts w:ascii="Arial" w:hAnsi="Arial" w:cs="Arial"/>
                <w:color w:val="auto"/>
              </w:rPr>
              <w:t xml:space="preserve">Legal sanctions </w:t>
            </w:r>
          </w:p>
        </w:tc>
      </w:tr>
      <w:tr w:rsidR="00D23CF4" w:rsidRPr="00A90DD1" w:rsidTr="00D23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23CF4" w:rsidRPr="004D24C1" w:rsidRDefault="00D23CF4" w:rsidP="00D23CF4">
            <w:pPr>
              <w:spacing w:before="120" w:after="120"/>
              <w:rPr>
                <w:rFonts w:ascii="Arial" w:hAnsi="Arial" w:cs="Arial"/>
                <w:color w:val="auto"/>
              </w:rPr>
            </w:pPr>
            <w:r w:rsidRPr="004D24C1">
              <w:rPr>
                <w:rFonts w:ascii="Arial" w:hAnsi="Arial" w:cs="Arial"/>
                <w:color w:val="auto"/>
              </w:rPr>
              <w:t xml:space="preserve">Market based </w:t>
            </w:r>
          </w:p>
          <w:p w:rsidR="00D23CF4" w:rsidRPr="004D24C1" w:rsidRDefault="00D23CF4" w:rsidP="00D23CF4">
            <w:pPr>
              <w:spacing w:before="120" w:after="120"/>
              <w:rPr>
                <w:rFonts w:ascii="Arial" w:hAnsi="Arial" w:cs="Arial"/>
                <w:b w:val="0"/>
                <w:color w:val="auto"/>
              </w:rPr>
            </w:pPr>
          </w:p>
        </w:tc>
        <w:tc>
          <w:tcPr>
            <w:tcW w:w="4621" w:type="dxa"/>
          </w:tcPr>
          <w:p w:rsidR="00D23CF4" w:rsidRPr="004D24C1" w:rsidRDefault="00D23CF4" w:rsidP="00D23CF4">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24C1">
              <w:rPr>
                <w:rFonts w:ascii="Arial" w:hAnsi="Arial" w:cs="Arial"/>
                <w:color w:val="auto"/>
              </w:rPr>
              <w:t xml:space="preserve">Emissions and effluent charges, taxes or levies </w:t>
            </w:r>
          </w:p>
          <w:p w:rsidR="00D23CF4" w:rsidRPr="004D24C1" w:rsidRDefault="00D23CF4" w:rsidP="00D23CF4">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24C1">
              <w:rPr>
                <w:rFonts w:ascii="Arial" w:hAnsi="Arial" w:cs="Arial"/>
                <w:color w:val="auto"/>
              </w:rPr>
              <w:t xml:space="preserve">Price regulation </w:t>
            </w:r>
          </w:p>
          <w:p w:rsidR="00D23CF4" w:rsidRPr="004D24C1" w:rsidRDefault="00D23CF4" w:rsidP="00D23CF4">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24C1">
              <w:rPr>
                <w:rFonts w:ascii="Arial" w:hAnsi="Arial" w:cs="Arial"/>
                <w:color w:val="auto"/>
              </w:rPr>
              <w:t>Product charges</w:t>
            </w:r>
          </w:p>
          <w:p w:rsidR="00D23CF4" w:rsidRPr="004D24C1" w:rsidRDefault="00D23CF4" w:rsidP="00D23CF4">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24C1">
              <w:rPr>
                <w:rFonts w:ascii="Arial" w:hAnsi="Arial" w:cs="Arial"/>
                <w:color w:val="auto"/>
              </w:rPr>
              <w:t>Clean up or restoration levies</w:t>
            </w:r>
          </w:p>
          <w:p w:rsidR="00D23CF4" w:rsidRPr="004D24C1" w:rsidRDefault="00D23CF4" w:rsidP="00D23CF4">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24C1">
              <w:rPr>
                <w:rFonts w:ascii="Arial" w:hAnsi="Arial" w:cs="Arial"/>
                <w:color w:val="auto"/>
              </w:rPr>
              <w:t>Performance bonds</w:t>
            </w:r>
          </w:p>
          <w:p w:rsidR="00D23CF4" w:rsidRPr="004D24C1" w:rsidRDefault="00D23CF4" w:rsidP="00D23CF4">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24C1">
              <w:rPr>
                <w:rFonts w:ascii="Arial" w:hAnsi="Arial" w:cs="Arial"/>
                <w:color w:val="auto"/>
              </w:rPr>
              <w:t>Tradeable quotas or permits</w:t>
            </w:r>
          </w:p>
          <w:p w:rsidR="00D23CF4" w:rsidRPr="004D24C1" w:rsidRDefault="00D23CF4" w:rsidP="00D23CF4">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D24C1">
              <w:rPr>
                <w:rFonts w:ascii="Arial" w:hAnsi="Arial" w:cs="Arial"/>
                <w:color w:val="auto"/>
              </w:rPr>
              <w:t>Other economic incentives</w:t>
            </w:r>
          </w:p>
        </w:tc>
      </w:tr>
    </w:tbl>
    <w:p w:rsidR="00BA2499" w:rsidRDefault="00BA2499" w:rsidP="00BA2499">
      <w:pPr>
        <w:rPr>
          <w:rFonts w:cs="Arial"/>
          <w:b/>
          <w:caps/>
          <w:color w:val="0B5294" w:themeColor="accent1" w:themeShade="BF"/>
          <w:sz w:val="28"/>
          <w:szCs w:val="28"/>
        </w:rPr>
      </w:pPr>
    </w:p>
    <w:p w:rsidR="00D23CF4" w:rsidRPr="00BA2499" w:rsidRDefault="00D23CF4" w:rsidP="00BA2499">
      <w:pPr>
        <w:jc w:val="center"/>
        <w:rPr>
          <w:rFonts w:cs="Arial"/>
          <w:b/>
          <w:caps/>
          <w:color w:val="0B5294" w:themeColor="accent1" w:themeShade="BF"/>
          <w:sz w:val="28"/>
          <w:szCs w:val="28"/>
        </w:rPr>
      </w:pPr>
      <w:r w:rsidRPr="00BA2499">
        <w:rPr>
          <w:rFonts w:cs="Arial"/>
          <w:b/>
          <w:caps/>
          <w:color w:val="0B5294" w:themeColor="accent1" w:themeShade="BF"/>
          <w:sz w:val="28"/>
          <w:szCs w:val="28"/>
        </w:rPr>
        <w:t>B. Examples of compliance tools</w:t>
      </w:r>
    </w:p>
    <w:tbl>
      <w:tblPr>
        <w:tblStyle w:val="LightShading-Accent11"/>
        <w:tblW w:w="0" w:type="auto"/>
        <w:tblLook w:val="04A0" w:firstRow="1" w:lastRow="0" w:firstColumn="1" w:lastColumn="0" w:noHBand="0" w:noVBand="1"/>
      </w:tblPr>
      <w:tblGrid>
        <w:gridCol w:w="9242"/>
      </w:tblGrid>
      <w:tr w:rsidR="00D23CF4" w:rsidTr="00D23C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Borders>
              <w:bottom w:val="nil"/>
            </w:tcBorders>
          </w:tcPr>
          <w:p w:rsidR="00D23CF4" w:rsidRPr="004D24C1" w:rsidRDefault="00D23CF4" w:rsidP="003A5915">
            <w:pPr>
              <w:spacing w:before="120" w:after="120"/>
              <w:rPr>
                <w:rFonts w:ascii="Arial" w:hAnsi="Arial" w:cs="Arial"/>
                <w:b w:val="0"/>
                <w:color w:val="auto"/>
              </w:rPr>
            </w:pPr>
            <w:r w:rsidRPr="004D24C1">
              <w:rPr>
                <w:rFonts w:ascii="Arial" w:hAnsi="Arial" w:cs="Arial"/>
                <w:b w:val="0"/>
                <w:color w:val="auto"/>
              </w:rPr>
              <w:t>Mandatory audits</w:t>
            </w:r>
          </w:p>
        </w:tc>
      </w:tr>
      <w:tr w:rsidR="00D23CF4" w:rsidTr="00D23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Borders>
              <w:bottom w:val="nil"/>
            </w:tcBorders>
          </w:tcPr>
          <w:p w:rsidR="00D23CF4" w:rsidRPr="004D24C1" w:rsidRDefault="00D23CF4" w:rsidP="00D23CF4">
            <w:pPr>
              <w:spacing w:before="120" w:after="120"/>
              <w:rPr>
                <w:rFonts w:ascii="Arial" w:hAnsi="Arial" w:cs="Arial"/>
                <w:b w:val="0"/>
                <w:color w:val="auto"/>
              </w:rPr>
            </w:pPr>
            <w:r w:rsidRPr="004D24C1">
              <w:rPr>
                <w:rFonts w:ascii="Arial" w:hAnsi="Arial" w:cs="Arial"/>
                <w:b w:val="0"/>
                <w:color w:val="auto"/>
              </w:rPr>
              <w:t>Compliance campaigns targeting specific industries, or geographical areas or activities.</w:t>
            </w:r>
          </w:p>
        </w:tc>
      </w:tr>
      <w:tr w:rsidR="00D23CF4" w:rsidTr="00D23CF4">
        <w:tc>
          <w:tcPr>
            <w:cnfStyle w:val="001000000000" w:firstRow="0" w:lastRow="0" w:firstColumn="1" w:lastColumn="0" w:oddVBand="0" w:evenVBand="0" w:oddHBand="0" w:evenHBand="0" w:firstRowFirstColumn="0" w:firstRowLastColumn="0" w:lastRowFirstColumn="0" w:lastRowLastColumn="0"/>
            <w:tcW w:w="9242" w:type="dxa"/>
            <w:tcBorders>
              <w:bottom w:val="nil"/>
            </w:tcBorders>
          </w:tcPr>
          <w:p w:rsidR="00D23CF4" w:rsidRPr="004D24C1" w:rsidRDefault="00D23CF4" w:rsidP="00D23CF4">
            <w:pPr>
              <w:spacing w:before="120" w:after="120"/>
              <w:rPr>
                <w:b w:val="0"/>
                <w:color w:val="auto"/>
              </w:rPr>
            </w:pPr>
            <w:r w:rsidRPr="004D24C1">
              <w:rPr>
                <w:rFonts w:ascii="Arial" w:hAnsi="Arial" w:cs="Arial"/>
                <w:b w:val="0"/>
                <w:color w:val="auto"/>
              </w:rPr>
              <w:t>Warnings and cautions</w:t>
            </w:r>
          </w:p>
        </w:tc>
      </w:tr>
      <w:tr w:rsidR="00D23CF4" w:rsidTr="00D23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Borders>
              <w:top w:val="nil"/>
            </w:tcBorders>
          </w:tcPr>
          <w:p w:rsidR="00D23CF4" w:rsidRPr="004D24C1" w:rsidRDefault="00D23CF4" w:rsidP="00D23CF4">
            <w:pPr>
              <w:spacing w:before="120" w:after="120"/>
              <w:rPr>
                <w:rFonts w:ascii="Arial" w:hAnsi="Arial" w:cs="Arial"/>
                <w:b w:val="0"/>
                <w:color w:val="auto"/>
              </w:rPr>
            </w:pPr>
            <w:r w:rsidRPr="004D24C1">
              <w:rPr>
                <w:rFonts w:ascii="Arial" w:hAnsi="Arial" w:cs="Arial"/>
                <w:b w:val="0"/>
                <w:color w:val="auto"/>
              </w:rPr>
              <w:t>Improvement / prohibition notices</w:t>
            </w:r>
          </w:p>
        </w:tc>
      </w:tr>
      <w:tr w:rsidR="00D23CF4" w:rsidTr="00D23CF4">
        <w:tc>
          <w:tcPr>
            <w:cnfStyle w:val="001000000000" w:firstRow="0" w:lastRow="0" w:firstColumn="1" w:lastColumn="0" w:oddVBand="0" w:evenVBand="0" w:oddHBand="0" w:evenHBand="0" w:firstRowFirstColumn="0" w:firstRowLastColumn="0" w:lastRowFirstColumn="0" w:lastRowLastColumn="0"/>
            <w:tcW w:w="9242" w:type="dxa"/>
          </w:tcPr>
          <w:p w:rsidR="00D23CF4" w:rsidRPr="004D24C1" w:rsidRDefault="00D23CF4" w:rsidP="00D23CF4">
            <w:pPr>
              <w:spacing w:before="120" w:after="120"/>
              <w:rPr>
                <w:rFonts w:ascii="Arial" w:hAnsi="Arial" w:cs="Arial"/>
                <w:b w:val="0"/>
                <w:color w:val="auto"/>
              </w:rPr>
            </w:pPr>
            <w:r w:rsidRPr="004D24C1">
              <w:rPr>
                <w:rFonts w:ascii="Arial" w:hAnsi="Arial" w:cs="Arial"/>
                <w:b w:val="0"/>
                <w:color w:val="auto"/>
              </w:rPr>
              <w:t>Remediation / clean up notice</w:t>
            </w:r>
          </w:p>
        </w:tc>
      </w:tr>
      <w:tr w:rsidR="00D23CF4" w:rsidTr="00D23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D23CF4" w:rsidRPr="004D24C1" w:rsidRDefault="00D23CF4" w:rsidP="00D23CF4">
            <w:pPr>
              <w:spacing w:before="120" w:after="120"/>
              <w:rPr>
                <w:rFonts w:ascii="Arial" w:hAnsi="Arial" w:cs="Arial"/>
                <w:b w:val="0"/>
                <w:color w:val="auto"/>
              </w:rPr>
            </w:pPr>
            <w:r w:rsidRPr="004D24C1">
              <w:rPr>
                <w:rFonts w:ascii="Arial" w:hAnsi="Arial" w:cs="Arial"/>
                <w:b w:val="0"/>
                <w:color w:val="auto"/>
              </w:rPr>
              <w:t>Conservation agreement (e.g. s307A, EPBC Act)</w:t>
            </w:r>
          </w:p>
        </w:tc>
      </w:tr>
      <w:tr w:rsidR="00D23CF4" w:rsidTr="00D23CF4">
        <w:tc>
          <w:tcPr>
            <w:cnfStyle w:val="001000000000" w:firstRow="0" w:lastRow="0" w:firstColumn="1" w:lastColumn="0" w:oddVBand="0" w:evenVBand="0" w:oddHBand="0" w:evenHBand="0" w:firstRowFirstColumn="0" w:firstRowLastColumn="0" w:lastRowFirstColumn="0" w:lastRowLastColumn="0"/>
            <w:tcW w:w="9242" w:type="dxa"/>
          </w:tcPr>
          <w:p w:rsidR="00D23CF4" w:rsidRPr="004D24C1" w:rsidRDefault="00D23CF4" w:rsidP="00D23CF4">
            <w:pPr>
              <w:spacing w:before="120" w:after="120"/>
              <w:rPr>
                <w:rFonts w:ascii="Arial" w:hAnsi="Arial" w:cs="Arial"/>
                <w:b w:val="0"/>
                <w:color w:val="auto"/>
              </w:rPr>
            </w:pPr>
            <w:r w:rsidRPr="004D24C1">
              <w:rPr>
                <w:rFonts w:ascii="Arial" w:hAnsi="Arial" w:cs="Arial"/>
                <w:b w:val="0"/>
                <w:color w:val="auto"/>
              </w:rPr>
              <w:t>Covenants</w:t>
            </w:r>
          </w:p>
        </w:tc>
      </w:tr>
      <w:tr w:rsidR="00D23CF4" w:rsidTr="00D23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D23CF4" w:rsidRPr="004D24C1" w:rsidRDefault="00D23CF4" w:rsidP="00D23CF4">
            <w:pPr>
              <w:spacing w:before="120" w:after="120"/>
              <w:rPr>
                <w:rFonts w:ascii="Arial" w:hAnsi="Arial" w:cs="Arial"/>
                <w:b w:val="0"/>
                <w:color w:val="auto"/>
              </w:rPr>
            </w:pPr>
            <w:r w:rsidRPr="004D24C1">
              <w:rPr>
                <w:rFonts w:ascii="Arial" w:hAnsi="Arial" w:cs="Arial"/>
                <w:b w:val="0"/>
                <w:color w:val="auto"/>
              </w:rPr>
              <w:t xml:space="preserve">Forfeiture of bond </w:t>
            </w:r>
          </w:p>
        </w:tc>
      </w:tr>
      <w:tr w:rsidR="00D23CF4" w:rsidTr="00D23CF4">
        <w:tc>
          <w:tcPr>
            <w:cnfStyle w:val="001000000000" w:firstRow="0" w:lastRow="0" w:firstColumn="1" w:lastColumn="0" w:oddVBand="0" w:evenVBand="0" w:oddHBand="0" w:evenHBand="0" w:firstRowFirstColumn="0" w:firstRowLastColumn="0" w:lastRowFirstColumn="0" w:lastRowLastColumn="0"/>
            <w:tcW w:w="9242" w:type="dxa"/>
          </w:tcPr>
          <w:p w:rsidR="00D23CF4" w:rsidRPr="004D24C1" w:rsidRDefault="00D23CF4" w:rsidP="00D23CF4">
            <w:pPr>
              <w:spacing w:before="120" w:after="120"/>
              <w:rPr>
                <w:rFonts w:ascii="Arial" w:hAnsi="Arial" w:cs="Arial"/>
                <w:b w:val="0"/>
                <w:color w:val="auto"/>
              </w:rPr>
            </w:pPr>
            <w:r w:rsidRPr="004D24C1">
              <w:rPr>
                <w:rFonts w:ascii="Arial" w:hAnsi="Arial" w:cs="Arial"/>
                <w:b w:val="0"/>
                <w:color w:val="auto"/>
              </w:rPr>
              <w:t xml:space="preserve">Repayment of Commonwealth costs </w:t>
            </w:r>
          </w:p>
        </w:tc>
      </w:tr>
      <w:tr w:rsidR="00D23CF4" w:rsidTr="00D23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D23CF4" w:rsidRPr="004D24C1" w:rsidRDefault="00D23CF4" w:rsidP="00D23CF4">
            <w:pPr>
              <w:spacing w:before="120" w:after="120"/>
              <w:rPr>
                <w:rFonts w:ascii="Arial" w:hAnsi="Arial" w:cs="Arial"/>
                <w:b w:val="0"/>
                <w:color w:val="auto"/>
              </w:rPr>
            </w:pPr>
            <w:r w:rsidRPr="004D24C1">
              <w:rPr>
                <w:rFonts w:ascii="Arial" w:hAnsi="Arial" w:cs="Arial"/>
                <w:b w:val="0"/>
                <w:color w:val="auto"/>
              </w:rPr>
              <w:t xml:space="preserve">Enforceable undertaking </w:t>
            </w:r>
          </w:p>
        </w:tc>
      </w:tr>
      <w:tr w:rsidR="00D23CF4" w:rsidTr="00D23CF4">
        <w:tc>
          <w:tcPr>
            <w:cnfStyle w:val="001000000000" w:firstRow="0" w:lastRow="0" w:firstColumn="1" w:lastColumn="0" w:oddVBand="0" w:evenVBand="0" w:oddHBand="0" w:evenHBand="0" w:firstRowFirstColumn="0" w:firstRowLastColumn="0" w:lastRowFirstColumn="0" w:lastRowLastColumn="0"/>
            <w:tcW w:w="9242" w:type="dxa"/>
          </w:tcPr>
          <w:p w:rsidR="00D23CF4" w:rsidRPr="004D24C1" w:rsidRDefault="00D23CF4" w:rsidP="00D23CF4">
            <w:pPr>
              <w:spacing w:before="120" w:after="120"/>
              <w:rPr>
                <w:rFonts w:ascii="Arial" w:hAnsi="Arial" w:cs="Arial"/>
                <w:b w:val="0"/>
                <w:color w:val="auto"/>
              </w:rPr>
            </w:pPr>
            <w:r w:rsidRPr="004D24C1">
              <w:rPr>
                <w:rFonts w:ascii="Arial" w:hAnsi="Arial" w:cs="Arial"/>
                <w:b w:val="0"/>
                <w:color w:val="auto"/>
              </w:rPr>
              <w:t>Infringement or penalty notices</w:t>
            </w:r>
          </w:p>
        </w:tc>
      </w:tr>
      <w:tr w:rsidR="00D23CF4" w:rsidTr="00D23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D23CF4" w:rsidRPr="004D24C1" w:rsidRDefault="00D23CF4" w:rsidP="00D23CF4">
            <w:pPr>
              <w:spacing w:before="120" w:after="120"/>
              <w:rPr>
                <w:rFonts w:ascii="Arial" w:hAnsi="Arial" w:cs="Arial"/>
                <w:b w:val="0"/>
                <w:color w:val="auto"/>
              </w:rPr>
            </w:pPr>
            <w:r w:rsidRPr="004D24C1">
              <w:rPr>
                <w:rFonts w:ascii="Arial" w:hAnsi="Arial" w:cs="Arial"/>
                <w:b w:val="0"/>
                <w:color w:val="auto"/>
              </w:rPr>
              <w:lastRenderedPageBreak/>
              <w:t xml:space="preserve">Suspension / variation / revocation of approval or licence </w:t>
            </w:r>
          </w:p>
        </w:tc>
      </w:tr>
      <w:tr w:rsidR="00D23CF4" w:rsidTr="00D23CF4">
        <w:tc>
          <w:tcPr>
            <w:cnfStyle w:val="001000000000" w:firstRow="0" w:lastRow="0" w:firstColumn="1" w:lastColumn="0" w:oddVBand="0" w:evenVBand="0" w:oddHBand="0" w:evenHBand="0" w:firstRowFirstColumn="0" w:firstRowLastColumn="0" w:lastRowFirstColumn="0" w:lastRowLastColumn="0"/>
            <w:tcW w:w="9242" w:type="dxa"/>
          </w:tcPr>
          <w:p w:rsidR="00D23CF4" w:rsidRPr="004D24C1" w:rsidRDefault="00D23CF4" w:rsidP="00D23CF4">
            <w:pPr>
              <w:spacing w:before="120" w:after="120"/>
              <w:rPr>
                <w:rFonts w:ascii="Arial" w:hAnsi="Arial" w:cs="Arial"/>
                <w:b w:val="0"/>
                <w:color w:val="auto"/>
              </w:rPr>
            </w:pPr>
            <w:r w:rsidRPr="004D24C1">
              <w:rPr>
                <w:rFonts w:ascii="Arial" w:hAnsi="Arial" w:cs="Arial"/>
                <w:b w:val="0"/>
                <w:color w:val="auto"/>
              </w:rPr>
              <w:t>Suspension / stop notice / injunction</w:t>
            </w:r>
          </w:p>
        </w:tc>
      </w:tr>
      <w:tr w:rsidR="00D23CF4" w:rsidTr="00D23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D23CF4" w:rsidRPr="004D24C1" w:rsidRDefault="00D23CF4" w:rsidP="00D23CF4">
            <w:pPr>
              <w:spacing w:before="120" w:after="120"/>
              <w:rPr>
                <w:rFonts w:ascii="Arial" w:hAnsi="Arial" w:cs="Arial"/>
                <w:b w:val="0"/>
                <w:color w:val="auto"/>
              </w:rPr>
            </w:pPr>
            <w:r w:rsidRPr="004D24C1">
              <w:rPr>
                <w:rFonts w:ascii="Arial" w:hAnsi="Arial" w:cs="Arial"/>
                <w:b w:val="0"/>
                <w:color w:val="auto"/>
              </w:rPr>
              <w:t>Disclosing information/adverse publicity</w:t>
            </w:r>
          </w:p>
        </w:tc>
      </w:tr>
      <w:tr w:rsidR="00D23CF4" w:rsidTr="00D23CF4">
        <w:tc>
          <w:tcPr>
            <w:cnfStyle w:val="001000000000" w:firstRow="0" w:lastRow="0" w:firstColumn="1" w:lastColumn="0" w:oddVBand="0" w:evenVBand="0" w:oddHBand="0" w:evenHBand="0" w:firstRowFirstColumn="0" w:firstRowLastColumn="0" w:lastRowFirstColumn="0" w:lastRowLastColumn="0"/>
            <w:tcW w:w="9242" w:type="dxa"/>
          </w:tcPr>
          <w:p w:rsidR="00D23CF4" w:rsidRPr="004D24C1" w:rsidRDefault="00D23CF4" w:rsidP="00D23CF4">
            <w:pPr>
              <w:spacing w:before="120" w:after="120"/>
              <w:rPr>
                <w:rFonts w:ascii="Arial" w:hAnsi="Arial" w:cs="Arial"/>
                <w:b w:val="0"/>
                <w:color w:val="auto"/>
              </w:rPr>
            </w:pPr>
            <w:r w:rsidRPr="004D24C1">
              <w:rPr>
                <w:rFonts w:ascii="Arial" w:hAnsi="Arial" w:cs="Arial"/>
                <w:b w:val="0"/>
                <w:color w:val="auto"/>
              </w:rPr>
              <w:t>Seizure, forfeiture and destruction</w:t>
            </w:r>
          </w:p>
        </w:tc>
      </w:tr>
      <w:tr w:rsidR="00D23CF4" w:rsidTr="00D23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D23CF4" w:rsidRPr="004D24C1" w:rsidRDefault="00D23CF4" w:rsidP="00D23CF4">
            <w:pPr>
              <w:spacing w:before="120" w:after="120"/>
              <w:rPr>
                <w:rFonts w:ascii="Arial" w:hAnsi="Arial" w:cs="Arial"/>
                <w:b w:val="0"/>
                <w:color w:val="auto"/>
              </w:rPr>
            </w:pPr>
            <w:r w:rsidRPr="004D24C1">
              <w:rPr>
                <w:rFonts w:ascii="Arial" w:hAnsi="Arial" w:cs="Arial"/>
                <w:b w:val="0"/>
                <w:color w:val="auto"/>
              </w:rPr>
              <w:t>Compensation orders</w:t>
            </w:r>
          </w:p>
        </w:tc>
      </w:tr>
      <w:tr w:rsidR="00D23CF4" w:rsidTr="00D23CF4">
        <w:tc>
          <w:tcPr>
            <w:cnfStyle w:val="001000000000" w:firstRow="0" w:lastRow="0" w:firstColumn="1" w:lastColumn="0" w:oddVBand="0" w:evenVBand="0" w:oddHBand="0" w:evenHBand="0" w:firstRowFirstColumn="0" w:firstRowLastColumn="0" w:lastRowFirstColumn="0" w:lastRowLastColumn="0"/>
            <w:tcW w:w="9242" w:type="dxa"/>
          </w:tcPr>
          <w:p w:rsidR="00D23CF4" w:rsidRPr="004D24C1" w:rsidRDefault="00D23CF4" w:rsidP="00D23CF4">
            <w:pPr>
              <w:spacing w:before="120" w:after="120"/>
              <w:rPr>
                <w:rFonts w:ascii="Arial" w:hAnsi="Arial" w:cs="Arial"/>
                <w:b w:val="0"/>
                <w:color w:val="auto"/>
              </w:rPr>
            </w:pPr>
            <w:r w:rsidRPr="004D24C1">
              <w:rPr>
                <w:rFonts w:ascii="Arial" w:hAnsi="Arial" w:cs="Arial"/>
                <w:b w:val="0"/>
                <w:color w:val="auto"/>
              </w:rPr>
              <w:t>Restoration orders</w:t>
            </w:r>
          </w:p>
        </w:tc>
      </w:tr>
      <w:tr w:rsidR="00D23CF4" w:rsidTr="00D23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D23CF4" w:rsidRPr="004D24C1" w:rsidRDefault="00D23CF4" w:rsidP="00607573">
            <w:pPr>
              <w:spacing w:before="120" w:after="120"/>
              <w:rPr>
                <w:rFonts w:ascii="Arial" w:hAnsi="Arial" w:cs="Arial"/>
                <w:b w:val="0"/>
                <w:color w:val="auto"/>
              </w:rPr>
            </w:pPr>
            <w:r w:rsidRPr="004D24C1">
              <w:rPr>
                <w:rFonts w:ascii="Arial" w:hAnsi="Arial" w:cs="Arial"/>
                <w:b w:val="0"/>
                <w:color w:val="auto"/>
              </w:rPr>
              <w:t xml:space="preserve">Compliance </w:t>
            </w:r>
            <w:r w:rsidR="00607573" w:rsidRPr="004D24C1">
              <w:rPr>
                <w:rFonts w:ascii="Arial" w:hAnsi="Arial" w:cs="Arial"/>
                <w:b w:val="0"/>
                <w:color w:val="auto"/>
              </w:rPr>
              <w:t xml:space="preserve">programs </w:t>
            </w:r>
          </w:p>
        </w:tc>
      </w:tr>
      <w:tr w:rsidR="00D23CF4" w:rsidTr="00D23CF4">
        <w:tc>
          <w:tcPr>
            <w:cnfStyle w:val="001000000000" w:firstRow="0" w:lastRow="0" w:firstColumn="1" w:lastColumn="0" w:oddVBand="0" w:evenVBand="0" w:oddHBand="0" w:evenHBand="0" w:firstRowFirstColumn="0" w:firstRowLastColumn="0" w:lastRowFirstColumn="0" w:lastRowLastColumn="0"/>
            <w:tcW w:w="9242" w:type="dxa"/>
          </w:tcPr>
          <w:p w:rsidR="00D23CF4" w:rsidRPr="004D24C1" w:rsidRDefault="00D23CF4" w:rsidP="00D23CF4">
            <w:pPr>
              <w:spacing w:before="120" w:after="120"/>
              <w:rPr>
                <w:rFonts w:ascii="Arial" w:hAnsi="Arial" w:cs="Arial"/>
                <w:b w:val="0"/>
                <w:color w:val="auto"/>
              </w:rPr>
            </w:pPr>
            <w:r w:rsidRPr="004D24C1">
              <w:rPr>
                <w:rFonts w:ascii="Arial" w:hAnsi="Arial" w:cs="Arial"/>
                <w:b w:val="0"/>
                <w:color w:val="auto"/>
              </w:rPr>
              <w:t>Proceeds of crime action</w:t>
            </w:r>
          </w:p>
        </w:tc>
      </w:tr>
      <w:tr w:rsidR="00D23CF4" w:rsidTr="00D23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D23CF4" w:rsidRPr="004D24C1" w:rsidRDefault="00D23CF4" w:rsidP="00D23CF4">
            <w:pPr>
              <w:spacing w:before="120" w:after="120"/>
              <w:rPr>
                <w:rFonts w:ascii="Arial" w:hAnsi="Arial" w:cs="Arial"/>
                <w:b w:val="0"/>
                <w:color w:val="auto"/>
              </w:rPr>
            </w:pPr>
            <w:r w:rsidRPr="004D24C1">
              <w:rPr>
                <w:rFonts w:ascii="Arial" w:hAnsi="Arial" w:cs="Arial"/>
                <w:b w:val="0"/>
                <w:color w:val="auto"/>
              </w:rPr>
              <w:t>Directors’ liability</w:t>
            </w:r>
          </w:p>
        </w:tc>
      </w:tr>
      <w:tr w:rsidR="00D23CF4" w:rsidTr="00D23CF4">
        <w:tc>
          <w:tcPr>
            <w:cnfStyle w:val="001000000000" w:firstRow="0" w:lastRow="0" w:firstColumn="1" w:lastColumn="0" w:oddVBand="0" w:evenVBand="0" w:oddHBand="0" w:evenHBand="0" w:firstRowFirstColumn="0" w:firstRowLastColumn="0" w:lastRowFirstColumn="0" w:lastRowLastColumn="0"/>
            <w:tcW w:w="9242" w:type="dxa"/>
          </w:tcPr>
          <w:p w:rsidR="00D23CF4" w:rsidRPr="004D24C1" w:rsidRDefault="00D23CF4" w:rsidP="00D23CF4">
            <w:pPr>
              <w:spacing w:before="120" w:after="120"/>
              <w:rPr>
                <w:rFonts w:ascii="Arial" w:hAnsi="Arial" w:cs="Arial"/>
                <w:b w:val="0"/>
                <w:color w:val="auto"/>
              </w:rPr>
            </w:pPr>
            <w:r w:rsidRPr="004D24C1">
              <w:rPr>
                <w:rFonts w:ascii="Arial" w:hAnsi="Arial" w:cs="Arial"/>
                <w:b w:val="0"/>
                <w:color w:val="auto"/>
              </w:rPr>
              <w:t>Civil penalties</w:t>
            </w:r>
          </w:p>
        </w:tc>
      </w:tr>
      <w:tr w:rsidR="00D23CF4" w:rsidTr="00D23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D23CF4" w:rsidRPr="004D24C1" w:rsidRDefault="00D23CF4" w:rsidP="00D23CF4">
            <w:pPr>
              <w:spacing w:before="120" w:after="120"/>
              <w:rPr>
                <w:rFonts w:ascii="Arial" w:hAnsi="Arial" w:cs="Arial"/>
                <w:b w:val="0"/>
                <w:color w:val="auto"/>
              </w:rPr>
            </w:pPr>
            <w:r w:rsidRPr="004D24C1">
              <w:rPr>
                <w:rFonts w:ascii="Arial" w:hAnsi="Arial" w:cs="Arial"/>
                <w:b w:val="0"/>
                <w:color w:val="auto"/>
              </w:rPr>
              <w:t>Criminal offence – imprisonment / fines</w:t>
            </w:r>
          </w:p>
        </w:tc>
      </w:tr>
    </w:tbl>
    <w:p w:rsidR="003A5915" w:rsidRDefault="003A5915" w:rsidP="003A5915">
      <w:pPr>
        <w:rPr>
          <w:b/>
          <w:color w:val="0B5294" w:themeColor="accent1" w:themeShade="BF"/>
          <w:sz w:val="44"/>
          <w:szCs w:val="44"/>
        </w:rPr>
      </w:pPr>
    </w:p>
    <w:p w:rsidR="003A5915" w:rsidRDefault="003A5915">
      <w:pPr>
        <w:spacing w:after="0" w:line="240" w:lineRule="auto"/>
        <w:rPr>
          <w:b/>
          <w:color w:val="0B5294" w:themeColor="accent1" w:themeShade="BF"/>
          <w:sz w:val="44"/>
          <w:szCs w:val="44"/>
        </w:rPr>
      </w:pPr>
      <w:r>
        <w:rPr>
          <w:b/>
          <w:color w:val="0B5294" w:themeColor="accent1" w:themeShade="BF"/>
          <w:sz w:val="44"/>
          <w:szCs w:val="44"/>
        </w:rPr>
        <w:br w:type="page"/>
      </w:r>
    </w:p>
    <w:p w:rsidR="003A5915" w:rsidRPr="00C95E78" w:rsidRDefault="003A5915" w:rsidP="00C95E78">
      <w:pPr>
        <w:pStyle w:val="Heading1"/>
        <w:spacing w:after="120"/>
        <w:jc w:val="center"/>
        <w:rPr>
          <w:color w:val="0B5294" w:themeColor="accent1" w:themeShade="BF"/>
          <w:sz w:val="36"/>
          <w:szCs w:val="36"/>
        </w:rPr>
      </w:pPr>
      <w:bookmarkStart w:id="84" w:name="_Toc443405210"/>
      <w:r w:rsidRPr="00C95E78">
        <w:rPr>
          <w:color w:val="0B5294" w:themeColor="accent1" w:themeShade="BF"/>
          <w:sz w:val="36"/>
          <w:szCs w:val="36"/>
        </w:rPr>
        <w:lastRenderedPageBreak/>
        <w:t xml:space="preserve">Appendix </w:t>
      </w:r>
      <w:r w:rsidR="00BA2499">
        <w:rPr>
          <w:color w:val="0B5294" w:themeColor="accent1" w:themeShade="BF"/>
          <w:sz w:val="36"/>
          <w:szCs w:val="36"/>
        </w:rPr>
        <w:t>5</w:t>
      </w:r>
      <w:r w:rsidRPr="00C95E78">
        <w:rPr>
          <w:color w:val="0B5294" w:themeColor="accent1" w:themeShade="BF"/>
          <w:sz w:val="36"/>
          <w:szCs w:val="36"/>
        </w:rPr>
        <w:t>: Recent &amp; Planned Work on Regulatory IT Systems</w:t>
      </w:r>
      <w:bookmarkEnd w:id="84"/>
    </w:p>
    <w:p w:rsidR="003A5915" w:rsidRPr="00BA2499" w:rsidRDefault="003A5915" w:rsidP="003A5915">
      <w:pPr>
        <w:rPr>
          <w:rFonts w:cs="Arial"/>
          <w:b/>
          <w:caps/>
          <w:color w:val="0B5294" w:themeColor="accent1" w:themeShade="BF"/>
          <w:sz w:val="28"/>
          <w:szCs w:val="28"/>
        </w:rPr>
      </w:pPr>
      <w:r w:rsidRPr="00BA2499">
        <w:rPr>
          <w:rFonts w:cs="Arial"/>
          <w:b/>
          <w:caps/>
          <w:color w:val="0B5294" w:themeColor="accent1" w:themeShade="BF"/>
          <w:sz w:val="28"/>
          <w:szCs w:val="28"/>
        </w:rPr>
        <w:t>A. Environmental Impact Assessments Module</w:t>
      </w:r>
    </w:p>
    <w:p w:rsidR="003A5915" w:rsidRDefault="003A5915" w:rsidP="003A5915">
      <w:r>
        <w:t>One early module developed under the enterprise architecture is a workflow system for Environmental Impact Assessments under Part 9 of the EPBC Act. This system was launched in August 2015. The new module:</w:t>
      </w:r>
    </w:p>
    <w:p w:rsidR="003A5915" w:rsidRDefault="003A5915" w:rsidP="00E65120">
      <w:pPr>
        <w:pStyle w:val="ListParagraph"/>
        <w:numPr>
          <w:ilvl w:val="0"/>
          <w:numId w:val="28"/>
        </w:numPr>
      </w:pPr>
      <w:r>
        <w:t>allows project referrals to be processed within the system;</w:t>
      </w:r>
    </w:p>
    <w:p w:rsidR="003A5915" w:rsidRDefault="003A5915" w:rsidP="00E65120">
      <w:pPr>
        <w:pStyle w:val="ListParagraph"/>
        <w:numPr>
          <w:ilvl w:val="0"/>
          <w:numId w:val="28"/>
        </w:numPr>
      </w:pPr>
      <w:r>
        <w:t>checks for appropriate authority (but this is not automatically linked to delegations instruments);</w:t>
      </w:r>
    </w:p>
    <w:p w:rsidR="003A5915" w:rsidRDefault="003A5915" w:rsidP="00E65120">
      <w:pPr>
        <w:pStyle w:val="ListParagraph"/>
        <w:numPr>
          <w:ilvl w:val="0"/>
          <w:numId w:val="28"/>
        </w:numPr>
      </w:pPr>
      <w:r>
        <w:t>automatically publishes specific documents;</w:t>
      </w:r>
    </w:p>
    <w:p w:rsidR="003A5915" w:rsidRDefault="003A5915" w:rsidP="00E65120">
      <w:pPr>
        <w:pStyle w:val="ListParagraph"/>
        <w:numPr>
          <w:ilvl w:val="0"/>
          <w:numId w:val="28"/>
        </w:numPr>
      </w:pPr>
      <w:r>
        <w:t>allows officers to record file notes of meetings or inspections; and</w:t>
      </w:r>
    </w:p>
    <w:p w:rsidR="003A5915" w:rsidRDefault="003A5915" w:rsidP="00E65120">
      <w:pPr>
        <w:pStyle w:val="ListParagraph"/>
        <w:numPr>
          <w:ilvl w:val="0"/>
          <w:numId w:val="28"/>
        </w:numPr>
      </w:pPr>
      <w:r>
        <w:t>provides time prompts and visibility of projects to supervisors.</w:t>
      </w:r>
    </w:p>
    <w:p w:rsidR="003A5915" w:rsidRPr="003A5915" w:rsidRDefault="003A5915" w:rsidP="003A5915">
      <w:pPr>
        <w:rPr>
          <w:color w:val="1F497D"/>
          <w:sz w:val="28"/>
          <w:szCs w:val="28"/>
        </w:rPr>
      </w:pPr>
      <w:r w:rsidRPr="003A5915">
        <w:rPr>
          <w:color w:val="1F497D"/>
          <w:sz w:val="28"/>
          <w:szCs w:val="28"/>
        </w:rPr>
        <w:t>Future Environmental Impact Assessments</w:t>
      </w:r>
    </w:p>
    <w:p w:rsidR="003A5915" w:rsidRDefault="003A5915" w:rsidP="003A5915">
      <w:r>
        <w:t>The Department is continuing to develop the environmental impact assessment workflow system so that by 1 July 2016 the system will:</w:t>
      </w:r>
    </w:p>
    <w:p w:rsidR="003A5915" w:rsidRDefault="003A5915" w:rsidP="00E65120">
      <w:pPr>
        <w:pStyle w:val="ListParagraph"/>
        <w:numPr>
          <w:ilvl w:val="0"/>
          <w:numId w:val="29"/>
        </w:numPr>
      </w:pPr>
      <w:r>
        <w:t>require proponents to lodge referrals online (with this automatically beginning a case within the system;</w:t>
      </w:r>
    </w:p>
    <w:p w:rsidR="003A5915" w:rsidRDefault="003A5915" w:rsidP="00E65120">
      <w:pPr>
        <w:pStyle w:val="ListParagraph"/>
        <w:numPr>
          <w:ilvl w:val="0"/>
          <w:numId w:val="29"/>
        </w:numPr>
      </w:pPr>
      <w:r>
        <w:t>allow proponents to identify the spacial parameters of their project on line and</w:t>
      </w:r>
    </w:p>
    <w:p w:rsidR="003A5915" w:rsidRDefault="003A5915" w:rsidP="00E65120">
      <w:pPr>
        <w:pStyle w:val="ListParagraph"/>
        <w:numPr>
          <w:ilvl w:val="0"/>
          <w:numId w:val="29"/>
        </w:numPr>
      </w:pPr>
      <w:r>
        <w:t xml:space="preserve"> integrate payment processes so that officers can see whether fees have been paid within a single system.</w:t>
      </w:r>
    </w:p>
    <w:p w:rsidR="003A5915" w:rsidRDefault="003A5915" w:rsidP="003A5915">
      <w:r>
        <w:t xml:space="preserve">The Department is also progressing work to directly link source databases (for example those containing authoritative information about protected species and relevant recovery plans) to the workflow system. This would automate the identification of relevant protected matters and associated statutory documents, reducing human error and the risk that information is out of date. While this work is being pursued as a matter of priority it is likely that it will take some time due to the age and complexity of the source databases. </w:t>
      </w:r>
    </w:p>
    <w:p w:rsidR="003A5915" w:rsidRPr="00BA2499" w:rsidRDefault="003A5915" w:rsidP="003A5915">
      <w:pPr>
        <w:rPr>
          <w:rFonts w:cs="Arial"/>
          <w:b/>
          <w:caps/>
          <w:color w:val="0B5294" w:themeColor="accent1" w:themeShade="BF"/>
          <w:sz w:val="28"/>
          <w:szCs w:val="28"/>
        </w:rPr>
      </w:pPr>
      <w:r w:rsidRPr="00BA2499">
        <w:rPr>
          <w:rFonts w:cs="Arial"/>
          <w:b/>
          <w:caps/>
          <w:color w:val="0B5294" w:themeColor="accent1" w:themeShade="BF"/>
          <w:sz w:val="28"/>
          <w:szCs w:val="28"/>
        </w:rPr>
        <w:t>B. Wildlife Trade</w:t>
      </w:r>
    </w:p>
    <w:p w:rsidR="003A5915" w:rsidRPr="003A5915" w:rsidRDefault="003A5915" w:rsidP="003A5915">
      <w:pPr>
        <w:rPr>
          <w:color w:val="1F497D"/>
          <w:sz w:val="36"/>
          <w:szCs w:val="36"/>
        </w:rPr>
      </w:pPr>
      <w:r>
        <w:t>The Department has commenced work on developing a module for international wildlife trade permits (similar to the environmental impact assessments module). This project is expected to be completed by July 2017.</w:t>
      </w:r>
    </w:p>
    <w:p w:rsidR="003A5915" w:rsidRDefault="003A5915" w:rsidP="003A5915">
      <w:pPr>
        <w:rPr>
          <w:u w:val="single"/>
        </w:rPr>
      </w:pPr>
      <w:r w:rsidRPr="00BA2499">
        <w:rPr>
          <w:rFonts w:cs="Arial"/>
          <w:b/>
          <w:caps/>
          <w:color w:val="0B5294" w:themeColor="accent1" w:themeShade="BF"/>
          <w:sz w:val="28"/>
          <w:szCs w:val="28"/>
        </w:rPr>
        <w:t>C. Compliance and Enforcement</w:t>
      </w:r>
    </w:p>
    <w:p w:rsidR="003A5915" w:rsidRDefault="003A5915" w:rsidP="003A5915">
      <w:r>
        <w:t>The new environmental impact assessment tool is not yet linked to the compliance and enforcement IT system. The Department has done some work to analyse the IT requirements for compliance and enforcement, recognising that its current systems are insufficient. Capital bids are in preparation for this work to commence in July 2016.</w:t>
      </w:r>
    </w:p>
    <w:p w:rsidR="003A5915" w:rsidRPr="00BA2499" w:rsidRDefault="003A5915" w:rsidP="003A5915">
      <w:pPr>
        <w:rPr>
          <w:rFonts w:cs="Arial"/>
          <w:b/>
          <w:caps/>
          <w:color w:val="0B5294" w:themeColor="accent1" w:themeShade="BF"/>
          <w:sz w:val="28"/>
          <w:szCs w:val="28"/>
        </w:rPr>
      </w:pPr>
      <w:r w:rsidRPr="00BA2499">
        <w:rPr>
          <w:rFonts w:cs="Arial"/>
          <w:b/>
          <w:caps/>
          <w:color w:val="0B5294" w:themeColor="accent1" w:themeShade="BF"/>
          <w:sz w:val="28"/>
          <w:szCs w:val="28"/>
        </w:rPr>
        <w:t>D. Hazardous Waste Permitting </w:t>
      </w:r>
    </w:p>
    <w:p w:rsidR="003A5915" w:rsidRPr="003A5915" w:rsidRDefault="003A5915" w:rsidP="003A5915">
      <w:r w:rsidRPr="003A5915">
        <w:t>The Department has commenced work on developing a new permitting system to track and manage Hazardous Waste permits. The project is expected to be completed by the end of June 2016.</w:t>
      </w:r>
    </w:p>
    <w:p w:rsidR="003A5915" w:rsidRPr="00BA2499" w:rsidRDefault="003A5915" w:rsidP="003A5915">
      <w:pPr>
        <w:rPr>
          <w:rFonts w:cs="Arial"/>
          <w:b/>
          <w:caps/>
          <w:color w:val="0B5294" w:themeColor="accent1" w:themeShade="BF"/>
          <w:sz w:val="28"/>
          <w:szCs w:val="28"/>
        </w:rPr>
      </w:pPr>
      <w:r w:rsidRPr="00BA2499">
        <w:rPr>
          <w:rFonts w:cs="Arial"/>
          <w:b/>
          <w:caps/>
          <w:color w:val="0B5294" w:themeColor="accent1" w:themeShade="BF"/>
          <w:sz w:val="28"/>
          <w:szCs w:val="28"/>
        </w:rPr>
        <w:t>E. Data Analysis and Intelligence</w:t>
      </w:r>
    </w:p>
    <w:p w:rsidR="003A5915" w:rsidRDefault="003A5915" w:rsidP="003A5915">
      <w:r>
        <w:t xml:space="preserve">Data collation and analysis is important for gathering intelligence and informing risk assessments. Best practice regulators use specialist analytics </w:t>
      </w:r>
      <w:r w:rsidR="00E3593E">
        <w:t>program</w:t>
      </w:r>
      <w:r w:rsidR="00607573">
        <w:t>s</w:t>
      </w:r>
      <w:r>
        <w:t xml:space="preserve"> with trained analysts to identify trends and issues within significant volumes of data. For example the ATO is developing </w:t>
      </w:r>
      <w:r w:rsidR="00E3593E">
        <w:t>program</w:t>
      </w:r>
      <w:r w:rsidR="00607573">
        <w:t>s</w:t>
      </w:r>
      <w:r>
        <w:t xml:space="preserve"> to identify normal parameters in a range of tax returns. This will allow them to target review activities and to provide real time feedback to clients when entering data (prompting them to fix mistakes and discouraging fraud).</w:t>
      </w:r>
    </w:p>
    <w:p w:rsidR="003A5915" w:rsidRDefault="003A5915" w:rsidP="003A5915">
      <w:r>
        <w:t xml:space="preserve">The ANAO found that the Department does not have sufficient IT systems to allow adequate data analysis. The Department’s ability to collect and analyse data is limited by both the historic disjointed nature of IT systems and limits on its ability to share protected data with co-regulators. </w:t>
      </w:r>
    </w:p>
    <w:p w:rsidR="003A5915" w:rsidRDefault="003A5915" w:rsidP="003A5915">
      <w:r>
        <w:t xml:space="preserve">The Department has funding to develop a data warehouse which will improve its ability to collect and collate data. The Department also intends to procure appropriate analytics tools but this is currently unfunded. </w:t>
      </w:r>
    </w:p>
    <w:p w:rsidR="000C376A" w:rsidRDefault="003A5915" w:rsidP="0097270B">
      <w:r>
        <w:t>The Victorian EPA noted that when building their new IT system and analytics functions, it was difficult for staff to predict necessary data sets because they were inexperienced in managing and utilising data. To mitigate this, the Department should consult with experienced regulators, such as the Victorian and NSW EPAs when buil</w:t>
      </w:r>
      <w:r w:rsidR="0097270B">
        <w:t>ding their analytics capability.</w:t>
      </w:r>
    </w:p>
    <w:sectPr w:rsidR="000C376A" w:rsidSect="0097270B">
      <w:headerReference w:type="even" r:id="rId14"/>
      <w:headerReference w:type="first" r:id="rId15"/>
      <w:footerReference w:type="first" r:id="rId16"/>
      <w:pgSz w:w="16839" w:h="23814" w:code="8"/>
      <w:pgMar w:top="1418" w:right="1276" w:bottom="567" w:left="1418" w:header="425"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E32" w:rsidRDefault="00455E32" w:rsidP="00A60185">
      <w:pPr>
        <w:spacing w:after="0" w:line="240" w:lineRule="auto"/>
      </w:pPr>
      <w:r>
        <w:separator/>
      </w:r>
    </w:p>
  </w:endnote>
  <w:endnote w:type="continuationSeparator" w:id="0">
    <w:p w:rsidR="00455E32" w:rsidRDefault="00455E32"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931" w:rsidRDefault="008119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99791"/>
      <w:docPartObj>
        <w:docPartGallery w:val="Page Numbers (Bottom of Page)"/>
        <w:docPartUnique/>
      </w:docPartObj>
    </w:sdtPr>
    <w:sdtEndPr/>
    <w:sdtContent>
      <w:p w:rsidR="00695372" w:rsidRDefault="00695372">
        <w:pPr>
          <w:pStyle w:val="Footer"/>
          <w:jc w:val="center"/>
        </w:pPr>
        <w:r>
          <w:fldChar w:fldCharType="begin"/>
        </w:r>
        <w:r>
          <w:instrText xml:space="preserve"> PAGE   \* MERGEFORMAT </w:instrText>
        </w:r>
        <w:r>
          <w:fldChar w:fldCharType="separate"/>
        </w:r>
        <w:r w:rsidR="00811931">
          <w:rPr>
            <w:noProof/>
          </w:rPr>
          <w:t>21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372" w:rsidRDefault="00695372" w:rsidP="005103CE">
    <w:pPr>
      <w:pStyle w:val="Footer"/>
      <w:tabs>
        <w:tab w:val="clear" w:pos="4513"/>
        <w:tab w:val="clear" w:pos="9026"/>
        <w:tab w:val="left" w:pos="4105"/>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372" w:rsidRPr="005C56ED" w:rsidRDefault="00695372" w:rsidP="006F5D47">
    <w:pPr>
      <w:pStyle w:val="Footer"/>
      <w:jc w:val="center"/>
      <w:rPr>
        <w:b/>
      </w:rPr>
    </w:pPr>
    <w:r w:rsidRPr="005C56ED">
      <w:rPr>
        <w:b/>
      </w:rPr>
      <w:t>DRAFT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E32" w:rsidRDefault="00455E32" w:rsidP="00A60185">
      <w:pPr>
        <w:spacing w:after="0" w:line="240" w:lineRule="auto"/>
      </w:pPr>
      <w:r>
        <w:separator/>
      </w:r>
    </w:p>
  </w:footnote>
  <w:footnote w:type="continuationSeparator" w:id="0">
    <w:p w:rsidR="00455E32" w:rsidRDefault="00455E32" w:rsidP="00A60185">
      <w:pPr>
        <w:spacing w:after="0" w:line="240" w:lineRule="auto"/>
      </w:pPr>
      <w:r>
        <w:continuationSeparator/>
      </w:r>
    </w:p>
  </w:footnote>
  <w:footnote w:id="1">
    <w:p w:rsidR="00695372" w:rsidRDefault="00695372" w:rsidP="0042187C">
      <w:r>
        <w:rPr>
          <w:rStyle w:val="FootnoteReference"/>
        </w:rPr>
        <w:footnoteRef/>
      </w:r>
      <w:r>
        <w:t xml:space="preserve"> </w:t>
      </w:r>
      <w:r w:rsidRPr="0074492C">
        <w:rPr>
          <w:sz w:val="20"/>
          <w:szCs w:val="20"/>
        </w:rPr>
        <w:t xml:space="preserve">Department of Prime Minister &amp; Cabinet (2014). </w:t>
      </w:r>
      <w:r w:rsidRPr="0074492C">
        <w:rPr>
          <w:i/>
          <w:sz w:val="20"/>
          <w:szCs w:val="20"/>
        </w:rPr>
        <w:t>The Australian Government Guide to Regulation</w:t>
      </w:r>
      <w:r w:rsidRPr="0074492C">
        <w:rPr>
          <w:sz w:val="20"/>
          <w:szCs w:val="20"/>
        </w:rPr>
        <w:t>.</w:t>
      </w:r>
    </w:p>
  </w:footnote>
  <w:footnote w:id="2">
    <w:p w:rsidR="00695372" w:rsidRDefault="00695372" w:rsidP="00CD27F0">
      <w:pPr>
        <w:pStyle w:val="FootnoteText"/>
      </w:pPr>
      <w:r>
        <w:rPr>
          <w:rStyle w:val="FootnoteReference"/>
        </w:rPr>
        <w:footnoteRef/>
      </w:r>
      <w:r>
        <w:t xml:space="preserve"> OECD (2011). </w:t>
      </w:r>
      <w:r w:rsidRPr="00902BDA">
        <w:rPr>
          <w:i/>
        </w:rPr>
        <w:t>Regulatory policy and governance: Supporting economic growth and serving the public interest</w:t>
      </w:r>
      <w:r>
        <w:t xml:space="preserve">, </w:t>
      </w:r>
      <w:hyperlink r:id="rId1" w:history="1">
        <w:r>
          <w:rPr>
            <w:rStyle w:val="Hyperlink"/>
          </w:rPr>
          <w:t>http://www.oecd.org/gov/regulatory-policy/regulatorypolicyandgovernancesupportingeconomicgrowthandservingthepublicinterest.htm</w:t>
        </w:r>
      </w:hyperlink>
      <w:r>
        <w:t xml:space="preserve"> </w:t>
      </w:r>
    </w:p>
  </w:footnote>
  <w:footnote w:id="3">
    <w:p w:rsidR="00695372" w:rsidRDefault="00695372" w:rsidP="00CF0341">
      <w:pPr>
        <w:pStyle w:val="FootnoteText"/>
      </w:pPr>
      <w:r>
        <w:rPr>
          <w:rStyle w:val="FootnoteReference"/>
        </w:rPr>
        <w:footnoteRef/>
      </w:r>
      <w:r>
        <w:t xml:space="preserve"> Grantham Research Institute (2014) </w:t>
      </w:r>
      <w:r>
        <w:rPr>
          <w:i/>
        </w:rPr>
        <w:t>Impacts of Environmental Regulation</w:t>
      </w:r>
      <w:r>
        <w:t>.</w:t>
      </w:r>
    </w:p>
  </w:footnote>
  <w:footnote w:id="4">
    <w:p w:rsidR="00695372" w:rsidRDefault="00695372" w:rsidP="00CF0341">
      <w:pPr>
        <w:pStyle w:val="FootnoteText"/>
      </w:pPr>
      <w:r>
        <w:rPr>
          <w:rStyle w:val="FootnoteReference"/>
        </w:rPr>
        <w:footnoteRef/>
      </w:r>
      <w:r>
        <w:t xml:space="preserve"> Ibid.</w:t>
      </w:r>
    </w:p>
  </w:footnote>
  <w:footnote w:id="5">
    <w:p w:rsidR="00695372" w:rsidRDefault="00695372" w:rsidP="00CF0341">
      <w:pPr>
        <w:pStyle w:val="FootnoteText"/>
      </w:pPr>
      <w:r>
        <w:rPr>
          <w:rStyle w:val="FootnoteReference"/>
        </w:rPr>
        <w:footnoteRef/>
      </w:r>
      <w:r>
        <w:t xml:space="preserve"> Network of Heads of European Environment Protection Agencies (2005) </w:t>
      </w:r>
      <w:r>
        <w:rPr>
          <w:i/>
          <w:iCs/>
        </w:rPr>
        <w:t>The Contribution of good environmental regulation to competitiveness</w:t>
      </w:r>
      <w:r>
        <w:rPr>
          <w:iCs/>
        </w:rPr>
        <w:t>.</w:t>
      </w:r>
      <w:r>
        <w:rPr>
          <w:i/>
          <w:iCs/>
        </w:rPr>
        <w:t>’</w:t>
      </w:r>
    </w:p>
  </w:footnote>
  <w:footnote w:id="6">
    <w:p w:rsidR="00695372" w:rsidRDefault="00695372" w:rsidP="00CF0341">
      <w:pPr>
        <w:pStyle w:val="FootnoteText"/>
      </w:pPr>
      <w:r>
        <w:rPr>
          <w:rStyle w:val="FootnoteReference"/>
        </w:rPr>
        <w:footnoteRef/>
      </w:r>
      <w:r>
        <w:t xml:space="preserve"> Grantham Research Institute (2014) </w:t>
      </w:r>
      <w:r>
        <w:rPr>
          <w:i/>
        </w:rPr>
        <w:t>Impacts of Environmental Regulation</w:t>
      </w:r>
      <w:r>
        <w:t>.</w:t>
      </w:r>
    </w:p>
  </w:footnote>
  <w:footnote w:id="7">
    <w:p w:rsidR="00695372" w:rsidRDefault="00695372" w:rsidP="00CF0341">
      <w:pPr>
        <w:pStyle w:val="FootnoteText"/>
        <w:rPr>
          <w:i/>
          <w:iCs/>
        </w:rPr>
      </w:pPr>
      <w:r>
        <w:rPr>
          <w:rStyle w:val="FootnoteReference"/>
        </w:rPr>
        <w:footnoteRef/>
      </w:r>
      <w:r>
        <w:t xml:space="preserve"> Network of Heads of European Environment Protection Agencies (2005) </w:t>
      </w:r>
      <w:r>
        <w:rPr>
          <w:i/>
          <w:iCs/>
        </w:rPr>
        <w:t>The Contribution of good environmental regulation to competitiveness’</w:t>
      </w:r>
    </w:p>
  </w:footnote>
  <w:footnote w:id="8">
    <w:p w:rsidR="00695372" w:rsidRDefault="00695372" w:rsidP="00CF0341">
      <w:pPr>
        <w:pStyle w:val="FootnoteText"/>
      </w:pPr>
      <w:r>
        <w:rPr>
          <w:rStyle w:val="FootnoteReference"/>
        </w:rPr>
        <w:footnoteRef/>
      </w:r>
      <w:r>
        <w:t xml:space="preserve"> Porter and Van der Linde (October 1995) </w:t>
      </w:r>
      <w:r>
        <w:rPr>
          <w:i/>
          <w:iCs/>
        </w:rPr>
        <w:t>“Green and Competitive: An underlying logic links the environment, resource productivity, innovation, and competitiveness”,</w:t>
      </w:r>
      <w:r>
        <w:t xml:space="preserve"> Harvard Business Review.</w:t>
      </w:r>
    </w:p>
  </w:footnote>
  <w:footnote w:id="9">
    <w:p w:rsidR="00695372" w:rsidRDefault="00695372" w:rsidP="00CF0341">
      <w:pPr>
        <w:pStyle w:val="FootnoteText"/>
        <w:rPr>
          <w:i/>
          <w:iCs/>
        </w:rPr>
      </w:pPr>
      <w:r>
        <w:rPr>
          <w:rStyle w:val="FootnoteReference"/>
        </w:rPr>
        <w:footnoteRef/>
      </w:r>
      <w:r>
        <w:t xml:space="preserve"> Network of Heads of European Environment Protection Agencies (2005) </w:t>
      </w:r>
      <w:r>
        <w:rPr>
          <w:i/>
          <w:iCs/>
        </w:rPr>
        <w:t>‘The Contribution of good environmental regulation to competitiveness’</w:t>
      </w:r>
    </w:p>
  </w:footnote>
  <w:footnote w:id="10">
    <w:p w:rsidR="00695372" w:rsidRPr="00AE5128" w:rsidRDefault="00695372" w:rsidP="00CF0341">
      <w:pPr>
        <w:pStyle w:val="FootnoteText"/>
      </w:pPr>
      <w:r>
        <w:rPr>
          <w:rStyle w:val="FootnoteReference"/>
        </w:rPr>
        <w:footnoteRef/>
      </w:r>
      <w:r>
        <w:t xml:space="preserve"> OECD (2014) </w:t>
      </w:r>
      <w:r>
        <w:rPr>
          <w:i/>
        </w:rPr>
        <w:t>Empirical Evidence on the Effects of Environmental Policy Stringency on Productivity Growth.</w:t>
      </w:r>
    </w:p>
  </w:footnote>
  <w:footnote w:id="11">
    <w:p w:rsidR="00695372" w:rsidRDefault="00695372" w:rsidP="00CF0341">
      <w:pPr>
        <w:pStyle w:val="FootnoteText"/>
      </w:pPr>
      <w:r>
        <w:rPr>
          <w:rStyle w:val="FootnoteReference"/>
        </w:rPr>
        <w:footnoteRef/>
      </w:r>
      <w:r>
        <w:t xml:space="preserve"> Network of Heads of European Environment Protection Agencies (2005) </w:t>
      </w:r>
      <w:r>
        <w:rPr>
          <w:i/>
          <w:iCs/>
        </w:rPr>
        <w:t>The Contribution of good environmental regulation to competitiveness’</w:t>
      </w:r>
    </w:p>
  </w:footnote>
  <w:footnote w:id="12">
    <w:p w:rsidR="00695372" w:rsidRDefault="00695372" w:rsidP="00CF0341">
      <w:pPr>
        <w:pStyle w:val="FootnoteText"/>
      </w:pPr>
      <w:r>
        <w:rPr>
          <w:rStyle w:val="FootnoteReference"/>
        </w:rPr>
        <w:footnoteRef/>
      </w:r>
      <w:r>
        <w:t xml:space="preserve"> Ibid.</w:t>
      </w:r>
    </w:p>
  </w:footnote>
  <w:footnote w:id="13">
    <w:p w:rsidR="00695372" w:rsidRDefault="00695372" w:rsidP="00CF0341">
      <w:pPr>
        <w:pStyle w:val="FootnoteText"/>
      </w:pPr>
      <w:r>
        <w:rPr>
          <w:rStyle w:val="FootnoteReference"/>
        </w:rPr>
        <w:footnoteRef/>
      </w:r>
      <w:r>
        <w:t xml:space="preserve"> Ibid.</w:t>
      </w:r>
    </w:p>
  </w:footnote>
  <w:footnote w:id="14">
    <w:p w:rsidR="00695372" w:rsidRDefault="00695372" w:rsidP="00702700">
      <w:r>
        <w:rPr>
          <w:rStyle w:val="FootnoteReference"/>
        </w:rPr>
        <w:footnoteRef/>
      </w:r>
      <w:r>
        <w:t xml:space="preserve"> </w:t>
      </w:r>
      <w:r w:rsidRPr="00CD0707">
        <w:rPr>
          <w:sz w:val="20"/>
          <w:szCs w:val="20"/>
        </w:rPr>
        <w:t xml:space="preserve">OECD (2014). </w:t>
      </w:r>
      <w:r w:rsidRPr="00CD0707">
        <w:rPr>
          <w:i/>
          <w:sz w:val="20"/>
          <w:szCs w:val="20"/>
        </w:rPr>
        <w:t>The Governance of Regulators</w:t>
      </w:r>
      <w:r w:rsidRPr="00CD0707">
        <w:rPr>
          <w:sz w:val="20"/>
          <w:szCs w:val="20"/>
        </w:rPr>
        <w:t>, OECD Best Practice Principles for Regulatory Policy.</w:t>
      </w:r>
    </w:p>
    <w:p w:rsidR="00695372" w:rsidRDefault="00695372">
      <w:pPr>
        <w:pStyle w:val="FootnoteText"/>
      </w:pPr>
    </w:p>
  </w:footnote>
  <w:footnote w:id="15">
    <w:p w:rsidR="00695372" w:rsidRDefault="00695372" w:rsidP="00B341E0">
      <w:pPr>
        <w:pStyle w:val="FootnoteText"/>
      </w:pPr>
      <w:r>
        <w:rPr>
          <w:rStyle w:val="FootnoteReference"/>
        </w:rPr>
        <w:footnoteRef/>
      </w:r>
      <w:r>
        <w:t xml:space="preserve"> </w:t>
      </w:r>
      <w:hyperlink r:id="rId2" w:history="1">
        <w:r w:rsidRPr="001B5865">
          <w:rPr>
            <w:rStyle w:val="Hyperlink"/>
            <w:rFonts w:cs="Arial"/>
          </w:rPr>
          <w:t>http://www.cleanenergyregulator.gov.au/About/Our-strategic-direction</w:t>
        </w:r>
      </w:hyperlink>
    </w:p>
  </w:footnote>
  <w:footnote w:id="16">
    <w:p w:rsidR="00695372" w:rsidRDefault="00695372" w:rsidP="00B341E0">
      <w:pPr>
        <w:pStyle w:val="FootnoteText"/>
      </w:pPr>
      <w:r>
        <w:rPr>
          <w:rStyle w:val="FootnoteReference"/>
        </w:rPr>
        <w:footnoteRef/>
      </w:r>
      <w:r>
        <w:t xml:space="preserve"> </w:t>
      </w:r>
      <w:hyperlink r:id="rId3" w:history="1">
        <w:r w:rsidRPr="001B5865">
          <w:rPr>
            <w:rStyle w:val="Hyperlink"/>
            <w:rFonts w:cs="Arial"/>
          </w:rPr>
          <w:t>http://www.epa.vic.gov.au/~/media/Publications/1403.pdf</w:t>
        </w:r>
      </w:hyperlink>
    </w:p>
  </w:footnote>
  <w:footnote w:id="17">
    <w:p w:rsidR="00695372" w:rsidRDefault="00695372" w:rsidP="003A007F">
      <w:pPr>
        <w:pStyle w:val="FootnoteText"/>
      </w:pPr>
      <w:r>
        <w:rPr>
          <w:rStyle w:val="FootnoteReference"/>
        </w:rPr>
        <w:footnoteRef/>
      </w:r>
      <w:r>
        <w:t xml:space="preserve"> See Sparrow, Malcolm (2008) </w:t>
      </w:r>
      <w:r w:rsidRPr="00073FBE">
        <w:rPr>
          <w:i/>
        </w:rPr>
        <w:t>The Character of Harms</w:t>
      </w:r>
      <w:r>
        <w:t xml:space="preserve"> and; Sparrow, Malcolm (2000) </w:t>
      </w:r>
      <w:r w:rsidRPr="00073FBE">
        <w:rPr>
          <w:i/>
        </w:rPr>
        <w:t>The Regulatory Craft</w:t>
      </w:r>
      <w:r>
        <w:t xml:space="preserve">. </w:t>
      </w:r>
    </w:p>
  </w:footnote>
  <w:footnote w:id="18">
    <w:p w:rsidR="00695372" w:rsidRDefault="00695372">
      <w:pPr>
        <w:pStyle w:val="FootnoteText"/>
      </w:pPr>
      <w:r>
        <w:rPr>
          <w:rStyle w:val="FootnoteReference"/>
        </w:rPr>
        <w:footnoteRef/>
      </w:r>
      <w:r>
        <w:t xml:space="preserve"> The direct regulation of an industry or activity by stating what is and is not permitted.  </w:t>
      </w:r>
    </w:p>
  </w:footnote>
  <w:footnote w:id="19">
    <w:p w:rsidR="00695372" w:rsidRDefault="00695372" w:rsidP="003A007F">
      <w:pPr>
        <w:pStyle w:val="FootnoteText"/>
      </w:pPr>
      <w:r>
        <w:rPr>
          <w:rStyle w:val="FootnoteReference"/>
        </w:rPr>
        <w:footnoteRef/>
      </w:r>
      <w:r>
        <w:t xml:space="preserve"> OECD (2014). </w:t>
      </w:r>
      <w:r w:rsidRPr="00D24CCF">
        <w:rPr>
          <w:i/>
        </w:rPr>
        <w:t>Regulatory Enforcement and Inspections</w:t>
      </w:r>
      <w:r>
        <w:t xml:space="preserve">, OECD Best Practice Principles for Regulatory Policy. </w:t>
      </w:r>
    </w:p>
  </w:footnote>
  <w:footnote w:id="20">
    <w:p w:rsidR="00695372" w:rsidRDefault="00695372">
      <w:pPr>
        <w:pStyle w:val="FootnoteText"/>
      </w:pPr>
      <w:r>
        <w:rPr>
          <w:rStyle w:val="FootnoteReference"/>
        </w:rPr>
        <w:footnoteRef/>
      </w:r>
      <w:r>
        <w:t xml:space="preserve"> </w:t>
      </w:r>
      <w:r w:rsidRPr="00610B87">
        <w:rPr>
          <w:rFonts w:cs="Arial"/>
        </w:rPr>
        <w:t xml:space="preserve">see </w:t>
      </w:r>
      <w:hyperlink r:id="rId4" w:history="1">
        <w:r w:rsidRPr="00093323">
          <w:rPr>
            <w:rFonts w:cs="Arial"/>
            <w:color w:val="0F6FC6" w:themeColor="accent1"/>
            <w:u w:val="single"/>
          </w:rPr>
          <w:t>http://majorprojects.planning.nsw.gov.au/index.pl?action=search&amp;pac=1</w:t>
        </w:r>
      </w:hyperlink>
    </w:p>
  </w:footnote>
  <w:footnote w:id="21">
    <w:p w:rsidR="00695372" w:rsidRDefault="00695372">
      <w:pPr>
        <w:pStyle w:val="FootnoteText"/>
      </w:pPr>
      <w:r>
        <w:rPr>
          <w:rStyle w:val="FootnoteReference"/>
        </w:rPr>
        <w:footnoteRef/>
      </w:r>
      <w:r>
        <w:t xml:space="preserve"> </w:t>
      </w:r>
      <w:r>
        <w:rPr>
          <w:sz w:val="16"/>
          <w:szCs w:val="16"/>
        </w:rPr>
        <w:t>Department of the Environment</w:t>
      </w:r>
      <w:r w:rsidRPr="00073018">
        <w:rPr>
          <w:sz w:val="16"/>
          <w:szCs w:val="16"/>
        </w:rPr>
        <w:t xml:space="preserve"> (201</w:t>
      </w:r>
      <w:r>
        <w:rPr>
          <w:sz w:val="16"/>
          <w:szCs w:val="16"/>
        </w:rPr>
        <w:t>5</w:t>
      </w:r>
      <w:r w:rsidRPr="00073018">
        <w:rPr>
          <w:sz w:val="16"/>
          <w:szCs w:val="16"/>
        </w:rPr>
        <w:t xml:space="preserve">) </w:t>
      </w:r>
      <w:r>
        <w:rPr>
          <w:i/>
          <w:sz w:val="16"/>
          <w:szCs w:val="16"/>
        </w:rPr>
        <w:t>Compliance, Enforcement and Investigations Capability Review – Intelligence Capability Report.</w:t>
      </w:r>
    </w:p>
  </w:footnote>
  <w:footnote w:id="22">
    <w:p w:rsidR="00695372" w:rsidRPr="00073018" w:rsidRDefault="00695372" w:rsidP="00073018">
      <w:pPr>
        <w:rPr>
          <w:i/>
        </w:rPr>
      </w:pPr>
      <w:r>
        <w:rPr>
          <w:rStyle w:val="FootnoteReference"/>
        </w:rPr>
        <w:footnoteRef/>
      </w:r>
      <w:r>
        <w:t xml:space="preserve"> </w:t>
      </w:r>
      <w:r w:rsidRPr="00073018">
        <w:rPr>
          <w:sz w:val="16"/>
          <w:szCs w:val="16"/>
        </w:rPr>
        <w:t xml:space="preserve">ANAO (2014) </w:t>
      </w:r>
      <w:r w:rsidRPr="00073018">
        <w:rPr>
          <w:i/>
          <w:sz w:val="16"/>
          <w:szCs w:val="16"/>
        </w:rPr>
        <w:t>Administering Regulation – Achieving the Right Balance</w:t>
      </w:r>
    </w:p>
  </w:footnote>
  <w:footnote w:id="23">
    <w:p w:rsidR="00695372" w:rsidRPr="009804E2" w:rsidRDefault="00695372" w:rsidP="00073018">
      <w:pPr>
        <w:rPr>
          <w:i/>
        </w:rPr>
      </w:pPr>
      <w:r>
        <w:rPr>
          <w:rStyle w:val="FootnoteReference"/>
        </w:rPr>
        <w:footnoteRef/>
      </w:r>
      <w:r>
        <w:t xml:space="preserve"> </w:t>
      </w:r>
      <w:r w:rsidRPr="00073018">
        <w:rPr>
          <w:sz w:val="16"/>
          <w:szCs w:val="16"/>
        </w:rPr>
        <w:t xml:space="preserve">Australian Government Productivity Commission (2013) </w:t>
      </w:r>
      <w:r w:rsidRPr="00073018">
        <w:rPr>
          <w:i/>
          <w:sz w:val="16"/>
          <w:szCs w:val="16"/>
        </w:rPr>
        <w:t>Regulator Engagement with Small Business</w:t>
      </w:r>
    </w:p>
    <w:p w:rsidR="00695372" w:rsidRDefault="00695372" w:rsidP="00AD5A35">
      <w:pPr>
        <w:pStyle w:val="Default"/>
        <w:rPr>
          <w:sz w:val="22"/>
          <w:szCs w:val="22"/>
        </w:rPr>
      </w:pPr>
    </w:p>
    <w:p w:rsidR="00695372" w:rsidRDefault="00695372" w:rsidP="00AD5A35">
      <w:pPr>
        <w:pStyle w:val="FootnoteText"/>
      </w:pPr>
    </w:p>
  </w:footnote>
  <w:footnote w:id="24">
    <w:p w:rsidR="00695372" w:rsidRPr="00073018" w:rsidRDefault="00695372" w:rsidP="00073018">
      <w:pPr>
        <w:rPr>
          <w:i/>
        </w:rPr>
      </w:pPr>
      <w:r>
        <w:rPr>
          <w:rStyle w:val="FootnoteReference"/>
        </w:rPr>
        <w:footnoteRef/>
      </w:r>
      <w:r>
        <w:t xml:space="preserve"> </w:t>
      </w:r>
      <w:r w:rsidRPr="00073018">
        <w:rPr>
          <w:sz w:val="16"/>
          <w:szCs w:val="16"/>
        </w:rPr>
        <w:t xml:space="preserve">ANAO (2014) </w:t>
      </w:r>
      <w:r w:rsidRPr="00073018">
        <w:rPr>
          <w:i/>
          <w:sz w:val="16"/>
          <w:szCs w:val="16"/>
        </w:rPr>
        <w:t>Administering Regulation – Achieving the Right Balance</w:t>
      </w:r>
      <w:r>
        <w:rPr>
          <w:i/>
          <w:sz w:val="16"/>
          <w:szCs w:val="16"/>
        </w:rPr>
        <w:t>.</w:t>
      </w:r>
    </w:p>
  </w:footnote>
  <w:footnote w:id="25">
    <w:p w:rsidR="00695372" w:rsidRDefault="00695372" w:rsidP="00B2287B">
      <w:pPr>
        <w:pStyle w:val="FootnoteText"/>
      </w:pPr>
      <w:r>
        <w:rPr>
          <w:rStyle w:val="FootnoteReference"/>
        </w:rPr>
        <w:footnoteRef/>
      </w:r>
      <w:r>
        <w:t xml:space="preserve"> </w:t>
      </w:r>
      <w:hyperlink r:id="rId5" w:history="1">
        <w:r w:rsidRPr="008102B7">
          <w:rPr>
            <w:rStyle w:val="Hyperlink"/>
          </w:rPr>
          <w:t>http://www.finance.gov.au/sites/default/files/commonwealth-risk-management-policy.pdf</w:t>
        </w:r>
      </w:hyperlink>
      <w:r>
        <w:t xml:space="preserve"> </w:t>
      </w:r>
    </w:p>
  </w:footnote>
  <w:footnote w:id="26">
    <w:p w:rsidR="00695372" w:rsidRDefault="00695372">
      <w:pPr>
        <w:pStyle w:val="FootnoteText"/>
      </w:pPr>
      <w:r>
        <w:rPr>
          <w:rStyle w:val="FootnoteReference"/>
        </w:rPr>
        <w:footnoteRef/>
      </w:r>
      <w:r>
        <w:t xml:space="preserve"> </w:t>
      </w:r>
      <w:hyperlink r:id="rId6" w:history="1">
        <w:r w:rsidRPr="008102B7">
          <w:rPr>
            <w:rStyle w:val="Hyperlink"/>
          </w:rPr>
          <w:t>http://www.cleanenergyregulator.gov.au/About/Policies-and-publications/Compliance-education-and-enforcement-policy</w:t>
        </w:r>
      </w:hyperlink>
      <w:r>
        <w:t xml:space="preserve"> </w:t>
      </w:r>
    </w:p>
  </w:footnote>
  <w:footnote w:id="27">
    <w:p w:rsidR="00695372" w:rsidRDefault="00695372" w:rsidP="00AA785E">
      <w:r>
        <w:rPr>
          <w:rStyle w:val="FootnoteReference"/>
        </w:rPr>
        <w:footnoteRef/>
      </w:r>
      <w:r>
        <w:t xml:space="preserve"> OECD (2014). </w:t>
      </w:r>
      <w:r w:rsidRPr="001B17F1">
        <w:rPr>
          <w:i/>
        </w:rPr>
        <w:t>The Governance of Regulators</w:t>
      </w:r>
      <w:r>
        <w:t>, OECD Best Practice Principles for Regulatory Policy.</w:t>
      </w:r>
    </w:p>
    <w:p w:rsidR="00695372" w:rsidRDefault="00695372" w:rsidP="00AA785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372" w:rsidRDefault="00695372" w:rsidP="00E45765">
    <w:pPr>
      <w:pStyle w:val="Classification"/>
    </w:pPr>
    <w:r>
      <w:fldChar w:fldCharType="begin"/>
    </w:r>
    <w:r>
      <w:instrText xml:space="preserve"> DOCPROPERTY SecurityClassification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372" w:rsidRPr="00DC1408" w:rsidRDefault="00695372" w:rsidP="005103CE">
    <w:pPr>
      <w:pStyle w:val="Header"/>
      <w:jc w:val="center"/>
      <w:rPr>
        <w:b/>
      </w:rPr>
    </w:pPr>
    <w:r w:rsidRPr="00DC1408">
      <w:rPr>
        <w:b/>
      </w:rPr>
      <w:t>Regulatory Maturity Project</w:t>
    </w:r>
    <w:r>
      <w:rPr>
        <w:b/>
      </w:rPr>
      <w:t xml:space="preserve"> -</w:t>
    </w:r>
    <w:r w:rsidRPr="00DC1408">
      <w:rPr>
        <w:b/>
      </w:rPr>
      <w:t xml:space="preserve"> </w:t>
    </w:r>
    <w:r>
      <w:rPr>
        <w:b/>
      </w:rPr>
      <w:t>Final Report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372" w:rsidRDefault="00695372" w:rsidP="005103CE">
    <w:pPr>
      <w:pStyle w:val="Header"/>
      <w:jc w:val="center"/>
      <w:rPr>
        <w:b/>
        <w:color w:val="FF0000"/>
      </w:rPr>
    </w:pPr>
  </w:p>
  <w:p w:rsidR="00695372" w:rsidRPr="005103CE" w:rsidRDefault="00695372" w:rsidP="005103CE">
    <w:pPr>
      <w:pStyle w:val="Header"/>
      <w:jc w:val="center"/>
      <w:rPr>
        <w:b/>
        <w:color w:val="FF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372" w:rsidRDefault="00695372" w:rsidP="006F5D47">
    <w:pPr>
      <w:pStyle w:val="Classification"/>
    </w:pPr>
    <w:r>
      <w:fldChar w:fldCharType="begin"/>
    </w:r>
    <w:r>
      <w:instrText xml:space="preserve"> DOCPROPERTY SecurityClassification \* MERGEFORMAT </w:instrText>
    </w:r>
    <w:r>
      <w:fldChar w:fldCharType="separate"/>
    </w:r>
    <w:r>
      <w:rPr>
        <w:b/>
        <w:bCs/>
        <w:lang w:val="en-US"/>
      </w:rPr>
      <w:t>Error! Unknown document property name.</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372" w:rsidRPr="005C56ED" w:rsidRDefault="00695372" w:rsidP="006F5D47">
    <w:pPr>
      <w:pStyle w:val="Header"/>
      <w:jc w:val="center"/>
      <w:rPr>
        <w:b/>
      </w:rPr>
    </w:pPr>
    <w:r w:rsidRPr="005C56ED">
      <w:rPr>
        <w:b/>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31E4EBC"/>
    <w:multiLevelType w:val="hybridMultilevel"/>
    <w:tmpl w:val="6AAE0A2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03CF3AB1"/>
    <w:multiLevelType w:val="multilevel"/>
    <w:tmpl w:val="91BE8F5A"/>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Symbol" w:hAnsi="Symbo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41E1632"/>
    <w:multiLevelType w:val="hybridMultilevel"/>
    <w:tmpl w:val="803E36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70E4D2F"/>
    <w:multiLevelType w:val="hybridMultilevel"/>
    <w:tmpl w:val="747E9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874D91"/>
    <w:multiLevelType w:val="hybridMultilevel"/>
    <w:tmpl w:val="F2703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5171AB"/>
    <w:multiLevelType w:val="hybridMultilevel"/>
    <w:tmpl w:val="0C4AE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D47736"/>
    <w:multiLevelType w:val="hybridMultilevel"/>
    <w:tmpl w:val="43D23FB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0CAC424E"/>
    <w:multiLevelType w:val="hybridMultilevel"/>
    <w:tmpl w:val="F744937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0CC17164"/>
    <w:multiLevelType w:val="hybridMultilevel"/>
    <w:tmpl w:val="83327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842EF9"/>
    <w:multiLevelType w:val="hybridMultilevel"/>
    <w:tmpl w:val="A4B89734"/>
    <w:lvl w:ilvl="0" w:tplc="0C090001">
      <w:start w:val="1"/>
      <w:numFmt w:val="bullet"/>
      <w:lvlText w:val=""/>
      <w:lvlJc w:val="left"/>
      <w:pPr>
        <w:ind w:left="1089"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11" w15:restartNumberingAfterBreak="0">
    <w:nsid w:val="15B022CC"/>
    <w:multiLevelType w:val="hybridMultilevel"/>
    <w:tmpl w:val="5CFCB6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C37E70"/>
    <w:multiLevelType w:val="hybridMultilevel"/>
    <w:tmpl w:val="86B69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AF56DD"/>
    <w:multiLevelType w:val="hybridMultilevel"/>
    <w:tmpl w:val="44E8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745BC2"/>
    <w:multiLevelType w:val="multilevel"/>
    <w:tmpl w:val="E5E89F92"/>
    <w:numStyleLink w:val="BulletList"/>
  </w:abstractNum>
  <w:abstractNum w:abstractNumId="15" w15:restartNumberingAfterBreak="0">
    <w:nsid w:val="239E1341"/>
    <w:multiLevelType w:val="hybridMultilevel"/>
    <w:tmpl w:val="C4BAD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5A14E7"/>
    <w:multiLevelType w:val="hybridMultilevel"/>
    <w:tmpl w:val="7C74DFE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277437DB"/>
    <w:multiLevelType w:val="hybridMultilevel"/>
    <w:tmpl w:val="F8DA4A9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6300BDE"/>
    <w:multiLevelType w:val="hybridMultilevel"/>
    <w:tmpl w:val="0E3C6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DC14B5"/>
    <w:multiLevelType w:val="hybridMultilevel"/>
    <w:tmpl w:val="1E227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3012E8"/>
    <w:multiLevelType w:val="hybridMultilevel"/>
    <w:tmpl w:val="F7ECC352"/>
    <w:lvl w:ilvl="0" w:tplc="0C090001">
      <w:start w:val="1"/>
      <w:numFmt w:val="bullet"/>
      <w:lvlText w:val=""/>
      <w:lvlJc w:val="left"/>
      <w:pPr>
        <w:ind w:left="1089"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23" w15:restartNumberingAfterBreak="0">
    <w:nsid w:val="41D67C41"/>
    <w:multiLevelType w:val="hybridMultilevel"/>
    <w:tmpl w:val="4CDC1678"/>
    <w:lvl w:ilvl="0" w:tplc="0C090001">
      <w:start w:val="1"/>
      <w:numFmt w:val="bullet"/>
      <w:lvlText w:val=""/>
      <w:lvlJc w:val="left"/>
      <w:pPr>
        <w:ind w:left="1089"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24" w15:restartNumberingAfterBreak="0">
    <w:nsid w:val="4FF23BD7"/>
    <w:multiLevelType w:val="hybridMultilevel"/>
    <w:tmpl w:val="D612E82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20E1B6E"/>
    <w:multiLevelType w:val="hybridMultilevel"/>
    <w:tmpl w:val="049AF5C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15:restartNumberingAfterBreak="0">
    <w:nsid w:val="53C1601F"/>
    <w:multiLevelType w:val="hybridMultilevel"/>
    <w:tmpl w:val="AE22E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1035CC"/>
    <w:multiLevelType w:val="hybridMultilevel"/>
    <w:tmpl w:val="093C909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8" w15:restartNumberingAfterBreak="0">
    <w:nsid w:val="5E105A08"/>
    <w:multiLevelType w:val="hybridMultilevel"/>
    <w:tmpl w:val="54DCC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0A31FF"/>
    <w:multiLevelType w:val="hybridMultilevel"/>
    <w:tmpl w:val="7D907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251A37"/>
    <w:multiLevelType w:val="hybridMultilevel"/>
    <w:tmpl w:val="6E82F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56429"/>
    <w:multiLevelType w:val="multilevel"/>
    <w:tmpl w:val="E898CC72"/>
    <w:numStyleLink w:val="KeyPoints"/>
  </w:abstractNum>
  <w:abstractNum w:abstractNumId="32" w15:restartNumberingAfterBreak="0">
    <w:nsid w:val="6FCA5727"/>
    <w:multiLevelType w:val="hybridMultilevel"/>
    <w:tmpl w:val="4FD625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4CD2EB1"/>
    <w:multiLevelType w:val="multilevel"/>
    <w:tmpl w:val="D7289420"/>
    <w:lvl w:ilvl="0">
      <w:start w:val="1"/>
      <w:numFmt w:val="bullet"/>
      <w:pStyle w:val="Exampletextbullet"/>
      <w:lvlText w:val=""/>
      <w:lvlJc w:val="left"/>
      <w:pPr>
        <w:tabs>
          <w:tab w:val="num" w:pos="284"/>
        </w:tabs>
        <w:ind w:left="284" w:hanging="284"/>
      </w:pPr>
      <w:rPr>
        <w:rFonts w:ascii="Symbol" w:hAnsi="Symbol" w:hint="default"/>
        <w:b w:val="0"/>
        <w:i w:val="0"/>
        <w:color w:val="auto"/>
      </w:rPr>
    </w:lvl>
    <w:lvl w:ilvl="1">
      <w:start w:val="1"/>
      <w:numFmt w:val="decimal"/>
      <w:pStyle w:val="Exampletextdash"/>
      <w:lvlText w:val="–"/>
      <w:lvlJc w:val="left"/>
      <w:pPr>
        <w:tabs>
          <w:tab w:val="num" w:pos="567"/>
        </w:tabs>
        <w:ind w:left="567" w:hanging="283"/>
      </w:pPr>
      <w:rPr>
        <w:rFonts w:ascii="9999999" w:hAnsi="9999999"/>
        <w:b w:val="0"/>
        <w:i w:val="0"/>
        <w:color w:val="auto"/>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4"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5" w15:restartNumberingAfterBreak="0">
    <w:nsid w:val="770A0935"/>
    <w:multiLevelType w:val="hybridMultilevel"/>
    <w:tmpl w:val="B3FA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D01194"/>
    <w:multiLevelType w:val="hybridMultilevel"/>
    <w:tmpl w:val="192CF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D54226"/>
    <w:multiLevelType w:val="hybridMultilevel"/>
    <w:tmpl w:val="CD1E7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58690C"/>
    <w:multiLevelType w:val="hybridMultilevel"/>
    <w:tmpl w:val="099C02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9" w15:restartNumberingAfterBreak="0">
    <w:nsid w:val="7F9542F3"/>
    <w:multiLevelType w:val="hybridMultilevel"/>
    <w:tmpl w:val="4A9C9D76"/>
    <w:lvl w:ilvl="0" w:tplc="0C090001">
      <w:start w:val="1"/>
      <w:numFmt w:val="bullet"/>
      <w:lvlText w:val=""/>
      <w:lvlJc w:val="left"/>
      <w:pPr>
        <w:ind w:left="1089"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num w:numId="1">
    <w:abstractNumId w:val="34"/>
  </w:num>
  <w:num w:numId="2">
    <w:abstractNumId w:val="0"/>
  </w:num>
  <w:num w:numId="3">
    <w:abstractNumId w:val="19"/>
  </w:num>
  <w:num w:numId="4">
    <w:abstractNumId w:val="18"/>
  </w:num>
  <w:num w:numId="5">
    <w:abstractNumId w:val="31"/>
  </w:num>
  <w:num w:numId="6">
    <w:abstractNumId w:val="14"/>
  </w:num>
  <w:num w:numId="7">
    <w:abstractNumId w:val="30"/>
  </w:num>
  <w:num w:numId="8">
    <w:abstractNumId w:val="13"/>
  </w:num>
  <w:num w:numId="9">
    <w:abstractNumId w:val="9"/>
  </w:num>
  <w:num w:numId="10">
    <w:abstractNumId w:val="36"/>
  </w:num>
  <w:num w:numId="11">
    <w:abstractNumId w:val="27"/>
  </w:num>
  <w:num w:numId="12">
    <w:abstractNumId w:val="25"/>
  </w:num>
  <w:num w:numId="13">
    <w:abstractNumId w:val="21"/>
  </w:num>
  <w:num w:numId="14">
    <w:abstractNumId w:val="20"/>
  </w:num>
  <w:num w:numId="15">
    <w:abstractNumId w:val="35"/>
  </w:num>
  <w:num w:numId="16">
    <w:abstractNumId w:val="5"/>
  </w:num>
  <w:num w:numId="17">
    <w:abstractNumId w:val="37"/>
  </w:num>
  <w:num w:numId="18">
    <w:abstractNumId w:val="4"/>
  </w:num>
  <w:num w:numId="19">
    <w:abstractNumId w:val="29"/>
  </w:num>
  <w:num w:numId="20">
    <w:abstractNumId w:val="11"/>
  </w:num>
  <w:num w:numId="21">
    <w:abstractNumId w:val="8"/>
  </w:num>
  <w:num w:numId="22">
    <w:abstractNumId w:val="17"/>
  </w:num>
  <w:num w:numId="23">
    <w:abstractNumId w:val="16"/>
  </w:num>
  <w:num w:numId="24">
    <w:abstractNumId w:val="7"/>
  </w:num>
  <w:num w:numId="25">
    <w:abstractNumId w:val="12"/>
  </w:num>
  <w:num w:numId="26">
    <w:abstractNumId w:val="38"/>
  </w:num>
  <w:num w:numId="27">
    <w:abstractNumId w:val="28"/>
  </w:num>
  <w:num w:numId="28">
    <w:abstractNumId w:val="1"/>
  </w:num>
  <w:num w:numId="29">
    <w:abstractNumId w:val="3"/>
  </w:num>
  <w:num w:numId="30">
    <w:abstractNumId w:val="32"/>
  </w:num>
  <w:num w:numId="31">
    <w:abstractNumId w:val="33"/>
  </w:num>
  <w:num w:numId="32">
    <w:abstractNumId w:val="24"/>
  </w:num>
  <w:num w:numId="33">
    <w:abstractNumId w:val="31"/>
    <w:lvlOverride w:ilvl="0">
      <w:lvl w:ilvl="0">
        <w:start w:val="1"/>
        <w:numFmt w:val="decimal"/>
        <w:pStyle w:val="ListNumber"/>
        <w:lvlText w:val="%1."/>
        <w:lvlJc w:val="left"/>
        <w:pPr>
          <w:ind w:left="369" w:hanging="369"/>
        </w:pPr>
        <w:rPr>
          <w:rFonts w:ascii="Arial" w:hAnsi="Arial" w:hint="default"/>
          <w:sz w:val="16"/>
        </w:rPr>
      </w:lvl>
    </w:lvlOverride>
  </w:num>
  <w:num w:numId="34">
    <w:abstractNumId w:val="14"/>
    <w:lvlOverride w:ilvl="0">
      <w:lvl w:ilvl="0">
        <w:start w:val="1"/>
        <w:numFmt w:val="bullet"/>
        <w:pStyle w:val="ListBullet"/>
        <w:lvlText w:val=""/>
        <w:lvlJc w:val="left"/>
        <w:pPr>
          <w:ind w:left="369" w:hanging="369"/>
        </w:pPr>
        <w:rPr>
          <w:rFonts w:ascii="Symbol" w:hAnsi="Symbol" w:hint="default"/>
          <w:sz w:val="14"/>
          <w:szCs w:val="14"/>
        </w:rPr>
      </w:lvl>
    </w:lvlOverride>
  </w:num>
  <w:num w:numId="35">
    <w:abstractNumId w:val="2"/>
  </w:num>
  <w:num w:numId="36">
    <w:abstractNumId w:val="23"/>
  </w:num>
  <w:num w:numId="37">
    <w:abstractNumId w:val="6"/>
  </w:num>
  <w:num w:numId="38">
    <w:abstractNumId w:val="15"/>
  </w:num>
  <w:num w:numId="39">
    <w:abstractNumId w:val="26"/>
  </w:num>
  <w:num w:numId="40">
    <w:abstractNumId w:val="22"/>
  </w:num>
  <w:num w:numId="41">
    <w:abstractNumId w:val="39"/>
  </w:num>
  <w:num w:numId="42">
    <w:abstractNumId w:val="10"/>
  </w:num>
  <w:num w:numId="43">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7D2"/>
    <w:rsid w:val="00001681"/>
    <w:rsid w:val="00004AEE"/>
    <w:rsid w:val="000052B5"/>
    <w:rsid w:val="00005CAA"/>
    <w:rsid w:val="00010210"/>
    <w:rsid w:val="00012D66"/>
    <w:rsid w:val="00012FE9"/>
    <w:rsid w:val="000157C2"/>
    <w:rsid w:val="00015ADA"/>
    <w:rsid w:val="00020C99"/>
    <w:rsid w:val="00022D8E"/>
    <w:rsid w:val="00024DBF"/>
    <w:rsid w:val="00026827"/>
    <w:rsid w:val="0002707B"/>
    <w:rsid w:val="00031C3A"/>
    <w:rsid w:val="0003729D"/>
    <w:rsid w:val="00047DE8"/>
    <w:rsid w:val="0005148E"/>
    <w:rsid w:val="00053F76"/>
    <w:rsid w:val="00056F1A"/>
    <w:rsid w:val="0006161A"/>
    <w:rsid w:val="00061642"/>
    <w:rsid w:val="00066651"/>
    <w:rsid w:val="000668B9"/>
    <w:rsid w:val="000712D7"/>
    <w:rsid w:val="00072C5A"/>
    <w:rsid w:val="00072DFB"/>
    <w:rsid w:val="00073018"/>
    <w:rsid w:val="00075462"/>
    <w:rsid w:val="000759E5"/>
    <w:rsid w:val="000806E5"/>
    <w:rsid w:val="00082B00"/>
    <w:rsid w:val="00084AC6"/>
    <w:rsid w:val="000859F2"/>
    <w:rsid w:val="00085C95"/>
    <w:rsid w:val="000878AF"/>
    <w:rsid w:val="00091608"/>
    <w:rsid w:val="00093323"/>
    <w:rsid w:val="0009333C"/>
    <w:rsid w:val="00093D9E"/>
    <w:rsid w:val="00095A2F"/>
    <w:rsid w:val="0009704F"/>
    <w:rsid w:val="00097DA8"/>
    <w:rsid w:val="000A0B63"/>
    <w:rsid w:val="000A0F11"/>
    <w:rsid w:val="000A125A"/>
    <w:rsid w:val="000A2F4B"/>
    <w:rsid w:val="000A57CD"/>
    <w:rsid w:val="000B0066"/>
    <w:rsid w:val="000B275D"/>
    <w:rsid w:val="000B36B1"/>
    <w:rsid w:val="000B3758"/>
    <w:rsid w:val="000B504F"/>
    <w:rsid w:val="000B5E72"/>
    <w:rsid w:val="000B6D3B"/>
    <w:rsid w:val="000B7681"/>
    <w:rsid w:val="000B7B42"/>
    <w:rsid w:val="000C02B7"/>
    <w:rsid w:val="000C0C80"/>
    <w:rsid w:val="000C0C99"/>
    <w:rsid w:val="000C376A"/>
    <w:rsid w:val="000C5100"/>
    <w:rsid w:val="000C5342"/>
    <w:rsid w:val="000C706A"/>
    <w:rsid w:val="000D239F"/>
    <w:rsid w:val="000D27D5"/>
    <w:rsid w:val="000D2887"/>
    <w:rsid w:val="000D6D63"/>
    <w:rsid w:val="000E0081"/>
    <w:rsid w:val="000E07CF"/>
    <w:rsid w:val="000E0F4F"/>
    <w:rsid w:val="000E23CD"/>
    <w:rsid w:val="000E31C1"/>
    <w:rsid w:val="000E38DE"/>
    <w:rsid w:val="000E3C0D"/>
    <w:rsid w:val="000E4266"/>
    <w:rsid w:val="000F0A63"/>
    <w:rsid w:val="000F2671"/>
    <w:rsid w:val="000F2CF2"/>
    <w:rsid w:val="000F4034"/>
    <w:rsid w:val="000F7869"/>
    <w:rsid w:val="00100BEF"/>
    <w:rsid w:val="00103D3C"/>
    <w:rsid w:val="001067B3"/>
    <w:rsid w:val="001067D3"/>
    <w:rsid w:val="001072C5"/>
    <w:rsid w:val="001104DD"/>
    <w:rsid w:val="00111326"/>
    <w:rsid w:val="0011470C"/>
    <w:rsid w:val="0011498E"/>
    <w:rsid w:val="00117A45"/>
    <w:rsid w:val="00117BDF"/>
    <w:rsid w:val="00117E53"/>
    <w:rsid w:val="00117E92"/>
    <w:rsid w:val="001224AE"/>
    <w:rsid w:val="001300BC"/>
    <w:rsid w:val="00130799"/>
    <w:rsid w:val="00131FD1"/>
    <w:rsid w:val="001320FA"/>
    <w:rsid w:val="001337D4"/>
    <w:rsid w:val="0013636F"/>
    <w:rsid w:val="001427B2"/>
    <w:rsid w:val="0014323E"/>
    <w:rsid w:val="001458F1"/>
    <w:rsid w:val="00147636"/>
    <w:rsid w:val="00147C12"/>
    <w:rsid w:val="001527A1"/>
    <w:rsid w:val="001530DC"/>
    <w:rsid w:val="00154989"/>
    <w:rsid w:val="00154A5B"/>
    <w:rsid w:val="00155A9F"/>
    <w:rsid w:val="00155C14"/>
    <w:rsid w:val="00160262"/>
    <w:rsid w:val="00162185"/>
    <w:rsid w:val="001628BA"/>
    <w:rsid w:val="001649A3"/>
    <w:rsid w:val="0016780A"/>
    <w:rsid w:val="00170F72"/>
    <w:rsid w:val="001713FA"/>
    <w:rsid w:val="0017305D"/>
    <w:rsid w:val="00173EBF"/>
    <w:rsid w:val="00175ED3"/>
    <w:rsid w:val="0017651F"/>
    <w:rsid w:val="001772E5"/>
    <w:rsid w:val="00177C44"/>
    <w:rsid w:val="00180FC2"/>
    <w:rsid w:val="00180FC5"/>
    <w:rsid w:val="001810DF"/>
    <w:rsid w:val="00182C69"/>
    <w:rsid w:val="001842A2"/>
    <w:rsid w:val="00184AF6"/>
    <w:rsid w:val="00185B9F"/>
    <w:rsid w:val="00187FA8"/>
    <w:rsid w:val="00191301"/>
    <w:rsid w:val="00192F5E"/>
    <w:rsid w:val="00193E74"/>
    <w:rsid w:val="00197772"/>
    <w:rsid w:val="001A088C"/>
    <w:rsid w:val="001A0CFC"/>
    <w:rsid w:val="001A4DC2"/>
    <w:rsid w:val="001A51C8"/>
    <w:rsid w:val="001A54A8"/>
    <w:rsid w:val="001A6F7B"/>
    <w:rsid w:val="001B314F"/>
    <w:rsid w:val="001B4CA8"/>
    <w:rsid w:val="001B5EA1"/>
    <w:rsid w:val="001B6207"/>
    <w:rsid w:val="001B6966"/>
    <w:rsid w:val="001C4F3D"/>
    <w:rsid w:val="001C7CDB"/>
    <w:rsid w:val="001D07E7"/>
    <w:rsid w:val="001D0CDC"/>
    <w:rsid w:val="001D1281"/>
    <w:rsid w:val="001D1D82"/>
    <w:rsid w:val="001D23C2"/>
    <w:rsid w:val="001E0820"/>
    <w:rsid w:val="001E1182"/>
    <w:rsid w:val="001E2167"/>
    <w:rsid w:val="001E4086"/>
    <w:rsid w:val="001E5E41"/>
    <w:rsid w:val="001F4E77"/>
    <w:rsid w:val="001F5819"/>
    <w:rsid w:val="0020280C"/>
    <w:rsid w:val="00202C90"/>
    <w:rsid w:val="0020381B"/>
    <w:rsid w:val="00203AD7"/>
    <w:rsid w:val="0021364C"/>
    <w:rsid w:val="00213DE8"/>
    <w:rsid w:val="00214341"/>
    <w:rsid w:val="00214F62"/>
    <w:rsid w:val="00216118"/>
    <w:rsid w:val="002209AB"/>
    <w:rsid w:val="0022100A"/>
    <w:rsid w:val="002251E3"/>
    <w:rsid w:val="00225216"/>
    <w:rsid w:val="002276A3"/>
    <w:rsid w:val="00227A95"/>
    <w:rsid w:val="002316BD"/>
    <w:rsid w:val="00232BAD"/>
    <w:rsid w:val="002367BF"/>
    <w:rsid w:val="00240461"/>
    <w:rsid w:val="00240496"/>
    <w:rsid w:val="00245834"/>
    <w:rsid w:val="0024609F"/>
    <w:rsid w:val="00246A0B"/>
    <w:rsid w:val="00246F20"/>
    <w:rsid w:val="002473FC"/>
    <w:rsid w:val="00252E3C"/>
    <w:rsid w:val="00255F70"/>
    <w:rsid w:val="00257779"/>
    <w:rsid w:val="00262198"/>
    <w:rsid w:val="002628E5"/>
    <w:rsid w:val="00264553"/>
    <w:rsid w:val="00264DB6"/>
    <w:rsid w:val="00270ED7"/>
    <w:rsid w:val="002754F0"/>
    <w:rsid w:val="00275F3E"/>
    <w:rsid w:val="00276079"/>
    <w:rsid w:val="00276994"/>
    <w:rsid w:val="00276B2E"/>
    <w:rsid w:val="00285F1B"/>
    <w:rsid w:val="00291A57"/>
    <w:rsid w:val="00292997"/>
    <w:rsid w:val="00292B81"/>
    <w:rsid w:val="00294B4A"/>
    <w:rsid w:val="002951AF"/>
    <w:rsid w:val="0029576B"/>
    <w:rsid w:val="0029688F"/>
    <w:rsid w:val="00297838"/>
    <w:rsid w:val="002A028E"/>
    <w:rsid w:val="002A0849"/>
    <w:rsid w:val="002A6C44"/>
    <w:rsid w:val="002B0717"/>
    <w:rsid w:val="002B18AE"/>
    <w:rsid w:val="002B297C"/>
    <w:rsid w:val="002B3D16"/>
    <w:rsid w:val="002C1C93"/>
    <w:rsid w:val="002C3474"/>
    <w:rsid w:val="002C4D84"/>
    <w:rsid w:val="002C5066"/>
    <w:rsid w:val="002C548D"/>
    <w:rsid w:val="002C5813"/>
    <w:rsid w:val="002D4AAC"/>
    <w:rsid w:val="002D54C6"/>
    <w:rsid w:val="002E290C"/>
    <w:rsid w:val="002E7E75"/>
    <w:rsid w:val="002F045A"/>
    <w:rsid w:val="002F0620"/>
    <w:rsid w:val="002F396A"/>
    <w:rsid w:val="002F4664"/>
    <w:rsid w:val="002F621D"/>
    <w:rsid w:val="002F6436"/>
    <w:rsid w:val="0030039D"/>
    <w:rsid w:val="00302D88"/>
    <w:rsid w:val="0030326F"/>
    <w:rsid w:val="00304ACB"/>
    <w:rsid w:val="0030539C"/>
    <w:rsid w:val="00310701"/>
    <w:rsid w:val="00312090"/>
    <w:rsid w:val="00313631"/>
    <w:rsid w:val="00315980"/>
    <w:rsid w:val="00316F7F"/>
    <w:rsid w:val="003210FA"/>
    <w:rsid w:val="003218E8"/>
    <w:rsid w:val="00322501"/>
    <w:rsid w:val="00322A3A"/>
    <w:rsid w:val="00325E34"/>
    <w:rsid w:val="003301E9"/>
    <w:rsid w:val="0033059D"/>
    <w:rsid w:val="003308A4"/>
    <w:rsid w:val="00330DCE"/>
    <w:rsid w:val="00331E11"/>
    <w:rsid w:val="00334761"/>
    <w:rsid w:val="00335B61"/>
    <w:rsid w:val="00337EBC"/>
    <w:rsid w:val="00341658"/>
    <w:rsid w:val="00341DCD"/>
    <w:rsid w:val="0034290F"/>
    <w:rsid w:val="00342E19"/>
    <w:rsid w:val="0034563E"/>
    <w:rsid w:val="00345736"/>
    <w:rsid w:val="003467AB"/>
    <w:rsid w:val="003518D6"/>
    <w:rsid w:val="003539C5"/>
    <w:rsid w:val="0035460C"/>
    <w:rsid w:val="003556BD"/>
    <w:rsid w:val="003558D8"/>
    <w:rsid w:val="00361044"/>
    <w:rsid w:val="003614FE"/>
    <w:rsid w:val="00361C93"/>
    <w:rsid w:val="00363C4C"/>
    <w:rsid w:val="00365147"/>
    <w:rsid w:val="0037016E"/>
    <w:rsid w:val="00370BC7"/>
    <w:rsid w:val="00372908"/>
    <w:rsid w:val="003731AD"/>
    <w:rsid w:val="00376D47"/>
    <w:rsid w:val="00383020"/>
    <w:rsid w:val="00384A45"/>
    <w:rsid w:val="00384F55"/>
    <w:rsid w:val="003901DE"/>
    <w:rsid w:val="00391F4D"/>
    <w:rsid w:val="003946D8"/>
    <w:rsid w:val="00394D7E"/>
    <w:rsid w:val="003975FD"/>
    <w:rsid w:val="003A007F"/>
    <w:rsid w:val="003A1259"/>
    <w:rsid w:val="003A19AA"/>
    <w:rsid w:val="003A5915"/>
    <w:rsid w:val="003A5B45"/>
    <w:rsid w:val="003A6B63"/>
    <w:rsid w:val="003B057D"/>
    <w:rsid w:val="003B2833"/>
    <w:rsid w:val="003B4AA8"/>
    <w:rsid w:val="003B4F08"/>
    <w:rsid w:val="003B60CC"/>
    <w:rsid w:val="003C1B25"/>
    <w:rsid w:val="003C2443"/>
    <w:rsid w:val="003C300A"/>
    <w:rsid w:val="003C40F3"/>
    <w:rsid w:val="003C42A1"/>
    <w:rsid w:val="003C48DC"/>
    <w:rsid w:val="003C5873"/>
    <w:rsid w:val="003C5DA3"/>
    <w:rsid w:val="003D4BCD"/>
    <w:rsid w:val="003D6C2B"/>
    <w:rsid w:val="003E01D8"/>
    <w:rsid w:val="003E103A"/>
    <w:rsid w:val="003E2100"/>
    <w:rsid w:val="003E3478"/>
    <w:rsid w:val="003F6F5B"/>
    <w:rsid w:val="0040026D"/>
    <w:rsid w:val="00401573"/>
    <w:rsid w:val="00401631"/>
    <w:rsid w:val="0040342D"/>
    <w:rsid w:val="0041192D"/>
    <w:rsid w:val="00413EE1"/>
    <w:rsid w:val="004203DE"/>
    <w:rsid w:val="0042128E"/>
    <w:rsid w:val="0042187C"/>
    <w:rsid w:val="00422640"/>
    <w:rsid w:val="0042419C"/>
    <w:rsid w:val="00424A49"/>
    <w:rsid w:val="00432B60"/>
    <w:rsid w:val="0043575E"/>
    <w:rsid w:val="004365C5"/>
    <w:rsid w:val="00440698"/>
    <w:rsid w:val="00440F2B"/>
    <w:rsid w:val="00442781"/>
    <w:rsid w:val="004449F7"/>
    <w:rsid w:val="004464EF"/>
    <w:rsid w:val="0044759A"/>
    <w:rsid w:val="00451487"/>
    <w:rsid w:val="0045237A"/>
    <w:rsid w:val="004540E2"/>
    <w:rsid w:val="00454454"/>
    <w:rsid w:val="00454DF9"/>
    <w:rsid w:val="00455E32"/>
    <w:rsid w:val="0045626D"/>
    <w:rsid w:val="0046081E"/>
    <w:rsid w:val="00462735"/>
    <w:rsid w:val="00463DE5"/>
    <w:rsid w:val="00463F41"/>
    <w:rsid w:val="00464FCA"/>
    <w:rsid w:val="00467924"/>
    <w:rsid w:val="00470537"/>
    <w:rsid w:val="004712A5"/>
    <w:rsid w:val="0047266F"/>
    <w:rsid w:val="00474CAE"/>
    <w:rsid w:val="00474E7A"/>
    <w:rsid w:val="004758AA"/>
    <w:rsid w:val="00476D6B"/>
    <w:rsid w:val="00484F25"/>
    <w:rsid w:val="00492103"/>
    <w:rsid w:val="00492C16"/>
    <w:rsid w:val="0049336D"/>
    <w:rsid w:val="0049383A"/>
    <w:rsid w:val="00497DD7"/>
    <w:rsid w:val="004A04F7"/>
    <w:rsid w:val="004A0678"/>
    <w:rsid w:val="004A173E"/>
    <w:rsid w:val="004A1835"/>
    <w:rsid w:val="004A1AC6"/>
    <w:rsid w:val="004A226F"/>
    <w:rsid w:val="004A48A3"/>
    <w:rsid w:val="004B0D92"/>
    <w:rsid w:val="004B0EC0"/>
    <w:rsid w:val="004B2512"/>
    <w:rsid w:val="004B4920"/>
    <w:rsid w:val="004B66F1"/>
    <w:rsid w:val="004C0264"/>
    <w:rsid w:val="004C3676"/>
    <w:rsid w:val="004C3EA0"/>
    <w:rsid w:val="004C71CC"/>
    <w:rsid w:val="004D1716"/>
    <w:rsid w:val="004D1B3D"/>
    <w:rsid w:val="004D1D97"/>
    <w:rsid w:val="004D24C1"/>
    <w:rsid w:val="004D275E"/>
    <w:rsid w:val="004D5DC2"/>
    <w:rsid w:val="004E0DB0"/>
    <w:rsid w:val="004E1A5E"/>
    <w:rsid w:val="004E3028"/>
    <w:rsid w:val="004F0184"/>
    <w:rsid w:val="004F2B19"/>
    <w:rsid w:val="004F6F0A"/>
    <w:rsid w:val="004F7169"/>
    <w:rsid w:val="00500392"/>
    <w:rsid w:val="00500D66"/>
    <w:rsid w:val="00507774"/>
    <w:rsid w:val="0050784E"/>
    <w:rsid w:val="005103CE"/>
    <w:rsid w:val="005104FA"/>
    <w:rsid w:val="00514C8E"/>
    <w:rsid w:val="005172CE"/>
    <w:rsid w:val="005236CD"/>
    <w:rsid w:val="0052485E"/>
    <w:rsid w:val="00524907"/>
    <w:rsid w:val="005249AD"/>
    <w:rsid w:val="00527867"/>
    <w:rsid w:val="0053040F"/>
    <w:rsid w:val="00531DBF"/>
    <w:rsid w:val="00532ACC"/>
    <w:rsid w:val="005353D5"/>
    <w:rsid w:val="005369DD"/>
    <w:rsid w:val="00540127"/>
    <w:rsid w:val="0054243C"/>
    <w:rsid w:val="00545282"/>
    <w:rsid w:val="00545759"/>
    <w:rsid w:val="00545BE0"/>
    <w:rsid w:val="00546930"/>
    <w:rsid w:val="00553DD0"/>
    <w:rsid w:val="00554C6A"/>
    <w:rsid w:val="00554E2C"/>
    <w:rsid w:val="00562E85"/>
    <w:rsid w:val="0056332F"/>
    <w:rsid w:val="00563467"/>
    <w:rsid w:val="00563C02"/>
    <w:rsid w:val="0056484D"/>
    <w:rsid w:val="00565B2E"/>
    <w:rsid w:val="0057138C"/>
    <w:rsid w:val="005719B3"/>
    <w:rsid w:val="005723F5"/>
    <w:rsid w:val="0057295E"/>
    <w:rsid w:val="00574964"/>
    <w:rsid w:val="00576E49"/>
    <w:rsid w:val="00581C39"/>
    <w:rsid w:val="005867FB"/>
    <w:rsid w:val="0058692A"/>
    <w:rsid w:val="005903B6"/>
    <w:rsid w:val="0059084E"/>
    <w:rsid w:val="00591FB0"/>
    <w:rsid w:val="005A0247"/>
    <w:rsid w:val="005A126E"/>
    <w:rsid w:val="005A4278"/>
    <w:rsid w:val="005A452F"/>
    <w:rsid w:val="005A46B5"/>
    <w:rsid w:val="005A7D4D"/>
    <w:rsid w:val="005B0487"/>
    <w:rsid w:val="005B140D"/>
    <w:rsid w:val="005B1AFF"/>
    <w:rsid w:val="005B3348"/>
    <w:rsid w:val="005B360F"/>
    <w:rsid w:val="005B4983"/>
    <w:rsid w:val="005C1FEA"/>
    <w:rsid w:val="005C3495"/>
    <w:rsid w:val="005C6342"/>
    <w:rsid w:val="005C72F4"/>
    <w:rsid w:val="005D008E"/>
    <w:rsid w:val="005D1E49"/>
    <w:rsid w:val="005D3483"/>
    <w:rsid w:val="005D46CF"/>
    <w:rsid w:val="005E0BF3"/>
    <w:rsid w:val="005E2DE0"/>
    <w:rsid w:val="005E3DFC"/>
    <w:rsid w:val="005E5942"/>
    <w:rsid w:val="005E60AF"/>
    <w:rsid w:val="005E70EE"/>
    <w:rsid w:val="005E7391"/>
    <w:rsid w:val="005F00C4"/>
    <w:rsid w:val="005F0A41"/>
    <w:rsid w:val="005F1DEA"/>
    <w:rsid w:val="00600519"/>
    <w:rsid w:val="006009A6"/>
    <w:rsid w:val="006030FB"/>
    <w:rsid w:val="00607573"/>
    <w:rsid w:val="00607FC9"/>
    <w:rsid w:val="00615EB2"/>
    <w:rsid w:val="00620CD5"/>
    <w:rsid w:val="00621466"/>
    <w:rsid w:val="00622415"/>
    <w:rsid w:val="00622FE1"/>
    <w:rsid w:val="006251F1"/>
    <w:rsid w:val="0062521C"/>
    <w:rsid w:val="00627742"/>
    <w:rsid w:val="00630331"/>
    <w:rsid w:val="00630A2B"/>
    <w:rsid w:val="00632DC7"/>
    <w:rsid w:val="006357FB"/>
    <w:rsid w:val="006406FC"/>
    <w:rsid w:val="00640E57"/>
    <w:rsid w:val="00640F61"/>
    <w:rsid w:val="00641E59"/>
    <w:rsid w:val="00643355"/>
    <w:rsid w:val="00645BC7"/>
    <w:rsid w:val="00646122"/>
    <w:rsid w:val="0065018A"/>
    <w:rsid w:val="00653E16"/>
    <w:rsid w:val="0065484A"/>
    <w:rsid w:val="00657220"/>
    <w:rsid w:val="00657362"/>
    <w:rsid w:val="0066104B"/>
    <w:rsid w:val="0066490D"/>
    <w:rsid w:val="0066531B"/>
    <w:rsid w:val="006655EE"/>
    <w:rsid w:val="006659D3"/>
    <w:rsid w:val="0066757A"/>
    <w:rsid w:val="00667C10"/>
    <w:rsid w:val="00667EF4"/>
    <w:rsid w:val="006705D9"/>
    <w:rsid w:val="00672687"/>
    <w:rsid w:val="00674066"/>
    <w:rsid w:val="006740FB"/>
    <w:rsid w:val="0067590B"/>
    <w:rsid w:val="00676FCA"/>
    <w:rsid w:val="00677177"/>
    <w:rsid w:val="00684B10"/>
    <w:rsid w:val="0068612E"/>
    <w:rsid w:val="00687C92"/>
    <w:rsid w:val="00690639"/>
    <w:rsid w:val="006921B9"/>
    <w:rsid w:val="0069234E"/>
    <w:rsid w:val="00693443"/>
    <w:rsid w:val="00694BD8"/>
    <w:rsid w:val="0069534E"/>
    <w:rsid w:val="00695372"/>
    <w:rsid w:val="0069669C"/>
    <w:rsid w:val="006A02AE"/>
    <w:rsid w:val="006A031B"/>
    <w:rsid w:val="006A1200"/>
    <w:rsid w:val="006A2B3C"/>
    <w:rsid w:val="006A4F4E"/>
    <w:rsid w:val="006A52FE"/>
    <w:rsid w:val="006A5A65"/>
    <w:rsid w:val="006A6C23"/>
    <w:rsid w:val="006B06F6"/>
    <w:rsid w:val="006B14DB"/>
    <w:rsid w:val="006B21C4"/>
    <w:rsid w:val="006B36DA"/>
    <w:rsid w:val="006B41A4"/>
    <w:rsid w:val="006B4BB8"/>
    <w:rsid w:val="006B6452"/>
    <w:rsid w:val="006C17AD"/>
    <w:rsid w:val="006C28E1"/>
    <w:rsid w:val="006C32FE"/>
    <w:rsid w:val="006C4A1A"/>
    <w:rsid w:val="006C5765"/>
    <w:rsid w:val="006C7698"/>
    <w:rsid w:val="006D0393"/>
    <w:rsid w:val="006D1A83"/>
    <w:rsid w:val="006D694C"/>
    <w:rsid w:val="006E1CFE"/>
    <w:rsid w:val="006E5070"/>
    <w:rsid w:val="006E51FF"/>
    <w:rsid w:val="006E7046"/>
    <w:rsid w:val="006F10C4"/>
    <w:rsid w:val="006F1673"/>
    <w:rsid w:val="006F347E"/>
    <w:rsid w:val="006F40E9"/>
    <w:rsid w:val="006F4F7C"/>
    <w:rsid w:val="006F5603"/>
    <w:rsid w:val="006F5A1A"/>
    <w:rsid w:val="006F5D47"/>
    <w:rsid w:val="006F7B87"/>
    <w:rsid w:val="00700994"/>
    <w:rsid w:val="00701400"/>
    <w:rsid w:val="00702700"/>
    <w:rsid w:val="007037CF"/>
    <w:rsid w:val="0070642D"/>
    <w:rsid w:val="00707E72"/>
    <w:rsid w:val="007167C0"/>
    <w:rsid w:val="00720481"/>
    <w:rsid w:val="00720BC1"/>
    <w:rsid w:val="00720DF9"/>
    <w:rsid w:val="00721803"/>
    <w:rsid w:val="00721874"/>
    <w:rsid w:val="00726B64"/>
    <w:rsid w:val="007309EB"/>
    <w:rsid w:val="00733193"/>
    <w:rsid w:val="007339D5"/>
    <w:rsid w:val="00734D3B"/>
    <w:rsid w:val="00736881"/>
    <w:rsid w:val="00736B84"/>
    <w:rsid w:val="00736F65"/>
    <w:rsid w:val="00741E3D"/>
    <w:rsid w:val="0074492C"/>
    <w:rsid w:val="00744DDA"/>
    <w:rsid w:val="007455D3"/>
    <w:rsid w:val="00745E03"/>
    <w:rsid w:val="00746311"/>
    <w:rsid w:val="007465A2"/>
    <w:rsid w:val="007503F7"/>
    <w:rsid w:val="00750C12"/>
    <w:rsid w:val="007571BD"/>
    <w:rsid w:val="0075732A"/>
    <w:rsid w:val="007600F8"/>
    <w:rsid w:val="00760262"/>
    <w:rsid w:val="007605D5"/>
    <w:rsid w:val="00762FB7"/>
    <w:rsid w:val="0076310C"/>
    <w:rsid w:val="007649EB"/>
    <w:rsid w:val="0076744F"/>
    <w:rsid w:val="00767BCE"/>
    <w:rsid w:val="00767EFC"/>
    <w:rsid w:val="007707DE"/>
    <w:rsid w:val="00770B5D"/>
    <w:rsid w:val="007714A2"/>
    <w:rsid w:val="007752F1"/>
    <w:rsid w:val="00776768"/>
    <w:rsid w:val="00776A29"/>
    <w:rsid w:val="0078187A"/>
    <w:rsid w:val="00794ED8"/>
    <w:rsid w:val="00797B37"/>
    <w:rsid w:val="00797C11"/>
    <w:rsid w:val="007A077F"/>
    <w:rsid w:val="007A2573"/>
    <w:rsid w:val="007A2DBE"/>
    <w:rsid w:val="007A502B"/>
    <w:rsid w:val="007A5C5F"/>
    <w:rsid w:val="007A7BC6"/>
    <w:rsid w:val="007B083C"/>
    <w:rsid w:val="007B106C"/>
    <w:rsid w:val="007B1A4E"/>
    <w:rsid w:val="007B3D05"/>
    <w:rsid w:val="007B5503"/>
    <w:rsid w:val="007C02EB"/>
    <w:rsid w:val="007C179C"/>
    <w:rsid w:val="007C695A"/>
    <w:rsid w:val="007C6A18"/>
    <w:rsid w:val="007C6BB3"/>
    <w:rsid w:val="007D0100"/>
    <w:rsid w:val="007D0AE5"/>
    <w:rsid w:val="007D1152"/>
    <w:rsid w:val="007D14B4"/>
    <w:rsid w:val="007D33DD"/>
    <w:rsid w:val="007D3AD7"/>
    <w:rsid w:val="007E24F6"/>
    <w:rsid w:val="007E4B97"/>
    <w:rsid w:val="007F2510"/>
    <w:rsid w:val="007F3DBB"/>
    <w:rsid w:val="0080085F"/>
    <w:rsid w:val="00800F64"/>
    <w:rsid w:val="00801050"/>
    <w:rsid w:val="00802F0B"/>
    <w:rsid w:val="00810A67"/>
    <w:rsid w:val="00811931"/>
    <w:rsid w:val="008125AE"/>
    <w:rsid w:val="00816125"/>
    <w:rsid w:val="008202E3"/>
    <w:rsid w:val="008230F3"/>
    <w:rsid w:val="00825E09"/>
    <w:rsid w:val="00830468"/>
    <w:rsid w:val="00833CF7"/>
    <w:rsid w:val="00834CDE"/>
    <w:rsid w:val="0084036E"/>
    <w:rsid w:val="00842464"/>
    <w:rsid w:val="00843044"/>
    <w:rsid w:val="00845601"/>
    <w:rsid w:val="00851F3B"/>
    <w:rsid w:val="00854C83"/>
    <w:rsid w:val="0085506B"/>
    <w:rsid w:val="00855C5C"/>
    <w:rsid w:val="00862862"/>
    <w:rsid w:val="0086301B"/>
    <w:rsid w:val="008657E8"/>
    <w:rsid w:val="00874B76"/>
    <w:rsid w:val="00881450"/>
    <w:rsid w:val="0088792F"/>
    <w:rsid w:val="00887F33"/>
    <w:rsid w:val="008922F0"/>
    <w:rsid w:val="00895B6D"/>
    <w:rsid w:val="008A36F6"/>
    <w:rsid w:val="008A3C96"/>
    <w:rsid w:val="008A3FE0"/>
    <w:rsid w:val="008B0850"/>
    <w:rsid w:val="008B0CE5"/>
    <w:rsid w:val="008B3627"/>
    <w:rsid w:val="008B364A"/>
    <w:rsid w:val="008B4019"/>
    <w:rsid w:val="008B405D"/>
    <w:rsid w:val="008B65C9"/>
    <w:rsid w:val="008B751C"/>
    <w:rsid w:val="008C2D4A"/>
    <w:rsid w:val="008D1C99"/>
    <w:rsid w:val="008D2777"/>
    <w:rsid w:val="008D3900"/>
    <w:rsid w:val="008D6E1D"/>
    <w:rsid w:val="008D7088"/>
    <w:rsid w:val="008E0E04"/>
    <w:rsid w:val="008E1841"/>
    <w:rsid w:val="008E31F3"/>
    <w:rsid w:val="008E6052"/>
    <w:rsid w:val="008F24A8"/>
    <w:rsid w:val="008F38E6"/>
    <w:rsid w:val="008F39B4"/>
    <w:rsid w:val="008F4162"/>
    <w:rsid w:val="008F527B"/>
    <w:rsid w:val="008F640E"/>
    <w:rsid w:val="00901260"/>
    <w:rsid w:val="0090373E"/>
    <w:rsid w:val="00903E02"/>
    <w:rsid w:val="00906AE6"/>
    <w:rsid w:val="00906CDC"/>
    <w:rsid w:val="0090759F"/>
    <w:rsid w:val="00907E67"/>
    <w:rsid w:val="00910E28"/>
    <w:rsid w:val="00913175"/>
    <w:rsid w:val="00913A4E"/>
    <w:rsid w:val="00914327"/>
    <w:rsid w:val="009143EF"/>
    <w:rsid w:val="00916EDB"/>
    <w:rsid w:val="009170F2"/>
    <w:rsid w:val="009179CD"/>
    <w:rsid w:val="00917C5C"/>
    <w:rsid w:val="00920861"/>
    <w:rsid w:val="00922634"/>
    <w:rsid w:val="00922B13"/>
    <w:rsid w:val="009242EF"/>
    <w:rsid w:val="00932291"/>
    <w:rsid w:val="00932861"/>
    <w:rsid w:val="009328DF"/>
    <w:rsid w:val="00933B60"/>
    <w:rsid w:val="00933D27"/>
    <w:rsid w:val="0093408E"/>
    <w:rsid w:val="00936F27"/>
    <w:rsid w:val="00937900"/>
    <w:rsid w:val="00937F6C"/>
    <w:rsid w:val="00944115"/>
    <w:rsid w:val="0095123A"/>
    <w:rsid w:val="00952DDF"/>
    <w:rsid w:val="00954196"/>
    <w:rsid w:val="009551C2"/>
    <w:rsid w:val="009553D3"/>
    <w:rsid w:val="00957C66"/>
    <w:rsid w:val="00960E5E"/>
    <w:rsid w:val="009610A3"/>
    <w:rsid w:val="0096321F"/>
    <w:rsid w:val="00963B6A"/>
    <w:rsid w:val="00964930"/>
    <w:rsid w:val="00970654"/>
    <w:rsid w:val="00970950"/>
    <w:rsid w:val="00972552"/>
    <w:rsid w:val="0097270B"/>
    <w:rsid w:val="0098019E"/>
    <w:rsid w:val="009812D4"/>
    <w:rsid w:val="009815CE"/>
    <w:rsid w:val="00982741"/>
    <w:rsid w:val="0098344A"/>
    <w:rsid w:val="00984684"/>
    <w:rsid w:val="00986801"/>
    <w:rsid w:val="00987F09"/>
    <w:rsid w:val="009908DD"/>
    <w:rsid w:val="00990A9D"/>
    <w:rsid w:val="00991E70"/>
    <w:rsid w:val="009920D8"/>
    <w:rsid w:val="009952F5"/>
    <w:rsid w:val="009B05E8"/>
    <w:rsid w:val="009B38BE"/>
    <w:rsid w:val="009B69D3"/>
    <w:rsid w:val="009B7021"/>
    <w:rsid w:val="009B714A"/>
    <w:rsid w:val="009C00F4"/>
    <w:rsid w:val="009C030C"/>
    <w:rsid w:val="009C1C51"/>
    <w:rsid w:val="009C2987"/>
    <w:rsid w:val="009C2BE0"/>
    <w:rsid w:val="009C3D0F"/>
    <w:rsid w:val="009C4B89"/>
    <w:rsid w:val="009C4C02"/>
    <w:rsid w:val="009C777B"/>
    <w:rsid w:val="009D4F09"/>
    <w:rsid w:val="009D5365"/>
    <w:rsid w:val="009D661C"/>
    <w:rsid w:val="009E1B19"/>
    <w:rsid w:val="009E3260"/>
    <w:rsid w:val="009E6330"/>
    <w:rsid w:val="009E642B"/>
    <w:rsid w:val="009F35E2"/>
    <w:rsid w:val="009F65F9"/>
    <w:rsid w:val="009F68BA"/>
    <w:rsid w:val="00A00AA6"/>
    <w:rsid w:val="00A02267"/>
    <w:rsid w:val="00A06277"/>
    <w:rsid w:val="00A06C9C"/>
    <w:rsid w:val="00A077E7"/>
    <w:rsid w:val="00A079DC"/>
    <w:rsid w:val="00A111C2"/>
    <w:rsid w:val="00A114B6"/>
    <w:rsid w:val="00A157DC"/>
    <w:rsid w:val="00A17AFA"/>
    <w:rsid w:val="00A251E3"/>
    <w:rsid w:val="00A26037"/>
    <w:rsid w:val="00A337AF"/>
    <w:rsid w:val="00A338E7"/>
    <w:rsid w:val="00A34D53"/>
    <w:rsid w:val="00A35CAA"/>
    <w:rsid w:val="00A36E7F"/>
    <w:rsid w:val="00A40743"/>
    <w:rsid w:val="00A41E08"/>
    <w:rsid w:val="00A41E65"/>
    <w:rsid w:val="00A42726"/>
    <w:rsid w:val="00A437AB"/>
    <w:rsid w:val="00A43E0A"/>
    <w:rsid w:val="00A5227D"/>
    <w:rsid w:val="00A530C7"/>
    <w:rsid w:val="00A55F5B"/>
    <w:rsid w:val="00A56B09"/>
    <w:rsid w:val="00A60185"/>
    <w:rsid w:val="00A661EA"/>
    <w:rsid w:val="00A66D2D"/>
    <w:rsid w:val="00A66FC2"/>
    <w:rsid w:val="00A6701B"/>
    <w:rsid w:val="00A74175"/>
    <w:rsid w:val="00A7517E"/>
    <w:rsid w:val="00A75DFB"/>
    <w:rsid w:val="00A830E5"/>
    <w:rsid w:val="00A84DD4"/>
    <w:rsid w:val="00A86C46"/>
    <w:rsid w:val="00A87135"/>
    <w:rsid w:val="00A91491"/>
    <w:rsid w:val="00A91576"/>
    <w:rsid w:val="00A91ED8"/>
    <w:rsid w:val="00A93280"/>
    <w:rsid w:val="00A93316"/>
    <w:rsid w:val="00A937BB"/>
    <w:rsid w:val="00A93DF2"/>
    <w:rsid w:val="00A951EA"/>
    <w:rsid w:val="00A969BD"/>
    <w:rsid w:val="00AA2548"/>
    <w:rsid w:val="00AA58C4"/>
    <w:rsid w:val="00AA7003"/>
    <w:rsid w:val="00AA73E0"/>
    <w:rsid w:val="00AA785E"/>
    <w:rsid w:val="00AB0F0B"/>
    <w:rsid w:val="00AB11C8"/>
    <w:rsid w:val="00AC08A8"/>
    <w:rsid w:val="00AC46E7"/>
    <w:rsid w:val="00AD0517"/>
    <w:rsid w:val="00AD2013"/>
    <w:rsid w:val="00AD56C8"/>
    <w:rsid w:val="00AD58F2"/>
    <w:rsid w:val="00AD5A35"/>
    <w:rsid w:val="00AE0D3D"/>
    <w:rsid w:val="00AE5F46"/>
    <w:rsid w:val="00AE79C6"/>
    <w:rsid w:val="00AF6F3D"/>
    <w:rsid w:val="00B02100"/>
    <w:rsid w:val="00B02961"/>
    <w:rsid w:val="00B02B86"/>
    <w:rsid w:val="00B04755"/>
    <w:rsid w:val="00B0512A"/>
    <w:rsid w:val="00B0529F"/>
    <w:rsid w:val="00B0675E"/>
    <w:rsid w:val="00B07FDB"/>
    <w:rsid w:val="00B10B20"/>
    <w:rsid w:val="00B115EB"/>
    <w:rsid w:val="00B1418B"/>
    <w:rsid w:val="00B14C88"/>
    <w:rsid w:val="00B14D2E"/>
    <w:rsid w:val="00B21195"/>
    <w:rsid w:val="00B2287B"/>
    <w:rsid w:val="00B242B6"/>
    <w:rsid w:val="00B24B22"/>
    <w:rsid w:val="00B25310"/>
    <w:rsid w:val="00B306DA"/>
    <w:rsid w:val="00B3215A"/>
    <w:rsid w:val="00B32F8F"/>
    <w:rsid w:val="00B341E0"/>
    <w:rsid w:val="00B3492A"/>
    <w:rsid w:val="00B3563C"/>
    <w:rsid w:val="00B3605E"/>
    <w:rsid w:val="00B36A3F"/>
    <w:rsid w:val="00B37783"/>
    <w:rsid w:val="00B41695"/>
    <w:rsid w:val="00B54DE9"/>
    <w:rsid w:val="00B553EC"/>
    <w:rsid w:val="00B55E3F"/>
    <w:rsid w:val="00B5602D"/>
    <w:rsid w:val="00B609B2"/>
    <w:rsid w:val="00B61830"/>
    <w:rsid w:val="00B63C1E"/>
    <w:rsid w:val="00B657F9"/>
    <w:rsid w:val="00B70AA8"/>
    <w:rsid w:val="00B73A73"/>
    <w:rsid w:val="00B767DB"/>
    <w:rsid w:val="00B77E9B"/>
    <w:rsid w:val="00B810CF"/>
    <w:rsid w:val="00B826F7"/>
    <w:rsid w:val="00B82EC8"/>
    <w:rsid w:val="00B85427"/>
    <w:rsid w:val="00B90401"/>
    <w:rsid w:val="00B9096D"/>
    <w:rsid w:val="00B93DD0"/>
    <w:rsid w:val="00B97732"/>
    <w:rsid w:val="00BA1988"/>
    <w:rsid w:val="00BA2499"/>
    <w:rsid w:val="00BA40F7"/>
    <w:rsid w:val="00BA4B41"/>
    <w:rsid w:val="00BA65A8"/>
    <w:rsid w:val="00BA6D19"/>
    <w:rsid w:val="00BA7461"/>
    <w:rsid w:val="00BA7DA9"/>
    <w:rsid w:val="00BB00C9"/>
    <w:rsid w:val="00BB226F"/>
    <w:rsid w:val="00BB3D10"/>
    <w:rsid w:val="00BB4F23"/>
    <w:rsid w:val="00BB61FE"/>
    <w:rsid w:val="00BC1085"/>
    <w:rsid w:val="00BC22FD"/>
    <w:rsid w:val="00BC4215"/>
    <w:rsid w:val="00BC7192"/>
    <w:rsid w:val="00BD0EB3"/>
    <w:rsid w:val="00BD1A6F"/>
    <w:rsid w:val="00BD30B8"/>
    <w:rsid w:val="00BD33DF"/>
    <w:rsid w:val="00BE451A"/>
    <w:rsid w:val="00BE4B65"/>
    <w:rsid w:val="00BE6D3C"/>
    <w:rsid w:val="00BE7852"/>
    <w:rsid w:val="00BF20B9"/>
    <w:rsid w:val="00BF7CEE"/>
    <w:rsid w:val="00C00BEF"/>
    <w:rsid w:val="00C03880"/>
    <w:rsid w:val="00C124CC"/>
    <w:rsid w:val="00C135CF"/>
    <w:rsid w:val="00C15137"/>
    <w:rsid w:val="00C151CF"/>
    <w:rsid w:val="00C15BD5"/>
    <w:rsid w:val="00C22CBC"/>
    <w:rsid w:val="00C23137"/>
    <w:rsid w:val="00C26189"/>
    <w:rsid w:val="00C2683F"/>
    <w:rsid w:val="00C3184D"/>
    <w:rsid w:val="00C3287B"/>
    <w:rsid w:val="00C4112B"/>
    <w:rsid w:val="00C458AF"/>
    <w:rsid w:val="00C4714E"/>
    <w:rsid w:val="00C47D22"/>
    <w:rsid w:val="00C51CCA"/>
    <w:rsid w:val="00C5504F"/>
    <w:rsid w:val="00C57B55"/>
    <w:rsid w:val="00C608C5"/>
    <w:rsid w:val="00C63376"/>
    <w:rsid w:val="00C703A8"/>
    <w:rsid w:val="00C74F97"/>
    <w:rsid w:val="00C8276E"/>
    <w:rsid w:val="00C837EC"/>
    <w:rsid w:val="00C842AC"/>
    <w:rsid w:val="00C84D96"/>
    <w:rsid w:val="00C9164D"/>
    <w:rsid w:val="00C94E4F"/>
    <w:rsid w:val="00C95E78"/>
    <w:rsid w:val="00C961C2"/>
    <w:rsid w:val="00C96688"/>
    <w:rsid w:val="00CA0723"/>
    <w:rsid w:val="00CA5E6B"/>
    <w:rsid w:val="00CA60CF"/>
    <w:rsid w:val="00CB1560"/>
    <w:rsid w:val="00CB1690"/>
    <w:rsid w:val="00CB4CE6"/>
    <w:rsid w:val="00CB594E"/>
    <w:rsid w:val="00CC1D6A"/>
    <w:rsid w:val="00CC2901"/>
    <w:rsid w:val="00CC2980"/>
    <w:rsid w:val="00CC4365"/>
    <w:rsid w:val="00CC738F"/>
    <w:rsid w:val="00CC7821"/>
    <w:rsid w:val="00CD0707"/>
    <w:rsid w:val="00CD11B0"/>
    <w:rsid w:val="00CD27F0"/>
    <w:rsid w:val="00CD2E28"/>
    <w:rsid w:val="00CD3375"/>
    <w:rsid w:val="00CD6C7A"/>
    <w:rsid w:val="00CD7B88"/>
    <w:rsid w:val="00CE16FB"/>
    <w:rsid w:val="00CE1B8D"/>
    <w:rsid w:val="00CE71C2"/>
    <w:rsid w:val="00CE7B2C"/>
    <w:rsid w:val="00CF0341"/>
    <w:rsid w:val="00CF1F9B"/>
    <w:rsid w:val="00CF2185"/>
    <w:rsid w:val="00CF34E9"/>
    <w:rsid w:val="00CF3808"/>
    <w:rsid w:val="00CF386A"/>
    <w:rsid w:val="00CF42D5"/>
    <w:rsid w:val="00CF4EDA"/>
    <w:rsid w:val="00CF61F3"/>
    <w:rsid w:val="00CF62A6"/>
    <w:rsid w:val="00D021CB"/>
    <w:rsid w:val="00D1087A"/>
    <w:rsid w:val="00D10CBC"/>
    <w:rsid w:val="00D10F1A"/>
    <w:rsid w:val="00D116F8"/>
    <w:rsid w:val="00D12282"/>
    <w:rsid w:val="00D154B9"/>
    <w:rsid w:val="00D16A35"/>
    <w:rsid w:val="00D17596"/>
    <w:rsid w:val="00D20119"/>
    <w:rsid w:val="00D21D54"/>
    <w:rsid w:val="00D22640"/>
    <w:rsid w:val="00D238E0"/>
    <w:rsid w:val="00D23CF4"/>
    <w:rsid w:val="00D26D3A"/>
    <w:rsid w:val="00D3155D"/>
    <w:rsid w:val="00D317D9"/>
    <w:rsid w:val="00D347CA"/>
    <w:rsid w:val="00D36C08"/>
    <w:rsid w:val="00D445DA"/>
    <w:rsid w:val="00D45EE3"/>
    <w:rsid w:val="00D50618"/>
    <w:rsid w:val="00D509E9"/>
    <w:rsid w:val="00D52946"/>
    <w:rsid w:val="00D53090"/>
    <w:rsid w:val="00D53B1C"/>
    <w:rsid w:val="00D54F6D"/>
    <w:rsid w:val="00D553F3"/>
    <w:rsid w:val="00D62286"/>
    <w:rsid w:val="00D63D39"/>
    <w:rsid w:val="00D67910"/>
    <w:rsid w:val="00D705DD"/>
    <w:rsid w:val="00D72FF6"/>
    <w:rsid w:val="00D7307E"/>
    <w:rsid w:val="00D739AE"/>
    <w:rsid w:val="00D73C48"/>
    <w:rsid w:val="00D75E35"/>
    <w:rsid w:val="00D775F6"/>
    <w:rsid w:val="00D80C49"/>
    <w:rsid w:val="00D824FC"/>
    <w:rsid w:val="00D83DDA"/>
    <w:rsid w:val="00D8710C"/>
    <w:rsid w:val="00D90582"/>
    <w:rsid w:val="00D91057"/>
    <w:rsid w:val="00DA1B12"/>
    <w:rsid w:val="00DA1F3B"/>
    <w:rsid w:val="00DA3648"/>
    <w:rsid w:val="00DA3E7D"/>
    <w:rsid w:val="00DA4E90"/>
    <w:rsid w:val="00DA54C9"/>
    <w:rsid w:val="00DA6739"/>
    <w:rsid w:val="00DA696F"/>
    <w:rsid w:val="00DA6A60"/>
    <w:rsid w:val="00DA6CAE"/>
    <w:rsid w:val="00DB1A9E"/>
    <w:rsid w:val="00DB31D6"/>
    <w:rsid w:val="00DB4005"/>
    <w:rsid w:val="00DB5D4A"/>
    <w:rsid w:val="00DB5ECA"/>
    <w:rsid w:val="00DB6401"/>
    <w:rsid w:val="00DC1408"/>
    <w:rsid w:val="00DC2788"/>
    <w:rsid w:val="00DC34EB"/>
    <w:rsid w:val="00DC5413"/>
    <w:rsid w:val="00DD2086"/>
    <w:rsid w:val="00DD45C3"/>
    <w:rsid w:val="00DD7EE4"/>
    <w:rsid w:val="00DE19D9"/>
    <w:rsid w:val="00DE1F67"/>
    <w:rsid w:val="00DE3B9A"/>
    <w:rsid w:val="00DF1E5B"/>
    <w:rsid w:val="00DF2275"/>
    <w:rsid w:val="00DF27AE"/>
    <w:rsid w:val="00DF3F5E"/>
    <w:rsid w:val="00DF5653"/>
    <w:rsid w:val="00DF7A6E"/>
    <w:rsid w:val="00E01832"/>
    <w:rsid w:val="00E0596E"/>
    <w:rsid w:val="00E06C24"/>
    <w:rsid w:val="00E06F66"/>
    <w:rsid w:val="00E14CDA"/>
    <w:rsid w:val="00E16169"/>
    <w:rsid w:val="00E174BA"/>
    <w:rsid w:val="00E217D2"/>
    <w:rsid w:val="00E2366A"/>
    <w:rsid w:val="00E25CCF"/>
    <w:rsid w:val="00E26078"/>
    <w:rsid w:val="00E260D9"/>
    <w:rsid w:val="00E2622F"/>
    <w:rsid w:val="00E27F7D"/>
    <w:rsid w:val="00E30FFF"/>
    <w:rsid w:val="00E3140C"/>
    <w:rsid w:val="00E31FFE"/>
    <w:rsid w:val="00E356E5"/>
    <w:rsid w:val="00E3593E"/>
    <w:rsid w:val="00E366CB"/>
    <w:rsid w:val="00E36F81"/>
    <w:rsid w:val="00E42200"/>
    <w:rsid w:val="00E4348D"/>
    <w:rsid w:val="00E449C0"/>
    <w:rsid w:val="00E45765"/>
    <w:rsid w:val="00E5098C"/>
    <w:rsid w:val="00E5294A"/>
    <w:rsid w:val="00E56516"/>
    <w:rsid w:val="00E578DB"/>
    <w:rsid w:val="00E60213"/>
    <w:rsid w:val="00E65120"/>
    <w:rsid w:val="00E661B2"/>
    <w:rsid w:val="00E738AE"/>
    <w:rsid w:val="00E74D29"/>
    <w:rsid w:val="00E7528D"/>
    <w:rsid w:val="00E754F5"/>
    <w:rsid w:val="00E75DE7"/>
    <w:rsid w:val="00E75F7C"/>
    <w:rsid w:val="00E812B0"/>
    <w:rsid w:val="00E824F7"/>
    <w:rsid w:val="00E82806"/>
    <w:rsid w:val="00E8393F"/>
    <w:rsid w:val="00E83C74"/>
    <w:rsid w:val="00E83CEE"/>
    <w:rsid w:val="00E85CBB"/>
    <w:rsid w:val="00E902C3"/>
    <w:rsid w:val="00E904F3"/>
    <w:rsid w:val="00E905D4"/>
    <w:rsid w:val="00E91F18"/>
    <w:rsid w:val="00E9226D"/>
    <w:rsid w:val="00E9342C"/>
    <w:rsid w:val="00EA0048"/>
    <w:rsid w:val="00EA09ED"/>
    <w:rsid w:val="00EA416C"/>
    <w:rsid w:val="00EA426C"/>
    <w:rsid w:val="00EA42D5"/>
    <w:rsid w:val="00EA5941"/>
    <w:rsid w:val="00EA6579"/>
    <w:rsid w:val="00EB04BA"/>
    <w:rsid w:val="00EB0AC0"/>
    <w:rsid w:val="00EB1F45"/>
    <w:rsid w:val="00EB261B"/>
    <w:rsid w:val="00EB60CE"/>
    <w:rsid w:val="00EB61D6"/>
    <w:rsid w:val="00EB7398"/>
    <w:rsid w:val="00EB7D53"/>
    <w:rsid w:val="00EC17FA"/>
    <w:rsid w:val="00EC1940"/>
    <w:rsid w:val="00EC475A"/>
    <w:rsid w:val="00EC726E"/>
    <w:rsid w:val="00ED02CB"/>
    <w:rsid w:val="00ED2F95"/>
    <w:rsid w:val="00ED4FC1"/>
    <w:rsid w:val="00ED7BCF"/>
    <w:rsid w:val="00EE0AF3"/>
    <w:rsid w:val="00EE0CDB"/>
    <w:rsid w:val="00EE3146"/>
    <w:rsid w:val="00EE4FFB"/>
    <w:rsid w:val="00EE5859"/>
    <w:rsid w:val="00EE6B7E"/>
    <w:rsid w:val="00EF270D"/>
    <w:rsid w:val="00EF4CAA"/>
    <w:rsid w:val="00EF50BB"/>
    <w:rsid w:val="00EF53FF"/>
    <w:rsid w:val="00F00192"/>
    <w:rsid w:val="00F00513"/>
    <w:rsid w:val="00F01DF6"/>
    <w:rsid w:val="00F0340D"/>
    <w:rsid w:val="00F0442E"/>
    <w:rsid w:val="00F059A6"/>
    <w:rsid w:val="00F06B9E"/>
    <w:rsid w:val="00F105E8"/>
    <w:rsid w:val="00F15BF7"/>
    <w:rsid w:val="00F15F79"/>
    <w:rsid w:val="00F20503"/>
    <w:rsid w:val="00F23756"/>
    <w:rsid w:val="00F2411E"/>
    <w:rsid w:val="00F2523A"/>
    <w:rsid w:val="00F25FFA"/>
    <w:rsid w:val="00F300A5"/>
    <w:rsid w:val="00F310D2"/>
    <w:rsid w:val="00F315A1"/>
    <w:rsid w:val="00F36F3D"/>
    <w:rsid w:val="00F425C2"/>
    <w:rsid w:val="00F4699A"/>
    <w:rsid w:val="00F477BD"/>
    <w:rsid w:val="00F53491"/>
    <w:rsid w:val="00F53B67"/>
    <w:rsid w:val="00F5414C"/>
    <w:rsid w:val="00F55425"/>
    <w:rsid w:val="00F55D9A"/>
    <w:rsid w:val="00F65A1C"/>
    <w:rsid w:val="00F66F50"/>
    <w:rsid w:val="00F77E0A"/>
    <w:rsid w:val="00F77E13"/>
    <w:rsid w:val="00F82FF8"/>
    <w:rsid w:val="00F830A2"/>
    <w:rsid w:val="00F8330D"/>
    <w:rsid w:val="00F83BE7"/>
    <w:rsid w:val="00F84305"/>
    <w:rsid w:val="00F8485C"/>
    <w:rsid w:val="00F87149"/>
    <w:rsid w:val="00F87FFE"/>
    <w:rsid w:val="00F940E2"/>
    <w:rsid w:val="00F954C9"/>
    <w:rsid w:val="00F963F6"/>
    <w:rsid w:val="00FA0F2A"/>
    <w:rsid w:val="00FA3223"/>
    <w:rsid w:val="00FA4CF0"/>
    <w:rsid w:val="00FA61AA"/>
    <w:rsid w:val="00FA69A4"/>
    <w:rsid w:val="00FA6FD6"/>
    <w:rsid w:val="00FB1279"/>
    <w:rsid w:val="00FB1495"/>
    <w:rsid w:val="00FB1C6E"/>
    <w:rsid w:val="00FC7B70"/>
    <w:rsid w:val="00FD05E6"/>
    <w:rsid w:val="00FD1694"/>
    <w:rsid w:val="00FD337D"/>
    <w:rsid w:val="00FD5164"/>
    <w:rsid w:val="00FD7636"/>
    <w:rsid w:val="00FE3229"/>
    <w:rsid w:val="00FE323E"/>
    <w:rsid w:val="00FE4761"/>
    <w:rsid w:val="00FE74C3"/>
    <w:rsid w:val="00FF02C0"/>
    <w:rsid w:val="00FF215C"/>
    <w:rsid w:val="00FF49E8"/>
    <w:rsid w:val="00FF4AB1"/>
    <w:rsid w:val="00FF62A3"/>
    <w:rsid w:val="00FF672F"/>
    <w:rsid w:val="00FF78B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FootnoteText">
    <w:name w:val="footnote text"/>
    <w:basedOn w:val="Normal"/>
    <w:link w:val="FootnoteTextChar"/>
    <w:unhideWhenUsed/>
    <w:rsid w:val="0080085F"/>
    <w:pPr>
      <w:spacing w:after="0" w:line="240" w:lineRule="auto"/>
    </w:pPr>
    <w:rPr>
      <w:sz w:val="20"/>
      <w:szCs w:val="20"/>
    </w:rPr>
  </w:style>
  <w:style w:type="character" w:customStyle="1" w:styleId="FootnoteTextChar">
    <w:name w:val="Footnote Text Char"/>
    <w:basedOn w:val="DefaultParagraphFont"/>
    <w:link w:val="FootnoteText"/>
    <w:uiPriority w:val="99"/>
    <w:rsid w:val="0080085F"/>
    <w:rPr>
      <w:lang w:eastAsia="en-US"/>
    </w:rPr>
  </w:style>
  <w:style w:type="character" w:styleId="FootnoteReference">
    <w:name w:val="footnote reference"/>
    <w:basedOn w:val="DefaultParagraphFont"/>
    <w:uiPriority w:val="99"/>
    <w:semiHidden/>
    <w:unhideWhenUsed/>
    <w:rsid w:val="0080085F"/>
    <w:rPr>
      <w:vertAlign w:val="superscript"/>
    </w:rPr>
  </w:style>
  <w:style w:type="character" w:styleId="Hyperlink">
    <w:name w:val="Hyperlink"/>
    <w:basedOn w:val="DefaultParagraphFont"/>
    <w:uiPriority w:val="99"/>
    <w:unhideWhenUsed/>
    <w:rsid w:val="0080085F"/>
    <w:rPr>
      <w:color w:val="0000FF"/>
      <w:u w:val="single"/>
    </w:rPr>
  </w:style>
  <w:style w:type="character" w:styleId="CommentReference">
    <w:name w:val="annotation reference"/>
    <w:basedOn w:val="DefaultParagraphFont"/>
    <w:uiPriority w:val="99"/>
    <w:semiHidden/>
    <w:unhideWhenUsed/>
    <w:rsid w:val="0080085F"/>
    <w:rPr>
      <w:sz w:val="18"/>
      <w:szCs w:val="18"/>
    </w:rPr>
  </w:style>
  <w:style w:type="paragraph" w:styleId="CommentText">
    <w:name w:val="annotation text"/>
    <w:basedOn w:val="Normal"/>
    <w:link w:val="CommentTextChar"/>
    <w:uiPriority w:val="99"/>
    <w:semiHidden/>
    <w:unhideWhenUsed/>
    <w:rsid w:val="0080085F"/>
    <w:pPr>
      <w:spacing w:after="0" w:line="240" w:lineRule="auto"/>
    </w:pPr>
    <w:rPr>
      <w:rFonts w:ascii="Calibri" w:eastAsiaTheme="minorHAnsi" w:hAnsi="Calibri"/>
      <w:sz w:val="24"/>
      <w:szCs w:val="24"/>
      <w:lang w:eastAsia="en-AU"/>
    </w:rPr>
  </w:style>
  <w:style w:type="character" w:customStyle="1" w:styleId="CommentTextChar">
    <w:name w:val="Comment Text Char"/>
    <w:basedOn w:val="DefaultParagraphFont"/>
    <w:link w:val="CommentText"/>
    <w:uiPriority w:val="99"/>
    <w:semiHidden/>
    <w:rsid w:val="0080085F"/>
    <w:rPr>
      <w:rFonts w:ascii="Calibri" w:eastAsiaTheme="minorHAnsi" w:hAnsi="Calibri"/>
      <w:sz w:val="24"/>
      <w:szCs w:val="24"/>
    </w:rPr>
  </w:style>
  <w:style w:type="table" w:customStyle="1" w:styleId="TableGrid1">
    <w:name w:val="Table Grid1"/>
    <w:basedOn w:val="TableNormal"/>
    <w:next w:val="TableGrid"/>
    <w:uiPriority w:val="59"/>
    <w:rsid w:val="003A007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Default">
    <w:name w:val="Default"/>
    <w:rsid w:val="00AD5A35"/>
    <w:pPr>
      <w:autoSpaceDE w:val="0"/>
      <w:autoSpaceDN w:val="0"/>
      <w:adjustRightInd w:val="0"/>
    </w:pPr>
    <w:rPr>
      <w:rFonts w:cs="Arial"/>
      <w:color w:val="000000"/>
      <w:sz w:val="24"/>
      <w:szCs w:val="24"/>
    </w:rPr>
  </w:style>
  <w:style w:type="character" w:customStyle="1" w:styleId="tgc">
    <w:name w:val="_tgc"/>
    <w:basedOn w:val="DefaultParagraphFont"/>
    <w:rsid w:val="00AD5A35"/>
  </w:style>
  <w:style w:type="paragraph" w:styleId="NoSpacing">
    <w:name w:val="No Spacing"/>
    <w:link w:val="NoSpacingChar"/>
    <w:uiPriority w:val="1"/>
    <w:qFormat/>
    <w:rsid w:val="001C7CDB"/>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C7CDB"/>
    <w:rPr>
      <w:rFonts w:asciiTheme="minorHAnsi" w:eastAsiaTheme="minorEastAsia" w:hAnsiTheme="minorHAnsi" w:cstheme="minorBidi"/>
      <w:sz w:val="22"/>
      <w:szCs w:val="22"/>
      <w:lang w:val="en-US" w:eastAsia="en-US"/>
    </w:rPr>
  </w:style>
  <w:style w:type="paragraph" w:styleId="TOCHeading">
    <w:name w:val="TOC Heading"/>
    <w:basedOn w:val="Heading1"/>
    <w:next w:val="Normal"/>
    <w:uiPriority w:val="39"/>
    <w:semiHidden/>
    <w:unhideWhenUsed/>
    <w:qFormat/>
    <w:rsid w:val="001C7CDB"/>
    <w:pPr>
      <w:keepLines/>
      <w:spacing w:before="480" w:after="0"/>
      <w:outlineLvl w:val="9"/>
    </w:pPr>
    <w:rPr>
      <w:rFonts w:asciiTheme="majorHAnsi" w:eastAsiaTheme="majorEastAsia" w:hAnsiTheme="majorHAnsi" w:cstheme="majorBidi"/>
      <w:bCs/>
      <w:caps w:val="0"/>
      <w:color w:val="0B5294" w:themeColor="accent1" w:themeShade="BF"/>
      <w:sz w:val="28"/>
      <w:szCs w:val="28"/>
      <w:lang w:val="en-US"/>
    </w:rPr>
  </w:style>
  <w:style w:type="paragraph" w:styleId="TOC1">
    <w:name w:val="toc 1"/>
    <w:basedOn w:val="Normal"/>
    <w:next w:val="Normal"/>
    <w:autoRedefine/>
    <w:uiPriority w:val="39"/>
    <w:unhideWhenUsed/>
    <w:rsid w:val="00A84DD4"/>
    <w:pPr>
      <w:tabs>
        <w:tab w:val="right" w:leader="dot" w:pos="9202"/>
      </w:tabs>
      <w:spacing w:after="100"/>
    </w:pPr>
  </w:style>
  <w:style w:type="paragraph" w:styleId="TOC2">
    <w:name w:val="toc 2"/>
    <w:basedOn w:val="Normal"/>
    <w:next w:val="Normal"/>
    <w:autoRedefine/>
    <w:uiPriority w:val="39"/>
    <w:unhideWhenUsed/>
    <w:rsid w:val="00A84DD4"/>
    <w:pPr>
      <w:tabs>
        <w:tab w:val="right" w:leader="dot" w:pos="9202"/>
      </w:tabs>
      <w:spacing w:after="100"/>
      <w:ind w:left="220"/>
    </w:pPr>
  </w:style>
  <w:style w:type="table" w:customStyle="1" w:styleId="LightShading-Accent11">
    <w:name w:val="Light Shading - Accent 11"/>
    <w:basedOn w:val="TableNormal"/>
    <w:uiPriority w:val="60"/>
    <w:rsid w:val="00D23CF4"/>
    <w:rPr>
      <w:rFonts w:asciiTheme="minorHAnsi" w:eastAsiaTheme="minorHAnsi" w:hAnsiTheme="minorHAnsi" w:cstheme="minorBidi"/>
      <w:color w:val="0B5294" w:themeColor="accent1" w:themeShade="BF"/>
      <w:sz w:val="22"/>
      <w:szCs w:val="22"/>
      <w:lang w:eastAsia="en-US"/>
    </w:rPr>
    <w:tblPr>
      <w:tblStyleRowBandSize w:val="1"/>
      <w:tblStyleColBandSize w:val="1"/>
      <w:tblBorders>
        <w:top w:val="single" w:sz="8" w:space="0" w:color="0F6FC6" w:themeColor="accent1"/>
        <w:bottom w:val="single" w:sz="8" w:space="0" w:color="0F6FC6" w:themeColor="accent1"/>
      </w:tblBorders>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paragraph" w:customStyle="1" w:styleId="Exampletextbullet">
    <w:name w:val="Example text bullet"/>
    <w:basedOn w:val="Normal"/>
    <w:rsid w:val="002754F0"/>
    <w:pPr>
      <w:numPr>
        <w:numId w:val="31"/>
      </w:numPr>
      <w:spacing w:after="240" w:line="260" w:lineRule="exact"/>
      <w:jc w:val="both"/>
    </w:pPr>
    <w:rPr>
      <w:rFonts w:ascii="Book Antiqua" w:eastAsia="Times New Roman" w:hAnsi="Book Antiqua"/>
      <w:i/>
      <w:color w:val="FF0000"/>
      <w:sz w:val="20"/>
      <w:szCs w:val="20"/>
      <w:lang w:eastAsia="en-AU"/>
    </w:rPr>
  </w:style>
  <w:style w:type="paragraph" w:customStyle="1" w:styleId="Exampletextdash">
    <w:name w:val="Example text dash"/>
    <w:basedOn w:val="Exampletextbullet"/>
    <w:rsid w:val="002754F0"/>
    <w:pPr>
      <w:numPr>
        <w:ilvl w:val="1"/>
      </w:numPr>
    </w:pPr>
  </w:style>
  <w:style w:type="paragraph" w:styleId="TOC3">
    <w:name w:val="toc 3"/>
    <w:basedOn w:val="Normal"/>
    <w:next w:val="Normal"/>
    <w:autoRedefine/>
    <w:uiPriority w:val="39"/>
    <w:unhideWhenUsed/>
    <w:rsid w:val="008B405D"/>
    <w:pPr>
      <w:spacing w:after="100"/>
      <w:ind w:left="440"/>
    </w:pPr>
  </w:style>
  <w:style w:type="paragraph" w:styleId="EndnoteText">
    <w:name w:val="endnote text"/>
    <w:basedOn w:val="Normal"/>
    <w:link w:val="EndnoteTextChar"/>
    <w:uiPriority w:val="99"/>
    <w:semiHidden/>
    <w:unhideWhenUsed/>
    <w:rsid w:val="007027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2700"/>
    <w:rPr>
      <w:lang w:eastAsia="en-US"/>
    </w:rPr>
  </w:style>
  <w:style w:type="character" w:styleId="EndnoteReference">
    <w:name w:val="endnote reference"/>
    <w:basedOn w:val="DefaultParagraphFont"/>
    <w:uiPriority w:val="99"/>
    <w:semiHidden/>
    <w:unhideWhenUsed/>
    <w:rsid w:val="00702700"/>
    <w:rPr>
      <w:vertAlign w:val="superscript"/>
    </w:rPr>
  </w:style>
  <w:style w:type="character" w:styleId="FollowedHyperlink">
    <w:name w:val="FollowedHyperlink"/>
    <w:basedOn w:val="DefaultParagraphFont"/>
    <w:uiPriority w:val="99"/>
    <w:semiHidden/>
    <w:unhideWhenUsed/>
    <w:rsid w:val="006F4F7C"/>
    <w:rPr>
      <w:color w:val="85DFD0" w:themeColor="followedHyperlink"/>
      <w:u w:val="single"/>
    </w:rPr>
  </w:style>
  <w:style w:type="paragraph" w:styleId="CommentSubject">
    <w:name w:val="annotation subject"/>
    <w:basedOn w:val="CommentText"/>
    <w:next w:val="CommentText"/>
    <w:link w:val="CommentSubjectChar"/>
    <w:uiPriority w:val="99"/>
    <w:semiHidden/>
    <w:unhideWhenUsed/>
    <w:rsid w:val="00A34D53"/>
    <w:pPr>
      <w:spacing w:after="200"/>
    </w:pPr>
    <w:rPr>
      <w:rFonts w:ascii="Arial" w:eastAsia="Calibri" w:hAnsi="Arial"/>
      <w:b/>
      <w:bCs/>
      <w:sz w:val="20"/>
      <w:szCs w:val="20"/>
      <w:lang w:eastAsia="en-US"/>
    </w:rPr>
  </w:style>
  <w:style w:type="character" w:customStyle="1" w:styleId="CommentSubjectChar">
    <w:name w:val="Comment Subject Char"/>
    <w:basedOn w:val="CommentTextChar"/>
    <w:link w:val="CommentSubject"/>
    <w:uiPriority w:val="99"/>
    <w:semiHidden/>
    <w:rsid w:val="00A34D53"/>
    <w:rPr>
      <w:rFonts w:ascii="Calibri" w:eastAsiaTheme="minorHAnsi" w:hAnsi="Calibri"/>
      <w:b/>
      <w:bCs/>
      <w:sz w:val="24"/>
      <w:szCs w:val="24"/>
      <w:lang w:eastAsia="en-US"/>
    </w:rPr>
  </w:style>
  <w:style w:type="paragraph" w:styleId="TOC4">
    <w:name w:val="toc 4"/>
    <w:basedOn w:val="Normal"/>
    <w:next w:val="Normal"/>
    <w:autoRedefine/>
    <w:uiPriority w:val="39"/>
    <w:unhideWhenUsed/>
    <w:rsid w:val="00D67910"/>
    <w:pPr>
      <w:spacing w:after="100"/>
      <w:ind w:left="660"/>
    </w:pPr>
    <w:rPr>
      <w:rFonts w:asciiTheme="minorHAnsi" w:eastAsiaTheme="minorEastAsia" w:hAnsiTheme="minorHAnsi" w:cstheme="minorBidi"/>
      <w:lang w:eastAsia="en-AU"/>
    </w:rPr>
  </w:style>
  <w:style w:type="paragraph" w:styleId="TOC5">
    <w:name w:val="toc 5"/>
    <w:basedOn w:val="Normal"/>
    <w:next w:val="Normal"/>
    <w:autoRedefine/>
    <w:uiPriority w:val="39"/>
    <w:unhideWhenUsed/>
    <w:rsid w:val="00D67910"/>
    <w:pPr>
      <w:spacing w:after="100"/>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D67910"/>
    <w:pPr>
      <w:spacing w:after="100"/>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D67910"/>
    <w:pPr>
      <w:spacing w:after="100"/>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D67910"/>
    <w:pPr>
      <w:spacing w:after="100"/>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D67910"/>
    <w:pPr>
      <w:spacing w:after="100"/>
      <w:ind w:left="1760"/>
    </w:pPr>
    <w:rPr>
      <w:rFonts w:asciiTheme="minorHAnsi" w:eastAsiaTheme="minorEastAsia" w:hAnsiTheme="minorHAnsi" w:cstheme="minorBidi"/>
      <w:lang w:eastAsia="en-AU"/>
    </w:rPr>
  </w:style>
  <w:style w:type="paragraph" w:styleId="Revision">
    <w:name w:val="Revision"/>
    <w:hidden/>
    <w:uiPriority w:val="99"/>
    <w:semiHidden/>
    <w:rsid w:val="00CF034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331331">
      <w:bodyDiv w:val="1"/>
      <w:marLeft w:val="0"/>
      <w:marRight w:val="0"/>
      <w:marTop w:val="0"/>
      <w:marBottom w:val="0"/>
      <w:divBdr>
        <w:top w:val="none" w:sz="0" w:space="0" w:color="auto"/>
        <w:left w:val="none" w:sz="0" w:space="0" w:color="auto"/>
        <w:bottom w:val="none" w:sz="0" w:space="0" w:color="auto"/>
        <w:right w:val="none" w:sz="0" w:space="0" w:color="auto"/>
      </w:divBdr>
    </w:div>
    <w:div w:id="870647651">
      <w:bodyDiv w:val="1"/>
      <w:marLeft w:val="0"/>
      <w:marRight w:val="0"/>
      <w:marTop w:val="0"/>
      <w:marBottom w:val="0"/>
      <w:divBdr>
        <w:top w:val="none" w:sz="0" w:space="0" w:color="auto"/>
        <w:left w:val="none" w:sz="0" w:space="0" w:color="auto"/>
        <w:bottom w:val="none" w:sz="0" w:space="0" w:color="auto"/>
        <w:right w:val="none" w:sz="0" w:space="0" w:color="auto"/>
      </w:divBdr>
    </w:div>
    <w:div w:id="208903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finance.gov.au/sites/default/files/commonwealth-risk-management-policy.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www.epa.vic.gov.au/~/media/Publications/1403.pdf" TargetMode="External"/><Relationship Id="rId2" Type="http://schemas.openxmlformats.org/officeDocument/2006/relationships/hyperlink" Target="http://www.cleanenergyregulator.gov.au/About/Our-strategic-direction" TargetMode="External"/><Relationship Id="rId1" Type="http://schemas.openxmlformats.org/officeDocument/2006/relationships/hyperlink" Target="http://www.oecd.org/gov/regulatory-policy/regulatorypolicyandgovernancesupportingeconomicgrowthandservingthepublicinterest.htm" TargetMode="External"/><Relationship Id="rId6" Type="http://schemas.openxmlformats.org/officeDocument/2006/relationships/hyperlink" Target="http://www.cleanenergyregulator.gov.au/About/Policies-and-publications/Compliance-education-and-enforcement-policy" TargetMode="External"/><Relationship Id="rId5" Type="http://schemas.openxmlformats.org/officeDocument/2006/relationships/hyperlink" Target="http://www.finance.gov.au/sites/default/files/commonwealth-risk-management-policy.pdf" TargetMode="External"/><Relationship Id="rId4" Type="http://schemas.openxmlformats.org/officeDocument/2006/relationships/hyperlink" Target="http://majorprojects.planning.nsw.gov.au/index.pl?action=search&amp;pac=1" TargetMode="Externa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E71E25B0.dotm</Template>
  <TotalTime>0</TotalTime>
  <Pages>101</Pages>
  <Words>35423</Words>
  <Characters>201917</Characters>
  <Application>Microsoft Office Word</Application>
  <DocSecurity>4</DocSecurity>
  <Lines>1682</Lines>
  <Paragraphs>473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Report-Regulatory Maturity Project Final Report</dc:title>
  <dc:creator/>
  <cp:lastModifiedBy/>
  <cp:revision>1</cp:revision>
  <dcterms:created xsi:type="dcterms:W3CDTF">2016-11-23T04:39:00Z</dcterms:created>
  <dcterms:modified xsi:type="dcterms:W3CDTF">2016-11-23T04:39:00Z</dcterms:modified>
</cp:coreProperties>
</file>