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167A4" w14:textId="77777777" w:rsidR="0061274C" w:rsidRDefault="0061274C" w:rsidP="00F75753">
      <w:pPr>
        <w:pStyle w:val="Heading1"/>
      </w:pPr>
      <w:bookmarkStart w:id="0" w:name="_GoBack"/>
      <w:bookmarkEnd w:id="0"/>
    </w:p>
    <w:p w14:paraId="3FE167A5" w14:textId="77777777" w:rsidR="0061274C" w:rsidRDefault="0061274C" w:rsidP="00F75753">
      <w:pPr>
        <w:pStyle w:val="Heading1"/>
      </w:pPr>
    </w:p>
    <w:p w14:paraId="0B8CCECC" w14:textId="77777777" w:rsidR="004608FE" w:rsidRDefault="004608FE" w:rsidP="004608FE">
      <w:pPr>
        <w:pStyle w:val="Heading1"/>
        <w:jc w:val="center"/>
        <w:rPr>
          <w:sz w:val="52"/>
          <w:szCs w:val="52"/>
        </w:rPr>
      </w:pPr>
    </w:p>
    <w:p w14:paraId="33E616B7" w14:textId="77777777" w:rsidR="004608FE" w:rsidRDefault="004608FE" w:rsidP="004608FE">
      <w:pPr>
        <w:pStyle w:val="Heading1"/>
        <w:jc w:val="center"/>
        <w:rPr>
          <w:sz w:val="52"/>
          <w:szCs w:val="52"/>
        </w:rPr>
      </w:pPr>
    </w:p>
    <w:p w14:paraId="2721763F" w14:textId="62A49CA5" w:rsidR="004608FE" w:rsidRDefault="004608FE" w:rsidP="004608FE">
      <w:pPr>
        <w:pStyle w:val="Heading1"/>
        <w:jc w:val="center"/>
        <w:rPr>
          <w:sz w:val="52"/>
          <w:szCs w:val="52"/>
          <w:lang w:val="en-GB"/>
        </w:rPr>
      </w:pPr>
      <w:r w:rsidRPr="004608FE">
        <w:rPr>
          <w:sz w:val="52"/>
          <w:szCs w:val="52"/>
          <w:lang w:val="en-GB"/>
        </w:rPr>
        <w:t xml:space="preserve">Australia’s </w:t>
      </w:r>
      <w:r w:rsidR="002E06A1">
        <w:rPr>
          <w:sz w:val="52"/>
          <w:szCs w:val="52"/>
          <w:lang w:val="en-GB"/>
        </w:rPr>
        <w:t xml:space="preserve">RAMSAR CEPA </w:t>
      </w:r>
      <w:r w:rsidR="002E06A1">
        <w:rPr>
          <w:sz w:val="52"/>
          <w:szCs w:val="52"/>
          <w:lang w:val="en-GB"/>
        </w:rPr>
        <w:br/>
        <w:t>NATIONAL aCTION</w:t>
      </w:r>
      <w:r w:rsidRPr="004608FE">
        <w:rPr>
          <w:sz w:val="52"/>
          <w:szCs w:val="52"/>
          <w:lang w:val="en-GB"/>
        </w:rPr>
        <w:t xml:space="preserve"> Plan 2016-2018</w:t>
      </w:r>
    </w:p>
    <w:p w14:paraId="5EBE1F13" w14:textId="0B7E1338" w:rsidR="005444FC" w:rsidRPr="005444FC" w:rsidRDefault="005444FC" w:rsidP="005444FC">
      <w:pPr>
        <w:pStyle w:val="Heading1"/>
        <w:jc w:val="center"/>
        <w:rPr>
          <w:sz w:val="52"/>
          <w:szCs w:val="52"/>
          <w:lang w:val="en-GB"/>
        </w:rPr>
      </w:pPr>
      <w:r w:rsidRPr="005444FC">
        <w:rPr>
          <w:sz w:val="52"/>
          <w:szCs w:val="52"/>
          <w:lang w:val="en-GB"/>
        </w:rPr>
        <w:t>REPORT AGAINST INDICATORS</w:t>
      </w:r>
    </w:p>
    <w:p w14:paraId="49C205BC" w14:textId="76DC9047" w:rsidR="004608FE" w:rsidRPr="005444FC" w:rsidRDefault="004608FE" w:rsidP="005444FC">
      <w:pPr>
        <w:rPr>
          <w:lang w:val="en-GB"/>
        </w:rPr>
      </w:pPr>
    </w:p>
    <w:p w14:paraId="3362D5A3" w14:textId="71E3C3CC" w:rsidR="004608FE" w:rsidRPr="005444FC" w:rsidRDefault="004608FE" w:rsidP="004608FE">
      <w:pPr>
        <w:pStyle w:val="Heading1"/>
        <w:jc w:val="center"/>
        <w:rPr>
          <w:sz w:val="36"/>
          <w:szCs w:val="36"/>
          <w:lang w:val="en-GB"/>
        </w:rPr>
      </w:pPr>
      <w:r w:rsidRPr="005444FC">
        <w:rPr>
          <w:sz w:val="36"/>
          <w:szCs w:val="36"/>
          <w:lang w:val="en-GB"/>
        </w:rPr>
        <w:t xml:space="preserve">Implementation Plan for </w:t>
      </w:r>
      <w:r w:rsidR="002E06A1" w:rsidRPr="005444FC">
        <w:rPr>
          <w:sz w:val="36"/>
          <w:szCs w:val="36"/>
          <w:lang w:val="en-GB"/>
        </w:rPr>
        <w:t xml:space="preserve">the </w:t>
      </w:r>
      <w:r w:rsidRPr="005444FC">
        <w:rPr>
          <w:sz w:val="36"/>
          <w:szCs w:val="36"/>
          <w:lang w:val="en-GB"/>
        </w:rPr>
        <w:t xml:space="preserve">First Triennium of </w:t>
      </w:r>
      <w:r w:rsidRPr="005444FC">
        <w:rPr>
          <w:sz w:val="36"/>
          <w:szCs w:val="36"/>
          <w:lang w:val="en-GB"/>
        </w:rPr>
        <w:br/>
        <w:t xml:space="preserve">THE Ramsar </w:t>
      </w:r>
      <w:r w:rsidR="00806534" w:rsidRPr="005444FC">
        <w:rPr>
          <w:sz w:val="36"/>
          <w:szCs w:val="36"/>
          <w:lang w:val="en-GB"/>
        </w:rPr>
        <w:t>pro</w:t>
      </w:r>
      <w:r w:rsidR="002E06A1" w:rsidRPr="005444FC">
        <w:rPr>
          <w:sz w:val="36"/>
          <w:szCs w:val="36"/>
          <w:lang w:val="en-GB"/>
        </w:rPr>
        <w:t>gramme on communication, capacity-building, education, participation and awareness (CEPA)</w:t>
      </w:r>
      <w:r w:rsidRPr="005444FC">
        <w:rPr>
          <w:sz w:val="36"/>
          <w:szCs w:val="36"/>
          <w:lang w:val="en-GB"/>
        </w:rPr>
        <w:t xml:space="preserve"> 2016-2024</w:t>
      </w:r>
    </w:p>
    <w:p w14:paraId="3FE167AC" w14:textId="1636F5F6" w:rsidR="00F55AEE" w:rsidRDefault="00F55AEE">
      <w:pPr>
        <w:spacing w:after="0" w:line="240" w:lineRule="auto"/>
        <w:rPr>
          <w:rFonts w:cs="Arial"/>
          <w:b/>
        </w:rPr>
      </w:pPr>
      <w:r>
        <w:rPr>
          <w:rFonts w:cs="Arial"/>
          <w:b/>
        </w:rPr>
        <w:br w:type="page"/>
      </w:r>
    </w:p>
    <w:p w14:paraId="361A54D3" w14:textId="77777777" w:rsidR="00333F4B" w:rsidRPr="00333F4B" w:rsidRDefault="00333F4B" w:rsidP="00333F4B">
      <w:pPr>
        <w:widowControl w:val="0"/>
        <w:kinsoku w:val="0"/>
        <w:overflowPunct w:val="0"/>
        <w:autoSpaceDE w:val="0"/>
        <w:autoSpaceDN w:val="0"/>
        <w:adjustRightInd w:val="0"/>
        <w:spacing w:after="0" w:line="240" w:lineRule="auto"/>
        <w:jc w:val="center"/>
        <w:outlineLvl w:val="3"/>
        <w:rPr>
          <w:rFonts w:asciiTheme="minorHAnsi" w:eastAsia="Times New Roman" w:hAnsiTheme="minorHAnsi"/>
          <w:b/>
          <w:bCs/>
          <w:lang w:val="en-GB" w:eastAsia="en-GB"/>
        </w:rPr>
      </w:pPr>
      <w:r w:rsidRPr="00333F4B">
        <w:rPr>
          <w:rFonts w:asciiTheme="minorHAnsi" w:eastAsia="Times New Roman" w:hAnsiTheme="minorHAnsi"/>
          <w:b/>
          <w:bCs/>
          <w:lang w:val="en-GB" w:eastAsia="en-GB"/>
        </w:rPr>
        <w:lastRenderedPageBreak/>
        <w:t>AUSTRALIA’S RAMSAR CEPA NATIONAL ACTION PLAN 2016-2018</w:t>
      </w:r>
    </w:p>
    <w:p w14:paraId="2B34E723" w14:textId="77777777" w:rsidR="00333F4B" w:rsidRPr="00333F4B" w:rsidRDefault="00333F4B" w:rsidP="00333F4B">
      <w:pPr>
        <w:widowControl w:val="0"/>
        <w:kinsoku w:val="0"/>
        <w:overflowPunct w:val="0"/>
        <w:autoSpaceDE w:val="0"/>
        <w:autoSpaceDN w:val="0"/>
        <w:adjustRightInd w:val="0"/>
        <w:spacing w:after="0" w:line="240" w:lineRule="auto"/>
        <w:outlineLvl w:val="3"/>
        <w:rPr>
          <w:rFonts w:asciiTheme="minorHAnsi" w:eastAsia="Times New Roman" w:hAnsiTheme="minorHAnsi"/>
          <w:bCs/>
          <w:lang w:val="en-GB" w:eastAsia="en-GB"/>
        </w:rPr>
      </w:pPr>
    </w:p>
    <w:p w14:paraId="0D55DCA0" w14:textId="77777777" w:rsidR="00333F4B" w:rsidRPr="00333F4B" w:rsidRDefault="00333F4B" w:rsidP="00333F4B">
      <w:pPr>
        <w:widowControl w:val="0"/>
        <w:kinsoku w:val="0"/>
        <w:overflowPunct w:val="0"/>
        <w:autoSpaceDE w:val="0"/>
        <w:autoSpaceDN w:val="0"/>
        <w:adjustRightInd w:val="0"/>
        <w:spacing w:after="0" w:line="240" w:lineRule="auto"/>
        <w:rPr>
          <w:rFonts w:asciiTheme="minorHAnsi" w:eastAsia="Times New Roman" w:hAnsiTheme="minorHAnsi"/>
          <w:lang w:val="en-GB" w:eastAsia="en-GB"/>
        </w:rPr>
      </w:pPr>
    </w:p>
    <w:tbl>
      <w:tblPr>
        <w:tblStyle w:val="TableGrid"/>
        <w:tblW w:w="0" w:type="auto"/>
        <w:tblInd w:w="250" w:type="dxa"/>
        <w:tblLayout w:type="fixed"/>
        <w:tblLook w:val="04A0" w:firstRow="1" w:lastRow="0" w:firstColumn="1" w:lastColumn="0" w:noHBand="0" w:noVBand="1"/>
      </w:tblPr>
      <w:tblGrid>
        <w:gridCol w:w="1730"/>
        <w:gridCol w:w="2835"/>
        <w:gridCol w:w="2268"/>
        <w:gridCol w:w="6804"/>
      </w:tblGrid>
      <w:tr w:rsidR="00A93620" w:rsidRPr="00333F4B" w14:paraId="46F72F15" w14:textId="77777777" w:rsidTr="00025685">
        <w:tc>
          <w:tcPr>
            <w:tcW w:w="1730" w:type="dxa"/>
          </w:tcPr>
          <w:p w14:paraId="31FD9CE6"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
                <w:bCs/>
                <w:lang w:val="lv-LV" w:eastAsia="en-GB"/>
              </w:rPr>
            </w:pPr>
            <w:r w:rsidRPr="00333F4B">
              <w:rPr>
                <w:rFonts w:ascii="Calibri" w:eastAsia="Times New Roman" w:hAnsi="Calibri"/>
                <w:b/>
                <w:bCs/>
                <w:lang w:val="lv-LV" w:eastAsia="en-GB"/>
              </w:rPr>
              <w:t>CEPA Programme Goals</w:t>
            </w:r>
          </w:p>
        </w:tc>
        <w:tc>
          <w:tcPr>
            <w:tcW w:w="2835" w:type="dxa"/>
          </w:tcPr>
          <w:p w14:paraId="6978F4ED"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
                <w:bCs/>
                <w:lang w:val="lv-LV" w:eastAsia="en-GB"/>
              </w:rPr>
            </w:pPr>
            <w:r w:rsidRPr="00333F4B">
              <w:rPr>
                <w:rFonts w:ascii="Calibri" w:eastAsia="Times New Roman" w:hAnsi="Calibri"/>
                <w:b/>
                <w:bCs/>
                <w:lang w:val="lv-LV" w:eastAsia="en-GB"/>
              </w:rPr>
              <w:t>Targets (set in Convention’s CEPA Programme)</w:t>
            </w:r>
          </w:p>
        </w:tc>
        <w:tc>
          <w:tcPr>
            <w:tcW w:w="2268" w:type="dxa"/>
          </w:tcPr>
          <w:p w14:paraId="532D5487" w14:textId="3B0AF0DF"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
                <w:bCs/>
                <w:lang w:val="lv-LV" w:eastAsia="en-GB"/>
              </w:rPr>
            </w:pPr>
            <w:r w:rsidRPr="00333F4B">
              <w:rPr>
                <w:rFonts w:ascii="Calibri" w:eastAsia="Times New Roman" w:hAnsi="Calibri"/>
                <w:b/>
                <w:bCs/>
                <w:lang w:val="lv-LV" w:eastAsia="en-GB"/>
              </w:rPr>
              <w:t>Output/outcome measures</w:t>
            </w:r>
            <w:r w:rsidR="00386CC3">
              <w:rPr>
                <w:rFonts w:ascii="Calibri" w:eastAsia="Times New Roman" w:hAnsi="Calibri"/>
                <w:b/>
                <w:bCs/>
                <w:lang w:val="lv-LV" w:eastAsia="en-GB"/>
              </w:rPr>
              <w:t xml:space="preserve"> (Indicators)</w:t>
            </w:r>
          </w:p>
          <w:p w14:paraId="0D10AFAA"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
                <w:bCs/>
                <w:lang w:val="lv-LV" w:eastAsia="en-GB"/>
              </w:rPr>
            </w:pPr>
          </w:p>
        </w:tc>
        <w:tc>
          <w:tcPr>
            <w:tcW w:w="6804" w:type="dxa"/>
          </w:tcPr>
          <w:p w14:paraId="542FC075" w14:textId="6AB681DB"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
                <w:bCs/>
                <w:lang w:val="lv-LV" w:eastAsia="en-GB"/>
              </w:rPr>
            </w:pPr>
            <w:r>
              <w:rPr>
                <w:rFonts w:ascii="Calibri" w:eastAsia="Times New Roman" w:hAnsi="Calibri"/>
                <w:b/>
                <w:bCs/>
                <w:lang w:val="lv-LV" w:eastAsia="en-GB"/>
              </w:rPr>
              <w:t>Comments</w:t>
            </w:r>
          </w:p>
        </w:tc>
      </w:tr>
      <w:tr w:rsidR="00A93620" w:rsidRPr="00333F4B" w14:paraId="77BD5E57" w14:textId="77777777" w:rsidTr="00025685">
        <w:tc>
          <w:tcPr>
            <w:tcW w:w="1730" w:type="dxa"/>
          </w:tcPr>
          <w:p w14:paraId="13D605A9" w14:textId="77777777" w:rsidR="00A93620" w:rsidRPr="00333F4B" w:rsidRDefault="00A93620" w:rsidP="00333F4B">
            <w:pPr>
              <w:widowControl w:val="0"/>
              <w:kinsoku w:val="0"/>
              <w:overflowPunct w:val="0"/>
              <w:autoSpaceDE w:val="0"/>
              <w:autoSpaceDN w:val="0"/>
              <w:adjustRightInd w:val="0"/>
              <w:spacing w:after="0" w:line="240" w:lineRule="auto"/>
              <w:rPr>
                <w:rFonts w:eastAsia="Times New Roman"/>
                <w:lang w:val="en-GB" w:eastAsia="en-GB"/>
              </w:rPr>
            </w:pPr>
            <w:r w:rsidRPr="00333F4B">
              <w:rPr>
                <w:rFonts w:eastAsia="Times New Roman"/>
                <w:bCs/>
                <w:lang w:val="en-GB" w:eastAsia="en-GB"/>
              </w:rPr>
              <w:t>1. E</w:t>
            </w:r>
            <w:r w:rsidRPr="00333F4B">
              <w:rPr>
                <w:rFonts w:eastAsia="Times New Roman"/>
                <w:lang w:val="en-GB" w:eastAsia="en-GB"/>
              </w:rPr>
              <w:t>nsure leadership to support effective implementation of the Programme by providing institutional mechanisms and establishing and supporting relevant networks.</w:t>
            </w:r>
          </w:p>
        </w:tc>
        <w:tc>
          <w:tcPr>
            <w:tcW w:w="2835" w:type="dxa"/>
          </w:tcPr>
          <w:p w14:paraId="14A3CD62" w14:textId="3709C7C8" w:rsidR="00A93620" w:rsidRPr="00333F4B" w:rsidRDefault="00A93620" w:rsidP="00333F4B">
            <w:pPr>
              <w:widowControl w:val="0"/>
              <w:numPr>
                <w:ilvl w:val="1"/>
                <w:numId w:val="10"/>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Appropriately experienced people to fill the roles of National Government and Non‐governmental Organization CEPA Focal Points (see Appendix 2) nominated by Contracting Parties and communic</w:t>
            </w:r>
            <w:r w:rsidR="00025685">
              <w:rPr>
                <w:rFonts w:eastAsia="Times New Roman"/>
                <w:lang w:val="en-GB" w:eastAsia="en-GB"/>
              </w:rPr>
              <w:t>ated to the Ramsar Secretariat.</w:t>
            </w:r>
          </w:p>
          <w:p w14:paraId="6B0AE9C9" w14:textId="0D4204B3" w:rsidR="00A93620" w:rsidRPr="00333F4B" w:rsidRDefault="00A93620" w:rsidP="00333F4B">
            <w:pPr>
              <w:widowControl w:val="0"/>
              <w:numPr>
                <w:ilvl w:val="1"/>
                <w:numId w:val="10"/>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 xml:space="preserve">National Ramsar/Wetland Committees established to collaborate with relevant government departments and institutions to mainstream wetlands and their ecosystem services. </w:t>
            </w:r>
          </w:p>
          <w:p w14:paraId="1CB7C546" w14:textId="28916843" w:rsidR="00A93620" w:rsidRPr="00333F4B" w:rsidRDefault="00A93620" w:rsidP="00333F4B">
            <w:pPr>
              <w:widowControl w:val="0"/>
              <w:numPr>
                <w:ilvl w:val="1"/>
                <w:numId w:val="10"/>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National Focal Points (</w:t>
            </w:r>
            <w:r w:rsidR="00025685">
              <w:rPr>
                <w:rFonts w:eastAsia="Times New Roman"/>
                <w:lang w:val="en-GB" w:eastAsia="en-GB"/>
              </w:rPr>
              <w:t>NFP</w:t>
            </w:r>
            <w:r w:rsidRPr="00333F4B">
              <w:rPr>
                <w:rFonts w:eastAsia="Times New Roman"/>
                <w:lang w:val="en-GB" w:eastAsia="en-GB"/>
              </w:rPr>
              <w:t>) included as members of National Ramsar/Wetlan</w:t>
            </w:r>
            <w:r w:rsidR="00025685">
              <w:rPr>
                <w:rFonts w:eastAsia="Times New Roman"/>
                <w:lang w:val="en-GB" w:eastAsia="en-GB"/>
              </w:rPr>
              <w:t>d Committees where these exist.</w:t>
            </w:r>
          </w:p>
          <w:p w14:paraId="5117CEA4" w14:textId="2F56C3B9" w:rsidR="00A93620" w:rsidRPr="00333F4B" w:rsidRDefault="00A93620" w:rsidP="00333F4B">
            <w:pPr>
              <w:widowControl w:val="0"/>
              <w:numPr>
                <w:ilvl w:val="1"/>
                <w:numId w:val="10"/>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 xml:space="preserve">Email networks that </w:t>
            </w:r>
            <w:r w:rsidRPr="00333F4B">
              <w:rPr>
                <w:rFonts w:eastAsia="Times New Roman"/>
                <w:lang w:val="en-GB" w:eastAsia="en-GB"/>
              </w:rPr>
              <w:lastRenderedPageBreak/>
              <w:t>connect and support Administrative Authorities, National Focal Points, Site managers and other Ramsar implementers established and supported</w:t>
            </w:r>
            <w:r w:rsidR="00806785">
              <w:rPr>
                <w:rFonts w:eastAsia="Times New Roman"/>
                <w:lang w:val="en-GB" w:eastAsia="en-GB"/>
              </w:rPr>
              <w:t xml:space="preserve"> at global and national levels.</w:t>
            </w:r>
          </w:p>
          <w:p w14:paraId="195F5CF8" w14:textId="58F5B9BE" w:rsidR="00A93620" w:rsidRPr="00333F4B" w:rsidRDefault="00A93620" w:rsidP="00333F4B">
            <w:pPr>
              <w:widowControl w:val="0"/>
              <w:numPr>
                <w:ilvl w:val="1"/>
                <w:numId w:val="10"/>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Relationships developed and maintained with those organizations that can support Ramsar objectives through their expertise, their traditional knowledge, their human resources or through fu</w:t>
            </w:r>
            <w:r w:rsidR="00806785">
              <w:rPr>
                <w:rFonts w:eastAsia="Times New Roman"/>
                <w:lang w:val="en-GB" w:eastAsia="en-GB"/>
              </w:rPr>
              <w:t>nding established and fostered.</w:t>
            </w:r>
          </w:p>
          <w:p w14:paraId="5E06879A" w14:textId="6602F36A" w:rsidR="00A93620" w:rsidRPr="00806785" w:rsidRDefault="00A93620" w:rsidP="00333F4B">
            <w:pPr>
              <w:widowControl w:val="0"/>
              <w:numPr>
                <w:ilvl w:val="1"/>
                <w:numId w:val="10"/>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 xml:space="preserve">Effectiveness of strategies, especially regarding development and distribution of materials on wetland education and management, the success of campaigns under WWD evaluated. </w:t>
            </w:r>
          </w:p>
        </w:tc>
        <w:tc>
          <w:tcPr>
            <w:tcW w:w="2268" w:type="dxa"/>
          </w:tcPr>
          <w:p w14:paraId="2473A659"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lastRenderedPageBreak/>
              <w:t>NFPs appointed</w:t>
            </w:r>
          </w:p>
          <w:p w14:paraId="03C16BAB"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2E4C2F9A" w14:textId="17568B0A" w:rsidR="00A93620" w:rsidRPr="00333F4B" w:rsidRDefault="00025685"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Wetlands and Aquatic Ecosystems Subcommitee (</w:t>
            </w:r>
            <w:r w:rsidR="00A93620" w:rsidRPr="00333F4B">
              <w:rPr>
                <w:rFonts w:ascii="Calibri" w:eastAsia="Times New Roman" w:hAnsi="Calibri"/>
                <w:bCs/>
                <w:lang w:val="lv-LV" w:eastAsia="en-GB"/>
              </w:rPr>
              <w:t>WAESC</w:t>
            </w:r>
            <w:r>
              <w:rPr>
                <w:rFonts w:ascii="Calibri" w:eastAsia="Times New Roman" w:hAnsi="Calibri"/>
                <w:bCs/>
                <w:lang w:val="lv-LV" w:eastAsia="en-GB"/>
              </w:rPr>
              <w:t>)</w:t>
            </w:r>
            <w:r w:rsidR="00A93620" w:rsidRPr="00333F4B">
              <w:rPr>
                <w:rFonts w:ascii="Calibri" w:eastAsia="Times New Roman" w:hAnsi="Calibri"/>
                <w:bCs/>
                <w:lang w:val="lv-LV" w:eastAsia="en-GB"/>
              </w:rPr>
              <w:t xml:space="preserve"> meetings held</w:t>
            </w:r>
          </w:p>
          <w:p w14:paraId="3BCAEE6D"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 xml:space="preserve"> (National Report Q16.4)</w:t>
            </w:r>
          </w:p>
          <w:p w14:paraId="7329B060"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2160387B"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NFPs attend meetings</w:t>
            </w:r>
          </w:p>
          <w:p w14:paraId="036385DA"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1C12B465"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Extent of networking with wetland stakeholders (National Report Q15.1, 15.2, 18.9)</w:t>
            </w:r>
          </w:p>
          <w:p w14:paraId="149F4303"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3CDA8608"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Emails to wetland stakeholders, World Wetlands Day (WWD) website hits and media/social media coverage (National Report Q16.6, 16.7)</w:t>
            </w:r>
          </w:p>
          <w:p w14:paraId="2654C6BC"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tc>
        <w:tc>
          <w:tcPr>
            <w:tcW w:w="6804" w:type="dxa"/>
          </w:tcPr>
          <w:p w14:paraId="7DA37CD0" w14:textId="1289CB14" w:rsidR="00AD7F4E" w:rsidRDefault="00802FBC"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 xml:space="preserve">Australia has appointed a </w:t>
            </w:r>
            <w:r w:rsidR="00AD7F4E">
              <w:rPr>
                <w:rFonts w:ascii="Calibri" w:eastAsia="Times New Roman" w:hAnsi="Calibri"/>
                <w:bCs/>
                <w:lang w:val="lv-LV" w:eastAsia="en-GB"/>
              </w:rPr>
              <w:t>National Focal Point,</w:t>
            </w:r>
            <w:r w:rsidR="00025685">
              <w:rPr>
                <w:rFonts w:ascii="Calibri" w:eastAsia="Times New Roman" w:hAnsi="Calibri"/>
                <w:bCs/>
                <w:lang w:val="lv-LV" w:eastAsia="en-GB"/>
              </w:rPr>
              <w:t xml:space="preserve"> Scientfic, Technical and Research Program</w:t>
            </w:r>
            <w:r w:rsidR="00AD7F4E">
              <w:rPr>
                <w:rFonts w:ascii="Calibri" w:eastAsia="Times New Roman" w:hAnsi="Calibri"/>
                <w:bCs/>
                <w:lang w:val="lv-LV" w:eastAsia="en-GB"/>
              </w:rPr>
              <w:t xml:space="preserve"> </w:t>
            </w:r>
            <w:r w:rsidR="00025685">
              <w:rPr>
                <w:rFonts w:ascii="Calibri" w:eastAsia="Times New Roman" w:hAnsi="Calibri"/>
                <w:bCs/>
                <w:lang w:val="lv-LV" w:eastAsia="en-GB"/>
              </w:rPr>
              <w:t>(</w:t>
            </w:r>
            <w:r w:rsidR="00AD7F4E">
              <w:rPr>
                <w:rFonts w:ascii="Calibri" w:eastAsia="Times New Roman" w:hAnsi="Calibri"/>
                <w:bCs/>
                <w:lang w:val="lv-LV" w:eastAsia="en-GB"/>
              </w:rPr>
              <w:t>STRP</w:t>
            </w:r>
            <w:r w:rsidR="00025685">
              <w:rPr>
                <w:rFonts w:ascii="Calibri" w:eastAsia="Times New Roman" w:hAnsi="Calibri"/>
                <w:bCs/>
                <w:lang w:val="lv-LV" w:eastAsia="en-GB"/>
              </w:rPr>
              <w:t>)</w:t>
            </w:r>
            <w:r w:rsidR="00AD7F4E">
              <w:rPr>
                <w:rFonts w:ascii="Calibri" w:eastAsia="Times New Roman" w:hAnsi="Calibri"/>
                <w:bCs/>
                <w:lang w:val="lv-LV" w:eastAsia="en-GB"/>
              </w:rPr>
              <w:t xml:space="preserve"> Focal Point</w:t>
            </w:r>
            <w:r>
              <w:rPr>
                <w:rFonts w:ascii="Calibri" w:eastAsia="Times New Roman" w:hAnsi="Calibri"/>
                <w:bCs/>
                <w:lang w:val="lv-LV" w:eastAsia="en-GB"/>
              </w:rPr>
              <w:t xml:space="preserve"> and CEPA Focal Point</w:t>
            </w:r>
            <w:r w:rsidR="00AD7F4E">
              <w:rPr>
                <w:rFonts w:ascii="Calibri" w:eastAsia="Times New Roman" w:hAnsi="Calibri"/>
                <w:bCs/>
                <w:lang w:val="lv-LV" w:eastAsia="en-GB"/>
              </w:rPr>
              <w:t>.</w:t>
            </w:r>
          </w:p>
          <w:p w14:paraId="6ADD4E4F" w14:textId="77777777" w:rsidR="00E57ECB" w:rsidRDefault="00E57EC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639D1617" w14:textId="12F63340" w:rsidR="00AD7F4E" w:rsidRDefault="004827EA"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M</w:t>
            </w:r>
            <w:r w:rsidR="00AD7F4E">
              <w:rPr>
                <w:rFonts w:ascii="Calibri" w:eastAsia="Times New Roman" w:hAnsi="Calibri"/>
                <w:bCs/>
                <w:lang w:val="lv-LV" w:eastAsia="en-GB"/>
              </w:rPr>
              <w:t xml:space="preserve">eetings </w:t>
            </w:r>
            <w:r>
              <w:rPr>
                <w:rFonts w:ascii="Calibri" w:eastAsia="Times New Roman" w:hAnsi="Calibri"/>
                <w:bCs/>
                <w:lang w:val="lv-LV" w:eastAsia="en-GB"/>
              </w:rPr>
              <w:t xml:space="preserve">of the Wetlands and Aquatic Ecosystems Sub-committee (comprising Australian and state/territory government officials) were </w:t>
            </w:r>
            <w:r w:rsidR="00AD7F4E">
              <w:rPr>
                <w:rFonts w:ascii="Calibri" w:eastAsia="Times New Roman" w:hAnsi="Calibri"/>
                <w:bCs/>
                <w:lang w:val="lv-LV" w:eastAsia="en-GB"/>
              </w:rPr>
              <w:t>held every 6 months.</w:t>
            </w:r>
          </w:p>
          <w:p w14:paraId="6F05B883" w14:textId="77777777" w:rsidR="00E57ECB" w:rsidRDefault="00E57EC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7796B268" w14:textId="74B7D078" w:rsidR="00AD7F4E" w:rsidRDefault="00E57EC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NFPs attend meetings of the national wetlands committee.</w:t>
            </w:r>
          </w:p>
          <w:p w14:paraId="1E7B54DA" w14:textId="77777777" w:rsidR="00E57ECB" w:rsidRDefault="00E57EC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26C4DFDA" w14:textId="3F6251DF" w:rsidR="00AD7F4E" w:rsidRDefault="004827EA"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 xml:space="preserve">Annual wetland </w:t>
            </w:r>
            <w:r w:rsidR="00025685">
              <w:rPr>
                <w:rFonts w:ascii="Calibri" w:eastAsia="Times New Roman" w:hAnsi="Calibri"/>
                <w:bCs/>
                <w:lang w:val="lv-LV" w:eastAsia="en-GB"/>
              </w:rPr>
              <w:t>non-government organisations (</w:t>
            </w:r>
            <w:r w:rsidR="00440A64">
              <w:rPr>
                <w:rFonts w:ascii="Calibri" w:eastAsia="Times New Roman" w:hAnsi="Calibri"/>
                <w:bCs/>
                <w:lang w:val="lv-LV" w:eastAsia="en-GB"/>
              </w:rPr>
              <w:t>NGO</w:t>
            </w:r>
            <w:r w:rsidR="00025685">
              <w:rPr>
                <w:rFonts w:ascii="Calibri" w:eastAsia="Times New Roman" w:hAnsi="Calibri"/>
                <w:bCs/>
                <w:lang w:val="lv-LV" w:eastAsia="en-GB"/>
              </w:rPr>
              <w:t>)</w:t>
            </w:r>
            <w:r w:rsidR="00440A64">
              <w:rPr>
                <w:rFonts w:ascii="Calibri" w:eastAsia="Times New Roman" w:hAnsi="Calibri"/>
                <w:bCs/>
                <w:lang w:val="lv-LV" w:eastAsia="en-GB"/>
              </w:rPr>
              <w:t xml:space="preserve"> </w:t>
            </w:r>
            <w:r>
              <w:rPr>
                <w:rFonts w:ascii="Calibri" w:eastAsia="Times New Roman" w:hAnsi="Calibri"/>
                <w:bCs/>
                <w:lang w:val="lv-LV" w:eastAsia="en-GB"/>
              </w:rPr>
              <w:t>forums provided an opportunity for wetland NGOs and other stakeholders to share information, including in 2018, preparations for COP13.</w:t>
            </w:r>
          </w:p>
          <w:p w14:paraId="0C0878A7" w14:textId="77777777" w:rsidR="00E57ECB" w:rsidRDefault="00E57EC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62AEBF6D" w14:textId="14227038" w:rsidR="00AD7F4E" w:rsidRDefault="00AD7F4E"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Aus</w:t>
            </w:r>
            <w:r w:rsidR="00264EC9">
              <w:rPr>
                <w:rFonts w:ascii="Calibri" w:eastAsia="Times New Roman" w:hAnsi="Calibri"/>
                <w:bCs/>
                <w:lang w:val="lv-LV" w:eastAsia="en-GB"/>
              </w:rPr>
              <w:t>tralian Wetlands Network and Wetland Education Centre</w:t>
            </w:r>
            <w:r>
              <w:rPr>
                <w:rFonts w:ascii="Calibri" w:eastAsia="Times New Roman" w:hAnsi="Calibri"/>
                <w:bCs/>
                <w:lang w:val="lv-LV" w:eastAsia="en-GB"/>
              </w:rPr>
              <w:t xml:space="preserve">s </w:t>
            </w:r>
            <w:r w:rsidR="00264EC9">
              <w:rPr>
                <w:rFonts w:ascii="Calibri" w:eastAsia="Times New Roman" w:hAnsi="Calibri"/>
                <w:bCs/>
                <w:lang w:val="lv-LV" w:eastAsia="en-GB"/>
              </w:rPr>
              <w:t xml:space="preserve"> (WECs) </w:t>
            </w:r>
            <w:r w:rsidR="009A01F5">
              <w:rPr>
                <w:rFonts w:ascii="Calibri" w:eastAsia="Times New Roman" w:hAnsi="Calibri"/>
                <w:bCs/>
                <w:lang w:val="lv-LV" w:eastAsia="en-GB"/>
              </w:rPr>
              <w:t xml:space="preserve">were </w:t>
            </w:r>
            <w:r>
              <w:rPr>
                <w:rFonts w:ascii="Calibri" w:eastAsia="Times New Roman" w:hAnsi="Calibri"/>
                <w:bCs/>
                <w:lang w:val="lv-LV" w:eastAsia="en-GB"/>
              </w:rPr>
              <w:t>regularly kept informed of relevant initiatives, and input sought from them.</w:t>
            </w:r>
          </w:p>
          <w:p w14:paraId="07F39AFB" w14:textId="19220471" w:rsidR="00AD7F4E" w:rsidRDefault="00AD7F4E"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AD7F4E">
              <w:rPr>
                <w:rFonts w:ascii="Calibri" w:eastAsia="Times New Roman" w:hAnsi="Calibri"/>
                <w:bCs/>
                <w:lang w:val="lv-LV" w:eastAsia="en-GB"/>
              </w:rPr>
              <w:t>Australia provides the Chair for the World Wetland Network, Louise Duff.</w:t>
            </w:r>
          </w:p>
          <w:p w14:paraId="4AC56EE0" w14:textId="77777777" w:rsidR="00E57ECB" w:rsidRDefault="00E57EC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4E522606" w14:textId="27C9838E" w:rsidR="00AD7F4E" w:rsidRDefault="00AD7F4E"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Emails sent to WECs</w:t>
            </w:r>
            <w:r w:rsidR="009A01F5">
              <w:rPr>
                <w:rFonts w:ascii="Calibri" w:eastAsia="Times New Roman" w:hAnsi="Calibri"/>
                <w:bCs/>
                <w:lang w:val="lv-LV" w:eastAsia="en-GB"/>
              </w:rPr>
              <w:t xml:space="preserve"> regarding key inititiaves, and WWD.</w:t>
            </w:r>
          </w:p>
          <w:p w14:paraId="5ECBF674" w14:textId="77777777" w:rsidR="00E57ECB" w:rsidRDefault="00E57EC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6B98D872" w14:textId="7F3EEC9D" w:rsidR="00AD7F4E" w:rsidRDefault="00AD7F4E"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Social Media</w:t>
            </w:r>
            <w:r w:rsidR="00946EC5">
              <w:rPr>
                <w:rFonts w:ascii="Calibri" w:eastAsia="Times New Roman" w:hAnsi="Calibri"/>
                <w:bCs/>
                <w:lang w:val="lv-LV" w:eastAsia="en-GB"/>
              </w:rPr>
              <w:t xml:space="preserve"> – Ramsar/wetlands were promoted through Facebook Posts and Tweets relating to each World Wetlands Day, the COP, </w:t>
            </w:r>
            <w:r w:rsidR="00E57ECB">
              <w:rPr>
                <w:rFonts w:ascii="Calibri" w:eastAsia="Times New Roman" w:hAnsi="Calibri"/>
                <w:bCs/>
                <w:lang w:val="lv-LV" w:eastAsia="en-GB"/>
              </w:rPr>
              <w:t xml:space="preserve">release of the </w:t>
            </w:r>
            <w:r w:rsidR="00946EC5">
              <w:rPr>
                <w:rFonts w:ascii="Calibri" w:eastAsia="Times New Roman" w:hAnsi="Calibri"/>
                <w:bCs/>
                <w:lang w:val="lv-LV" w:eastAsia="en-GB"/>
              </w:rPr>
              <w:t>Global Wetland Outlook, World Migratory Birds Day, Biodiversity Month, National Science Week etc.</w:t>
            </w:r>
          </w:p>
          <w:p w14:paraId="43046FFA" w14:textId="77777777" w:rsidR="00C226F5" w:rsidRDefault="00C226F5"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122C49E7" w14:textId="1C489979" w:rsidR="00C226F5" w:rsidRDefault="00C226F5"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C226F5">
              <w:rPr>
                <w:rFonts w:ascii="Calibri" w:eastAsia="Times New Roman" w:hAnsi="Calibri"/>
                <w:bCs/>
                <w:lang w:val="lv-LV" w:eastAsia="en-GB"/>
              </w:rPr>
              <w:t>There were 4, 000 WWD page website hits in 2017 and 2,300 in 2018</w:t>
            </w:r>
          </w:p>
          <w:p w14:paraId="70AAAB6B" w14:textId="77777777" w:rsidR="00A93620" w:rsidRDefault="00A93620" w:rsidP="00AD7F4E">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581627A9" w14:textId="77777777" w:rsidR="00440A64" w:rsidRPr="00440A64" w:rsidRDefault="00440A64" w:rsidP="00440A64">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440A64">
              <w:rPr>
                <w:rFonts w:ascii="Calibri" w:eastAsia="Times New Roman" w:hAnsi="Calibri"/>
                <w:bCs/>
                <w:lang w:val="lv-LV" w:eastAsia="en-GB"/>
              </w:rPr>
              <w:t xml:space="preserve">Networking -  The Queensland Wetlands Governance Group (QWGG) </w:t>
            </w:r>
            <w:r w:rsidRPr="00440A64">
              <w:rPr>
                <w:rFonts w:ascii="Calibri" w:eastAsia="Times New Roman" w:hAnsi="Calibri"/>
                <w:bCs/>
                <w:lang w:val="lv-LV" w:eastAsia="en-GB"/>
              </w:rPr>
              <w:lastRenderedPageBreak/>
              <w:t>meetings. Meeting frequency is up to 4 face to face meetings per year. Additional teleconference meetings are arranged on a needs basis. Main purpose is to provide and advice and strategic direction regarding wetland related matters.</w:t>
            </w:r>
          </w:p>
          <w:p w14:paraId="64FC5981" w14:textId="77777777" w:rsidR="00440A64" w:rsidRPr="00440A64" w:rsidRDefault="00440A64" w:rsidP="00440A64">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4002A545" w14:textId="77777777" w:rsidR="00440A64" w:rsidRPr="00440A64" w:rsidRDefault="00440A64" w:rsidP="00440A64">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440A64">
              <w:rPr>
                <w:rFonts w:ascii="Calibri" w:eastAsia="Times New Roman" w:hAnsi="Calibri"/>
                <w:bCs/>
                <w:lang w:val="lv-LV" w:eastAsia="en-GB"/>
              </w:rPr>
              <w:t xml:space="preserve">Networking - The Great Barrier Reef Wetlands Network. </w:t>
            </w:r>
            <w:r w:rsidRPr="00440A64">
              <w:rPr>
                <w:rFonts w:ascii="Calibri" w:eastAsia="Times New Roman" w:hAnsi="Calibri"/>
                <w:bCs/>
                <w:lang w:eastAsia="en-GB"/>
              </w:rPr>
              <w:t>An average one 1-2 day face to face meeting per year and quarterly 1.5 hour meetings via teleconference or on-line. Additional meetings may be required.</w:t>
            </w:r>
            <w:r w:rsidRPr="00440A64">
              <w:rPr>
                <w:rFonts w:ascii="Calibri" w:eastAsia="Times New Roman" w:hAnsi="Calibri"/>
                <w:bCs/>
                <w:lang w:val="lv-LV" w:eastAsia="en-GB"/>
              </w:rPr>
              <w:t xml:space="preserve"> </w:t>
            </w:r>
            <w:r w:rsidRPr="00440A64">
              <w:rPr>
                <w:rFonts w:ascii="Calibri" w:eastAsia="Times New Roman" w:hAnsi="Calibri"/>
                <w:bCs/>
                <w:lang w:eastAsia="en-GB"/>
              </w:rPr>
              <w:t>Other forms of communication:  use of Google, Dropbox, social networking etc.</w:t>
            </w:r>
            <w:r w:rsidRPr="00440A64">
              <w:rPr>
                <w:rFonts w:ascii="Calibri" w:eastAsia="Times New Roman" w:hAnsi="Calibri"/>
                <w:bCs/>
                <w:lang w:val="lv-LV" w:eastAsia="en-GB"/>
              </w:rPr>
              <w:t xml:space="preserve"> </w:t>
            </w:r>
          </w:p>
          <w:p w14:paraId="358F2838" w14:textId="33E8365D" w:rsidR="00440A64" w:rsidRPr="00440A64" w:rsidRDefault="00440A64" w:rsidP="00440A64">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5006C8F4" w14:textId="77777777" w:rsidR="00440A64" w:rsidRPr="00440A64" w:rsidRDefault="00440A64" w:rsidP="00440A64">
            <w:pPr>
              <w:widowControl w:val="0"/>
              <w:kinsoku w:val="0"/>
              <w:overflowPunct w:val="0"/>
              <w:autoSpaceDE w:val="0"/>
              <w:autoSpaceDN w:val="0"/>
              <w:adjustRightInd w:val="0"/>
              <w:spacing w:after="0" w:line="240" w:lineRule="auto"/>
              <w:rPr>
                <w:rFonts w:ascii="Calibri" w:eastAsia="Times New Roman" w:hAnsi="Calibri"/>
                <w:bCs/>
                <w:lang w:eastAsia="en-GB"/>
              </w:rPr>
            </w:pPr>
            <w:r w:rsidRPr="00440A64">
              <w:rPr>
                <w:rFonts w:ascii="Calibri" w:eastAsia="Times New Roman" w:hAnsi="Calibri"/>
                <w:bCs/>
                <w:lang w:val="lv-LV" w:eastAsia="en-GB"/>
              </w:rPr>
              <w:t xml:space="preserve">Networking - Relationships established and maintained with researchers including </w:t>
            </w:r>
            <w:r w:rsidRPr="00440A64">
              <w:rPr>
                <w:rFonts w:ascii="Calibri" w:eastAsia="Times New Roman" w:hAnsi="Calibri"/>
                <w:bCs/>
                <w:lang w:eastAsia="en-GB"/>
              </w:rPr>
              <w:t xml:space="preserve">the Fuller Lab at the University of Queensland. The Fuller lab is leading the </w:t>
            </w:r>
            <w:r w:rsidRPr="00440A64">
              <w:rPr>
                <w:rFonts w:ascii="Calibri" w:eastAsia="Times New Roman" w:hAnsi="Calibri"/>
                <w:bCs/>
                <w:i/>
                <w:lang w:eastAsia="en-GB"/>
              </w:rPr>
              <w:t>Recovering Australia’s Migratory Shorebirds Project</w:t>
            </w:r>
            <w:r w:rsidRPr="00440A64">
              <w:rPr>
                <w:rFonts w:ascii="Calibri" w:eastAsia="Times New Roman" w:hAnsi="Calibri"/>
                <w:bCs/>
                <w:lang w:eastAsia="en-GB"/>
              </w:rPr>
              <w:t xml:space="preserve"> funded through the Australian Research Linkage Projects Scheme in collaboration with the Queensland Wader Study Group (QWSG), the Queensland Department of Environment and Science, Wetlands Team) and the Burnett Mary Regional NRM group.</w:t>
            </w:r>
          </w:p>
          <w:p w14:paraId="1D58EE5E" w14:textId="673C1B63" w:rsidR="00440A64" w:rsidRPr="00333F4B" w:rsidRDefault="00440A64" w:rsidP="00AD7F4E">
            <w:pPr>
              <w:widowControl w:val="0"/>
              <w:kinsoku w:val="0"/>
              <w:overflowPunct w:val="0"/>
              <w:autoSpaceDE w:val="0"/>
              <w:autoSpaceDN w:val="0"/>
              <w:adjustRightInd w:val="0"/>
              <w:spacing w:after="0" w:line="240" w:lineRule="auto"/>
              <w:rPr>
                <w:rFonts w:ascii="Calibri" w:eastAsia="Times New Roman" w:hAnsi="Calibri"/>
                <w:bCs/>
                <w:lang w:val="lv-LV" w:eastAsia="en-GB"/>
              </w:rPr>
            </w:pPr>
          </w:p>
        </w:tc>
      </w:tr>
      <w:tr w:rsidR="00A93620" w:rsidRPr="00333F4B" w14:paraId="253DD17F" w14:textId="77777777" w:rsidTr="00025685">
        <w:tc>
          <w:tcPr>
            <w:tcW w:w="1730" w:type="dxa"/>
          </w:tcPr>
          <w:p w14:paraId="36D939C6" w14:textId="241E6BFE" w:rsidR="00A93620" w:rsidRPr="00333F4B" w:rsidRDefault="00A93620" w:rsidP="00333F4B">
            <w:pPr>
              <w:widowControl w:val="0"/>
              <w:kinsoku w:val="0"/>
              <w:overflowPunct w:val="0"/>
              <w:autoSpaceDE w:val="0"/>
              <w:autoSpaceDN w:val="0"/>
              <w:adjustRightInd w:val="0"/>
              <w:spacing w:after="0" w:line="240" w:lineRule="auto"/>
              <w:rPr>
                <w:rFonts w:eastAsia="Times New Roman"/>
                <w:lang w:val="en-GB" w:eastAsia="en-GB"/>
              </w:rPr>
            </w:pPr>
            <w:r w:rsidRPr="00333F4B">
              <w:rPr>
                <w:rFonts w:eastAsia="Times New Roman"/>
                <w:lang w:val="en-GB" w:eastAsia="en-GB"/>
              </w:rPr>
              <w:lastRenderedPageBreak/>
              <w:t xml:space="preserve">2. Integrate CEPA processes, where appropriate, into all levels of </w:t>
            </w:r>
            <w:r w:rsidRPr="00333F4B">
              <w:rPr>
                <w:rFonts w:eastAsia="Times New Roman"/>
                <w:lang w:val="en-GB" w:eastAsia="en-GB"/>
              </w:rPr>
              <w:lastRenderedPageBreak/>
              <w:t>policy development, planning and implementation of the Convention.</w:t>
            </w:r>
          </w:p>
        </w:tc>
        <w:tc>
          <w:tcPr>
            <w:tcW w:w="2835" w:type="dxa"/>
          </w:tcPr>
          <w:p w14:paraId="468A38AC" w14:textId="49DE68CF" w:rsidR="00A93620" w:rsidRPr="00333F4B" w:rsidRDefault="00A93620" w:rsidP="00333F4B">
            <w:pPr>
              <w:widowControl w:val="0"/>
              <w:numPr>
                <w:ilvl w:val="1"/>
                <w:numId w:val="11"/>
              </w:numPr>
              <w:kinsoku w:val="0"/>
              <w:overflowPunct w:val="0"/>
              <w:autoSpaceDE w:val="0"/>
              <w:autoSpaceDN w:val="0"/>
              <w:adjustRightInd w:val="0"/>
              <w:spacing w:after="0" w:line="240" w:lineRule="auto"/>
              <w:ind w:left="426" w:hanging="426"/>
              <w:rPr>
                <w:rFonts w:eastAsia="Times New Roman"/>
                <w:lang w:val="en-GB" w:eastAsia="en-GB"/>
              </w:rPr>
            </w:pPr>
            <w:r w:rsidRPr="00333F4B">
              <w:rPr>
                <w:rFonts w:eastAsia="Times New Roman"/>
                <w:lang w:val="en-GB" w:eastAsia="en-GB"/>
              </w:rPr>
              <w:lastRenderedPageBreak/>
              <w:t xml:space="preserve">CEPA expertise involved in the development of guidance by the Convention’s bodies including the Scientific </w:t>
            </w:r>
            <w:r w:rsidRPr="00333F4B">
              <w:rPr>
                <w:rFonts w:eastAsia="Times New Roman"/>
                <w:lang w:val="en-GB" w:eastAsia="en-GB"/>
              </w:rPr>
              <w:lastRenderedPageBreak/>
              <w:t>and Technical Review Panel (STR</w:t>
            </w:r>
            <w:r w:rsidR="00806785">
              <w:rPr>
                <w:rFonts w:eastAsia="Times New Roman"/>
                <w:lang w:val="en-GB" w:eastAsia="en-GB"/>
              </w:rPr>
              <w:t>P) and Standing Committee (SC).</w:t>
            </w:r>
          </w:p>
          <w:p w14:paraId="3FACECDC" w14:textId="74679CD8" w:rsidR="00A93620" w:rsidRPr="00333F4B" w:rsidRDefault="00A93620" w:rsidP="00333F4B">
            <w:pPr>
              <w:widowControl w:val="0"/>
              <w:numPr>
                <w:ilvl w:val="1"/>
                <w:numId w:val="11"/>
              </w:numPr>
              <w:kinsoku w:val="0"/>
              <w:overflowPunct w:val="0"/>
              <w:autoSpaceDE w:val="0"/>
              <w:autoSpaceDN w:val="0"/>
              <w:adjustRightInd w:val="0"/>
              <w:spacing w:after="0" w:line="240" w:lineRule="auto"/>
              <w:ind w:left="426" w:hanging="426"/>
              <w:rPr>
                <w:rFonts w:eastAsia="Times New Roman"/>
                <w:lang w:val="en-GB" w:eastAsia="en-GB"/>
              </w:rPr>
            </w:pPr>
            <w:r w:rsidRPr="00333F4B">
              <w:rPr>
                <w:rFonts w:eastAsia="Times New Roman"/>
                <w:lang w:val="en-GB" w:eastAsia="en-GB"/>
              </w:rPr>
              <w:t xml:space="preserve">Wetland communication (CEPA) plans developed at the appropriate level by Parties (national, basin or site) to support Ramsar implementers. </w:t>
            </w:r>
          </w:p>
          <w:p w14:paraId="04D083C6" w14:textId="6313C635" w:rsidR="00A93620" w:rsidRPr="00333F4B" w:rsidRDefault="00A93620" w:rsidP="00806785">
            <w:pPr>
              <w:widowControl w:val="0"/>
              <w:numPr>
                <w:ilvl w:val="1"/>
                <w:numId w:val="11"/>
              </w:numPr>
              <w:kinsoku w:val="0"/>
              <w:overflowPunct w:val="0"/>
              <w:autoSpaceDE w:val="0"/>
              <w:autoSpaceDN w:val="0"/>
              <w:adjustRightInd w:val="0"/>
              <w:spacing w:after="0" w:line="240" w:lineRule="auto"/>
              <w:ind w:left="426" w:hanging="426"/>
              <w:rPr>
                <w:rFonts w:ascii="Calibri" w:eastAsia="Times New Roman" w:hAnsi="Calibri"/>
                <w:bCs/>
                <w:lang w:val="lv-LV" w:eastAsia="en-GB"/>
              </w:rPr>
            </w:pPr>
            <w:r w:rsidRPr="00333F4B">
              <w:rPr>
                <w:rFonts w:eastAsia="Times New Roman"/>
                <w:lang w:val="en-GB" w:eastAsia="en-GB"/>
              </w:rPr>
              <w:t xml:space="preserve">Where appropriate, wetland CEPA integrated into national policy and planning relevant to wetlands. </w:t>
            </w:r>
          </w:p>
        </w:tc>
        <w:tc>
          <w:tcPr>
            <w:tcW w:w="2268" w:type="dxa"/>
          </w:tcPr>
          <w:p w14:paraId="291676E7"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lastRenderedPageBreak/>
              <w:t xml:space="preserve">National CEPA Plan and basin/site plans developed and published online (National Report </w:t>
            </w:r>
            <w:r w:rsidRPr="00333F4B">
              <w:rPr>
                <w:rFonts w:ascii="Calibri" w:eastAsia="Times New Roman" w:hAnsi="Calibri"/>
                <w:bCs/>
                <w:lang w:val="lv-LV" w:eastAsia="en-GB"/>
              </w:rPr>
              <w:lastRenderedPageBreak/>
              <w:t>Q16.1)</w:t>
            </w:r>
          </w:p>
          <w:p w14:paraId="5DDC5335"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6871098B"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tc>
        <w:tc>
          <w:tcPr>
            <w:tcW w:w="6804" w:type="dxa"/>
          </w:tcPr>
          <w:p w14:paraId="18CA29E2" w14:textId="21A60934" w:rsidR="00AD7F4E" w:rsidRDefault="006E4A9F"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lastRenderedPageBreak/>
              <w:t xml:space="preserve">A </w:t>
            </w:r>
            <w:r w:rsidR="00AD7F4E">
              <w:rPr>
                <w:rFonts w:ascii="Calibri" w:eastAsia="Times New Roman" w:hAnsi="Calibri"/>
                <w:bCs/>
                <w:lang w:val="lv-LV" w:eastAsia="en-GB"/>
              </w:rPr>
              <w:t>CEPA National Action Plan</w:t>
            </w:r>
            <w:r>
              <w:rPr>
                <w:rFonts w:ascii="Calibri" w:eastAsia="Times New Roman" w:hAnsi="Calibri"/>
                <w:bCs/>
                <w:lang w:val="lv-LV" w:eastAsia="en-GB"/>
              </w:rPr>
              <w:t xml:space="preserve"> was developed for the period 2016-2018</w:t>
            </w:r>
            <w:r w:rsidR="00AD7F4E">
              <w:rPr>
                <w:rFonts w:ascii="Calibri" w:eastAsia="Times New Roman" w:hAnsi="Calibri"/>
                <w:bCs/>
                <w:lang w:val="lv-LV" w:eastAsia="en-GB"/>
              </w:rPr>
              <w:t>.</w:t>
            </w:r>
          </w:p>
          <w:p w14:paraId="494B4D93" w14:textId="77777777" w:rsidR="00E57ECB" w:rsidRDefault="00E57EC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3464887D" w14:textId="13AED5F0" w:rsidR="00AD7F4E" w:rsidRDefault="006E4A9F"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 xml:space="preserve">A </w:t>
            </w:r>
            <w:r w:rsidR="00AD7F4E">
              <w:rPr>
                <w:rFonts w:ascii="Calibri" w:eastAsia="Times New Roman" w:hAnsi="Calibri"/>
                <w:bCs/>
                <w:lang w:val="lv-LV" w:eastAsia="en-GB"/>
              </w:rPr>
              <w:t xml:space="preserve">Wetlands and People Plan </w:t>
            </w:r>
            <w:r>
              <w:rPr>
                <w:rFonts w:ascii="Calibri" w:eastAsia="Times New Roman" w:hAnsi="Calibri"/>
                <w:bCs/>
                <w:lang w:val="lv-LV" w:eastAsia="en-GB"/>
              </w:rPr>
              <w:t xml:space="preserve">was </w:t>
            </w:r>
            <w:r w:rsidR="00AD7F4E">
              <w:rPr>
                <w:rFonts w:ascii="Calibri" w:eastAsia="Times New Roman" w:hAnsi="Calibri"/>
                <w:bCs/>
                <w:lang w:val="lv-LV" w:eastAsia="en-GB"/>
              </w:rPr>
              <w:t>developed for Peel-Yalgorup Ramsar site, WA</w:t>
            </w:r>
          </w:p>
          <w:p w14:paraId="320BB486" w14:textId="77777777" w:rsidR="00E57ECB" w:rsidRDefault="00E57EC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53880BE9" w14:textId="02FF3813" w:rsidR="00A93620" w:rsidRPr="00333F4B" w:rsidRDefault="00E256C2"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lastRenderedPageBreak/>
              <w:t>Management Plans for Australian Ramsar sites include priorities for CEPA.</w:t>
            </w:r>
          </w:p>
        </w:tc>
      </w:tr>
      <w:tr w:rsidR="00A93620" w:rsidRPr="00333F4B" w14:paraId="0684B9DE" w14:textId="77777777" w:rsidTr="00025685">
        <w:tc>
          <w:tcPr>
            <w:tcW w:w="1730" w:type="dxa"/>
          </w:tcPr>
          <w:p w14:paraId="4F9AC589" w14:textId="0FD4ED5E" w:rsidR="00A93620" w:rsidRPr="00333F4B" w:rsidRDefault="00A93620" w:rsidP="00333F4B">
            <w:pPr>
              <w:widowControl w:val="0"/>
              <w:kinsoku w:val="0"/>
              <w:overflowPunct w:val="0"/>
              <w:autoSpaceDE w:val="0"/>
              <w:autoSpaceDN w:val="0"/>
              <w:adjustRightInd w:val="0"/>
              <w:spacing w:after="0" w:line="240" w:lineRule="auto"/>
              <w:rPr>
                <w:rFonts w:eastAsia="Times New Roman"/>
                <w:noProof/>
                <w:lang w:val="en-GB" w:eastAsia="en-GB"/>
              </w:rPr>
            </w:pPr>
            <w:r w:rsidRPr="00333F4B">
              <w:rPr>
                <w:rFonts w:eastAsia="Times New Roman"/>
                <w:noProof/>
                <w:lang w:val="en-GB" w:eastAsia="en-GB"/>
              </w:rPr>
              <w:lastRenderedPageBreak/>
              <w:t>3. Provide support to implementers of wise use principles, especially those with a direct role in site management.</w:t>
            </w:r>
          </w:p>
        </w:tc>
        <w:tc>
          <w:tcPr>
            <w:tcW w:w="2835" w:type="dxa"/>
          </w:tcPr>
          <w:p w14:paraId="7F98EEC9" w14:textId="77777777" w:rsidR="00A93620" w:rsidRPr="00333F4B" w:rsidRDefault="00A93620" w:rsidP="00333F4B">
            <w:pPr>
              <w:widowControl w:val="0"/>
              <w:numPr>
                <w:ilvl w:val="1"/>
                <w:numId w:val="12"/>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The Strategic Plan 2016-2024 adopted by COP12 disseminated and promoted.</w:t>
            </w:r>
          </w:p>
          <w:p w14:paraId="290D82F1" w14:textId="4CDF5F6C" w:rsidR="00A93620" w:rsidRPr="00333F4B" w:rsidRDefault="00A93620" w:rsidP="00333F4B">
            <w:pPr>
              <w:widowControl w:val="0"/>
              <w:numPr>
                <w:ilvl w:val="1"/>
                <w:numId w:val="12"/>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Appropriate guidance materials that support and encourage the wise use of wetlands produced for use at Ramsar Sites and other we</w:t>
            </w:r>
            <w:r w:rsidR="00806785">
              <w:rPr>
                <w:rFonts w:eastAsia="Times New Roman"/>
                <w:lang w:val="en-GB" w:eastAsia="en-GB"/>
              </w:rPr>
              <w:t>tlands and by wetland networks.</w:t>
            </w:r>
          </w:p>
          <w:p w14:paraId="06651D03" w14:textId="305CA27A" w:rsidR="00A93620" w:rsidRPr="00333F4B" w:rsidRDefault="00A93620" w:rsidP="00333F4B">
            <w:pPr>
              <w:widowControl w:val="0"/>
              <w:numPr>
                <w:ilvl w:val="1"/>
                <w:numId w:val="12"/>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 xml:space="preserve">Websites, including the Convention’s website, to be further developed to be fit for purpose and be a useful platform for the sharing of </w:t>
            </w:r>
            <w:r w:rsidRPr="00333F4B">
              <w:rPr>
                <w:rFonts w:eastAsia="Times New Roman"/>
                <w:lang w:val="en-GB" w:eastAsia="en-GB"/>
              </w:rPr>
              <w:lastRenderedPageBreak/>
              <w:t>information and resources, including the sharing of information and experiences among CEPA National Focal Points.</w:t>
            </w:r>
          </w:p>
          <w:p w14:paraId="7016BE2D" w14:textId="47357C99" w:rsidR="00A93620" w:rsidRPr="00333F4B" w:rsidRDefault="00A93620" w:rsidP="00333F4B">
            <w:pPr>
              <w:widowControl w:val="0"/>
              <w:numPr>
                <w:ilvl w:val="1"/>
                <w:numId w:val="12"/>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 xml:space="preserve">Appropriate Ramsar Sites and other wetlands to be celebrated as “demonstration sites” for the wise use principle, and these sites suitably equipped in terms of capacity, signage, and interpretive materials. </w:t>
            </w:r>
          </w:p>
          <w:p w14:paraId="338AA621" w14:textId="14CFBC78" w:rsidR="00A93620" w:rsidRPr="00333F4B" w:rsidRDefault="00A93620" w:rsidP="00333F4B">
            <w:pPr>
              <w:widowControl w:val="0"/>
              <w:numPr>
                <w:ilvl w:val="1"/>
                <w:numId w:val="12"/>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Secretariat requested to share CEPA stories which illustrate how integration of CEPA can improve wetlan</w:t>
            </w:r>
            <w:r w:rsidR="00806785">
              <w:rPr>
                <w:rFonts w:eastAsia="Times New Roman"/>
                <w:lang w:val="en-GB" w:eastAsia="en-GB"/>
              </w:rPr>
              <w:t>d management.</w:t>
            </w:r>
          </w:p>
          <w:p w14:paraId="69141B79" w14:textId="3F1F1F0E" w:rsidR="00A93620" w:rsidRPr="00333F4B" w:rsidRDefault="00A93620" w:rsidP="00333F4B">
            <w:pPr>
              <w:widowControl w:val="0"/>
              <w:numPr>
                <w:ilvl w:val="1"/>
                <w:numId w:val="12"/>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 xml:space="preserve">Collaboration on CEPA with other Conventions, Ramsar IOPs, other NGOs, UN agencies and others ensured through sharing of CEPA experiences and </w:t>
            </w:r>
            <w:r w:rsidR="00806785">
              <w:rPr>
                <w:rFonts w:eastAsia="Times New Roman"/>
                <w:lang w:val="en-GB" w:eastAsia="en-GB"/>
              </w:rPr>
              <w:t>the encouragement of synergies.</w:t>
            </w:r>
          </w:p>
          <w:p w14:paraId="436EE8D8" w14:textId="77777777" w:rsidR="00A93620" w:rsidRPr="00333F4B" w:rsidRDefault="00A93620" w:rsidP="00333F4B">
            <w:pPr>
              <w:widowControl w:val="0"/>
              <w:kinsoku w:val="0"/>
              <w:overflowPunct w:val="0"/>
              <w:autoSpaceDE w:val="0"/>
              <w:autoSpaceDN w:val="0"/>
              <w:adjustRightInd w:val="0"/>
              <w:spacing w:after="0" w:line="240" w:lineRule="auto"/>
              <w:rPr>
                <w:rFonts w:eastAsia="Times New Roman"/>
                <w:lang w:val="en-GB" w:eastAsia="en-GB"/>
              </w:rPr>
            </w:pPr>
          </w:p>
          <w:p w14:paraId="10E771ED" w14:textId="77777777" w:rsidR="00A93620" w:rsidRPr="00333F4B" w:rsidRDefault="00A93620" w:rsidP="00333F4B">
            <w:pPr>
              <w:widowControl w:val="0"/>
              <w:kinsoku w:val="0"/>
              <w:overflowPunct w:val="0"/>
              <w:autoSpaceDE w:val="0"/>
              <w:autoSpaceDN w:val="0"/>
              <w:adjustRightInd w:val="0"/>
              <w:spacing w:after="0" w:line="240" w:lineRule="auto"/>
              <w:rPr>
                <w:rFonts w:eastAsia="Times New Roman"/>
                <w:lang w:val="en-GB" w:eastAsia="en-GB"/>
              </w:rPr>
            </w:pPr>
          </w:p>
        </w:tc>
        <w:tc>
          <w:tcPr>
            <w:tcW w:w="2268" w:type="dxa"/>
          </w:tcPr>
          <w:p w14:paraId="33B6DBF3"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lastRenderedPageBreak/>
              <w:t>Number of recipients of Ramsar materials</w:t>
            </w:r>
          </w:p>
          <w:p w14:paraId="0920C15D"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(National Report Q16.5a)</w:t>
            </w:r>
          </w:p>
          <w:p w14:paraId="48A6B638"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3EA96D57"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Number and distribution of wetland publications (National Report Q18.5)</w:t>
            </w:r>
          </w:p>
          <w:p w14:paraId="04D48B22"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68EA59BC" w14:textId="0D603DA2" w:rsidR="00A93620" w:rsidRPr="00333F4B" w:rsidRDefault="00440A64"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Extent of liaison with Multilateral Env Agreement National Focal Points</w:t>
            </w:r>
          </w:p>
          <w:p w14:paraId="01817EF5"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(National Report Q16.5b, 18.1))</w:t>
            </w:r>
          </w:p>
          <w:p w14:paraId="5FF02191"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1A44AA18"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 xml:space="preserve">Number of wetland </w:t>
            </w:r>
            <w:r w:rsidRPr="00333F4B">
              <w:rPr>
                <w:rFonts w:ascii="Calibri" w:eastAsia="Times New Roman" w:hAnsi="Calibri"/>
                <w:bCs/>
                <w:lang w:val="lv-LV" w:eastAsia="en-GB"/>
              </w:rPr>
              <w:lastRenderedPageBreak/>
              <w:t>demonstration sites/ case studies recognised.</w:t>
            </w:r>
          </w:p>
        </w:tc>
        <w:tc>
          <w:tcPr>
            <w:tcW w:w="6804" w:type="dxa"/>
          </w:tcPr>
          <w:p w14:paraId="4286D959" w14:textId="77777777" w:rsidR="006E4A9F" w:rsidRDefault="006E4A9F"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lastRenderedPageBreak/>
              <w:t>25 Wetland Education Centres received information relating to World Wetlands Day and other Ramsar-initiatives.</w:t>
            </w:r>
          </w:p>
          <w:p w14:paraId="2C084962" w14:textId="77777777" w:rsidR="00E57ECB" w:rsidRDefault="00E57EC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09A96531" w14:textId="77777777" w:rsidR="006E4A9F" w:rsidRDefault="006E4A9F"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Ramsar information was circulated via WetlandLink (an online newsletter by Conservation Volunteers Australia) to 1226 subscribers.</w:t>
            </w:r>
          </w:p>
          <w:p w14:paraId="0246ABD4" w14:textId="77777777" w:rsidR="009A01F5" w:rsidRDefault="009A01F5"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1F00EC6C" w14:textId="611061DD" w:rsidR="00E26449" w:rsidRDefault="006E4A9F"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Wetland</w:t>
            </w:r>
            <w:r w:rsidR="009A01F5">
              <w:rPr>
                <w:rFonts w:ascii="Calibri" w:eastAsia="Times New Roman" w:hAnsi="Calibri"/>
                <w:bCs/>
                <w:lang w:val="lv-LV" w:eastAsia="en-GB"/>
              </w:rPr>
              <w:t>s Australia was circulated to 430 subscribers, as well as WAESC, Wetland Education Centres and other wetland stakeholders.</w:t>
            </w:r>
          </w:p>
          <w:p w14:paraId="3CC4FB9B" w14:textId="77777777" w:rsidR="00E26449" w:rsidRDefault="00E26449"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6BF541B9" w14:textId="65B90853" w:rsidR="00E26449" w:rsidRDefault="00E26449"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 xml:space="preserve">There is regular liaison with other MEA contacts, including providing input to briefings for </w:t>
            </w:r>
            <w:r w:rsidR="00D9752C">
              <w:rPr>
                <w:rFonts w:ascii="Calibri" w:eastAsia="Times New Roman" w:hAnsi="Calibri"/>
                <w:bCs/>
                <w:lang w:val="lv-LV" w:eastAsia="en-GB"/>
              </w:rPr>
              <w:t xml:space="preserve">other </w:t>
            </w:r>
            <w:r w:rsidR="00264EC9">
              <w:rPr>
                <w:rFonts w:ascii="Calibri" w:eastAsia="Times New Roman" w:hAnsi="Calibri"/>
                <w:bCs/>
                <w:lang w:val="lv-LV" w:eastAsia="en-GB"/>
              </w:rPr>
              <w:t>Multilateral Environment Agrement</w:t>
            </w:r>
            <w:r>
              <w:rPr>
                <w:rFonts w:ascii="Calibri" w:eastAsia="Times New Roman" w:hAnsi="Calibri"/>
                <w:bCs/>
                <w:lang w:val="lv-LV" w:eastAsia="en-GB"/>
              </w:rPr>
              <w:t xml:space="preserve"> COPs.</w:t>
            </w:r>
          </w:p>
          <w:p w14:paraId="7E379A0A" w14:textId="77777777" w:rsidR="006E451C" w:rsidRDefault="006E451C"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30F3A597" w14:textId="77777777" w:rsidR="00D9752C" w:rsidRDefault="00E26449"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 xml:space="preserve">A representative from the Convention on Migratory Species attends </w:t>
            </w:r>
            <w:r w:rsidR="00D9752C">
              <w:rPr>
                <w:rFonts w:ascii="Calibri" w:eastAsia="Times New Roman" w:hAnsi="Calibri"/>
                <w:bCs/>
                <w:lang w:val="lv-LV" w:eastAsia="en-GB"/>
              </w:rPr>
              <w:t>the 6 monthly WAESC meetings.</w:t>
            </w:r>
          </w:p>
          <w:p w14:paraId="24A66FF6" w14:textId="77777777" w:rsidR="00D9752C" w:rsidRDefault="00D9752C"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38728911" w14:textId="1D7F4972" w:rsidR="00797774" w:rsidRDefault="00797774"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Australia provided case studies on Cobourg Peninsula, Kakadu and The Coorong for a report on “The relationship of Indigenous peoples and local communities with wetlands” (Aug 2018)</w:t>
            </w:r>
            <w:r>
              <w:t xml:space="preserve"> </w:t>
            </w:r>
            <w:hyperlink r:id="rId7" w:history="1">
              <w:r w:rsidRPr="00E46742">
                <w:rPr>
                  <w:rStyle w:val="Hyperlink"/>
                  <w:rFonts w:ascii="Calibri" w:eastAsia="Times New Roman" w:hAnsi="Calibri"/>
                  <w:bCs/>
                  <w:lang w:val="lv-LV" w:eastAsia="en-GB"/>
                </w:rPr>
                <w:t>https://www.ramsar.org/news/new-global-report-on-the-participation-of-indigenous-peoples-and-local-communities-in-wetland</w:t>
              </w:r>
            </w:hyperlink>
            <w:r>
              <w:rPr>
                <w:rFonts w:ascii="Calibri" w:eastAsia="Times New Roman" w:hAnsi="Calibri"/>
                <w:bCs/>
                <w:lang w:val="lv-LV" w:eastAsia="en-GB"/>
              </w:rPr>
              <w:t xml:space="preserve"> </w:t>
            </w:r>
          </w:p>
          <w:p w14:paraId="0E788D2E" w14:textId="77777777" w:rsidR="00EE77ED" w:rsidRDefault="00EE77ED"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25F7E0C7" w14:textId="26A0B68A" w:rsidR="00EE77ED" w:rsidRDefault="00EE77ED"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 xml:space="preserve">Australia shared a case study on the Ramsar website of wise use at Cobourg Peninsula - </w:t>
            </w:r>
            <w:hyperlink r:id="rId8" w:history="1">
              <w:r w:rsidRPr="00E46742">
                <w:rPr>
                  <w:rStyle w:val="Hyperlink"/>
                  <w:rFonts w:ascii="Calibri" w:eastAsia="Times New Roman" w:hAnsi="Calibri"/>
                  <w:bCs/>
                  <w:lang w:val="lv-LV" w:eastAsia="en-GB"/>
                </w:rPr>
                <w:t>https://www.ramsar.org/news/historic-cobourg-peninsula-is-a-model-of-wise-use-and-wetland-conservation-40-years-after-its</w:t>
              </w:r>
            </w:hyperlink>
            <w:r>
              <w:rPr>
                <w:rFonts w:ascii="Calibri" w:eastAsia="Times New Roman" w:hAnsi="Calibri"/>
                <w:bCs/>
                <w:lang w:val="lv-LV" w:eastAsia="en-GB"/>
              </w:rPr>
              <w:t xml:space="preserve"> </w:t>
            </w:r>
          </w:p>
          <w:p w14:paraId="7849197A" w14:textId="2CB556AE" w:rsidR="00EE77ED" w:rsidRDefault="00EE77ED"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 xml:space="preserve">and </w:t>
            </w:r>
            <w:r w:rsidR="00666DA4">
              <w:rPr>
                <w:rFonts w:ascii="Calibri" w:eastAsia="Times New Roman" w:hAnsi="Calibri"/>
                <w:bCs/>
                <w:lang w:val="lv-LV" w:eastAsia="en-GB"/>
              </w:rPr>
              <w:t>on the</w:t>
            </w:r>
            <w:r>
              <w:rPr>
                <w:rFonts w:ascii="Calibri" w:eastAsia="Times New Roman" w:hAnsi="Calibri"/>
                <w:bCs/>
                <w:lang w:val="lv-LV" w:eastAsia="en-GB"/>
              </w:rPr>
              <w:t xml:space="preserve"> privately owned Ramsar site, Banrock Station - </w:t>
            </w:r>
            <w:hyperlink r:id="rId9" w:history="1">
              <w:r w:rsidRPr="00E46742">
                <w:rPr>
                  <w:rStyle w:val="Hyperlink"/>
                  <w:rFonts w:ascii="Calibri" w:eastAsia="Times New Roman" w:hAnsi="Calibri"/>
                  <w:bCs/>
                  <w:lang w:val="lv-LV" w:eastAsia="en-GB"/>
                </w:rPr>
                <w:t>https://www.ramsar.org/banrock-station-how-a-ramsar-wetland-owned-by-a-private-agribusiness-in-south-australia-became-a</w:t>
              </w:r>
            </w:hyperlink>
            <w:r>
              <w:rPr>
                <w:rFonts w:ascii="Calibri" w:eastAsia="Times New Roman" w:hAnsi="Calibri"/>
                <w:bCs/>
                <w:lang w:val="lv-LV" w:eastAsia="en-GB"/>
              </w:rPr>
              <w:t xml:space="preserve"> </w:t>
            </w:r>
          </w:p>
          <w:p w14:paraId="11785E61" w14:textId="77777777" w:rsidR="00797774" w:rsidRDefault="00797774"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34B01663" w14:textId="52A77F4B" w:rsidR="00D9752C" w:rsidRDefault="00D9752C"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D9752C">
              <w:rPr>
                <w:rFonts w:ascii="Calibri" w:eastAsia="Times New Roman" w:hAnsi="Calibri"/>
                <w:bCs/>
                <w:lang w:val="lv-LV" w:eastAsia="en-GB"/>
              </w:rPr>
              <w:t xml:space="preserve">The </w:t>
            </w:r>
            <w:r w:rsidR="00762965">
              <w:rPr>
                <w:rFonts w:ascii="Calibri" w:eastAsia="Times New Roman" w:hAnsi="Calibri"/>
                <w:bCs/>
                <w:lang w:val="lv-LV" w:eastAsia="en-GB"/>
              </w:rPr>
              <w:t xml:space="preserve">annual </w:t>
            </w:r>
            <w:r w:rsidRPr="00D9752C">
              <w:rPr>
                <w:rFonts w:ascii="Calibri" w:eastAsia="Times New Roman" w:hAnsi="Calibri"/>
                <w:bCs/>
                <w:lang w:val="lv-LV" w:eastAsia="en-GB"/>
              </w:rPr>
              <w:t>on-line magazine,</w:t>
            </w:r>
            <w:r w:rsidRPr="00D9752C">
              <w:rPr>
                <w:rFonts w:ascii="Calibri" w:eastAsia="Times New Roman" w:hAnsi="Calibri"/>
                <w:bCs/>
                <w:i/>
                <w:lang w:val="lv-LV" w:eastAsia="en-GB"/>
              </w:rPr>
              <w:t xml:space="preserve"> Wetlands Australia</w:t>
            </w:r>
            <w:r>
              <w:rPr>
                <w:rFonts w:ascii="Calibri" w:eastAsia="Times New Roman" w:hAnsi="Calibri"/>
                <w:bCs/>
                <w:lang w:val="lv-LV" w:eastAsia="en-GB"/>
              </w:rPr>
              <w:t xml:space="preserve"> promotes wetland case studies, which demonstrate wise use principles. Other demonstration projects include:</w:t>
            </w:r>
          </w:p>
          <w:p w14:paraId="38915214" w14:textId="0125C6CE" w:rsidR="008620D3" w:rsidRPr="008620D3" w:rsidRDefault="008620D3" w:rsidP="008620D3">
            <w:pPr>
              <w:pStyle w:val="ListParagraph"/>
              <w:widowControl w:val="0"/>
              <w:numPr>
                <w:ilvl w:val="0"/>
                <w:numId w:val="17"/>
              </w:numPr>
              <w:kinsoku w:val="0"/>
              <w:overflowPunct w:val="0"/>
              <w:autoSpaceDE w:val="0"/>
              <w:autoSpaceDN w:val="0"/>
              <w:adjustRightInd w:val="0"/>
              <w:spacing w:after="0" w:line="240" w:lineRule="auto"/>
              <w:rPr>
                <w:rFonts w:ascii="Calibri" w:eastAsia="Times New Roman" w:hAnsi="Calibri"/>
                <w:bCs/>
                <w:lang w:val="lv-LV" w:eastAsia="en-GB"/>
              </w:rPr>
            </w:pPr>
            <w:r w:rsidRPr="008620D3">
              <w:rPr>
                <w:rFonts w:ascii="Calibri" w:eastAsia="Times New Roman" w:hAnsi="Calibri"/>
                <w:bCs/>
                <w:lang w:eastAsia="en-GB"/>
              </w:rPr>
              <w:t>Lower Burdekin, Qld - On-farm wetland demonstration site - This project involved a range of partners in the rehabilitation of a wetland on a cane farm. The project involved construction of a sediment basin upstream of the wetland to capture irrigation tail water to detain and filter sediment before entering the wetland.</w:t>
            </w:r>
          </w:p>
          <w:p w14:paraId="3D4158BC" w14:textId="7500D979" w:rsidR="00797774" w:rsidRPr="00797774" w:rsidRDefault="008620D3" w:rsidP="00797774">
            <w:pPr>
              <w:pStyle w:val="ListParagraph"/>
              <w:widowControl w:val="0"/>
              <w:numPr>
                <w:ilvl w:val="0"/>
                <w:numId w:val="17"/>
              </w:numPr>
              <w:kinsoku w:val="0"/>
              <w:overflowPunct w:val="0"/>
              <w:autoSpaceDE w:val="0"/>
              <w:autoSpaceDN w:val="0"/>
              <w:adjustRightInd w:val="0"/>
              <w:spacing w:after="0" w:line="240" w:lineRule="auto"/>
              <w:rPr>
                <w:rFonts w:ascii="Calibri" w:eastAsia="Times New Roman" w:hAnsi="Calibri"/>
                <w:bCs/>
                <w:lang w:val="lv-LV" w:eastAsia="en-GB"/>
              </w:rPr>
            </w:pPr>
            <w:r w:rsidRPr="008620D3">
              <w:rPr>
                <w:rFonts w:ascii="Calibri" w:eastAsia="Times New Roman" w:hAnsi="Calibri"/>
                <w:bCs/>
                <w:lang w:val="en" w:eastAsia="en-GB"/>
              </w:rPr>
              <w:t xml:space="preserve">ACT Healthy Waterways </w:t>
            </w:r>
            <w:r w:rsidR="0007053D">
              <w:rPr>
                <w:rFonts w:ascii="Calibri" w:eastAsia="Times New Roman" w:hAnsi="Calibri"/>
                <w:bCs/>
                <w:lang w:val="en" w:eastAsia="en-GB"/>
              </w:rPr>
              <w:t xml:space="preserve">(2017-2019) </w:t>
            </w:r>
            <w:r w:rsidRPr="008620D3">
              <w:rPr>
                <w:rFonts w:ascii="Calibri" w:eastAsia="Times New Roman" w:hAnsi="Calibri"/>
                <w:bCs/>
                <w:lang w:val="en" w:eastAsia="en-GB"/>
              </w:rPr>
              <w:t xml:space="preserve">- a joint initiative of the ACT and Australian governments to establish wetlands, ponds and rain gardens to improve </w:t>
            </w:r>
            <w:r>
              <w:rPr>
                <w:rFonts w:ascii="Calibri" w:eastAsia="Times New Roman" w:hAnsi="Calibri"/>
                <w:bCs/>
                <w:lang w:val="en" w:eastAsia="en-GB"/>
              </w:rPr>
              <w:t>long-term water</w:t>
            </w:r>
            <w:r w:rsidRPr="008620D3">
              <w:rPr>
                <w:rFonts w:ascii="Calibri" w:eastAsia="Times New Roman" w:hAnsi="Calibri"/>
                <w:bCs/>
                <w:lang w:val="en" w:eastAsia="en-GB"/>
              </w:rPr>
              <w:t xml:space="preserve"> quality </w:t>
            </w:r>
            <w:r>
              <w:rPr>
                <w:rFonts w:ascii="Calibri" w:eastAsia="Times New Roman" w:hAnsi="Calibri"/>
                <w:bCs/>
                <w:lang w:val="en" w:eastAsia="en-GB"/>
              </w:rPr>
              <w:t>in the ACT and further downstream in</w:t>
            </w:r>
            <w:r w:rsidRPr="008620D3">
              <w:rPr>
                <w:rFonts w:ascii="Calibri" w:eastAsia="Times New Roman" w:hAnsi="Calibri"/>
                <w:bCs/>
                <w:lang w:val="en" w:eastAsia="en-GB"/>
              </w:rPr>
              <w:t xml:space="preserve"> the Murrumbidgee River system.</w:t>
            </w:r>
            <w:r w:rsidR="002A3B2C">
              <w:rPr>
                <w:rFonts w:ascii="Calibri" w:eastAsia="Times New Roman" w:hAnsi="Calibri"/>
                <w:bCs/>
                <w:lang w:val="en" w:eastAsia="en-GB"/>
              </w:rPr>
              <w:t xml:space="preserve"> </w:t>
            </w:r>
            <w:hyperlink r:id="rId10" w:history="1">
              <w:r w:rsidR="002A3B2C" w:rsidRPr="00DE631F">
                <w:rPr>
                  <w:rStyle w:val="Hyperlink"/>
                  <w:rFonts w:ascii="Calibri" w:eastAsia="Times New Roman" w:hAnsi="Calibri"/>
                  <w:bCs/>
                  <w:lang w:val="en" w:eastAsia="en-GB"/>
                </w:rPr>
                <w:t>https://www.environment.act.gov.au/water/ACT-Healthy-Waterways/healthy-waterways/act-healthy-waterways-project</w:t>
              </w:r>
            </w:hyperlink>
            <w:r w:rsidR="002A3B2C">
              <w:rPr>
                <w:rFonts w:ascii="Calibri" w:eastAsia="Times New Roman" w:hAnsi="Calibri"/>
                <w:bCs/>
                <w:lang w:val="en" w:eastAsia="en-GB"/>
              </w:rPr>
              <w:t xml:space="preserve"> </w:t>
            </w:r>
          </w:p>
          <w:p w14:paraId="201B0081" w14:textId="77777777" w:rsidR="00A93620" w:rsidRDefault="00A93620" w:rsidP="006E451C">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43CB0F07" w14:textId="77777777" w:rsidR="006E451C" w:rsidRDefault="006E451C" w:rsidP="006E451C">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 xml:space="preserve">Cooperation on promotional activities with CMS and EAAFP relating to migratory species, including cross promotion of World Wetlands Day and World Migratory Bird Day, and production of series of publications in the same format – </w:t>
            </w:r>
            <w:hyperlink r:id="rId11" w:history="1">
              <w:r w:rsidRPr="006E451C">
                <w:rPr>
                  <w:rStyle w:val="Hyperlink"/>
                  <w:rFonts w:ascii="Calibri" w:eastAsia="Times New Roman" w:hAnsi="Calibri"/>
                  <w:bCs/>
                  <w:lang w:val="lv-LV" w:eastAsia="en-GB"/>
                </w:rPr>
                <w:t>Celebrating Australia’s Ramsar Wetlands</w:t>
              </w:r>
            </w:hyperlink>
            <w:r>
              <w:rPr>
                <w:rFonts w:ascii="Calibri" w:eastAsia="Times New Roman" w:hAnsi="Calibri"/>
                <w:bCs/>
                <w:lang w:val="lv-LV" w:eastAsia="en-GB"/>
              </w:rPr>
              <w:t xml:space="preserve">, </w:t>
            </w:r>
            <w:hyperlink r:id="rId12" w:history="1">
              <w:r w:rsidRPr="006E451C">
                <w:rPr>
                  <w:rStyle w:val="Hyperlink"/>
                  <w:rFonts w:ascii="Calibri" w:eastAsia="Times New Roman" w:hAnsi="Calibri"/>
                  <w:bCs/>
                  <w:lang w:val="lv-LV" w:eastAsia="en-GB"/>
                </w:rPr>
                <w:t>Celebrating Australia’s Migratory Waterbirds and their Habitats</w:t>
              </w:r>
            </w:hyperlink>
            <w:r>
              <w:rPr>
                <w:rFonts w:ascii="Calibri" w:eastAsia="Times New Roman" w:hAnsi="Calibri"/>
                <w:bCs/>
                <w:lang w:val="lv-LV" w:eastAsia="en-GB"/>
              </w:rPr>
              <w:t xml:space="preserve">, and </w:t>
            </w:r>
            <w:hyperlink r:id="rId13" w:history="1">
              <w:r w:rsidRPr="006E451C">
                <w:rPr>
                  <w:rStyle w:val="Hyperlink"/>
                  <w:rFonts w:ascii="Calibri" w:eastAsia="Times New Roman" w:hAnsi="Calibri"/>
                  <w:bCs/>
                  <w:lang w:val="lv-LV" w:eastAsia="en-GB"/>
                </w:rPr>
                <w:t>Celebrating Australia’s Wetland Science</w:t>
              </w:r>
            </w:hyperlink>
            <w:r>
              <w:rPr>
                <w:rFonts w:ascii="Calibri" w:eastAsia="Times New Roman" w:hAnsi="Calibri"/>
                <w:bCs/>
                <w:lang w:val="lv-LV" w:eastAsia="en-GB"/>
              </w:rPr>
              <w:t>.</w:t>
            </w:r>
          </w:p>
          <w:p w14:paraId="139058B5" w14:textId="77777777" w:rsidR="00666DA4" w:rsidRDefault="00666DA4" w:rsidP="006E451C">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28EFA3E3" w14:textId="77777777" w:rsidR="00440A64" w:rsidRPr="00440A64" w:rsidRDefault="00440A64" w:rsidP="00440A64">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440A64">
              <w:rPr>
                <w:rFonts w:ascii="Calibri" w:eastAsia="Times New Roman" w:hAnsi="Calibri"/>
                <w:bCs/>
                <w:lang w:eastAsia="en-GB"/>
              </w:rPr>
              <w:t>Wetland publications - On Queensland’s Wetland</w:t>
            </w:r>
            <w:r w:rsidRPr="00440A64">
              <w:rPr>
                <w:rFonts w:ascii="Calibri" w:eastAsia="Times New Roman" w:hAnsi="Calibri"/>
                <w:bCs/>
                <w:i/>
                <w:lang w:eastAsia="en-GB"/>
              </w:rPr>
              <w:t>Info</w:t>
            </w:r>
            <w:r w:rsidRPr="00440A64">
              <w:rPr>
                <w:rFonts w:ascii="Calibri" w:eastAsia="Times New Roman" w:hAnsi="Calibri"/>
                <w:bCs/>
                <w:lang w:eastAsia="en-GB"/>
              </w:rPr>
              <w:t xml:space="preserve"> website, an online </w:t>
            </w:r>
            <w:hyperlink r:id="rId14" w:history="1">
              <w:r w:rsidRPr="00440A64">
                <w:rPr>
                  <w:rStyle w:val="Hyperlink"/>
                  <w:rFonts w:ascii="Calibri" w:eastAsia="Times New Roman" w:hAnsi="Calibri"/>
                  <w:bCs/>
                  <w:lang w:eastAsia="en-GB"/>
                </w:rPr>
                <w:t>treatment systems ‘tool box’</w:t>
              </w:r>
            </w:hyperlink>
            <w:r w:rsidRPr="00440A64">
              <w:rPr>
                <w:rFonts w:ascii="Calibri" w:eastAsia="Times New Roman" w:hAnsi="Calibri"/>
                <w:bCs/>
                <w:lang w:eastAsia="en-GB"/>
              </w:rPr>
              <w:t xml:space="preserve"> was launched in 2018. It is designed to assist landholders and advisors to select and plan appropriate treatment systems for water quality improvement. </w:t>
            </w:r>
          </w:p>
          <w:p w14:paraId="0C6F0E44" w14:textId="77777777" w:rsidR="00440A64" w:rsidRPr="00440A64" w:rsidRDefault="00440A64" w:rsidP="00440A64">
            <w:pPr>
              <w:widowControl w:val="0"/>
              <w:kinsoku w:val="0"/>
              <w:overflowPunct w:val="0"/>
              <w:autoSpaceDE w:val="0"/>
              <w:autoSpaceDN w:val="0"/>
              <w:adjustRightInd w:val="0"/>
              <w:spacing w:after="0" w:line="240" w:lineRule="auto"/>
              <w:rPr>
                <w:rFonts w:ascii="Calibri" w:eastAsia="Times New Roman" w:hAnsi="Calibri"/>
                <w:bCs/>
                <w:lang w:eastAsia="en-GB"/>
              </w:rPr>
            </w:pPr>
          </w:p>
          <w:p w14:paraId="1B82EF2B" w14:textId="0C7B17D5" w:rsidR="00440A64" w:rsidRPr="00440A64" w:rsidRDefault="00440A64" w:rsidP="00440A64">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eastAsia="en-GB"/>
              </w:rPr>
              <w:t>Forums and case studies</w:t>
            </w:r>
            <w:r w:rsidRPr="00440A64">
              <w:rPr>
                <w:rFonts w:ascii="Calibri" w:eastAsia="Times New Roman" w:hAnsi="Calibri"/>
                <w:bCs/>
                <w:lang w:eastAsia="en-GB"/>
              </w:rPr>
              <w:t xml:space="preserve"> - Two forums to improve water quality have been held across the reporting period to date:</w:t>
            </w:r>
            <w:r w:rsidRPr="00440A64">
              <w:rPr>
                <w:rFonts w:ascii="Calibri" w:eastAsia="Times New Roman" w:hAnsi="Calibri"/>
                <w:bCs/>
                <w:lang w:val="lv-LV" w:eastAsia="en-GB"/>
              </w:rPr>
              <w:t xml:space="preserve"> 1) </w:t>
            </w:r>
            <w:r w:rsidRPr="00440A64">
              <w:rPr>
                <w:rFonts w:ascii="Calibri" w:eastAsia="Times New Roman" w:hAnsi="Calibri"/>
                <w:bCs/>
                <w:lang w:eastAsia="en-GB"/>
              </w:rPr>
              <w:t xml:space="preserve">The Treatment Systems in Coastal Catchments Forum in July 2016 and </w:t>
            </w:r>
          </w:p>
          <w:p w14:paraId="091DFB66" w14:textId="77777777" w:rsidR="00440A64" w:rsidRPr="00440A64" w:rsidRDefault="00440A64" w:rsidP="00440A64">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440A64">
              <w:rPr>
                <w:rFonts w:ascii="Calibri" w:eastAsia="Times New Roman" w:hAnsi="Calibri"/>
                <w:bCs/>
                <w:lang w:eastAsia="en-GB"/>
              </w:rPr>
              <w:t>2) Treatment Systems for water quality improvement - Regional Forum in November 2018.</w:t>
            </w:r>
            <w:r w:rsidRPr="00440A64">
              <w:rPr>
                <w:rFonts w:ascii="Calibri" w:eastAsia="Times New Roman" w:hAnsi="Calibri"/>
                <w:bCs/>
                <w:lang w:val="lv-LV" w:eastAsia="en-GB"/>
              </w:rPr>
              <w:t xml:space="preserve"> </w:t>
            </w:r>
          </w:p>
          <w:p w14:paraId="2A4800B2" w14:textId="7ECF1CE5" w:rsidR="00440A64" w:rsidRDefault="00440A64" w:rsidP="00440A64">
            <w:pPr>
              <w:widowControl w:val="0"/>
              <w:kinsoku w:val="0"/>
              <w:overflowPunct w:val="0"/>
              <w:autoSpaceDE w:val="0"/>
              <w:autoSpaceDN w:val="0"/>
              <w:adjustRightInd w:val="0"/>
              <w:spacing w:after="0" w:line="240" w:lineRule="auto"/>
              <w:rPr>
                <w:rFonts w:ascii="Calibri" w:eastAsia="Times New Roman" w:hAnsi="Calibri"/>
                <w:bCs/>
                <w:lang w:eastAsia="en-GB"/>
              </w:rPr>
            </w:pPr>
            <w:r w:rsidRPr="00440A64">
              <w:rPr>
                <w:rFonts w:ascii="Calibri" w:eastAsia="Times New Roman" w:hAnsi="Calibri"/>
                <w:bCs/>
                <w:lang w:eastAsia="en-GB"/>
              </w:rPr>
              <w:t>In October 2018, the 25 year anniversary for the Moreton Bay Ramsar site was celebrated at two public forums: Brisbane City Council forum on the 6</w:t>
            </w:r>
            <w:r w:rsidRPr="00440A64">
              <w:rPr>
                <w:rFonts w:ascii="Calibri" w:eastAsia="Times New Roman" w:hAnsi="Calibri"/>
                <w:bCs/>
                <w:vertAlign w:val="superscript"/>
                <w:lang w:eastAsia="en-GB"/>
              </w:rPr>
              <w:t>th</w:t>
            </w:r>
            <w:r w:rsidRPr="00440A64">
              <w:rPr>
                <w:rFonts w:ascii="Calibri" w:eastAsia="Times New Roman" w:hAnsi="Calibri"/>
                <w:bCs/>
                <w:lang w:eastAsia="en-GB"/>
              </w:rPr>
              <w:t xml:space="preserve"> of October and the Moreton Bay Wetland Expo hosted by the Redcliffe Environmental Forum and supported by Moreton Bay Regional Council on the 21</w:t>
            </w:r>
            <w:r w:rsidRPr="00440A64">
              <w:rPr>
                <w:rFonts w:ascii="Calibri" w:eastAsia="Times New Roman" w:hAnsi="Calibri"/>
                <w:bCs/>
                <w:vertAlign w:val="superscript"/>
                <w:lang w:eastAsia="en-GB"/>
              </w:rPr>
              <w:t>st</w:t>
            </w:r>
            <w:r w:rsidRPr="00440A64">
              <w:rPr>
                <w:rFonts w:ascii="Calibri" w:eastAsia="Times New Roman" w:hAnsi="Calibri"/>
                <w:bCs/>
                <w:lang w:eastAsia="en-GB"/>
              </w:rPr>
              <w:t xml:space="preserve"> of October. The Wetlands Team gave a presentation at these forums. These events have significantly increased the Moreton Bay Ramsar site public profile. </w:t>
            </w:r>
          </w:p>
          <w:p w14:paraId="40292487" w14:textId="77777777" w:rsidR="00440A64" w:rsidRPr="00440A64" w:rsidRDefault="00440A64" w:rsidP="00440A64">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274F6503" w14:textId="77777777" w:rsidR="00440A64" w:rsidRPr="00440A64" w:rsidRDefault="00440A64" w:rsidP="00440A64">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440A64">
              <w:rPr>
                <w:rFonts w:ascii="Calibri" w:eastAsia="Times New Roman" w:hAnsi="Calibri"/>
                <w:bCs/>
                <w:lang w:val="lv-LV" w:eastAsia="en-GB"/>
              </w:rPr>
              <w:t>Wetland publications- Wetland</w:t>
            </w:r>
            <w:r w:rsidRPr="00440A64">
              <w:rPr>
                <w:rFonts w:ascii="Calibri" w:eastAsia="Times New Roman" w:hAnsi="Calibri"/>
                <w:bCs/>
                <w:i/>
                <w:lang w:val="lv-LV" w:eastAsia="en-GB"/>
              </w:rPr>
              <w:t>Info</w:t>
            </w:r>
            <w:r w:rsidRPr="00440A64">
              <w:rPr>
                <w:rFonts w:ascii="Calibri" w:eastAsia="Times New Roman" w:hAnsi="Calibri"/>
                <w:bCs/>
                <w:lang w:val="lv-LV" w:eastAsia="en-GB"/>
              </w:rPr>
              <w:t xml:space="preserve"> website have been either updated and continued to be the first point of truth for wetlands infomation in Queensland. </w:t>
            </w:r>
          </w:p>
          <w:p w14:paraId="573E27AB" w14:textId="5EEED403" w:rsidR="00440A64" w:rsidRPr="006E451C" w:rsidRDefault="00440A64" w:rsidP="006E451C">
            <w:pPr>
              <w:widowControl w:val="0"/>
              <w:kinsoku w:val="0"/>
              <w:overflowPunct w:val="0"/>
              <w:autoSpaceDE w:val="0"/>
              <w:autoSpaceDN w:val="0"/>
              <w:adjustRightInd w:val="0"/>
              <w:spacing w:after="0" w:line="240" w:lineRule="auto"/>
              <w:rPr>
                <w:rFonts w:ascii="Calibri" w:eastAsia="Times New Roman" w:hAnsi="Calibri"/>
                <w:bCs/>
                <w:lang w:val="lv-LV" w:eastAsia="en-GB"/>
              </w:rPr>
            </w:pPr>
          </w:p>
        </w:tc>
      </w:tr>
      <w:tr w:rsidR="00A93620" w:rsidRPr="00333F4B" w14:paraId="4D82FA52" w14:textId="77777777" w:rsidTr="00025685">
        <w:tc>
          <w:tcPr>
            <w:tcW w:w="1730" w:type="dxa"/>
          </w:tcPr>
          <w:p w14:paraId="2CDB3EF5" w14:textId="51C969AE" w:rsidR="00A93620" w:rsidRPr="00333F4B" w:rsidRDefault="00A93620" w:rsidP="00333F4B">
            <w:pPr>
              <w:widowControl w:val="0"/>
              <w:kinsoku w:val="0"/>
              <w:overflowPunct w:val="0"/>
              <w:autoSpaceDE w:val="0"/>
              <w:autoSpaceDN w:val="0"/>
              <w:adjustRightInd w:val="0"/>
              <w:spacing w:after="0" w:line="240" w:lineRule="auto"/>
              <w:rPr>
                <w:rFonts w:eastAsia="Times New Roman"/>
                <w:lang w:val="en-GB" w:eastAsia="en-GB"/>
              </w:rPr>
            </w:pPr>
            <w:r w:rsidRPr="00333F4B">
              <w:rPr>
                <w:rFonts w:eastAsia="Times New Roman"/>
                <w:lang w:val="en-GB" w:eastAsia="en-GB"/>
              </w:rPr>
              <w:lastRenderedPageBreak/>
              <w:t>4. Build the individual, institutional and collective capacity of people with a direct responsibility for Ramsar implementation.</w:t>
            </w:r>
          </w:p>
        </w:tc>
        <w:tc>
          <w:tcPr>
            <w:tcW w:w="2835" w:type="dxa"/>
          </w:tcPr>
          <w:p w14:paraId="720B1784" w14:textId="6CA3637E" w:rsidR="00A93620" w:rsidRPr="00333F4B" w:rsidRDefault="00A93620" w:rsidP="00333F4B">
            <w:pPr>
              <w:widowControl w:val="0"/>
              <w:kinsoku w:val="0"/>
              <w:overflowPunct w:val="0"/>
              <w:autoSpaceDE w:val="0"/>
              <w:autoSpaceDN w:val="0"/>
              <w:adjustRightInd w:val="0"/>
              <w:spacing w:after="0" w:line="240" w:lineRule="auto"/>
              <w:ind w:left="400" w:hanging="400"/>
              <w:rPr>
                <w:rFonts w:eastAsia="Times New Roman"/>
                <w:lang w:val="en-GB" w:eastAsia="en-GB"/>
              </w:rPr>
            </w:pPr>
            <w:r w:rsidRPr="00333F4B">
              <w:rPr>
                <w:rFonts w:eastAsia="Times New Roman"/>
                <w:lang w:val="en-GB" w:eastAsia="en-GB"/>
              </w:rPr>
              <w:t>4.1 Managers supported to build communication, education, participation and awarene</w:t>
            </w:r>
            <w:r w:rsidR="00806785">
              <w:rPr>
                <w:rFonts w:eastAsia="Times New Roman"/>
                <w:lang w:val="en-GB" w:eastAsia="en-GB"/>
              </w:rPr>
              <w:t>ss into their management plans.</w:t>
            </w:r>
          </w:p>
          <w:p w14:paraId="2E920CFA" w14:textId="4F0FE26C" w:rsidR="00A93620" w:rsidRPr="00333F4B" w:rsidRDefault="00A93620" w:rsidP="00333F4B">
            <w:pPr>
              <w:widowControl w:val="0"/>
              <w:kinsoku w:val="0"/>
              <w:overflowPunct w:val="0"/>
              <w:autoSpaceDE w:val="0"/>
              <w:autoSpaceDN w:val="0"/>
              <w:adjustRightInd w:val="0"/>
              <w:spacing w:after="0" w:line="240" w:lineRule="auto"/>
              <w:ind w:left="400" w:hanging="400"/>
              <w:rPr>
                <w:rFonts w:eastAsia="Times New Roman"/>
                <w:lang w:val="en-GB" w:eastAsia="en-GB"/>
              </w:rPr>
            </w:pPr>
            <w:r w:rsidRPr="00333F4B">
              <w:rPr>
                <w:rFonts w:eastAsia="Times New Roman"/>
                <w:lang w:val="en-GB" w:eastAsia="en-GB"/>
              </w:rPr>
              <w:t xml:space="preserve">4.2 Current needs and capacities of wetland site managers and National Focal Points assessed and the results used to define training and capacity‐building priorities at regional and </w:t>
            </w:r>
            <w:r w:rsidR="00806785">
              <w:rPr>
                <w:rFonts w:eastAsia="Times New Roman"/>
                <w:lang w:val="en-GB" w:eastAsia="en-GB"/>
              </w:rPr>
              <w:lastRenderedPageBreak/>
              <w:t>national levels.</w:t>
            </w:r>
          </w:p>
          <w:p w14:paraId="3408AD8F" w14:textId="019E3C3C" w:rsidR="00A93620" w:rsidRPr="00333F4B" w:rsidRDefault="00A93620" w:rsidP="00333F4B">
            <w:pPr>
              <w:widowControl w:val="0"/>
              <w:kinsoku w:val="0"/>
              <w:overflowPunct w:val="0"/>
              <w:autoSpaceDE w:val="0"/>
              <w:autoSpaceDN w:val="0"/>
              <w:adjustRightInd w:val="0"/>
              <w:spacing w:after="0" w:line="240" w:lineRule="auto"/>
              <w:ind w:left="400" w:hanging="400"/>
              <w:rPr>
                <w:rFonts w:eastAsia="Times New Roman"/>
                <w:lang w:val="en-GB" w:eastAsia="en-GB"/>
              </w:rPr>
            </w:pPr>
            <w:r w:rsidRPr="00333F4B">
              <w:rPr>
                <w:rFonts w:eastAsia="Times New Roman"/>
                <w:lang w:val="en-GB" w:eastAsia="en-GB"/>
              </w:rPr>
              <w:t>4.3 Resources provided to produce appropriate wetland management training and capacity building materials and carry out the prioritized training and capacity</w:t>
            </w:r>
            <w:r w:rsidR="00806785">
              <w:rPr>
                <w:rFonts w:eastAsia="Times New Roman"/>
                <w:lang w:val="en-GB" w:eastAsia="en-GB"/>
              </w:rPr>
              <w:t xml:space="preserve"> building as identified in 4.2.</w:t>
            </w:r>
          </w:p>
          <w:p w14:paraId="4BF71F84" w14:textId="2E797089" w:rsidR="00A93620" w:rsidRPr="00333F4B" w:rsidRDefault="00A93620" w:rsidP="00333F4B">
            <w:pPr>
              <w:widowControl w:val="0"/>
              <w:kinsoku w:val="0"/>
              <w:overflowPunct w:val="0"/>
              <w:autoSpaceDE w:val="0"/>
              <w:autoSpaceDN w:val="0"/>
              <w:adjustRightInd w:val="0"/>
              <w:spacing w:after="0" w:line="240" w:lineRule="auto"/>
              <w:ind w:left="400" w:hanging="400"/>
              <w:rPr>
                <w:rFonts w:eastAsia="Times New Roman"/>
                <w:lang w:val="en-GB" w:eastAsia="en-GB"/>
              </w:rPr>
            </w:pPr>
            <w:r w:rsidRPr="00333F4B">
              <w:rPr>
                <w:rFonts w:eastAsia="Times New Roman"/>
                <w:lang w:val="en-GB" w:eastAsia="en-GB"/>
              </w:rPr>
              <w:t xml:space="preserve">4.4 A network of Ramsar Regional Centres working to agreed standards (such as peer reviewed materials) supported to deliver capacity building to site managers, National Focal Points and other relevant stakeholders. </w:t>
            </w:r>
          </w:p>
          <w:p w14:paraId="6280D940" w14:textId="14EA73AF" w:rsidR="00A93620" w:rsidRPr="00333F4B" w:rsidRDefault="00A93620" w:rsidP="00333F4B">
            <w:pPr>
              <w:widowControl w:val="0"/>
              <w:kinsoku w:val="0"/>
              <w:overflowPunct w:val="0"/>
              <w:autoSpaceDE w:val="0"/>
              <w:autoSpaceDN w:val="0"/>
              <w:adjustRightInd w:val="0"/>
              <w:spacing w:after="0" w:line="240" w:lineRule="auto"/>
              <w:ind w:left="400" w:hanging="400"/>
              <w:rPr>
                <w:rFonts w:eastAsia="Times New Roman"/>
                <w:lang w:val="en-GB" w:eastAsia="en-GB"/>
              </w:rPr>
            </w:pPr>
            <w:r w:rsidRPr="00333F4B">
              <w:rPr>
                <w:rFonts w:eastAsia="Times New Roman"/>
                <w:lang w:val="en-GB" w:eastAsia="en-GB"/>
              </w:rPr>
              <w:t>4.5 Partnerships with tertiary education institutions and other relevant organisations are developed to support the production and delivery of wetland management training and capacity bui</w:t>
            </w:r>
            <w:r w:rsidR="00806785">
              <w:rPr>
                <w:rFonts w:eastAsia="Times New Roman"/>
                <w:lang w:val="en-GB" w:eastAsia="en-GB"/>
              </w:rPr>
              <w:t>lding materials and programmes.</w:t>
            </w:r>
          </w:p>
          <w:p w14:paraId="041B6557" w14:textId="0164C6B6" w:rsidR="00A93620" w:rsidRPr="00333F4B" w:rsidRDefault="00A93620" w:rsidP="00806785">
            <w:pPr>
              <w:widowControl w:val="0"/>
              <w:kinsoku w:val="0"/>
              <w:overflowPunct w:val="0"/>
              <w:autoSpaceDE w:val="0"/>
              <w:autoSpaceDN w:val="0"/>
              <w:adjustRightInd w:val="0"/>
              <w:spacing w:after="0" w:line="240" w:lineRule="auto"/>
              <w:ind w:left="400" w:hanging="400"/>
              <w:rPr>
                <w:rFonts w:eastAsia="Times New Roman"/>
                <w:lang w:val="en-GB" w:eastAsia="en-GB"/>
              </w:rPr>
            </w:pPr>
            <w:r w:rsidRPr="00333F4B">
              <w:rPr>
                <w:rFonts w:eastAsia="Times New Roman"/>
                <w:lang w:val="en-GB" w:eastAsia="en-GB"/>
              </w:rPr>
              <w:t xml:space="preserve">4.6 National strategic plans that strengthen the technical capacity and </w:t>
            </w:r>
            <w:r w:rsidRPr="00333F4B">
              <w:rPr>
                <w:rFonts w:eastAsia="Times New Roman"/>
                <w:lang w:val="en-GB" w:eastAsia="en-GB"/>
              </w:rPr>
              <w:lastRenderedPageBreak/>
              <w:t xml:space="preserve">management of local authorities to incorporate environmental benefits and services of wetlands as strategies for local and regional development promoted. </w:t>
            </w:r>
          </w:p>
        </w:tc>
        <w:tc>
          <w:tcPr>
            <w:tcW w:w="2268" w:type="dxa"/>
          </w:tcPr>
          <w:p w14:paraId="5CA692A8"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lastRenderedPageBreak/>
              <w:t>Extent of inclusion of CEPA in new/updated management plans</w:t>
            </w:r>
          </w:p>
          <w:p w14:paraId="7D552805"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(National Report Q9.4)</w:t>
            </w:r>
          </w:p>
          <w:p w14:paraId="46ED44B9"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17723F42"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Extent of wetland training offered (National Report Q19.1, 19.2, 19.3)</w:t>
            </w:r>
          </w:p>
          <w:p w14:paraId="14F1767C"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0E5B2CAC" w14:textId="2DF6E8E6" w:rsidR="00A93620" w:rsidRPr="00333F4B" w:rsidRDefault="00264EC9"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 xml:space="preserve">Progress on development of Ramsar Regional </w:t>
            </w:r>
            <w:r>
              <w:rPr>
                <w:rFonts w:ascii="Calibri" w:eastAsia="Times New Roman" w:hAnsi="Calibri"/>
                <w:bCs/>
                <w:lang w:val="lv-LV" w:eastAsia="en-GB"/>
              </w:rPr>
              <w:lastRenderedPageBreak/>
              <w:t xml:space="preserve">Initiative </w:t>
            </w:r>
            <w:r w:rsidR="00A93620" w:rsidRPr="00333F4B">
              <w:rPr>
                <w:rFonts w:ascii="Calibri" w:eastAsia="Times New Roman" w:hAnsi="Calibri"/>
                <w:bCs/>
                <w:lang w:val="lv-LV" w:eastAsia="en-GB"/>
              </w:rPr>
              <w:t xml:space="preserve"> proposal (National Report Q15.1, 15.2)</w:t>
            </w:r>
          </w:p>
          <w:p w14:paraId="5ACD69BF"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155EA51F"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 xml:space="preserve">Number of relevant research projects </w:t>
            </w:r>
          </w:p>
          <w:p w14:paraId="6AF15CD8"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4883A85B"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Extent of promotion of research results</w:t>
            </w:r>
          </w:p>
          <w:p w14:paraId="7DDE7575"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5A4D17DE"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Number of assessments incorporating wetland advice</w:t>
            </w:r>
          </w:p>
        </w:tc>
        <w:tc>
          <w:tcPr>
            <w:tcW w:w="6804" w:type="dxa"/>
          </w:tcPr>
          <w:p w14:paraId="573A621E" w14:textId="77777777" w:rsidR="0037482D" w:rsidRDefault="0037482D"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lastRenderedPageBreak/>
              <w:t>Ramsar Management Principles (under EPBC Regulations) identify CEPA as an important part of Ramsar management plans.  Extent of inclusion in management plans developed during 2016-2018 was variable.</w:t>
            </w:r>
          </w:p>
          <w:p w14:paraId="3AD935C3" w14:textId="77777777" w:rsidR="0037482D" w:rsidRDefault="0037482D"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39F0437F" w14:textId="77777777" w:rsidR="0037482D" w:rsidRDefault="0037482D"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A variety of wetland training opportunites were offered, including:</w:t>
            </w:r>
          </w:p>
          <w:p w14:paraId="272A4BF5" w14:textId="77777777" w:rsidR="00A93620" w:rsidRPr="001B32BD" w:rsidRDefault="00521167" w:rsidP="001B32BD">
            <w:pPr>
              <w:pStyle w:val="ListParagraph"/>
              <w:widowControl w:val="0"/>
              <w:numPr>
                <w:ilvl w:val="0"/>
                <w:numId w:val="18"/>
              </w:numPr>
              <w:kinsoku w:val="0"/>
              <w:overflowPunct w:val="0"/>
              <w:autoSpaceDE w:val="0"/>
              <w:autoSpaceDN w:val="0"/>
              <w:adjustRightInd w:val="0"/>
              <w:spacing w:after="0" w:line="240" w:lineRule="auto"/>
              <w:rPr>
                <w:rFonts w:ascii="Calibri" w:eastAsia="Times New Roman" w:hAnsi="Calibri"/>
                <w:bCs/>
                <w:lang w:val="lv-LV" w:eastAsia="en-GB"/>
              </w:rPr>
            </w:pPr>
            <w:r w:rsidRPr="001B32BD">
              <w:rPr>
                <w:rFonts w:ascii="Calibri" w:eastAsia="Times New Roman" w:hAnsi="Calibri"/>
                <w:bCs/>
                <w:lang w:val="lv-LV" w:eastAsia="en-GB"/>
              </w:rPr>
              <w:t>Sydney Olymic Park Authority – Wetland Education and Training (WET) workshops</w:t>
            </w:r>
          </w:p>
          <w:p w14:paraId="34D310C1" w14:textId="3B638ADD" w:rsidR="00521167" w:rsidRDefault="00264EC9" w:rsidP="001B32BD">
            <w:pPr>
              <w:pStyle w:val="ListParagraph"/>
              <w:widowControl w:val="0"/>
              <w:numPr>
                <w:ilvl w:val="0"/>
                <w:numId w:val="18"/>
              </w:numPr>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Conservation Volunteers Australia</w:t>
            </w:r>
          </w:p>
          <w:p w14:paraId="2FB7CB26" w14:textId="77777777" w:rsidR="001B32BD" w:rsidRDefault="001B32BD" w:rsidP="001B32BD">
            <w:pPr>
              <w:pStyle w:val="ListParagraph"/>
              <w:widowControl w:val="0"/>
              <w:numPr>
                <w:ilvl w:val="0"/>
                <w:numId w:val="18"/>
              </w:numPr>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Port Phillip and Westernport CMA and BirdLife Australia– Indigenous Shorebird and Wetland Conservation Training program</w:t>
            </w:r>
          </w:p>
          <w:p w14:paraId="2395F7BA" w14:textId="77777777" w:rsidR="001B32BD" w:rsidRDefault="001B32BD" w:rsidP="001B32BD">
            <w:pPr>
              <w:pStyle w:val="ListParagraph"/>
              <w:widowControl w:val="0"/>
              <w:numPr>
                <w:ilvl w:val="0"/>
                <w:numId w:val="18"/>
              </w:numPr>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Greening Australia – training on monitoring</w:t>
            </w:r>
          </w:p>
          <w:p w14:paraId="714E1468" w14:textId="77777777" w:rsidR="00C40E93" w:rsidRPr="00C40E93" w:rsidRDefault="00C40E93" w:rsidP="00C40E93">
            <w:pPr>
              <w:pStyle w:val="ListParagraph"/>
              <w:widowControl w:val="0"/>
              <w:numPr>
                <w:ilvl w:val="0"/>
                <w:numId w:val="18"/>
              </w:numPr>
              <w:kinsoku w:val="0"/>
              <w:overflowPunct w:val="0"/>
              <w:autoSpaceDE w:val="0"/>
              <w:autoSpaceDN w:val="0"/>
              <w:adjustRightInd w:val="0"/>
              <w:spacing w:after="0" w:line="240" w:lineRule="auto"/>
              <w:rPr>
                <w:rFonts w:ascii="Calibri" w:eastAsia="Times New Roman" w:hAnsi="Calibri"/>
                <w:bCs/>
                <w:lang w:val="lv-LV" w:eastAsia="en-GB"/>
              </w:rPr>
            </w:pPr>
            <w:r w:rsidRPr="00C40E93">
              <w:rPr>
                <w:rFonts w:ascii="Calibri" w:eastAsia="Times New Roman" w:hAnsi="Calibri"/>
                <w:bCs/>
                <w:lang w:val="lv-LV" w:eastAsia="en-GB"/>
              </w:rPr>
              <w:t>Victoria: Lowland wetland ecology course</w:t>
            </w:r>
          </w:p>
          <w:p w14:paraId="46A789BE" w14:textId="4C45F0D2" w:rsidR="00C40E93" w:rsidRPr="00C40E93" w:rsidRDefault="00C40E93" w:rsidP="00C40E93">
            <w:pPr>
              <w:pStyle w:val="ListParagraph"/>
              <w:widowControl w:val="0"/>
              <w:numPr>
                <w:ilvl w:val="0"/>
                <w:numId w:val="18"/>
              </w:numPr>
              <w:kinsoku w:val="0"/>
              <w:overflowPunct w:val="0"/>
              <w:autoSpaceDE w:val="0"/>
              <w:autoSpaceDN w:val="0"/>
              <w:adjustRightInd w:val="0"/>
              <w:spacing w:after="0" w:line="240" w:lineRule="auto"/>
              <w:rPr>
                <w:rFonts w:ascii="Calibri" w:eastAsia="Times New Roman" w:hAnsi="Calibri"/>
                <w:bCs/>
                <w:lang w:val="lv-LV" w:eastAsia="en-GB"/>
              </w:rPr>
            </w:pPr>
            <w:r w:rsidRPr="00C40E93">
              <w:rPr>
                <w:rFonts w:ascii="Calibri" w:eastAsia="Times New Roman" w:hAnsi="Calibri"/>
                <w:bCs/>
                <w:lang w:val="lv-LV" w:eastAsia="en-GB"/>
              </w:rPr>
              <w:lastRenderedPageBreak/>
              <w:t>Victoria: Wetland vegetation identification course (http://rakali.com.au/education-and-training/)</w:t>
            </w:r>
          </w:p>
          <w:p w14:paraId="614EB6B0" w14:textId="77777777" w:rsidR="00C80518" w:rsidRDefault="00C80518" w:rsidP="00C80518">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3768784B" w14:textId="04B4BEE9" w:rsidR="00C80518" w:rsidRDefault="00264EC9" w:rsidP="00C80518">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Ramsar Regional Initiative</w:t>
            </w:r>
            <w:r w:rsidR="000466F4">
              <w:rPr>
                <w:rFonts w:ascii="Calibri" w:eastAsia="Times New Roman" w:hAnsi="Calibri"/>
                <w:bCs/>
                <w:lang w:val="lv-LV" w:eastAsia="en-GB"/>
              </w:rPr>
              <w:t>– see Ramsar Implementation Plan Target 15</w:t>
            </w:r>
          </w:p>
          <w:p w14:paraId="30A4C77C" w14:textId="77777777" w:rsidR="00C80518" w:rsidRDefault="00C80518" w:rsidP="00C80518">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21A1C2E2" w14:textId="086E63DB" w:rsidR="00C80518" w:rsidRDefault="000466F4" w:rsidP="00C80518">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Research – see Ramsar Implementation Plan Target 14</w:t>
            </w:r>
          </w:p>
          <w:p w14:paraId="76E31D87" w14:textId="77777777" w:rsidR="00C80518" w:rsidRDefault="00C80518" w:rsidP="00C80518">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3C31485E" w14:textId="51F88371" w:rsidR="00C80518" w:rsidRDefault="00C80518" w:rsidP="00C80518">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Promotion of research – NESP has an active program of promotion, through journal articles, workshops, newsletters, Fact Sheets etc</w:t>
            </w:r>
          </w:p>
          <w:p w14:paraId="45D76356" w14:textId="77777777" w:rsidR="00C80518" w:rsidRDefault="00C80518" w:rsidP="00C80518">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The CHIRP newsletter promotes research to an audience of ...</w:t>
            </w:r>
          </w:p>
          <w:p w14:paraId="7D7D31DB" w14:textId="77777777" w:rsidR="00C80518" w:rsidRDefault="00C80518" w:rsidP="00C80518">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738FD793" w14:textId="77777777" w:rsidR="00C80518" w:rsidRDefault="000466F4" w:rsidP="00C80518">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As</w:t>
            </w:r>
            <w:r w:rsidR="00521217">
              <w:rPr>
                <w:rFonts w:ascii="Calibri" w:eastAsia="Times New Roman" w:hAnsi="Calibri"/>
                <w:bCs/>
                <w:lang w:val="lv-LV" w:eastAsia="en-GB"/>
              </w:rPr>
              <w:t>sessments – see Ramsar Implementation Plan Target 1.</w:t>
            </w:r>
          </w:p>
          <w:p w14:paraId="6E5E3621" w14:textId="77777777" w:rsidR="005937AC" w:rsidRDefault="005937AC" w:rsidP="00C80518">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5A997DFB" w14:textId="63EEACD1" w:rsidR="005937AC" w:rsidRPr="00C80518" w:rsidRDefault="005937AC" w:rsidP="00C80518">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5937AC">
              <w:rPr>
                <w:rFonts w:ascii="Calibri" w:eastAsia="Times New Roman" w:hAnsi="Calibri"/>
                <w:bCs/>
                <w:lang w:val="lv-LV" w:eastAsia="en-GB"/>
              </w:rPr>
              <w:t xml:space="preserve">See CEPA </w:t>
            </w:r>
            <w:r>
              <w:rPr>
                <w:rFonts w:ascii="Calibri" w:eastAsia="Times New Roman" w:hAnsi="Calibri"/>
                <w:bCs/>
                <w:lang w:val="lv-LV" w:eastAsia="en-GB"/>
              </w:rPr>
              <w:t>Target 1</w:t>
            </w:r>
            <w:r w:rsidRPr="005937AC">
              <w:rPr>
                <w:rFonts w:ascii="Calibri" w:eastAsia="Times New Roman" w:hAnsi="Calibri"/>
                <w:bCs/>
                <w:lang w:val="lv-LV" w:eastAsia="en-GB"/>
              </w:rPr>
              <w:t xml:space="preserve"> above for information on </w:t>
            </w:r>
            <w:r>
              <w:rPr>
                <w:rFonts w:ascii="Calibri" w:eastAsia="Times New Roman" w:hAnsi="Calibri"/>
                <w:bCs/>
                <w:lang w:val="lv-LV" w:eastAsia="en-GB"/>
              </w:rPr>
              <w:t>networking and partnerships.</w:t>
            </w:r>
          </w:p>
        </w:tc>
      </w:tr>
      <w:tr w:rsidR="00A93620" w:rsidRPr="00333F4B" w14:paraId="51D7A91D" w14:textId="77777777" w:rsidTr="00025685">
        <w:tc>
          <w:tcPr>
            <w:tcW w:w="1730" w:type="dxa"/>
          </w:tcPr>
          <w:p w14:paraId="34CA0A76" w14:textId="730AB98C" w:rsidR="00A93620" w:rsidRPr="00333F4B" w:rsidRDefault="00A93620" w:rsidP="00333F4B">
            <w:pPr>
              <w:widowControl w:val="0"/>
              <w:kinsoku w:val="0"/>
              <w:overflowPunct w:val="0"/>
              <w:autoSpaceDE w:val="0"/>
              <w:autoSpaceDN w:val="0"/>
              <w:adjustRightInd w:val="0"/>
              <w:spacing w:after="0" w:line="240" w:lineRule="auto"/>
              <w:rPr>
                <w:rFonts w:eastAsia="Times New Roman"/>
                <w:lang w:val="en-GB" w:eastAsia="en-GB"/>
              </w:rPr>
            </w:pPr>
            <w:r w:rsidRPr="00333F4B">
              <w:rPr>
                <w:rFonts w:eastAsia="Times New Roman"/>
                <w:lang w:val="en-GB" w:eastAsia="en-GB"/>
              </w:rPr>
              <w:lastRenderedPageBreak/>
              <w:t>5. Develop and support mechanisms to ensure multi‐stakeholder participation in wetland management.</w:t>
            </w:r>
          </w:p>
        </w:tc>
        <w:tc>
          <w:tcPr>
            <w:tcW w:w="2835" w:type="dxa"/>
          </w:tcPr>
          <w:p w14:paraId="46000F35" w14:textId="6AD01585" w:rsidR="00A93620" w:rsidRPr="00333F4B" w:rsidRDefault="00A93620" w:rsidP="00333F4B">
            <w:pPr>
              <w:widowControl w:val="0"/>
              <w:numPr>
                <w:ilvl w:val="1"/>
                <w:numId w:val="13"/>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Participation of major stakeholders used by site managers and others as an effective process for selection of Ramsar Sites and management of all wetl</w:t>
            </w:r>
            <w:r w:rsidR="00806785">
              <w:rPr>
                <w:rFonts w:eastAsia="Times New Roman"/>
                <w:lang w:val="en-GB" w:eastAsia="en-GB"/>
              </w:rPr>
              <w:t>ands, including at basin level.</w:t>
            </w:r>
          </w:p>
          <w:p w14:paraId="0B5442E4" w14:textId="00E9A20F" w:rsidR="00A93620" w:rsidRPr="00333F4B" w:rsidRDefault="00A93620" w:rsidP="00333F4B">
            <w:pPr>
              <w:widowControl w:val="0"/>
              <w:numPr>
                <w:ilvl w:val="1"/>
                <w:numId w:val="13"/>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Participation in wetland management of stakeholder groups with cultural, spiritual, customary, traditional, historical and socio‐economic links to wetlands or those communities who depend on wetlands for their liveli</w:t>
            </w:r>
            <w:r w:rsidR="00806785">
              <w:rPr>
                <w:rFonts w:eastAsia="Times New Roman"/>
                <w:lang w:val="en-GB" w:eastAsia="en-GB"/>
              </w:rPr>
              <w:t>hoods is given a high priority.</w:t>
            </w:r>
          </w:p>
          <w:p w14:paraId="3A96E81D" w14:textId="5B2ECC6A" w:rsidR="00A93620" w:rsidRPr="00333F4B" w:rsidRDefault="00A93620" w:rsidP="00333F4B">
            <w:pPr>
              <w:widowControl w:val="0"/>
              <w:numPr>
                <w:ilvl w:val="1"/>
                <w:numId w:val="13"/>
              </w:numPr>
              <w:kinsoku w:val="0"/>
              <w:overflowPunct w:val="0"/>
              <w:autoSpaceDE w:val="0"/>
              <w:autoSpaceDN w:val="0"/>
              <w:adjustRightInd w:val="0"/>
              <w:spacing w:after="0" w:line="240" w:lineRule="auto"/>
              <w:ind w:left="524"/>
              <w:rPr>
                <w:rFonts w:eastAsia="Times New Roman"/>
                <w:lang w:val="en-GB" w:eastAsia="en-GB"/>
              </w:rPr>
            </w:pPr>
            <w:r w:rsidRPr="00333F4B">
              <w:rPr>
                <w:rFonts w:eastAsia="Times New Roman"/>
                <w:lang w:val="en-GB" w:eastAsia="en-GB"/>
              </w:rPr>
              <w:t xml:space="preserve">The use of practices and traditional knowledge systems that embody appropriate wetland </w:t>
            </w:r>
            <w:r w:rsidRPr="00333F4B">
              <w:rPr>
                <w:rFonts w:eastAsia="Times New Roman"/>
                <w:lang w:val="en-GB" w:eastAsia="en-GB"/>
              </w:rPr>
              <w:lastRenderedPageBreak/>
              <w:t>cultural management by Indigenous peoples and local communities</w:t>
            </w:r>
            <w:r w:rsidRPr="00333F4B" w:rsidDel="00E4116E">
              <w:rPr>
                <w:rFonts w:eastAsia="Times New Roman"/>
                <w:lang w:val="en-GB" w:eastAsia="en-GB"/>
              </w:rPr>
              <w:t xml:space="preserve"> </w:t>
            </w:r>
            <w:r w:rsidRPr="00333F4B">
              <w:rPr>
                <w:rFonts w:eastAsia="Times New Roman"/>
                <w:lang w:val="en-GB" w:eastAsia="en-GB"/>
              </w:rPr>
              <w:t>recovere</w:t>
            </w:r>
            <w:r w:rsidR="00806785">
              <w:rPr>
                <w:rFonts w:eastAsia="Times New Roman"/>
                <w:lang w:val="en-GB" w:eastAsia="en-GB"/>
              </w:rPr>
              <w:t>d, strengthened and encouraged.</w:t>
            </w:r>
          </w:p>
          <w:p w14:paraId="4A537EB8" w14:textId="2623168A" w:rsidR="00A93620" w:rsidRPr="00333F4B" w:rsidRDefault="00A93620" w:rsidP="00333F4B">
            <w:pPr>
              <w:widowControl w:val="0"/>
              <w:numPr>
                <w:ilvl w:val="1"/>
                <w:numId w:val="13"/>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Encourage community participation in wetlands through volunteer programmes which support the delivery of management objectives</w:t>
            </w:r>
            <w:r w:rsidR="00806785">
              <w:rPr>
                <w:rFonts w:eastAsia="Times New Roman"/>
                <w:lang w:val="en-GB" w:eastAsia="en-GB"/>
              </w:rPr>
              <w:t>.</w:t>
            </w:r>
          </w:p>
          <w:p w14:paraId="00313F0D" w14:textId="69F2F97C" w:rsidR="00A93620" w:rsidRPr="00333F4B" w:rsidRDefault="00A93620" w:rsidP="00806785">
            <w:pPr>
              <w:widowControl w:val="0"/>
              <w:numPr>
                <w:ilvl w:val="1"/>
                <w:numId w:val="13"/>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 xml:space="preserve">Relationships with the private sector are sought &amp; developed, including non‐traditional sectors and those sectors whose activities have a major </w:t>
            </w:r>
            <w:r w:rsidR="00806785">
              <w:rPr>
                <w:rFonts w:eastAsia="Times New Roman"/>
                <w:lang w:val="en-GB" w:eastAsia="en-GB"/>
              </w:rPr>
              <w:t>impact on wise use of wetlands.</w:t>
            </w:r>
          </w:p>
        </w:tc>
        <w:tc>
          <w:tcPr>
            <w:tcW w:w="2268" w:type="dxa"/>
          </w:tcPr>
          <w:p w14:paraId="4E71E0EC"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lastRenderedPageBreak/>
              <w:t>Extent of stakeholder consultation in nomination processes (National Report Q16.3b)</w:t>
            </w:r>
          </w:p>
          <w:p w14:paraId="01CE9E52"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6E9C686F"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Incorporation of catchment approaches in program guidelines (National Report Q16.3a)</w:t>
            </w:r>
          </w:p>
          <w:p w14:paraId="015F5075"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409E52B9"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Local and Indigenous participation in management of Ramsar Wetlands (National Report Q10.3, 16.3a)</w:t>
            </w:r>
          </w:p>
          <w:p w14:paraId="14D86238"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4C3CC992"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Case studies/projects on cultural aspects of wetlands (National Report Q10.2)</w:t>
            </w:r>
          </w:p>
          <w:p w14:paraId="530DCDF7"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53A35419"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tc>
        <w:tc>
          <w:tcPr>
            <w:tcW w:w="6804" w:type="dxa"/>
          </w:tcPr>
          <w:p w14:paraId="03CF31A6" w14:textId="468F03B7" w:rsidR="00A93620" w:rsidRDefault="00C80518"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Nomination – Glenelg and Discovery Bay Ramsar nomination involved extensive public consultation</w:t>
            </w:r>
            <w:r w:rsidR="00C40E93">
              <w:rPr>
                <w:rFonts w:ascii="Calibri" w:eastAsia="Times New Roman" w:hAnsi="Calibri"/>
                <w:bCs/>
                <w:lang w:val="lv-LV" w:eastAsia="en-GB"/>
              </w:rPr>
              <w:t>.</w:t>
            </w:r>
          </w:p>
          <w:p w14:paraId="65D564F5" w14:textId="77777777" w:rsidR="00C40E93" w:rsidRDefault="00C40E93"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2AED86F1" w14:textId="132535A4" w:rsidR="00C40E93" w:rsidRDefault="00C40E93"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In Victoria,</w:t>
            </w:r>
            <w:r w:rsidRPr="00C40E93">
              <w:rPr>
                <w:rFonts w:ascii="Calibri" w:eastAsia="Times New Roman" w:hAnsi="Calibri"/>
                <w:bCs/>
                <w:lang w:val="lv-LV" w:eastAsia="en-GB"/>
              </w:rPr>
              <w:t xml:space="preserve"> stakeholder consultation is an integral part of developing regional waterway strategies (which include wetlands and management planning for seven Ramsar sites) and stand alone Ramsar site managment plans (five remaining sites). The RWSs and stand alone managment plans each had a stakeholder engagement strategy, which involved stakeholder advisory groups and open public forums. </w:t>
            </w:r>
          </w:p>
          <w:p w14:paraId="6517BAC2" w14:textId="77777777" w:rsidR="00C80518" w:rsidRDefault="00C80518"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7F3E939F" w14:textId="4ACB7936" w:rsidR="00C80518" w:rsidRDefault="00C80518"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 xml:space="preserve">Management – preparation </w:t>
            </w:r>
            <w:r w:rsidR="00C061AD">
              <w:rPr>
                <w:rFonts w:ascii="Calibri" w:eastAsia="Times New Roman" w:hAnsi="Calibri"/>
                <w:bCs/>
                <w:lang w:val="lv-LV" w:eastAsia="en-GB"/>
              </w:rPr>
              <w:t>of Management Plans involved</w:t>
            </w:r>
            <w:r>
              <w:rPr>
                <w:rFonts w:ascii="Calibri" w:eastAsia="Times New Roman" w:hAnsi="Calibri"/>
                <w:bCs/>
                <w:lang w:val="lv-LV" w:eastAsia="en-GB"/>
              </w:rPr>
              <w:t xml:space="preserve"> wide public consulation eg </w:t>
            </w:r>
          </w:p>
          <w:p w14:paraId="7957DC0B" w14:textId="63B30471" w:rsidR="00C80518" w:rsidRPr="00C80518" w:rsidRDefault="00C80518" w:rsidP="00C80518">
            <w:pPr>
              <w:pStyle w:val="ListParagraph"/>
              <w:widowControl w:val="0"/>
              <w:numPr>
                <w:ilvl w:val="0"/>
                <w:numId w:val="19"/>
              </w:numPr>
              <w:kinsoku w:val="0"/>
              <w:overflowPunct w:val="0"/>
              <w:autoSpaceDE w:val="0"/>
              <w:autoSpaceDN w:val="0"/>
              <w:adjustRightInd w:val="0"/>
              <w:spacing w:after="0" w:line="240" w:lineRule="auto"/>
              <w:rPr>
                <w:rFonts w:ascii="Calibri" w:eastAsia="Times New Roman" w:hAnsi="Calibri"/>
                <w:bCs/>
                <w:lang w:val="lv-LV" w:eastAsia="en-GB"/>
              </w:rPr>
            </w:pPr>
            <w:r w:rsidRPr="00C80518">
              <w:rPr>
                <w:rFonts w:ascii="Calibri" w:eastAsia="Times New Roman" w:hAnsi="Calibri"/>
                <w:bCs/>
                <w:lang w:val="lv-LV" w:eastAsia="en-GB"/>
              </w:rPr>
              <w:t>Ginini</w:t>
            </w:r>
            <w:r>
              <w:rPr>
                <w:rFonts w:ascii="Calibri" w:eastAsia="Times New Roman" w:hAnsi="Calibri"/>
                <w:bCs/>
                <w:lang w:val="lv-LV" w:eastAsia="en-GB"/>
              </w:rPr>
              <w:t xml:space="preserve"> - </w:t>
            </w:r>
            <w:hyperlink r:id="rId15" w:history="1">
              <w:r w:rsidRPr="00B84871">
                <w:rPr>
                  <w:rStyle w:val="Hyperlink"/>
                  <w:rFonts w:ascii="Calibri" w:eastAsia="Times New Roman" w:hAnsi="Calibri"/>
                  <w:bCs/>
                  <w:lang w:val="lv-LV" w:eastAsia="en-GB"/>
                </w:rPr>
                <w:t>https://www.environment.act.gov.au/cpr/conservation_and_ecological_communities/ginini-flats-wetland-complex-ramsar-site</w:t>
              </w:r>
            </w:hyperlink>
            <w:r>
              <w:rPr>
                <w:rFonts w:ascii="Calibri" w:eastAsia="Times New Roman" w:hAnsi="Calibri"/>
                <w:bCs/>
                <w:lang w:val="lv-LV" w:eastAsia="en-GB"/>
              </w:rPr>
              <w:t xml:space="preserve"> </w:t>
            </w:r>
          </w:p>
          <w:p w14:paraId="01A7C583" w14:textId="2F0E370A" w:rsidR="00C80518" w:rsidRDefault="00C80518" w:rsidP="00C80518">
            <w:pPr>
              <w:pStyle w:val="ListParagraph"/>
              <w:widowControl w:val="0"/>
              <w:numPr>
                <w:ilvl w:val="0"/>
                <w:numId w:val="19"/>
              </w:numPr>
              <w:kinsoku w:val="0"/>
              <w:overflowPunct w:val="0"/>
              <w:autoSpaceDE w:val="0"/>
              <w:autoSpaceDN w:val="0"/>
              <w:adjustRightInd w:val="0"/>
              <w:spacing w:after="0" w:line="240" w:lineRule="auto"/>
              <w:rPr>
                <w:rFonts w:ascii="Calibri" w:eastAsia="Times New Roman" w:hAnsi="Calibri"/>
                <w:bCs/>
                <w:lang w:val="lv-LV" w:eastAsia="en-GB"/>
              </w:rPr>
            </w:pPr>
            <w:r w:rsidRPr="00C80518">
              <w:rPr>
                <w:rFonts w:ascii="Calibri" w:eastAsia="Times New Roman" w:hAnsi="Calibri"/>
                <w:bCs/>
                <w:lang w:val="lv-LV" w:eastAsia="en-GB"/>
              </w:rPr>
              <w:t>Kakadu</w:t>
            </w:r>
            <w:r>
              <w:rPr>
                <w:rFonts w:ascii="Calibri" w:eastAsia="Times New Roman" w:hAnsi="Calibri"/>
                <w:bCs/>
                <w:lang w:val="lv-LV" w:eastAsia="en-GB"/>
              </w:rPr>
              <w:t xml:space="preserve"> </w:t>
            </w:r>
            <w:r w:rsidR="00EA6C19">
              <w:rPr>
                <w:rFonts w:ascii="Calibri" w:eastAsia="Times New Roman" w:hAnsi="Calibri"/>
                <w:bCs/>
                <w:lang w:val="lv-LV" w:eastAsia="en-GB"/>
              </w:rPr>
              <w:t xml:space="preserve">(2016) </w:t>
            </w:r>
            <w:hyperlink r:id="rId16" w:history="1">
              <w:r w:rsidRPr="00B84871">
                <w:rPr>
                  <w:rStyle w:val="Hyperlink"/>
                  <w:rFonts w:ascii="Calibri" w:eastAsia="Times New Roman" w:hAnsi="Calibri"/>
                  <w:bCs/>
                  <w:lang w:val="lv-LV" w:eastAsia="en-GB"/>
                </w:rPr>
                <w:t>http://www.environment.gov.au/resource/kakadu-national-park-management-plan-2016-2026</w:t>
              </w:r>
            </w:hyperlink>
            <w:r>
              <w:rPr>
                <w:rFonts w:ascii="Calibri" w:eastAsia="Times New Roman" w:hAnsi="Calibri"/>
                <w:bCs/>
                <w:lang w:val="lv-LV" w:eastAsia="en-GB"/>
              </w:rPr>
              <w:t xml:space="preserve"> </w:t>
            </w:r>
          </w:p>
          <w:p w14:paraId="639D0BBC" w14:textId="5FA87EDC" w:rsidR="00EA6C19" w:rsidRPr="00C80518" w:rsidRDefault="00EA6C19" w:rsidP="00EA6C19">
            <w:pPr>
              <w:pStyle w:val="ListParagraph"/>
              <w:widowControl w:val="0"/>
              <w:numPr>
                <w:ilvl w:val="0"/>
                <w:numId w:val="19"/>
              </w:numPr>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 xml:space="preserve">Western Port (2017) </w:t>
            </w:r>
            <w:hyperlink r:id="rId17" w:history="1">
              <w:r w:rsidRPr="00B84871">
                <w:rPr>
                  <w:rStyle w:val="Hyperlink"/>
                  <w:rFonts w:ascii="Calibri" w:eastAsia="Times New Roman" w:hAnsi="Calibri"/>
                  <w:bCs/>
                  <w:lang w:val="lv-LV" w:eastAsia="en-GB"/>
                </w:rPr>
                <w:t>https://www.water.vic.gov.au/waterways-and-catchments/rivers-estuaries-and-waterways/wetlands/significant-wetlands</w:t>
              </w:r>
            </w:hyperlink>
            <w:r>
              <w:rPr>
                <w:rFonts w:ascii="Calibri" w:eastAsia="Times New Roman" w:hAnsi="Calibri"/>
                <w:bCs/>
                <w:lang w:val="lv-LV" w:eastAsia="en-GB"/>
              </w:rPr>
              <w:t xml:space="preserve"> </w:t>
            </w:r>
          </w:p>
          <w:p w14:paraId="1F7C160B" w14:textId="3AEC3CBF" w:rsidR="002A3B2C" w:rsidRDefault="002A3B2C"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286CD30F" w14:textId="199AA4CD" w:rsidR="00C061AD" w:rsidRDefault="00C061AD"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Catchment Approaches</w:t>
            </w:r>
          </w:p>
          <w:p w14:paraId="766669AD" w14:textId="296AA9F9" w:rsidR="002A3B2C" w:rsidRPr="00C061AD" w:rsidRDefault="00C061AD" w:rsidP="00C061AD">
            <w:pPr>
              <w:pStyle w:val="ListParagraph"/>
              <w:widowControl w:val="0"/>
              <w:numPr>
                <w:ilvl w:val="0"/>
                <w:numId w:val="20"/>
              </w:numPr>
              <w:kinsoku w:val="0"/>
              <w:overflowPunct w:val="0"/>
              <w:autoSpaceDE w:val="0"/>
              <w:autoSpaceDN w:val="0"/>
              <w:adjustRightInd w:val="0"/>
              <w:spacing w:after="0" w:line="240" w:lineRule="auto"/>
              <w:rPr>
                <w:rFonts w:ascii="Calibri" w:eastAsia="Times New Roman" w:hAnsi="Calibri"/>
                <w:bCs/>
                <w:lang w:val="lv-LV" w:eastAsia="en-GB"/>
              </w:rPr>
            </w:pPr>
            <w:r w:rsidRPr="00C061AD">
              <w:rPr>
                <w:rFonts w:ascii="Calibri" w:eastAsia="Times New Roman" w:hAnsi="Calibri"/>
                <w:bCs/>
                <w:lang w:val="lv-LV" w:eastAsia="en-GB"/>
              </w:rPr>
              <w:t xml:space="preserve">Regional Land Partnerships </w:t>
            </w:r>
            <w:r>
              <w:rPr>
                <w:rFonts w:ascii="Calibri" w:eastAsia="Times New Roman" w:hAnsi="Calibri"/>
                <w:bCs/>
                <w:lang w:val="lv-LV" w:eastAsia="en-GB"/>
              </w:rPr>
              <w:t>tender documents</w:t>
            </w:r>
            <w:r w:rsidRPr="00C061AD">
              <w:rPr>
                <w:rFonts w:ascii="Calibri" w:eastAsia="Times New Roman" w:hAnsi="Calibri"/>
                <w:bCs/>
                <w:lang w:val="lv-LV" w:eastAsia="en-GB"/>
              </w:rPr>
              <w:t xml:space="preserve"> emphasised need for </w:t>
            </w:r>
            <w:r>
              <w:rPr>
                <w:rFonts w:ascii="Calibri" w:eastAsia="Times New Roman" w:hAnsi="Calibri"/>
                <w:bCs/>
                <w:lang w:val="lv-LV" w:eastAsia="en-GB"/>
              </w:rPr>
              <w:t xml:space="preserve">Ramsar-related </w:t>
            </w:r>
            <w:r w:rsidRPr="00C061AD">
              <w:rPr>
                <w:rFonts w:ascii="Calibri" w:eastAsia="Times New Roman" w:hAnsi="Calibri"/>
                <w:bCs/>
                <w:lang w:val="lv-LV" w:eastAsia="en-GB"/>
              </w:rPr>
              <w:t>projects to consider catchment values and threats, and to address high priority issues using catchment approaches.</w:t>
            </w:r>
          </w:p>
          <w:p w14:paraId="33A6400A" w14:textId="15878882" w:rsidR="00D9752C" w:rsidRPr="002A3B2C" w:rsidRDefault="002A3B2C" w:rsidP="002A3B2C">
            <w:pPr>
              <w:widowControl w:val="0"/>
              <w:numPr>
                <w:ilvl w:val="0"/>
                <w:numId w:val="17"/>
              </w:numPr>
              <w:kinsoku w:val="0"/>
              <w:overflowPunct w:val="0"/>
              <w:autoSpaceDE w:val="0"/>
              <w:autoSpaceDN w:val="0"/>
              <w:adjustRightInd w:val="0"/>
              <w:spacing w:after="0" w:line="240" w:lineRule="auto"/>
              <w:rPr>
                <w:rFonts w:ascii="Calibri" w:eastAsia="Times New Roman" w:hAnsi="Calibri"/>
                <w:bCs/>
                <w:lang w:val="lv-LV" w:eastAsia="en-GB"/>
              </w:rPr>
            </w:pPr>
            <w:r w:rsidRPr="002A3B2C">
              <w:rPr>
                <w:rFonts w:ascii="Calibri" w:eastAsia="Times New Roman" w:hAnsi="Calibri"/>
                <w:bCs/>
                <w:lang w:val="en" w:eastAsia="en-GB"/>
              </w:rPr>
              <w:lastRenderedPageBreak/>
              <w:t xml:space="preserve">Walking the Landscape Catchment Stories, Qld (2018) – </w:t>
            </w:r>
            <w:r w:rsidRPr="002A3B2C">
              <w:rPr>
                <w:rFonts w:ascii="Calibri" w:eastAsia="Times New Roman" w:hAnsi="Calibri"/>
                <w:bCs/>
                <w:lang w:eastAsia="en-GB"/>
              </w:rPr>
              <w:t>Catchment stories have been developed for</w:t>
            </w:r>
            <w:r w:rsidR="00C40E93">
              <w:rPr>
                <w:rFonts w:ascii="Calibri" w:eastAsia="Times New Roman" w:hAnsi="Calibri"/>
                <w:bCs/>
                <w:lang w:eastAsia="en-GB"/>
              </w:rPr>
              <w:t xml:space="preserve"> </w:t>
            </w:r>
            <w:r w:rsidR="003504CB">
              <w:rPr>
                <w:rFonts w:ascii="Calibri" w:eastAsia="Times New Roman" w:hAnsi="Calibri"/>
                <w:bCs/>
                <w:lang w:eastAsia="en-GB"/>
              </w:rPr>
              <w:t>over 35 catchments</w:t>
            </w:r>
            <w:r w:rsidRPr="002A3B2C">
              <w:rPr>
                <w:rFonts w:ascii="Calibri" w:eastAsia="Times New Roman" w:hAnsi="Calibri"/>
                <w:bCs/>
                <w:lang w:eastAsia="en-GB"/>
              </w:rPr>
              <w:t xml:space="preserve">.  </w:t>
            </w:r>
            <w:hyperlink r:id="rId18" w:history="1">
              <w:r w:rsidRPr="002A3B2C">
                <w:rPr>
                  <w:rStyle w:val="Hyperlink"/>
                  <w:rFonts w:ascii="Calibri" w:eastAsia="Times New Roman" w:hAnsi="Calibri"/>
                  <w:bCs/>
                  <w:lang w:eastAsia="en-GB"/>
                </w:rPr>
                <w:t>https://wetlandinfo.des.qld.gov.au/wetlands/ecology/processes-systems/water/catchment-stories/</w:t>
              </w:r>
            </w:hyperlink>
            <w:r w:rsidRPr="002A3B2C">
              <w:rPr>
                <w:rFonts w:ascii="Calibri" w:eastAsia="Times New Roman" w:hAnsi="Calibri"/>
                <w:bCs/>
                <w:lang w:eastAsia="en-GB"/>
              </w:rPr>
              <w:t xml:space="preserve"> </w:t>
            </w:r>
          </w:p>
          <w:p w14:paraId="36299FE7" w14:textId="77777777" w:rsidR="002A3B2C" w:rsidRDefault="002A3B2C"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3CB486C4" w14:textId="77777777" w:rsidR="009172A3" w:rsidRDefault="009172A3"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Participation</w:t>
            </w:r>
          </w:p>
          <w:p w14:paraId="54A37531" w14:textId="2731D8C5" w:rsidR="009172A3" w:rsidRDefault="00DD5BD0" w:rsidP="00EA6C19">
            <w:pPr>
              <w:pStyle w:val="ListParagraph"/>
              <w:widowControl w:val="0"/>
              <w:numPr>
                <w:ilvl w:val="0"/>
                <w:numId w:val="17"/>
              </w:numPr>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 xml:space="preserve">Indigenous Australians manage or jointly manage </w:t>
            </w:r>
            <w:r w:rsidR="000466F4">
              <w:rPr>
                <w:rFonts w:ascii="Calibri" w:eastAsia="Times New Roman" w:hAnsi="Calibri"/>
                <w:bCs/>
                <w:lang w:val="lv-LV" w:eastAsia="en-GB"/>
              </w:rPr>
              <w:t>at least 11</w:t>
            </w:r>
            <w:r>
              <w:rPr>
                <w:rFonts w:ascii="Calibri" w:eastAsia="Times New Roman" w:hAnsi="Calibri"/>
                <w:bCs/>
                <w:lang w:val="lv-LV" w:eastAsia="en-GB"/>
              </w:rPr>
              <w:t xml:space="preserve"> of Australia’s Ramsar wetlands eg</w:t>
            </w:r>
            <w:r w:rsidR="009172A3" w:rsidRPr="009172A3">
              <w:rPr>
                <w:rFonts w:ascii="Calibri" w:eastAsia="Times New Roman" w:hAnsi="Calibri"/>
                <w:bCs/>
                <w:lang w:val="lv-LV" w:eastAsia="en-GB"/>
              </w:rPr>
              <w:t xml:space="preserve"> Kakadu National Park</w:t>
            </w:r>
            <w:r w:rsidR="00184043">
              <w:rPr>
                <w:rFonts w:ascii="Calibri" w:eastAsia="Times New Roman" w:hAnsi="Calibri"/>
                <w:bCs/>
                <w:lang w:val="lv-LV" w:eastAsia="en-GB"/>
              </w:rPr>
              <w:t>, Cobourg Peninsula</w:t>
            </w:r>
            <w:r w:rsidR="00C40E93">
              <w:rPr>
                <w:rFonts w:ascii="Calibri" w:eastAsia="Times New Roman" w:hAnsi="Calibri"/>
                <w:bCs/>
                <w:lang w:val="lv-LV" w:eastAsia="en-GB"/>
              </w:rPr>
              <w:t>, Barmah National Park (</w:t>
            </w:r>
            <w:r w:rsidR="00C40E93" w:rsidRPr="00C40E93">
              <w:rPr>
                <w:rFonts w:ascii="Calibri" w:eastAsia="Times New Roman" w:hAnsi="Calibri"/>
                <w:bCs/>
                <w:lang w:val="lv-LV" w:eastAsia="en-GB"/>
              </w:rPr>
              <w:t xml:space="preserve">which includes most of the Ramsar </w:t>
            </w:r>
            <w:r w:rsidR="00C40E93">
              <w:rPr>
                <w:rFonts w:ascii="Calibri" w:eastAsia="Times New Roman" w:hAnsi="Calibri"/>
                <w:bCs/>
                <w:lang w:val="lv-LV" w:eastAsia="en-GB"/>
              </w:rPr>
              <w:t>site –</w:t>
            </w:r>
            <w:r w:rsidR="00C40E93" w:rsidRPr="00C40E93">
              <w:rPr>
                <w:rFonts w:ascii="Calibri" w:eastAsia="Times New Roman" w:hAnsi="Calibri"/>
                <w:bCs/>
                <w:lang w:val="lv-LV" w:eastAsia="en-GB"/>
              </w:rPr>
              <w:t xml:space="preserve"> jointly managed).</w:t>
            </w:r>
          </w:p>
          <w:p w14:paraId="6C4BFAE2" w14:textId="36B45665" w:rsidR="000466F4" w:rsidRDefault="000466F4" w:rsidP="00306B9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0CC27D37" w14:textId="77777777" w:rsidR="00521217" w:rsidRDefault="000466F4" w:rsidP="00306B9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Case studies</w:t>
            </w:r>
          </w:p>
          <w:p w14:paraId="3F63228E" w14:textId="1C4A506B" w:rsidR="000466F4" w:rsidRDefault="00521217" w:rsidP="00306B9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See Target 3 above.  See Ramsar Implementation Plan Target 10.</w:t>
            </w:r>
          </w:p>
          <w:p w14:paraId="73FFCA49" w14:textId="77777777" w:rsidR="00306B9B" w:rsidRDefault="00306B9B" w:rsidP="00306B9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573B7D33" w14:textId="77777777" w:rsidR="002749FC" w:rsidRPr="002749FC" w:rsidRDefault="002749FC" w:rsidP="002749FC">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2749FC">
              <w:rPr>
                <w:rFonts w:ascii="Calibri" w:eastAsia="Times New Roman" w:hAnsi="Calibri"/>
                <w:bCs/>
                <w:lang w:val="lv-LV" w:eastAsia="en-GB"/>
              </w:rPr>
              <w:t xml:space="preserve">Local and indigenous particpation - See Ramsar Implementation Plan Target 10 for Indigenous participation in wetland related research, particularly migratory birds. </w:t>
            </w:r>
          </w:p>
          <w:p w14:paraId="3BDE14FB" w14:textId="37004D41" w:rsidR="002749FC" w:rsidRPr="00306B9B" w:rsidRDefault="002749FC" w:rsidP="00306B9B">
            <w:pPr>
              <w:widowControl w:val="0"/>
              <w:kinsoku w:val="0"/>
              <w:overflowPunct w:val="0"/>
              <w:autoSpaceDE w:val="0"/>
              <w:autoSpaceDN w:val="0"/>
              <w:adjustRightInd w:val="0"/>
              <w:spacing w:after="0" w:line="240" w:lineRule="auto"/>
              <w:rPr>
                <w:rFonts w:ascii="Calibri" w:eastAsia="Times New Roman" w:hAnsi="Calibri"/>
                <w:bCs/>
                <w:lang w:val="lv-LV" w:eastAsia="en-GB"/>
              </w:rPr>
            </w:pPr>
          </w:p>
        </w:tc>
      </w:tr>
      <w:tr w:rsidR="00A93620" w:rsidRPr="00333F4B" w14:paraId="5FD33A9F" w14:textId="77777777" w:rsidTr="00025685">
        <w:tc>
          <w:tcPr>
            <w:tcW w:w="1730" w:type="dxa"/>
          </w:tcPr>
          <w:p w14:paraId="597FA5C2" w14:textId="74A2D582" w:rsidR="00A93620" w:rsidRPr="00333F4B" w:rsidRDefault="00A93620" w:rsidP="00333F4B">
            <w:pPr>
              <w:widowControl w:val="0"/>
              <w:kinsoku w:val="0"/>
              <w:overflowPunct w:val="0"/>
              <w:autoSpaceDE w:val="0"/>
              <w:autoSpaceDN w:val="0"/>
              <w:adjustRightInd w:val="0"/>
              <w:spacing w:after="0" w:line="240" w:lineRule="auto"/>
              <w:rPr>
                <w:rFonts w:eastAsia="Times New Roman"/>
                <w:lang w:val="en-GB" w:eastAsia="en-GB"/>
              </w:rPr>
            </w:pPr>
            <w:r w:rsidRPr="00333F4B">
              <w:rPr>
                <w:rFonts w:eastAsia="Times New Roman"/>
                <w:lang w:val="en-GB" w:eastAsia="en-GB"/>
              </w:rPr>
              <w:lastRenderedPageBreak/>
              <w:t xml:space="preserve">6. Implement programmes, projects and campaigns targeting diverse sectors of society to increase awareness, appreciation and understanding of wetlands and </w:t>
            </w:r>
            <w:r w:rsidRPr="00333F4B">
              <w:rPr>
                <w:rFonts w:eastAsia="Times New Roman"/>
                <w:lang w:val="en-GB" w:eastAsia="en-GB"/>
              </w:rPr>
              <w:lastRenderedPageBreak/>
              <w:t>the ecosystem services they provide.</w:t>
            </w:r>
          </w:p>
        </w:tc>
        <w:tc>
          <w:tcPr>
            <w:tcW w:w="2835" w:type="dxa"/>
          </w:tcPr>
          <w:p w14:paraId="1106F6B8" w14:textId="239CB246" w:rsidR="00A93620" w:rsidRPr="00333F4B" w:rsidRDefault="00A93620" w:rsidP="00333F4B">
            <w:pPr>
              <w:widowControl w:val="0"/>
              <w:numPr>
                <w:ilvl w:val="1"/>
                <w:numId w:val="14"/>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lastRenderedPageBreak/>
              <w:t xml:space="preserve">Wide-reaching programmes, projects and campaigns, including World Wetlands Day, undertaken with diverse partners to raise awareness, build community support, and promote stewardship approaches and attitudes towards </w:t>
            </w:r>
            <w:r w:rsidRPr="00333F4B">
              <w:rPr>
                <w:rFonts w:eastAsia="Times New Roman"/>
                <w:lang w:val="en-GB" w:eastAsia="en-GB"/>
              </w:rPr>
              <w:lastRenderedPageBreak/>
              <w:t>wetlands, in particular t</w:t>
            </w:r>
            <w:r w:rsidR="00806785">
              <w:rPr>
                <w:rFonts w:eastAsia="Times New Roman"/>
                <w:lang w:val="en-GB" w:eastAsia="en-GB"/>
              </w:rPr>
              <w:t>hrough the use of social media.</w:t>
            </w:r>
          </w:p>
          <w:p w14:paraId="5333B241" w14:textId="7B109CA7" w:rsidR="00A93620" w:rsidRPr="00333F4B" w:rsidRDefault="00A93620" w:rsidP="00333F4B">
            <w:pPr>
              <w:widowControl w:val="0"/>
              <w:numPr>
                <w:ilvl w:val="1"/>
                <w:numId w:val="14"/>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Awareness enhanced on the monetary and non‐monetary values of wetlands and their ecosystem services to improve understanding of the b</w:t>
            </w:r>
            <w:r w:rsidR="00806785">
              <w:rPr>
                <w:rFonts w:eastAsia="Times New Roman"/>
                <w:lang w:val="en-GB" w:eastAsia="en-GB"/>
              </w:rPr>
              <w:t>enefits which wetlands provide.</w:t>
            </w:r>
          </w:p>
          <w:p w14:paraId="014A5769" w14:textId="52947A67" w:rsidR="00A93620" w:rsidRPr="00333F4B" w:rsidRDefault="00A93620" w:rsidP="00333F4B">
            <w:pPr>
              <w:widowControl w:val="0"/>
              <w:numPr>
                <w:ilvl w:val="1"/>
                <w:numId w:val="14"/>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Photo libraries, promotional videos and other similar tools developed and/or maintained to support awareness raising and appreciation of wetland</w:t>
            </w:r>
            <w:r w:rsidR="00806785">
              <w:rPr>
                <w:rFonts w:eastAsia="Times New Roman"/>
                <w:lang w:val="en-GB" w:eastAsia="en-GB"/>
              </w:rPr>
              <w:t>s and their ecosystem services.</w:t>
            </w:r>
          </w:p>
          <w:p w14:paraId="2EFE8CBB" w14:textId="2528B51C" w:rsidR="00A93620" w:rsidRDefault="00A93620" w:rsidP="00333F4B">
            <w:pPr>
              <w:widowControl w:val="0"/>
              <w:numPr>
                <w:ilvl w:val="1"/>
                <w:numId w:val="14"/>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Collaboration with the media, including social media, carried out to promote the conservation and wise use of wetlands and recognition of their ecosystem services to decision‐makers, key wetland users and the broad public.</w:t>
            </w:r>
          </w:p>
          <w:p w14:paraId="5201F2D1" w14:textId="77777777" w:rsidR="00A177CD" w:rsidRDefault="00A177CD" w:rsidP="00A177CD">
            <w:pPr>
              <w:widowControl w:val="0"/>
              <w:kinsoku w:val="0"/>
              <w:overflowPunct w:val="0"/>
              <w:autoSpaceDE w:val="0"/>
              <w:autoSpaceDN w:val="0"/>
              <w:adjustRightInd w:val="0"/>
              <w:spacing w:after="0" w:line="240" w:lineRule="auto"/>
              <w:rPr>
                <w:rFonts w:eastAsia="Times New Roman"/>
                <w:lang w:val="en-GB" w:eastAsia="en-GB"/>
              </w:rPr>
            </w:pPr>
          </w:p>
          <w:p w14:paraId="69CBB1BE" w14:textId="77777777" w:rsidR="00A177CD" w:rsidRDefault="00A177CD" w:rsidP="00A177CD">
            <w:pPr>
              <w:widowControl w:val="0"/>
              <w:kinsoku w:val="0"/>
              <w:overflowPunct w:val="0"/>
              <w:autoSpaceDE w:val="0"/>
              <w:autoSpaceDN w:val="0"/>
              <w:adjustRightInd w:val="0"/>
              <w:spacing w:after="0" w:line="240" w:lineRule="auto"/>
              <w:rPr>
                <w:rFonts w:eastAsia="Times New Roman"/>
                <w:lang w:val="en-GB" w:eastAsia="en-GB"/>
              </w:rPr>
            </w:pPr>
          </w:p>
          <w:p w14:paraId="466EC1A8" w14:textId="77777777" w:rsidR="00A177CD" w:rsidRDefault="00A177CD" w:rsidP="00A177CD">
            <w:pPr>
              <w:widowControl w:val="0"/>
              <w:kinsoku w:val="0"/>
              <w:overflowPunct w:val="0"/>
              <w:autoSpaceDE w:val="0"/>
              <w:autoSpaceDN w:val="0"/>
              <w:adjustRightInd w:val="0"/>
              <w:spacing w:after="0" w:line="240" w:lineRule="auto"/>
              <w:rPr>
                <w:rFonts w:eastAsia="Times New Roman"/>
                <w:lang w:val="en-GB" w:eastAsia="en-GB"/>
              </w:rPr>
            </w:pPr>
          </w:p>
          <w:p w14:paraId="1C080AEC" w14:textId="2FCD15D7" w:rsidR="00A177CD" w:rsidRPr="00333F4B" w:rsidRDefault="00A177CD" w:rsidP="00A177CD">
            <w:pPr>
              <w:widowControl w:val="0"/>
              <w:kinsoku w:val="0"/>
              <w:overflowPunct w:val="0"/>
              <w:autoSpaceDE w:val="0"/>
              <w:autoSpaceDN w:val="0"/>
              <w:adjustRightInd w:val="0"/>
              <w:spacing w:after="0" w:line="240" w:lineRule="auto"/>
              <w:rPr>
                <w:rFonts w:eastAsia="Times New Roman"/>
                <w:lang w:val="en-GB" w:eastAsia="en-GB"/>
              </w:rPr>
            </w:pPr>
          </w:p>
        </w:tc>
        <w:tc>
          <w:tcPr>
            <w:tcW w:w="2268" w:type="dxa"/>
          </w:tcPr>
          <w:p w14:paraId="5E85446D"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lastRenderedPageBreak/>
              <w:t>See Goals 1 and 3</w:t>
            </w:r>
          </w:p>
          <w:p w14:paraId="399EF246"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21C14338"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Number of Australian WWD events (National Report Q16.6, 16.7)</w:t>
            </w:r>
          </w:p>
          <w:p w14:paraId="0E3C8261"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42627E35"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tc>
        <w:tc>
          <w:tcPr>
            <w:tcW w:w="6804" w:type="dxa"/>
          </w:tcPr>
          <w:p w14:paraId="57908F38" w14:textId="5DF1CA44" w:rsidR="00A93620" w:rsidRPr="00333F4B" w:rsidRDefault="009A01F5" w:rsidP="00521217">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 xml:space="preserve">At </w:t>
            </w:r>
            <w:r w:rsidR="00521217">
              <w:rPr>
                <w:rFonts w:ascii="Calibri" w:eastAsia="Times New Roman" w:hAnsi="Calibri"/>
                <w:bCs/>
                <w:lang w:val="lv-LV" w:eastAsia="en-GB"/>
              </w:rPr>
              <w:t>7 March</w:t>
            </w:r>
            <w:r>
              <w:rPr>
                <w:rFonts w:ascii="Calibri" w:eastAsia="Times New Roman" w:hAnsi="Calibri"/>
                <w:bCs/>
                <w:lang w:val="lv-LV" w:eastAsia="en-GB"/>
              </w:rPr>
              <w:t xml:space="preserve"> 2019, a total of 2</w:t>
            </w:r>
            <w:r w:rsidR="00521217">
              <w:rPr>
                <w:rFonts w:ascii="Calibri" w:eastAsia="Times New Roman" w:hAnsi="Calibri"/>
                <w:bCs/>
                <w:lang w:val="lv-LV" w:eastAsia="en-GB"/>
              </w:rPr>
              <w:t>1 Australian WWD events (of 1459</w:t>
            </w:r>
            <w:r>
              <w:rPr>
                <w:rFonts w:ascii="Calibri" w:eastAsia="Times New Roman" w:hAnsi="Calibri"/>
                <w:bCs/>
                <w:lang w:val="lv-LV" w:eastAsia="en-GB"/>
              </w:rPr>
              <w:t xml:space="preserve"> events worldwide) were listed on the Ramsar Secretariat’s WWD Event Map.  These included the 15th annual Wetlands Management Conference, held at Cockburn Wetlands Centre in WA.</w:t>
            </w:r>
          </w:p>
        </w:tc>
      </w:tr>
      <w:tr w:rsidR="00A93620" w:rsidRPr="00333F4B" w14:paraId="6ECA165B" w14:textId="77777777" w:rsidTr="00025685">
        <w:tc>
          <w:tcPr>
            <w:tcW w:w="1730" w:type="dxa"/>
          </w:tcPr>
          <w:p w14:paraId="457CD973" w14:textId="77777777" w:rsidR="00A93620" w:rsidRPr="00333F4B" w:rsidRDefault="00A93620" w:rsidP="00333F4B">
            <w:pPr>
              <w:widowControl w:val="0"/>
              <w:kinsoku w:val="0"/>
              <w:overflowPunct w:val="0"/>
              <w:autoSpaceDE w:val="0"/>
              <w:autoSpaceDN w:val="0"/>
              <w:adjustRightInd w:val="0"/>
              <w:spacing w:after="0" w:line="240" w:lineRule="auto"/>
              <w:rPr>
                <w:rFonts w:eastAsia="Times New Roman"/>
                <w:lang w:val="en-GB" w:eastAsia="en-GB"/>
              </w:rPr>
            </w:pPr>
            <w:r w:rsidRPr="00333F4B">
              <w:rPr>
                <w:rFonts w:eastAsia="Times New Roman"/>
                <w:lang w:val="en-GB" w:eastAsia="en-GB"/>
              </w:rPr>
              <w:lastRenderedPageBreak/>
              <w:t>7. Recognize and support the role of wetland centres and other environmental centres as catalysts and key actors for activities that promote Ramsar objectives.</w:t>
            </w:r>
          </w:p>
        </w:tc>
        <w:tc>
          <w:tcPr>
            <w:tcW w:w="2835" w:type="dxa"/>
          </w:tcPr>
          <w:p w14:paraId="61AEFBFF" w14:textId="4951323C" w:rsidR="00A93620" w:rsidRPr="00333F4B" w:rsidRDefault="00A93620" w:rsidP="00333F4B">
            <w:pPr>
              <w:widowControl w:val="0"/>
              <w:numPr>
                <w:ilvl w:val="1"/>
                <w:numId w:val="15"/>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Wetland education/ interpretation or visitor centres and similar facilities established in all</w:t>
            </w:r>
            <w:r w:rsidR="00806785">
              <w:rPr>
                <w:rFonts w:eastAsia="Times New Roman"/>
                <w:lang w:val="en-GB" w:eastAsia="en-GB"/>
              </w:rPr>
              <w:t xml:space="preserve"> countries as resources permit.</w:t>
            </w:r>
          </w:p>
          <w:p w14:paraId="11066312" w14:textId="13727E63" w:rsidR="00A93620" w:rsidRPr="00333F4B" w:rsidRDefault="00A93620" w:rsidP="00333F4B">
            <w:pPr>
              <w:widowControl w:val="0"/>
              <w:numPr>
                <w:ilvl w:val="1"/>
                <w:numId w:val="15"/>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National CEPA Focal Points communicating directly with wetland education/visitor centres to support the</w:t>
            </w:r>
            <w:r w:rsidR="00806785">
              <w:rPr>
                <w:rFonts w:eastAsia="Times New Roman"/>
                <w:lang w:val="en-GB" w:eastAsia="en-GB"/>
              </w:rPr>
              <w:t>ir delivery of Ramsar messages.</w:t>
            </w:r>
          </w:p>
          <w:p w14:paraId="3D135F90" w14:textId="2A674780" w:rsidR="00A93620" w:rsidRPr="00333F4B" w:rsidRDefault="00A93620" w:rsidP="00333F4B">
            <w:pPr>
              <w:widowControl w:val="0"/>
              <w:numPr>
                <w:ilvl w:val="1"/>
                <w:numId w:val="15"/>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Wetland education/visitor centres linked nationally and internationally through, global mechanisms and national expertise in CEPA, to share experience and resources, for example through the Wetland Link International (WLI) programme of the Wildfowl &amp; Wetlands Trust, WWT (UK) and other initiatives.</w:t>
            </w:r>
          </w:p>
          <w:p w14:paraId="2B45EFBB" w14:textId="7D22F677" w:rsidR="00A93620" w:rsidRPr="00333F4B" w:rsidRDefault="00A93620" w:rsidP="00333F4B">
            <w:pPr>
              <w:widowControl w:val="0"/>
              <w:numPr>
                <w:ilvl w:val="1"/>
                <w:numId w:val="15"/>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 xml:space="preserve">Partnerships established with other education centres that could play a role in promoting </w:t>
            </w:r>
            <w:r w:rsidR="00806785">
              <w:rPr>
                <w:rFonts w:eastAsia="Times New Roman"/>
                <w:lang w:val="en-GB" w:eastAsia="en-GB"/>
              </w:rPr>
              <w:lastRenderedPageBreak/>
              <w:t>wetlands and Ramsar objectives.</w:t>
            </w:r>
          </w:p>
          <w:p w14:paraId="72A7D392" w14:textId="1C76A60D" w:rsidR="00A93620" w:rsidRPr="00806785" w:rsidRDefault="00A93620" w:rsidP="00333F4B">
            <w:pPr>
              <w:widowControl w:val="0"/>
              <w:numPr>
                <w:ilvl w:val="1"/>
                <w:numId w:val="15"/>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 xml:space="preserve">A comprehensive database of wetland education centres set up, to be managed through the WLI network. Contracting parties to be encouraged to provide information on wetland centres as part of their national reporting. </w:t>
            </w:r>
          </w:p>
        </w:tc>
        <w:tc>
          <w:tcPr>
            <w:tcW w:w="2268" w:type="dxa"/>
          </w:tcPr>
          <w:p w14:paraId="6FCB1F29"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lastRenderedPageBreak/>
              <w:t>See Goal 6</w:t>
            </w:r>
          </w:p>
          <w:p w14:paraId="5E775297"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22A85DDF"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Number of WECs</w:t>
            </w:r>
          </w:p>
          <w:p w14:paraId="302606E2"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(National Report Q16.2)</w:t>
            </w:r>
          </w:p>
          <w:p w14:paraId="3DE2E1E5"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4400E735" w14:textId="7ADCEBEB" w:rsidR="00A93620" w:rsidRPr="00333F4B" w:rsidRDefault="00A93620" w:rsidP="00806785">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 xml:space="preserve">WEC Survey undertaken and results provided to </w:t>
            </w:r>
            <w:r w:rsidR="00806785">
              <w:rPr>
                <w:rFonts w:ascii="Calibri" w:eastAsia="Times New Roman" w:hAnsi="Calibri"/>
                <w:bCs/>
                <w:lang w:val="lv-LV" w:eastAsia="en-GB"/>
              </w:rPr>
              <w:t>Wetland Link International (WLI)</w:t>
            </w:r>
          </w:p>
        </w:tc>
        <w:tc>
          <w:tcPr>
            <w:tcW w:w="6804" w:type="dxa"/>
          </w:tcPr>
          <w:p w14:paraId="38EA1F01" w14:textId="5969EB94" w:rsidR="00A93620" w:rsidRDefault="00D820B7"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 xml:space="preserve">There are </w:t>
            </w:r>
            <w:r w:rsidR="00DE7787">
              <w:rPr>
                <w:rFonts w:ascii="Calibri" w:eastAsia="Times New Roman" w:hAnsi="Calibri"/>
                <w:bCs/>
                <w:lang w:val="lv-LV" w:eastAsia="en-GB"/>
              </w:rPr>
              <w:t xml:space="preserve">28 Wetland Education Centres </w:t>
            </w:r>
            <w:r w:rsidR="00264EC9">
              <w:rPr>
                <w:rFonts w:ascii="Calibri" w:eastAsia="Times New Roman" w:hAnsi="Calibri"/>
                <w:bCs/>
                <w:lang w:val="lv-LV" w:eastAsia="en-GB"/>
              </w:rPr>
              <w:t xml:space="preserve">(WEC) </w:t>
            </w:r>
            <w:r w:rsidR="00DE7787">
              <w:rPr>
                <w:rFonts w:ascii="Calibri" w:eastAsia="Times New Roman" w:hAnsi="Calibri"/>
                <w:bCs/>
                <w:lang w:val="lv-LV" w:eastAsia="en-GB"/>
              </w:rPr>
              <w:t xml:space="preserve">in Australia. </w:t>
            </w:r>
            <w:hyperlink r:id="rId19" w:history="1">
              <w:r w:rsidR="00DE7787" w:rsidRPr="00B84871">
                <w:rPr>
                  <w:rStyle w:val="Hyperlink"/>
                  <w:rFonts w:ascii="Calibri" w:eastAsia="Times New Roman" w:hAnsi="Calibri"/>
                  <w:bCs/>
                  <w:lang w:val="lv-LV" w:eastAsia="en-GB"/>
                </w:rPr>
                <w:t>http://www.environment.gov.au/water/wetlands/programs/education-centres</w:t>
              </w:r>
            </w:hyperlink>
            <w:r w:rsidR="00DE7787">
              <w:rPr>
                <w:rFonts w:ascii="Calibri" w:eastAsia="Times New Roman" w:hAnsi="Calibri"/>
                <w:bCs/>
                <w:lang w:val="lv-LV" w:eastAsia="en-GB"/>
              </w:rPr>
              <w:t xml:space="preserve"> </w:t>
            </w:r>
          </w:p>
          <w:p w14:paraId="526A2586" w14:textId="55F1DA57" w:rsidR="00DE7787" w:rsidRDefault="00DE7787"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 xml:space="preserve">There are also 14 Marine Discovery Centres, focusing on Australia’s extensive marine environment.  </w:t>
            </w:r>
            <w:hyperlink r:id="rId20" w:history="1">
              <w:r w:rsidRPr="00B84871">
                <w:rPr>
                  <w:rStyle w:val="Hyperlink"/>
                  <w:rFonts w:ascii="Calibri" w:eastAsia="Times New Roman" w:hAnsi="Calibri"/>
                  <w:bCs/>
                  <w:lang w:val="lv-LV" w:eastAsia="en-GB"/>
                </w:rPr>
                <w:t>https://www.mdca.org.au/</w:t>
              </w:r>
            </w:hyperlink>
            <w:r>
              <w:rPr>
                <w:rFonts w:ascii="Calibri" w:eastAsia="Times New Roman" w:hAnsi="Calibri"/>
                <w:bCs/>
                <w:lang w:val="lv-LV" w:eastAsia="en-GB"/>
              </w:rPr>
              <w:t xml:space="preserve"> </w:t>
            </w:r>
          </w:p>
          <w:p w14:paraId="08B43BB7" w14:textId="77777777" w:rsidR="00DE7787" w:rsidRDefault="00DE7787"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71B2ADFF" w14:textId="4A1FD6DA" w:rsidR="00DE7787" w:rsidRPr="00333F4B" w:rsidRDefault="00DE7787" w:rsidP="00E22E53">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 xml:space="preserve">The WEC survey was completed and submitted in March 2016.  </w:t>
            </w:r>
            <w:r w:rsidR="00755CEF">
              <w:rPr>
                <w:rFonts w:ascii="Calibri" w:eastAsia="Times New Roman" w:hAnsi="Calibri"/>
                <w:bCs/>
                <w:lang w:val="lv-LV" w:eastAsia="en-GB"/>
              </w:rPr>
              <w:t xml:space="preserve">Results available at: </w:t>
            </w:r>
            <w:hyperlink r:id="rId21" w:history="1">
              <w:r w:rsidR="00755CEF" w:rsidRPr="00B84871">
                <w:rPr>
                  <w:rStyle w:val="Hyperlink"/>
                  <w:rFonts w:ascii="Calibri" w:eastAsia="Times New Roman" w:hAnsi="Calibri"/>
                  <w:bCs/>
                  <w:lang w:val="lv-LV" w:eastAsia="en-GB"/>
                </w:rPr>
                <w:t>https://wli.wwt.org.uk/category/members/oceania-regional-members/</w:t>
              </w:r>
            </w:hyperlink>
            <w:r w:rsidR="00755CEF">
              <w:rPr>
                <w:rFonts w:ascii="Calibri" w:eastAsia="Times New Roman" w:hAnsi="Calibri"/>
                <w:bCs/>
                <w:lang w:val="lv-LV" w:eastAsia="en-GB"/>
              </w:rPr>
              <w:t xml:space="preserve"> </w:t>
            </w:r>
          </w:p>
        </w:tc>
      </w:tr>
    </w:tbl>
    <w:p w14:paraId="59C891AD" w14:textId="2D401354" w:rsidR="00333F4B" w:rsidRPr="00333F4B" w:rsidRDefault="00333F4B" w:rsidP="00333F4B">
      <w:pPr>
        <w:rPr>
          <w:rFonts w:asciiTheme="minorHAnsi" w:eastAsiaTheme="minorHAnsi" w:hAnsiTheme="minorHAnsi" w:cstheme="minorBidi"/>
        </w:rPr>
      </w:pPr>
    </w:p>
    <w:tbl>
      <w:tblPr>
        <w:tblStyle w:val="TableGrid"/>
        <w:tblW w:w="0" w:type="auto"/>
        <w:tblInd w:w="250" w:type="dxa"/>
        <w:tblLayout w:type="fixed"/>
        <w:tblLook w:val="04A0" w:firstRow="1" w:lastRow="0" w:firstColumn="1" w:lastColumn="0" w:noHBand="0" w:noVBand="1"/>
      </w:tblPr>
      <w:tblGrid>
        <w:gridCol w:w="1588"/>
        <w:gridCol w:w="2977"/>
        <w:gridCol w:w="2268"/>
        <w:gridCol w:w="6804"/>
      </w:tblGrid>
      <w:tr w:rsidR="00A93620" w:rsidRPr="00333F4B" w14:paraId="012DD5F6" w14:textId="77777777" w:rsidTr="00A177CD">
        <w:tc>
          <w:tcPr>
            <w:tcW w:w="1588" w:type="dxa"/>
          </w:tcPr>
          <w:p w14:paraId="7E8973FC" w14:textId="77777777" w:rsidR="00A93620" w:rsidRPr="00333F4B" w:rsidRDefault="00A93620" w:rsidP="00333F4B">
            <w:pPr>
              <w:widowControl w:val="0"/>
              <w:kinsoku w:val="0"/>
              <w:overflowPunct w:val="0"/>
              <w:autoSpaceDE w:val="0"/>
              <w:autoSpaceDN w:val="0"/>
              <w:adjustRightInd w:val="0"/>
              <w:spacing w:after="0" w:line="240" w:lineRule="auto"/>
              <w:rPr>
                <w:rFonts w:eastAsia="Times New Roman"/>
                <w:lang w:val="en-GB" w:eastAsia="en-GB"/>
              </w:rPr>
            </w:pPr>
            <w:r w:rsidRPr="00333F4B">
              <w:rPr>
                <w:rFonts w:eastAsia="Times New Roman"/>
                <w:lang w:val="en-GB" w:eastAsia="en-GB"/>
              </w:rPr>
              <w:t>8. Support the development and distribution of education materials that build awareness of ecosystem values and services and the value of wetlands for use in formal education settings, at Ramsar Sites and by all Ramsar actors.</w:t>
            </w:r>
          </w:p>
        </w:tc>
        <w:tc>
          <w:tcPr>
            <w:tcW w:w="2977" w:type="dxa"/>
          </w:tcPr>
          <w:p w14:paraId="7A337817" w14:textId="0348116D" w:rsidR="00A93620" w:rsidRPr="00333F4B" w:rsidRDefault="00A93620" w:rsidP="00333F4B">
            <w:pPr>
              <w:widowControl w:val="0"/>
              <w:numPr>
                <w:ilvl w:val="1"/>
                <w:numId w:val="16"/>
              </w:numPr>
              <w:kinsoku w:val="0"/>
              <w:overflowPunct w:val="0"/>
              <w:autoSpaceDE w:val="0"/>
              <w:autoSpaceDN w:val="0"/>
              <w:adjustRightInd w:val="0"/>
              <w:spacing w:after="0" w:line="240" w:lineRule="auto"/>
              <w:ind w:left="426" w:hanging="426"/>
              <w:rPr>
                <w:rFonts w:eastAsia="Times New Roman"/>
                <w:lang w:val="en-GB" w:eastAsia="en-GB"/>
              </w:rPr>
            </w:pPr>
            <w:r w:rsidRPr="00333F4B">
              <w:rPr>
                <w:rFonts w:eastAsia="Times New Roman"/>
                <w:lang w:val="en-GB" w:eastAsia="en-GB"/>
              </w:rPr>
              <w:t>Wetland education materials that build awareness of the values of wetlands and their ecosystem services developed, promoted and distributed a</w:t>
            </w:r>
            <w:r w:rsidR="00806785">
              <w:rPr>
                <w:rFonts w:eastAsia="Times New Roman"/>
                <w:lang w:val="en-GB" w:eastAsia="en-GB"/>
              </w:rPr>
              <w:t>mong relevant target audiences.</w:t>
            </w:r>
          </w:p>
          <w:p w14:paraId="2392F9C7" w14:textId="3B1168B5" w:rsidR="00A93620" w:rsidRPr="00333F4B" w:rsidRDefault="00A93620" w:rsidP="00333F4B">
            <w:pPr>
              <w:widowControl w:val="0"/>
              <w:numPr>
                <w:ilvl w:val="1"/>
                <w:numId w:val="16"/>
              </w:numPr>
              <w:kinsoku w:val="0"/>
              <w:overflowPunct w:val="0"/>
              <w:autoSpaceDE w:val="0"/>
              <w:autoSpaceDN w:val="0"/>
              <w:adjustRightInd w:val="0"/>
              <w:spacing w:after="0" w:line="240" w:lineRule="auto"/>
              <w:ind w:left="426" w:hanging="426"/>
              <w:rPr>
                <w:rFonts w:eastAsia="Times New Roman"/>
                <w:lang w:val="en-GB" w:eastAsia="en-GB"/>
              </w:rPr>
            </w:pPr>
            <w:r w:rsidRPr="00333F4B">
              <w:rPr>
                <w:rFonts w:eastAsia="Times New Roman"/>
                <w:lang w:val="en-GB" w:eastAsia="en-GB"/>
              </w:rPr>
              <w:t>Tertiary education institutions, especially those with water and wetland programmes, contributed to the production of targeted wetland education materials</w:t>
            </w:r>
            <w:r w:rsidR="00806785">
              <w:rPr>
                <w:rFonts w:eastAsia="Times New Roman"/>
                <w:lang w:val="en-GB" w:eastAsia="en-GB"/>
              </w:rPr>
              <w:t>.</w:t>
            </w:r>
          </w:p>
          <w:p w14:paraId="5884FEAA" w14:textId="505E57FE" w:rsidR="00A93620" w:rsidRPr="00333F4B" w:rsidRDefault="00A93620" w:rsidP="00333F4B">
            <w:pPr>
              <w:widowControl w:val="0"/>
              <w:numPr>
                <w:ilvl w:val="1"/>
                <w:numId w:val="16"/>
              </w:numPr>
              <w:kinsoku w:val="0"/>
              <w:overflowPunct w:val="0"/>
              <w:autoSpaceDE w:val="0"/>
              <w:autoSpaceDN w:val="0"/>
              <w:adjustRightInd w:val="0"/>
              <w:spacing w:after="0" w:line="240" w:lineRule="auto"/>
              <w:ind w:left="426" w:hanging="426"/>
              <w:rPr>
                <w:rFonts w:eastAsia="Times New Roman"/>
                <w:lang w:val="en-GB" w:eastAsia="en-GB"/>
              </w:rPr>
            </w:pPr>
            <w:r w:rsidRPr="00333F4B">
              <w:rPr>
                <w:rFonts w:eastAsia="Times New Roman"/>
                <w:lang w:val="en-GB" w:eastAsia="en-GB"/>
              </w:rPr>
              <w:t xml:space="preserve">Cultural and traditional wetland knowledge and </w:t>
            </w:r>
            <w:r w:rsidRPr="00333F4B">
              <w:rPr>
                <w:rFonts w:eastAsia="Times New Roman"/>
                <w:lang w:val="en-GB" w:eastAsia="en-GB"/>
              </w:rPr>
              <w:lastRenderedPageBreak/>
              <w:t>practices are incorporated in</w:t>
            </w:r>
            <w:r w:rsidR="00806785">
              <w:rPr>
                <w:rFonts w:eastAsia="Times New Roman"/>
                <w:lang w:val="en-GB" w:eastAsia="en-GB"/>
              </w:rPr>
              <w:t>to wetland education materials.</w:t>
            </w:r>
          </w:p>
          <w:p w14:paraId="5BA964DD" w14:textId="33BF689B" w:rsidR="00A93620" w:rsidRPr="003504CB" w:rsidRDefault="00A93620" w:rsidP="00E13611">
            <w:pPr>
              <w:widowControl w:val="0"/>
              <w:numPr>
                <w:ilvl w:val="1"/>
                <w:numId w:val="16"/>
              </w:numPr>
              <w:kinsoku w:val="0"/>
              <w:overflowPunct w:val="0"/>
              <w:autoSpaceDE w:val="0"/>
              <w:autoSpaceDN w:val="0"/>
              <w:adjustRightInd w:val="0"/>
              <w:spacing w:after="0" w:line="240" w:lineRule="auto"/>
              <w:ind w:left="426" w:hanging="426"/>
              <w:rPr>
                <w:rFonts w:eastAsia="Times New Roman"/>
                <w:lang w:val="en-GB" w:eastAsia="en-GB"/>
              </w:rPr>
            </w:pPr>
            <w:r w:rsidRPr="00333F4B">
              <w:rPr>
                <w:rFonts w:eastAsia="Times New Roman"/>
                <w:lang w:val="en-GB" w:eastAsia="en-GB"/>
              </w:rPr>
              <w:t>Key messages about wetlands and their ecosystem services regularly reviewed through dialogue and f</w:t>
            </w:r>
            <w:r w:rsidR="00E13611">
              <w:rPr>
                <w:rFonts w:eastAsia="Times New Roman"/>
                <w:lang w:val="en-GB" w:eastAsia="en-GB"/>
              </w:rPr>
              <w:t>eedback with all Ramsar actors.</w:t>
            </w:r>
          </w:p>
        </w:tc>
        <w:tc>
          <w:tcPr>
            <w:tcW w:w="2268" w:type="dxa"/>
          </w:tcPr>
          <w:p w14:paraId="2438947B"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lastRenderedPageBreak/>
              <w:t>Number of products</w:t>
            </w:r>
          </w:p>
          <w:p w14:paraId="29A4E7F6"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36638177"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Extent of dissemination</w:t>
            </w:r>
          </w:p>
          <w:p w14:paraId="226A7571"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69284744"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Evaluations undertaken</w:t>
            </w:r>
          </w:p>
          <w:p w14:paraId="4942E607"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tc>
        <w:tc>
          <w:tcPr>
            <w:tcW w:w="6804" w:type="dxa"/>
          </w:tcPr>
          <w:p w14:paraId="6E1439A5" w14:textId="77777777" w:rsidR="00E96D51" w:rsidRDefault="00E96D51"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Products included:</w:t>
            </w:r>
          </w:p>
          <w:p w14:paraId="05EB1012" w14:textId="63B35307" w:rsidR="00E96D51" w:rsidRPr="00B93565" w:rsidRDefault="00E96D51" w:rsidP="00B93565">
            <w:pPr>
              <w:pStyle w:val="ListParagraph"/>
              <w:widowControl w:val="0"/>
              <w:numPr>
                <w:ilvl w:val="0"/>
                <w:numId w:val="17"/>
              </w:numPr>
              <w:kinsoku w:val="0"/>
              <w:overflowPunct w:val="0"/>
              <w:autoSpaceDE w:val="0"/>
              <w:autoSpaceDN w:val="0"/>
              <w:adjustRightInd w:val="0"/>
              <w:spacing w:after="0" w:line="240" w:lineRule="auto"/>
              <w:rPr>
                <w:rFonts w:ascii="Calibri" w:eastAsia="Times New Roman" w:hAnsi="Calibri"/>
                <w:bCs/>
                <w:lang w:val="lv-LV" w:eastAsia="en-GB"/>
              </w:rPr>
            </w:pPr>
            <w:r w:rsidRPr="00B93565">
              <w:rPr>
                <w:rFonts w:ascii="Calibri" w:eastAsia="Times New Roman" w:hAnsi="Calibri"/>
                <w:bCs/>
                <w:lang w:val="lv-LV" w:eastAsia="en-GB"/>
              </w:rPr>
              <w:t xml:space="preserve">Wetlands Australia </w:t>
            </w:r>
            <w:r w:rsidR="00A177CD">
              <w:rPr>
                <w:rFonts w:ascii="Calibri" w:eastAsia="Times New Roman" w:hAnsi="Calibri"/>
                <w:bCs/>
                <w:lang w:val="lv-LV" w:eastAsia="en-GB"/>
              </w:rPr>
              <w:t xml:space="preserve">magazine </w:t>
            </w:r>
            <w:r w:rsidRPr="00B93565">
              <w:rPr>
                <w:rFonts w:ascii="Calibri" w:eastAsia="Times New Roman" w:hAnsi="Calibri"/>
                <w:bCs/>
                <w:lang w:val="lv-LV" w:eastAsia="en-GB"/>
              </w:rPr>
              <w:t>– 2016,</w:t>
            </w:r>
            <w:r w:rsidR="00B93565">
              <w:rPr>
                <w:rFonts w:ascii="Calibri" w:eastAsia="Times New Roman" w:hAnsi="Calibri"/>
                <w:bCs/>
                <w:lang w:val="lv-LV" w:eastAsia="en-GB"/>
              </w:rPr>
              <w:t xml:space="preserve"> </w:t>
            </w:r>
            <w:r w:rsidRPr="00B93565">
              <w:rPr>
                <w:rFonts w:ascii="Calibri" w:eastAsia="Times New Roman" w:hAnsi="Calibri"/>
                <w:bCs/>
                <w:lang w:val="lv-LV" w:eastAsia="en-GB"/>
              </w:rPr>
              <w:t>2017 and 2018 editions</w:t>
            </w:r>
          </w:p>
          <w:p w14:paraId="5A2E9D5B" w14:textId="49E56FB4" w:rsidR="00E96D51" w:rsidRPr="00B93565" w:rsidRDefault="00E96D51" w:rsidP="00B93565">
            <w:pPr>
              <w:pStyle w:val="ListParagraph"/>
              <w:widowControl w:val="0"/>
              <w:numPr>
                <w:ilvl w:val="0"/>
                <w:numId w:val="17"/>
              </w:numPr>
              <w:kinsoku w:val="0"/>
              <w:overflowPunct w:val="0"/>
              <w:autoSpaceDE w:val="0"/>
              <w:autoSpaceDN w:val="0"/>
              <w:adjustRightInd w:val="0"/>
              <w:spacing w:after="0" w:line="240" w:lineRule="auto"/>
              <w:rPr>
                <w:rFonts w:ascii="Calibri" w:eastAsia="Times New Roman" w:hAnsi="Calibri"/>
                <w:bCs/>
                <w:lang w:val="lv-LV" w:eastAsia="en-GB"/>
              </w:rPr>
            </w:pPr>
            <w:r w:rsidRPr="00B93565">
              <w:rPr>
                <w:rFonts w:ascii="Calibri" w:eastAsia="Times New Roman" w:hAnsi="Calibri"/>
                <w:bCs/>
                <w:lang w:val="lv-LV" w:eastAsia="en-GB"/>
              </w:rPr>
              <w:t xml:space="preserve">Fact Sheets – </w:t>
            </w:r>
            <w:r w:rsidR="00B93565" w:rsidRPr="00B93565">
              <w:rPr>
                <w:rFonts w:ascii="Calibri" w:eastAsia="Times New Roman" w:hAnsi="Calibri"/>
                <w:bCs/>
                <w:lang w:val="lv-LV" w:eastAsia="en-GB"/>
              </w:rPr>
              <w:t xml:space="preserve"> 10 (2016), 1 (2017), 1 (2018)</w:t>
            </w:r>
          </w:p>
          <w:p w14:paraId="318EAF32" w14:textId="5DE61CFB" w:rsidR="00E96D51" w:rsidRPr="00B93565" w:rsidRDefault="00B93565" w:rsidP="00B93565">
            <w:pPr>
              <w:pStyle w:val="ListParagraph"/>
              <w:widowControl w:val="0"/>
              <w:numPr>
                <w:ilvl w:val="0"/>
                <w:numId w:val="17"/>
              </w:numPr>
              <w:kinsoku w:val="0"/>
              <w:overflowPunct w:val="0"/>
              <w:autoSpaceDE w:val="0"/>
              <w:autoSpaceDN w:val="0"/>
              <w:adjustRightInd w:val="0"/>
              <w:spacing w:after="0" w:line="240" w:lineRule="auto"/>
              <w:rPr>
                <w:rFonts w:ascii="Calibri" w:eastAsia="Times New Roman" w:hAnsi="Calibri"/>
                <w:bCs/>
                <w:lang w:val="lv-LV" w:eastAsia="en-GB"/>
              </w:rPr>
            </w:pPr>
            <w:r w:rsidRPr="00B93565">
              <w:rPr>
                <w:rFonts w:ascii="Calibri" w:eastAsia="Times New Roman" w:hAnsi="Calibri"/>
                <w:bCs/>
                <w:lang w:val="lv-LV" w:eastAsia="en-GB"/>
              </w:rPr>
              <w:t>Brochure - Australia’s Amazing Wetlands – reprint</w:t>
            </w:r>
          </w:p>
          <w:p w14:paraId="796C20E8" w14:textId="7715CCF9" w:rsidR="00B93565" w:rsidRPr="00B93565" w:rsidRDefault="00B93565" w:rsidP="00B93565">
            <w:pPr>
              <w:pStyle w:val="ListParagraph"/>
              <w:widowControl w:val="0"/>
              <w:numPr>
                <w:ilvl w:val="0"/>
                <w:numId w:val="17"/>
              </w:numPr>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Book</w:t>
            </w:r>
            <w:r w:rsidR="00A177CD">
              <w:rPr>
                <w:rFonts w:ascii="Calibri" w:eastAsia="Times New Roman" w:hAnsi="Calibri"/>
                <w:bCs/>
                <w:lang w:val="lv-LV" w:eastAsia="en-GB"/>
              </w:rPr>
              <w:t>s</w:t>
            </w:r>
            <w:r>
              <w:rPr>
                <w:rFonts w:ascii="Calibri" w:eastAsia="Times New Roman" w:hAnsi="Calibri"/>
                <w:bCs/>
                <w:lang w:val="lv-LV" w:eastAsia="en-GB"/>
              </w:rPr>
              <w:t xml:space="preserve"> – Celebrating Australia’s Migratory Waterbirds (2017), Celebrating Australia’s Wetland Science (2018)</w:t>
            </w:r>
          </w:p>
          <w:p w14:paraId="49E3DCB1" w14:textId="77777777" w:rsidR="00E96D51" w:rsidRDefault="00E96D51"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6C191349" w14:textId="463F831A" w:rsidR="00E96D51" w:rsidRDefault="00E96D51"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These were published on the website, sent to subscribers and promoted in a variety of newsletters.</w:t>
            </w:r>
            <w:r w:rsidR="003504CB">
              <w:rPr>
                <w:rFonts w:ascii="Calibri" w:eastAsia="Times New Roman" w:hAnsi="Calibri"/>
                <w:bCs/>
                <w:lang w:val="lv-LV" w:eastAsia="en-GB"/>
              </w:rPr>
              <w:t xml:space="preserve">  </w:t>
            </w:r>
            <w:r>
              <w:rPr>
                <w:rFonts w:ascii="Calibri" w:eastAsia="Times New Roman" w:hAnsi="Calibri"/>
                <w:bCs/>
                <w:lang w:val="lv-LV" w:eastAsia="en-GB"/>
              </w:rPr>
              <w:t xml:space="preserve">For WWD 2018, </w:t>
            </w:r>
            <w:r w:rsidR="008E059B">
              <w:rPr>
                <w:rFonts w:ascii="Calibri" w:eastAsia="Times New Roman" w:hAnsi="Calibri"/>
                <w:bCs/>
                <w:lang w:val="lv-LV" w:eastAsia="en-GB"/>
              </w:rPr>
              <w:t>this included over 5000 subscribers.</w:t>
            </w:r>
          </w:p>
          <w:p w14:paraId="4D0F6630" w14:textId="245DFBBD" w:rsidR="00B93565" w:rsidRDefault="00B93565"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01C958BD" w14:textId="7A185230" w:rsidR="00B93565" w:rsidRDefault="00B93565"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 xml:space="preserve">A number of videos, Tweets and Facebook posts were uploaded to the AG website over the </w:t>
            </w:r>
            <w:r w:rsidR="00A177CD">
              <w:rPr>
                <w:rFonts w:ascii="Calibri" w:eastAsia="Times New Roman" w:hAnsi="Calibri"/>
                <w:bCs/>
                <w:lang w:val="lv-LV" w:eastAsia="en-GB"/>
              </w:rPr>
              <w:t>triennium</w:t>
            </w:r>
            <w:r>
              <w:rPr>
                <w:rFonts w:ascii="Calibri" w:eastAsia="Times New Roman" w:hAnsi="Calibri"/>
                <w:bCs/>
                <w:lang w:val="lv-LV" w:eastAsia="en-GB"/>
              </w:rPr>
              <w:t>.</w:t>
            </w:r>
            <w:r w:rsidR="00504846">
              <w:rPr>
                <w:rFonts w:ascii="Calibri" w:eastAsia="Times New Roman" w:hAnsi="Calibri"/>
                <w:bCs/>
                <w:lang w:val="lv-LV" w:eastAsia="en-GB"/>
              </w:rPr>
              <w:t xml:space="preserve">  For WWD 2018, there were </w:t>
            </w:r>
            <w:r w:rsidR="008E059B">
              <w:rPr>
                <w:rFonts w:ascii="Calibri" w:eastAsia="Times New Roman" w:hAnsi="Calibri"/>
                <w:bCs/>
                <w:lang w:val="lv-LV" w:eastAsia="en-GB"/>
              </w:rPr>
              <w:t>11 Tweets, 5 Facebook posts and a video uploaded.</w:t>
            </w:r>
          </w:p>
          <w:p w14:paraId="0D65E63C" w14:textId="77777777" w:rsidR="00E96D51" w:rsidRDefault="00E96D51"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711149FB" w14:textId="77777777" w:rsidR="00A93620" w:rsidRDefault="00E96D51"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Evaluations were undertaken af</w:t>
            </w:r>
            <w:r w:rsidR="009614BF">
              <w:rPr>
                <w:rFonts w:ascii="Calibri" w:eastAsia="Times New Roman" w:hAnsi="Calibri"/>
                <w:bCs/>
                <w:lang w:val="lv-LV" w:eastAsia="en-GB"/>
              </w:rPr>
              <w:t>t</w:t>
            </w:r>
            <w:r>
              <w:rPr>
                <w:rFonts w:ascii="Calibri" w:eastAsia="Times New Roman" w:hAnsi="Calibri"/>
                <w:bCs/>
                <w:lang w:val="lv-LV" w:eastAsia="en-GB"/>
              </w:rPr>
              <w:t>er each World Wetlands Day to assess the reach and impact of activities.</w:t>
            </w:r>
          </w:p>
          <w:p w14:paraId="3F500E3B" w14:textId="77777777" w:rsidR="003504CB" w:rsidRDefault="003504C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0D9557A4" w14:textId="77777777" w:rsidR="003504CB" w:rsidRPr="003504CB" w:rsidRDefault="003504CB" w:rsidP="003504C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504CB">
              <w:rPr>
                <w:rFonts w:ascii="Calibri" w:eastAsia="Times New Roman" w:hAnsi="Calibri"/>
                <w:bCs/>
                <w:lang w:val="lv-LV" w:eastAsia="en-GB"/>
              </w:rPr>
              <w:t xml:space="preserve">Products - During 2018, the Queensland Wetlands Program commenced </w:t>
            </w:r>
            <w:r w:rsidRPr="003504CB">
              <w:rPr>
                <w:rFonts w:ascii="Calibri" w:eastAsia="Times New Roman" w:hAnsi="Calibri"/>
                <w:bCs/>
                <w:lang w:val="lv-LV" w:eastAsia="en-GB"/>
              </w:rPr>
              <w:lastRenderedPageBreak/>
              <w:t>work on developing part one of a Values Framework to support decison making concerning the wise use of wetlands.</w:t>
            </w:r>
          </w:p>
          <w:p w14:paraId="68E37A79" w14:textId="0D706B71" w:rsidR="003504CB" w:rsidRPr="003504CB" w:rsidRDefault="003504CB" w:rsidP="003504C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79DE5775" w14:textId="77777777" w:rsidR="003504CB" w:rsidRPr="003504CB" w:rsidRDefault="003504CB" w:rsidP="003504C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504CB">
              <w:rPr>
                <w:rFonts w:ascii="Calibri" w:eastAsia="Times New Roman" w:hAnsi="Calibri"/>
                <w:bCs/>
                <w:lang w:val="lv-LV" w:eastAsia="en-GB"/>
              </w:rPr>
              <w:t>Dissemination - Users of Queensland’s Wetland</w:t>
            </w:r>
            <w:r w:rsidRPr="003504CB">
              <w:rPr>
                <w:rFonts w:ascii="Calibri" w:eastAsia="Times New Roman" w:hAnsi="Calibri"/>
                <w:bCs/>
                <w:i/>
                <w:lang w:val="lv-LV" w:eastAsia="en-GB"/>
              </w:rPr>
              <w:t>Info</w:t>
            </w:r>
            <w:r w:rsidRPr="003504CB">
              <w:rPr>
                <w:rFonts w:ascii="Calibri" w:eastAsia="Times New Roman" w:hAnsi="Calibri"/>
                <w:bCs/>
                <w:lang w:val="lv-LV" w:eastAsia="en-GB"/>
              </w:rPr>
              <w:t xml:space="preserve"> website 2016- 121,252 users; 2017 – 199,612 users,  2018—298,123. Most users are from Australia at 83.17% whilst the remaining 16.83% is shared across 225 countries.</w:t>
            </w:r>
          </w:p>
          <w:p w14:paraId="61CE2C19" w14:textId="77777777" w:rsidR="003504CB" w:rsidRPr="003504CB" w:rsidRDefault="003504CB" w:rsidP="003504C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3D7E9A04" w14:textId="4350404D" w:rsidR="003504CB" w:rsidRPr="003504CB" w:rsidRDefault="003504CB" w:rsidP="003504CB">
            <w:pPr>
              <w:widowControl w:val="0"/>
              <w:kinsoku w:val="0"/>
              <w:overflowPunct w:val="0"/>
              <w:autoSpaceDE w:val="0"/>
              <w:autoSpaceDN w:val="0"/>
              <w:adjustRightInd w:val="0"/>
              <w:spacing w:after="0" w:line="240" w:lineRule="auto"/>
              <w:rPr>
                <w:rFonts w:ascii="Calibri" w:eastAsia="Times New Roman" w:hAnsi="Calibri"/>
                <w:bCs/>
                <w:lang w:eastAsia="en-GB"/>
              </w:rPr>
            </w:pPr>
            <w:r w:rsidRPr="003504CB">
              <w:rPr>
                <w:rFonts w:ascii="Calibri" w:eastAsia="Times New Roman" w:hAnsi="Calibri"/>
                <w:bCs/>
                <w:lang w:eastAsia="en-GB"/>
              </w:rPr>
              <w:t>The Wetland</w:t>
            </w:r>
            <w:r w:rsidRPr="003504CB">
              <w:rPr>
                <w:rFonts w:ascii="Calibri" w:eastAsia="Times New Roman" w:hAnsi="Calibri"/>
                <w:bCs/>
                <w:i/>
                <w:iCs/>
                <w:lang w:eastAsia="en-GB"/>
              </w:rPr>
              <w:t>Update</w:t>
            </w:r>
            <w:r w:rsidRPr="003504CB">
              <w:rPr>
                <w:rFonts w:ascii="Calibri" w:eastAsia="Times New Roman" w:hAnsi="Calibri"/>
                <w:bCs/>
                <w:lang w:eastAsia="en-GB"/>
              </w:rPr>
              <w:t xml:space="preserve"> is a regular newsletter that includes a wide range of information from brand new content, to website updates and additional links. There are ~850 subscribers for the Wetland</w:t>
            </w:r>
            <w:r w:rsidRPr="003504CB">
              <w:rPr>
                <w:rFonts w:ascii="Calibri" w:eastAsia="Times New Roman" w:hAnsi="Calibri"/>
                <w:bCs/>
                <w:i/>
                <w:iCs/>
                <w:lang w:eastAsia="en-GB"/>
              </w:rPr>
              <w:t>Update</w:t>
            </w:r>
            <w:r w:rsidRPr="003504CB">
              <w:rPr>
                <w:rFonts w:ascii="Calibri" w:eastAsia="Times New Roman" w:hAnsi="Calibri"/>
                <w:bCs/>
                <w:lang w:eastAsia="en-GB"/>
              </w:rPr>
              <w:t>. These subscribers come from both internal and external stakeholder groups.</w:t>
            </w:r>
          </w:p>
          <w:p w14:paraId="267F6AB8" w14:textId="4DD8B13E" w:rsidR="003504CB" w:rsidRPr="00333F4B" w:rsidRDefault="003504C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tc>
      </w:tr>
      <w:tr w:rsidR="00A93620" w:rsidRPr="00333F4B" w14:paraId="73BC0CCB" w14:textId="77777777" w:rsidTr="00A177CD">
        <w:tc>
          <w:tcPr>
            <w:tcW w:w="1588" w:type="dxa"/>
          </w:tcPr>
          <w:p w14:paraId="5675EBEC" w14:textId="44377019" w:rsidR="00A93620" w:rsidRPr="00333F4B" w:rsidRDefault="00A93620" w:rsidP="00333F4B">
            <w:pPr>
              <w:widowControl w:val="0"/>
              <w:kinsoku w:val="0"/>
              <w:overflowPunct w:val="0"/>
              <w:autoSpaceDE w:val="0"/>
              <w:autoSpaceDN w:val="0"/>
              <w:adjustRightInd w:val="0"/>
              <w:spacing w:after="0" w:line="240" w:lineRule="auto"/>
              <w:rPr>
                <w:rFonts w:eastAsia="Times New Roman"/>
                <w:lang w:val="en-GB" w:eastAsia="en-GB"/>
              </w:rPr>
            </w:pPr>
            <w:r w:rsidRPr="00333F4B">
              <w:rPr>
                <w:rFonts w:eastAsia="Times New Roman"/>
                <w:noProof/>
                <w:lang w:val="en-GB" w:eastAsia="en-GB"/>
              </w:rPr>
              <w:lastRenderedPageBreak/>
              <w:t xml:space="preserve">9. Ensure that the guidance and information provided by the STRP is developed in line with adopted Resolution and in close collaboration with the CEPA programme and dissemination to the identified target audiences is ensured </w:t>
            </w:r>
            <w:r w:rsidRPr="00333F4B">
              <w:rPr>
                <w:rFonts w:eastAsia="Times New Roman"/>
                <w:noProof/>
                <w:lang w:val="en-GB" w:eastAsia="en-GB"/>
              </w:rPr>
              <w:lastRenderedPageBreak/>
              <w:t>through the most effective communications channels.</w:t>
            </w:r>
          </w:p>
        </w:tc>
        <w:tc>
          <w:tcPr>
            <w:tcW w:w="2977" w:type="dxa"/>
          </w:tcPr>
          <w:p w14:paraId="04E8A75D" w14:textId="733E4E7F" w:rsidR="00A93620" w:rsidRPr="00333F4B" w:rsidRDefault="00A93620" w:rsidP="00333F4B">
            <w:pPr>
              <w:widowControl w:val="0"/>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lastRenderedPageBreak/>
              <w:t>9.1</w:t>
            </w:r>
            <w:r w:rsidRPr="00333F4B">
              <w:rPr>
                <w:rFonts w:eastAsia="Times New Roman"/>
                <w:lang w:val="en-GB" w:eastAsia="en-GB"/>
              </w:rPr>
              <w:tab/>
              <w:t>A series of information fact sheets developed based on identified and agreed large scale questions as key aw</w:t>
            </w:r>
            <w:r w:rsidR="00E13611">
              <w:rPr>
                <w:rFonts w:eastAsia="Times New Roman"/>
                <w:lang w:val="en-GB" w:eastAsia="en-GB"/>
              </w:rPr>
              <w:t>areness raising outreach tools.</w:t>
            </w:r>
          </w:p>
          <w:p w14:paraId="6C694591" w14:textId="048296EB" w:rsidR="00A93620" w:rsidRPr="00333F4B" w:rsidRDefault="00A93620" w:rsidP="00333F4B">
            <w:pPr>
              <w:spacing w:after="0" w:line="240" w:lineRule="auto"/>
              <w:ind w:left="425" w:hanging="425"/>
            </w:pPr>
            <w:r w:rsidRPr="00333F4B">
              <w:t>9.2</w:t>
            </w:r>
            <w:r w:rsidRPr="00333F4B">
              <w:tab/>
              <w:t>The Ramsar Briefing Notes and Ramsar Technical Reports developed and disseminated as pragmatic, working advisory documents targeting policy-makers or wetland practitioners and to ensure c</w:t>
            </w:r>
            <w:r w:rsidR="00E13611">
              <w:t>onsistency and Ramsar branding.</w:t>
            </w:r>
          </w:p>
          <w:p w14:paraId="1D9EC104" w14:textId="20E46D58" w:rsidR="00A93620" w:rsidRPr="00333F4B" w:rsidRDefault="00A93620" w:rsidP="00333F4B">
            <w:pPr>
              <w:spacing w:after="0" w:line="240" w:lineRule="auto"/>
              <w:ind w:left="425" w:hanging="425"/>
            </w:pPr>
            <w:r w:rsidRPr="00333F4B">
              <w:t>9.3</w:t>
            </w:r>
            <w:r w:rsidRPr="00333F4B">
              <w:tab/>
              <w:t xml:space="preserve">The content of Wise Use Handbooks reconfigured as training resource </w:t>
            </w:r>
            <w:r w:rsidRPr="00333F4B">
              <w:lastRenderedPageBreak/>
              <w:t xml:space="preserve">materials that summarize wise use site management and effective policy-making. </w:t>
            </w:r>
          </w:p>
          <w:p w14:paraId="6E5F7B4F" w14:textId="494A9C14" w:rsidR="00A93620" w:rsidRPr="00333F4B" w:rsidRDefault="00A93620" w:rsidP="00E13611">
            <w:pPr>
              <w:spacing w:after="0" w:line="240" w:lineRule="auto"/>
              <w:ind w:left="425" w:hanging="425"/>
            </w:pPr>
            <w:r w:rsidRPr="00333F4B">
              <w:t>9.4</w:t>
            </w:r>
            <w:r w:rsidRPr="00333F4B">
              <w:tab/>
              <w:t xml:space="preserve">The current STRP website integrated into the Ramsar website. </w:t>
            </w:r>
          </w:p>
        </w:tc>
        <w:tc>
          <w:tcPr>
            <w:tcW w:w="2268" w:type="dxa"/>
          </w:tcPr>
          <w:p w14:paraId="2E85111E" w14:textId="77777777" w:rsidR="00A93620" w:rsidRPr="00333F4B" w:rsidRDefault="00A93620"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tc>
        <w:tc>
          <w:tcPr>
            <w:tcW w:w="6804" w:type="dxa"/>
          </w:tcPr>
          <w:p w14:paraId="41EE72EF" w14:textId="16860A09" w:rsidR="00A93620" w:rsidRPr="00333F4B" w:rsidRDefault="00521217"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Pr>
                <w:rFonts w:ascii="Calibri" w:eastAsia="Times New Roman" w:hAnsi="Calibri"/>
                <w:bCs/>
                <w:lang w:val="lv-LV" w:eastAsia="en-GB"/>
              </w:rPr>
              <w:t>N/A</w:t>
            </w:r>
          </w:p>
        </w:tc>
      </w:tr>
    </w:tbl>
    <w:p w14:paraId="1043BD03" w14:textId="77777777" w:rsidR="00333F4B" w:rsidRPr="00333F4B" w:rsidRDefault="00333F4B" w:rsidP="00333F4B">
      <w:pPr>
        <w:rPr>
          <w:rFonts w:asciiTheme="minorHAnsi" w:eastAsiaTheme="minorHAnsi" w:hAnsiTheme="minorHAnsi" w:cstheme="minorBidi"/>
        </w:rPr>
      </w:pPr>
    </w:p>
    <w:p w14:paraId="21B05F8A" w14:textId="77777777" w:rsidR="00333F4B" w:rsidRPr="00333F4B" w:rsidRDefault="00333F4B" w:rsidP="00333F4B">
      <w:pPr>
        <w:rPr>
          <w:rFonts w:asciiTheme="minorHAnsi" w:eastAsiaTheme="minorHAnsi" w:hAnsiTheme="minorHAnsi" w:cstheme="minorBidi"/>
        </w:rPr>
      </w:pPr>
    </w:p>
    <w:sectPr w:rsidR="00333F4B" w:rsidRPr="00333F4B" w:rsidSect="00F55AEE">
      <w:headerReference w:type="even" r:id="rId22"/>
      <w:headerReference w:type="default" r:id="rId23"/>
      <w:footerReference w:type="even" r:id="rId24"/>
      <w:footerReference w:type="default" r:id="rId25"/>
      <w:headerReference w:type="first" r:id="rId26"/>
      <w:footerReference w:type="first" r:id="rId27"/>
      <w:type w:val="continuous"/>
      <w:pgSz w:w="16838" w:h="11906" w:orient="landscape"/>
      <w:pgMar w:top="1440" w:right="1440" w:bottom="1276"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167AF" w14:textId="77777777" w:rsidR="00DA62D9" w:rsidRDefault="00DA62D9" w:rsidP="00A60185">
      <w:pPr>
        <w:spacing w:after="0" w:line="240" w:lineRule="auto"/>
      </w:pPr>
      <w:r>
        <w:separator/>
      </w:r>
    </w:p>
  </w:endnote>
  <w:endnote w:type="continuationSeparator" w:id="0">
    <w:p w14:paraId="3FE167B0" w14:textId="77777777" w:rsidR="00DA62D9" w:rsidRDefault="00DA62D9"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167B3" w14:textId="77777777" w:rsidR="004D1131" w:rsidRPr="00826410" w:rsidRDefault="00FE4E74" w:rsidP="00535D18">
    <w:pPr>
      <w:pStyle w:val="Classification"/>
    </w:pPr>
    <w:r>
      <w:fldChar w:fldCharType="begin"/>
    </w:r>
    <w:r>
      <w:instrText xml:space="preserve"> DOCPROPERTY SecurityClassification \* MERGEFORMAT </w:instrText>
    </w:r>
    <w:r>
      <w:fldChar w:fldCharType="separate"/>
    </w:r>
    <w:r w:rsidR="00386CC3">
      <w:t xml:space="preserve">DRAFT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33433"/>
      <w:docPartObj>
        <w:docPartGallery w:val="Page Numbers (Bottom of Page)"/>
        <w:docPartUnique/>
      </w:docPartObj>
    </w:sdtPr>
    <w:sdtEndPr/>
    <w:sdtContent>
      <w:p w14:paraId="3FE167B4" w14:textId="77777777" w:rsidR="004D1131" w:rsidRDefault="007607AB" w:rsidP="008F64D3">
        <w:pPr>
          <w:pStyle w:val="Footer"/>
          <w:jc w:val="center"/>
        </w:pPr>
        <w:r>
          <w:fldChar w:fldCharType="begin"/>
        </w:r>
        <w:r>
          <w:instrText xml:space="preserve"> PAGE   \* MERGEFORMAT </w:instrText>
        </w:r>
        <w:r>
          <w:fldChar w:fldCharType="separate"/>
        </w:r>
        <w:r w:rsidR="00FE4E74">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EE30B" w14:textId="77777777" w:rsidR="00FE4E74" w:rsidRDefault="00FE4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167AD" w14:textId="77777777" w:rsidR="00DA62D9" w:rsidRDefault="00DA62D9" w:rsidP="00A60185">
      <w:pPr>
        <w:spacing w:after="0" w:line="240" w:lineRule="auto"/>
      </w:pPr>
      <w:r>
        <w:separator/>
      </w:r>
    </w:p>
  </w:footnote>
  <w:footnote w:type="continuationSeparator" w:id="0">
    <w:p w14:paraId="3FE167AE" w14:textId="77777777" w:rsidR="00DA62D9" w:rsidRDefault="00DA62D9"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167B1" w14:textId="77777777" w:rsidR="004D1131" w:rsidRDefault="00FE4E74" w:rsidP="00535D18">
    <w:pPr>
      <w:pStyle w:val="Classification"/>
    </w:pPr>
    <w:r>
      <w:fldChar w:fldCharType="begin"/>
    </w:r>
    <w:r>
      <w:instrText xml:space="preserve"> DOCPROPERTY SecurityClassification \* MERGEFORMAT </w:instrText>
    </w:r>
    <w:r>
      <w:fldChar w:fldCharType="separate"/>
    </w:r>
    <w:r w:rsidR="00386CC3">
      <w:t xml:space="preserve">DRAFT </w:t>
    </w:r>
    <w:r>
      <w:fldChar w:fldCharType="end"/>
    </w:r>
  </w:p>
  <w:p w14:paraId="3FE167B2" w14:textId="77777777" w:rsidR="004D1131" w:rsidRDefault="009F3D45" w:rsidP="00E45765">
    <w:pPr>
      <w:pStyle w:val="Classification"/>
    </w:pPr>
    <w:r>
      <w:rPr>
        <w:b/>
        <w:bCs/>
        <w:lang w:val="en-US"/>
      </w:rPr>
      <w:fldChar w:fldCharType="begin"/>
    </w:r>
    <w:r>
      <w:rPr>
        <w:b/>
        <w:bCs/>
        <w:lang w:val="en-US"/>
      </w:rPr>
      <w:instrText xml:space="preserve"> DOCPROPERTY SecurityClassification \* MERGEFORMAT </w:instrText>
    </w:r>
    <w:r>
      <w:rPr>
        <w:b/>
        <w:bCs/>
        <w:lang w:val="en-US"/>
      </w:rPr>
      <w:fldChar w:fldCharType="separate"/>
    </w:r>
    <w:r w:rsidR="00386CC3">
      <w:rPr>
        <w:b/>
        <w:bCs/>
        <w:lang w:val="en-US"/>
      </w:rPr>
      <w:t xml:space="preserve">DRAFT </w:t>
    </w:r>
    <w:r>
      <w:rPr>
        <w:b/>
        <w:bCs/>
        <w:lang w:val="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82AD4" w14:textId="77777777" w:rsidR="00FE4E74" w:rsidRDefault="00FE4E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AB047" w14:textId="78B5B97E" w:rsidR="002E06A1" w:rsidRDefault="002E06A1" w:rsidP="00EA23CC">
    <w:pPr>
      <w:tabs>
        <w:tab w:val="left" w:pos="5280"/>
      </w:tabs>
      <w:rPr>
        <w:noProof/>
        <w:lang w:eastAsia="en-AU"/>
      </w:rPr>
    </w:pPr>
    <w:r w:rsidRPr="002E06A1">
      <w:rPr>
        <w:noProof/>
        <w:lang w:eastAsia="en-AU"/>
      </w:rPr>
      <w:drawing>
        <wp:anchor distT="0" distB="0" distL="114300" distR="114300" simplePos="0" relativeHeight="251658240" behindDoc="0" locked="0" layoutInCell="1" allowOverlap="1" wp14:anchorId="3E1A636E" wp14:editId="51100155">
          <wp:simplePos x="0" y="0"/>
          <wp:positionH relativeFrom="margin">
            <wp:posOffset>4457700</wp:posOffset>
          </wp:positionH>
          <wp:positionV relativeFrom="paragraph">
            <wp:posOffset>-269240</wp:posOffset>
          </wp:positionV>
          <wp:extent cx="5697855" cy="1000125"/>
          <wp:effectExtent l="0" t="0" r="0" b="9525"/>
          <wp:wrapSquare wrapText="bothSides"/>
          <wp:docPr id="2" name="Picture 2" descr="http://upvcdchdams01:8085/main_image_library/api/v1/asset/93358/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 descr="http://upvcdchdams01:8085/main_image_library/api/v1/asset/93358/preview"/>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582" t="27711" r="-8582" b="47119"/>
                  <a:stretch/>
                </pic:blipFill>
                <pic:spPr bwMode="auto">
                  <a:xfrm>
                    <a:off x="0" y="0"/>
                    <a:ext cx="5697855"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C322E5" w14:textId="584167C6" w:rsidR="002E06A1" w:rsidRDefault="002E06A1" w:rsidP="00EA23CC">
    <w:pPr>
      <w:tabs>
        <w:tab w:val="left" w:pos="5280"/>
      </w:tabs>
      <w:rPr>
        <w:noProof/>
        <w:lang w:eastAsia="en-AU"/>
      </w:rPr>
    </w:pPr>
  </w:p>
  <w:p w14:paraId="3FE167B5" w14:textId="06415DA8" w:rsidR="004D1131" w:rsidRPr="00826410" w:rsidRDefault="00354FAB" w:rsidP="00C86E1F">
    <w:pPr>
      <w:tabs>
        <w:tab w:val="left" w:pos="8925"/>
      </w:tabs>
    </w:pPr>
    <w:r>
      <w:rPr>
        <w:noProof/>
        <w:lang w:eastAsia="en-AU"/>
      </w:rPr>
      <w:drawing>
        <wp:anchor distT="0" distB="0" distL="114300" distR="114300" simplePos="0" relativeHeight="251657216" behindDoc="0" locked="0" layoutInCell="1" allowOverlap="1" wp14:anchorId="3FE167B6" wp14:editId="3FE167B7">
          <wp:simplePos x="0" y="0"/>
          <wp:positionH relativeFrom="page">
            <wp:posOffset>588393</wp:posOffset>
          </wp:positionH>
          <wp:positionV relativeFrom="page">
            <wp:posOffset>405442</wp:posOffset>
          </wp:positionV>
          <wp:extent cx="3099268" cy="534838"/>
          <wp:effectExtent l="19050" t="0" r="5882" b="0"/>
          <wp:wrapNone/>
          <wp:docPr id="1" name="Picture 0" descr="Description: Department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_Env_logo_white.png"/>
                  <pic:cNvPicPr/>
                </pic:nvPicPr>
                <pic:blipFill>
                  <a:blip r:embed="rId2"/>
                  <a:stretch>
                    <a:fillRect/>
                  </a:stretch>
                </pic:blipFill>
                <pic:spPr>
                  <a:xfrm>
                    <a:off x="0" y="0"/>
                    <a:ext cx="3099268" cy="534838"/>
                  </a:xfrm>
                  <a:prstGeom prst="rect">
                    <a:avLst/>
                  </a:prstGeom>
                </pic:spPr>
              </pic:pic>
            </a:graphicData>
          </a:graphic>
        </wp:anchor>
      </w:drawing>
    </w:r>
    <w:r w:rsidR="008D7FD8">
      <w:rPr>
        <w:noProof/>
        <w:lang w:eastAsia="en-AU"/>
      </w:rPr>
      <w:drawing>
        <wp:anchor distT="0" distB="0" distL="114300" distR="114300" simplePos="0" relativeHeight="251656192" behindDoc="1" locked="0" layoutInCell="1" allowOverlap="1" wp14:anchorId="3FE167B8" wp14:editId="219C6C65">
          <wp:simplePos x="0" y="0"/>
          <wp:positionH relativeFrom="page">
            <wp:posOffset>0</wp:posOffset>
          </wp:positionH>
          <wp:positionV relativeFrom="page">
            <wp:posOffset>0</wp:posOffset>
          </wp:positionV>
          <wp:extent cx="10693400" cy="1440180"/>
          <wp:effectExtent l="0" t="0" r="0" b="0"/>
          <wp:wrapNone/>
          <wp:docPr id="3" name="Picture 2" descr="A4_Word_Header_Pl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Word_Header_Plain.png"/>
                  <pic:cNvPicPr/>
                </pic:nvPicPr>
                <pic:blipFill>
                  <a:blip r:embed="rId3"/>
                  <a:stretch>
                    <a:fillRect/>
                  </a:stretch>
                </pic:blipFill>
                <pic:spPr>
                  <a:xfrm>
                    <a:off x="0" y="0"/>
                    <a:ext cx="10693400" cy="14401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149E3C52"/>
    <w:lvl w:ilvl="0">
      <w:start w:val="2"/>
      <w:numFmt w:val="decimal"/>
      <w:lvlText w:val="%1"/>
      <w:lvlJc w:val="left"/>
      <w:pPr>
        <w:ind w:left="567" w:hanging="567"/>
      </w:pPr>
    </w:lvl>
    <w:lvl w:ilvl="1">
      <w:start w:val="1"/>
      <w:numFmt w:val="decimal"/>
      <w:lvlText w:val="%1.%2"/>
      <w:lvlJc w:val="left"/>
      <w:pPr>
        <w:ind w:left="567" w:hanging="567"/>
      </w:pPr>
      <w:rPr>
        <w:rFonts w:ascii="Calibri" w:hAnsi="Calibri" w:cs="Calibri"/>
        <w:b w:val="0"/>
        <w:bCs w:val="0"/>
        <w:w w:val="100"/>
        <w:sz w:val="22"/>
        <w:szCs w:val="22"/>
      </w:rPr>
    </w:lvl>
    <w:lvl w:ilvl="2">
      <w:numFmt w:val="bullet"/>
      <w:lvlText w:val="•"/>
      <w:lvlJc w:val="left"/>
      <w:pPr>
        <w:ind w:left="2234" w:hanging="567"/>
      </w:pPr>
    </w:lvl>
    <w:lvl w:ilvl="3">
      <w:numFmt w:val="bullet"/>
      <w:lvlText w:val="•"/>
      <w:lvlJc w:val="left"/>
      <w:pPr>
        <w:ind w:left="3067" w:hanging="567"/>
      </w:pPr>
    </w:lvl>
    <w:lvl w:ilvl="4">
      <w:numFmt w:val="bullet"/>
      <w:lvlText w:val="•"/>
      <w:lvlJc w:val="left"/>
      <w:pPr>
        <w:ind w:left="3901" w:hanging="567"/>
      </w:pPr>
    </w:lvl>
    <w:lvl w:ilvl="5">
      <w:numFmt w:val="bullet"/>
      <w:lvlText w:val="•"/>
      <w:lvlJc w:val="left"/>
      <w:pPr>
        <w:ind w:left="4734" w:hanging="567"/>
      </w:pPr>
    </w:lvl>
    <w:lvl w:ilvl="6">
      <w:numFmt w:val="bullet"/>
      <w:lvlText w:val="•"/>
      <w:lvlJc w:val="left"/>
      <w:pPr>
        <w:ind w:left="5567" w:hanging="567"/>
      </w:pPr>
    </w:lvl>
    <w:lvl w:ilvl="7">
      <w:numFmt w:val="bullet"/>
      <w:lvlText w:val="•"/>
      <w:lvlJc w:val="left"/>
      <w:pPr>
        <w:ind w:left="6401" w:hanging="567"/>
      </w:pPr>
    </w:lvl>
    <w:lvl w:ilvl="8">
      <w:numFmt w:val="bullet"/>
      <w:lvlText w:val="•"/>
      <w:lvlJc w:val="left"/>
      <w:pPr>
        <w:ind w:left="7234" w:hanging="567"/>
      </w:pPr>
    </w:lvl>
  </w:abstractNum>
  <w:abstractNum w:abstractNumId="1" w15:restartNumberingAfterBreak="0">
    <w:nsid w:val="00000405"/>
    <w:multiLevelType w:val="multilevel"/>
    <w:tmpl w:val="03A42C3E"/>
    <w:lvl w:ilvl="0">
      <w:start w:val="3"/>
      <w:numFmt w:val="decimal"/>
      <w:lvlText w:val="%1"/>
      <w:lvlJc w:val="left"/>
      <w:pPr>
        <w:ind w:left="1010" w:hanging="567"/>
      </w:pPr>
    </w:lvl>
    <w:lvl w:ilvl="1">
      <w:start w:val="1"/>
      <w:numFmt w:val="decimal"/>
      <w:lvlText w:val="%1.%2"/>
      <w:lvlJc w:val="left"/>
      <w:pPr>
        <w:ind w:left="567"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2" w15:restartNumberingAfterBreak="0">
    <w:nsid w:val="00000408"/>
    <w:multiLevelType w:val="multilevel"/>
    <w:tmpl w:val="504851E8"/>
    <w:lvl w:ilvl="0">
      <w:start w:val="5"/>
      <w:numFmt w:val="decimal"/>
      <w:lvlText w:val="%1"/>
      <w:lvlJc w:val="left"/>
      <w:pPr>
        <w:ind w:left="950" w:hanging="567"/>
      </w:pPr>
    </w:lvl>
    <w:lvl w:ilvl="1">
      <w:start w:val="1"/>
      <w:numFmt w:val="decimal"/>
      <w:lvlText w:val="%1.%2"/>
      <w:lvlJc w:val="left"/>
      <w:pPr>
        <w:ind w:left="950" w:hanging="567"/>
      </w:pPr>
      <w:rPr>
        <w:rFonts w:ascii="Calibri" w:hAnsi="Calibri" w:cs="Calibri"/>
        <w:b w:val="0"/>
        <w:bCs w:val="0"/>
        <w:w w:val="100"/>
        <w:sz w:val="22"/>
        <w:szCs w:val="22"/>
      </w:rPr>
    </w:lvl>
    <w:lvl w:ilvl="2">
      <w:numFmt w:val="bullet"/>
      <w:lvlText w:val="•"/>
      <w:lvlJc w:val="left"/>
      <w:pPr>
        <w:ind w:left="2617" w:hanging="567"/>
      </w:pPr>
    </w:lvl>
    <w:lvl w:ilvl="3">
      <w:numFmt w:val="bullet"/>
      <w:lvlText w:val="•"/>
      <w:lvlJc w:val="left"/>
      <w:pPr>
        <w:ind w:left="3450" w:hanging="567"/>
      </w:pPr>
    </w:lvl>
    <w:lvl w:ilvl="4">
      <w:numFmt w:val="bullet"/>
      <w:lvlText w:val="•"/>
      <w:lvlJc w:val="left"/>
      <w:pPr>
        <w:ind w:left="4284" w:hanging="567"/>
      </w:pPr>
    </w:lvl>
    <w:lvl w:ilvl="5">
      <w:numFmt w:val="bullet"/>
      <w:lvlText w:val="•"/>
      <w:lvlJc w:val="left"/>
      <w:pPr>
        <w:ind w:left="5117" w:hanging="567"/>
      </w:pPr>
    </w:lvl>
    <w:lvl w:ilvl="6">
      <w:numFmt w:val="bullet"/>
      <w:lvlText w:val="•"/>
      <w:lvlJc w:val="left"/>
      <w:pPr>
        <w:ind w:left="5950" w:hanging="567"/>
      </w:pPr>
    </w:lvl>
    <w:lvl w:ilvl="7">
      <w:numFmt w:val="bullet"/>
      <w:lvlText w:val="•"/>
      <w:lvlJc w:val="left"/>
      <w:pPr>
        <w:ind w:left="6784" w:hanging="567"/>
      </w:pPr>
    </w:lvl>
    <w:lvl w:ilvl="8">
      <w:numFmt w:val="bullet"/>
      <w:lvlText w:val="•"/>
      <w:lvlJc w:val="left"/>
      <w:pPr>
        <w:ind w:left="7617" w:hanging="567"/>
      </w:pPr>
    </w:lvl>
  </w:abstractNum>
  <w:abstractNum w:abstractNumId="3" w15:restartNumberingAfterBreak="0">
    <w:nsid w:val="00000409"/>
    <w:multiLevelType w:val="multilevel"/>
    <w:tmpl w:val="EA5A175E"/>
    <w:lvl w:ilvl="0">
      <w:start w:val="6"/>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4" w15:restartNumberingAfterBreak="0">
    <w:nsid w:val="0000040A"/>
    <w:multiLevelType w:val="multilevel"/>
    <w:tmpl w:val="A030006C"/>
    <w:lvl w:ilvl="0">
      <w:start w:val="7"/>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5" w15:restartNumberingAfterBreak="0">
    <w:nsid w:val="0000040B"/>
    <w:multiLevelType w:val="multilevel"/>
    <w:tmpl w:val="BC9EB13A"/>
    <w:lvl w:ilvl="0">
      <w:start w:val="8"/>
      <w:numFmt w:val="decimal"/>
      <w:lvlText w:val="%1"/>
      <w:lvlJc w:val="left"/>
      <w:pPr>
        <w:ind w:left="1010" w:hanging="516"/>
      </w:pPr>
    </w:lvl>
    <w:lvl w:ilvl="1">
      <w:start w:val="1"/>
      <w:numFmt w:val="decimal"/>
      <w:lvlText w:val="%1.%2"/>
      <w:lvlJc w:val="left"/>
      <w:pPr>
        <w:ind w:left="1010" w:hanging="516"/>
      </w:pPr>
      <w:rPr>
        <w:rFonts w:ascii="Calibri" w:hAnsi="Calibri" w:cs="Calibri"/>
        <w:b w:val="0"/>
        <w:bCs w:val="0"/>
        <w:w w:val="100"/>
        <w:sz w:val="22"/>
        <w:szCs w:val="22"/>
      </w:rPr>
    </w:lvl>
    <w:lvl w:ilvl="2">
      <w:start w:val="1"/>
      <w:numFmt w:val="lowerLetter"/>
      <w:lvlText w:val="%3."/>
      <w:lvlJc w:val="left"/>
      <w:pPr>
        <w:ind w:left="1538" w:hanging="448"/>
      </w:pPr>
      <w:rPr>
        <w:rFonts w:ascii="Calibri" w:hAnsi="Calibri" w:cs="Calibri"/>
        <w:b w:val="0"/>
        <w:bCs w:val="0"/>
        <w:sz w:val="22"/>
        <w:szCs w:val="22"/>
      </w:rPr>
    </w:lvl>
    <w:lvl w:ilvl="3">
      <w:numFmt w:val="bullet"/>
      <w:lvlText w:val="•"/>
      <w:lvlJc w:val="left"/>
      <w:pPr>
        <w:ind w:left="3250" w:hanging="448"/>
      </w:pPr>
    </w:lvl>
    <w:lvl w:ilvl="4">
      <w:numFmt w:val="bullet"/>
      <w:lvlText w:val="•"/>
      <w:lvlJc w:val="left"/>
      <w:pPr>
        <w:ind w:left="4107" w:hanging="448"/>
      </w:pPr>
    </w:lvl>
    <w:lvl w:ilvl="5">
      <w:numFmt w:val="bullet"/>
      <w:lvlText w:val="•"/>
      <w:lvlJc w:val="left"/>
      <w:pPr>
        <w:ind w:left="4963" w:hanging="448"/>
      </w:pPr>
    </w:lvl>
    <w:lvl w:ilvl="6">
      <w:numFmt w:val="bullet"/>
      <w:lvlText w:val="•"/>
      <w:lvlJc w:val="left"/>
      <w:pPr>
        <w:ind w:left="5819" w:hanging="448"/>
      </w:pPr>
    </w:lvl>
    <w:lvl w:ilvl="7">
      <w:numFmt w:val="bullet"/>
      <w:lvlText w:val="•"/>
      <w:lvlJc w:val="left"/>
      <w:pPr>
        <w:ind w:left="6675" w:hanging="448"/>
      </w:pPr>
    </w:lvl>
    <w:lvl w:ilvl="8">
      <w:numFmt w:val="bullet"/>
      <w:lvlText w:val="•"/>
      <w:lvlJc w:val="left"/>
      <w:pPr>
        <w:ind w:left="7531" w:hanging="448"/>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CDF6782"/>
    <w:multiLevelType w:val="hybridMultilevel"/>
    <w:tmpl w:val="78B65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745BC2"/>
    <w:multiLevelType w:val="multilevel"/>
    <w:tmpl w:val="E5E89F92"/>
    <w:numStyleLink w:val="BulletList"/>
  </w:abstractNum>
  <w:abstractNum w:abstractNumId="9" w15:restartNumberingAfterBreak="0">
    <w:nsid w:val="22542E5C"/>
    <w:multiLevelType w:val="hybridMultilevel"/>
    <w:tmpl w:val="BA8ABE44"/>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5006A8"/>
    <w:multiLevelType w:val="hybridMultilevel"/>
    <w:tmpl w:val="27BCA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FCD4EB3"/>
    <w:multiLevelType w:val="multilevel"/>
    <w:tmpl w:val="C43E23F2"/>
    <w:lvl w:ilvl="0">
      <w:start w:val="1"/>
      <w:numFmt w:val="decimal"/>
      <w:lvlText w:val="%1"/>
      <w:lvlJc w:val="left"/>
      <w:pPr>
        <w:ind w:left="360" w:hanging="360"/>
      </w:pPr>
      <w:rPr>
        <w:rFonts w:hint="default"/>
      </w:rPr>
    </w:lvl>
    <w:lvl w:ilvl="1">
      <w:start w:val="1"/>
      <w:numFmt w:val="decimal"/>
      <w:lvlText w:val="%1.%2"/>
      <w:lvlJc w:val="left"/>
      <w:pPr>
        <w:ind w:left="1358" w:hanging="360"/>
      </w:pPr>
      <w:rPr>
        <w:rFonts w:hint="default"/>
      </w:rPr>
    </w:lvl>
    <w:lvl w:ilvl="2">
      <w:start w:val="1"/>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424" w:hanging="1440"/>
      </w:pPr>
      <w:rPr>
        <w:rFonts w:hint="default"/>
      </w:rPr>
    </w:lvl>
  </w:abstractNum>
  <w:abstractNum w:abstractNumId="14" w15:restartNumberingAfterBreak="0">
    <w:nsid w:val="47AD7D8C"/>
    <w:multiLevelType w:val="hybridMultilevel"/>
    <w:tmpl w:val="5F303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79349D"/>
    <w:multiLevelType w:val="hybridMultilevel"/>
    <w:tmpl w:val="C174289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FDF3F37"/>
    <w:multiLevelType w:val="hybridMultilevel"/>
    <w:tmpl w:val="DE1EDE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5456429"/>
    <w:multiLevelType w:val="multilevel"/>
    <w:tmpl w:val="E898CC72"/>
    <w:numStyleLink w:val="KeyPoints"/>
  </w:abstractNum>
  <w:abstractNum w:abstractNumId="18" w15:restartNumberingAfterBreak="0">
    <w:nsid w:val="722C5E67"/>
    <w:multiLevelType w:val="hybridMultilevel"/>
    <w:tmpl w:val="03F63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9"/>
  </w:num>
  <w:num w:numId="2">
    <w:abstractNumId w:val="6"/>
  </w:num>
  <w:num w:numId="3">
    <w:abstractNumId w:val="12"/>
  </w:num>
  <w:num w:numId="4">
    <w:abstractNumId w:val="11"/>
  </w:num>
  <w:num w:numId="5">
    <w:abstractNumId w:val="17"/>
  </w:num>
  <w:num w:numId="6">
    <w:abstractNumId w:val="8"/>
  </w:num>
  <w:num w:numId="7">
    <w:abstractNumId w:val="9"/>
  </w:num>
  <w:num w:numId="8">
    <w:abstractNumId w:val="14"/>
  </w:num>
  <w:num w:numId="9">
    <w:abstractNumId w:val="15"/>
  </w:num>
  <w:num w:numId="10">
    <w:abstractNumId w:val="1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18"/>
  </w:num>
  <w:num w:numId="18">
    <w:abstractNumId w:val="10"/>
  </w:num>
  <w:num w:numId="19">
    <w:abstractNumId w:val="16"/>
  </w:num>
  <w:num w:numId="2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353F911-C23E-407A-AD40-59019656726C}"/>
    <w:docVar w:name="dgnword-eventsink" w:val="545693096"/>
    <w:docVar w:name="SecurityClassificationInHeader" w:val="False"/>
  </w:docVars>
  <w:rsids>
    <w:rsidRoot w:val="007D5E9D"/>
    <w:rsid w:val="0000369D"/>
    <w:rsid w:val="00004AEE"/>
    <w:rsid w:val="00004FE2"/>
    <w:rsid w:val="00005CAA"/>
    <w:rsid w:val="00010210"/>
    <w:rsid w:val="00013637"/>
    <w:rsid w:val="00015ADA"/>
    <w:rsid w:val="00020C99"/>
    <w:rsid w:val="00025685"/>
    <w:rsid w:val="0002707B"/>
    <w:rsid w:val="000466F4"/>
    <w:rsid w:val="0005148E"/>
    <w:rsid w:val="00057B36"/>
    <w:rsid w:val="00066E96"/>
    <w:rsid w:val="0007053D"/>
    <w:rsid w:val="00075037"/>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D770F"/>
    <w:rsid w:val="000E0081"/>
    <w:rsid w:val="000E07CF"/>
    <w:rsid w:val="00105CBF"/>
    <w:rsid w:val="0011498E"/>
    <w:rsid w:val="00117A45"/>
    <w:rsid w:val="001224AE"/>
    <w:rsid w:val="001337D4"/>
    <w:rsid w:val="00145698"/>
    <w:rsid w:val="00147C12"/>
    <w:rsid w:val="001527A1"/>
    <w:rsid w:val="001530DC"/>
    <w:rsid w:val="00154989"/>
    <w:rsid w:val="00155A9F"/>
    <w:rsid w:val="00156843"/>
    <w:rsid w:val="00160262"/>
    <w:rsid w:val="0016780A"/>
    <w:rsid w:val="00173EBF"/>
    <w:rsid w:val="00184043"/>
    <w:rsid w:val="001842A2"/>
    <w:rsid w:val="00187FA8"/>
    <w:rsid w:val="00192F5E"/>
    <w:rsid w:val="00197772"/>
    <w:rsid w:val="001A51C8"/>
    <w:rsid w:val="001B32BD"/>
    <w:rsid w:val="001B4CA8"/>
    <w:rsid w:val="001C02A0"/>
    <w:rsid w:val="001C4F3D"/>
    <w:rsid w:val="001D0CDC"/>
    <w:rsid w:val="001D1D82"/>
    <w:rsid w:val="001E1182"/>
    <w:rsid w:val="001F79A1"/>
    <w:rsid w:val="00202C90"/>
    <w:rsid w:val="00213DE8"/>
    <w:rsid w:val="00216118"/>
    <w:rsid w:val="002209AB"/>
    <w:rsid w:val="002251E3"/>
    <w:rsid w:val="00227A95"/>
    <w:rsid w:val="00243F80"/>
    <w:rsid w:val="00246A2B"/>
    <w:rsid w:val="002473FC"/>
    <w:rsid w:val="00252E3C"/>
    <w:rsid w:val="00256FA1"/>
    <w:rsid w:val="00264EC9"/>
    <w:rsid w:val="002749FC"/>
    <w:rsid w:val="002839BB"/>
    <w:rsid w:val="00292B81"/>
    <w:rsid w:val="002A3B2C"/>
    <w:rsid w:val="002B1799"/>
    <w:rsid w:val="002B18AE"/>
    <w:rsid w:val="002C1C93"/>
    <w:rsid w:val="002C5066"/>
    <w:rsid w:val="002C7D54"/>
    <w:rsid w:val="002D4AAC"/>
    <w:rsid w:val="002E06A1"/>
    <w:rsid w:val="002F045A"/>
    <w:rsid w:val="0030039D"/>
    <w:rsid w:val="0030326F"/>
    <w:rsid w:val="00306B9B"/>
    <w:rsid w:val="00310701"/>
    <w:rsid w:val="00315980"/>
    <w:rsid w:val="00316F7F"/>
    <w:rsid w:val="003218E8"/>
    <w:rsid w:val="0032497D"/>
    <w:rsid w:val="00330DCE"/>
    <w:rsid w:val="00331D7A"/>
    <w:rsid w:val="00331E11"/>
    <w:rsid w:val="00333F4B"/>
    <w:rsid w:val="00334761"/>
    <w:rsid w:val="0033476C"/>
    <w:rsid w:val="003415CD"/>
    <w:rsid w:val="00341DCD"/>
    <w:rsid w:val="0034563E"/>
    <w:rsid w:val="003465B8"/>
    <w:rsid w:val="003504CB"/>
    <w:rsid w:val="003518D6"/>
    <w:rsid w:val="0035460C"/>
    <w:rsid w:val="00354FAB"/>
    <w:rsid w:val="003556BD"/>
    <w:rsid w:val="003616FE"/>
    <w:rsid w:val="00365147"/>
    <w:rsid w:val="0037016E"/>
    <w:rsid w:val="00372908"/>
    <w:rsid w:val="0037482D"/>
    <w:rsid w:val="00383020"/>
    <w:rsid w:val="003857F2"/>
    <w:rsid w:val="00386CC3"/>
    <w:rsid w:val="003975FD"/>
    <w:rsid w:val="003A3D33"/>
    <w:rsid w:val="003B60CC"/>
    <w:rsid w:val="003C1D52"/>
    <w:rsid w:val="003C2443"/>
    <w:rsid w:val="003C5DA3"/>
    <w:rsid w:val="003D0C2F"/>
    <w:rsid w:val="003D13EE"/>
    <w:rsid w:val="003D4BCD"/>
    <w:rsid w:val="003E2100"/>
    <w:rsid w:val="003F09D4"/>
    <w:rsid w:val="003F2CA6"/>
    <w:rsid w:val="0040342D"/>
    <w:rsid w:val="00413EE1"/>
    <w:rsid w:val="0042128E"/>
    <w:rsid w:val="00432B60"/>
    <w:rsid w:val="00440698"/>
    <w:rsid w:val="00440A64"/>
    <w:rsid w:val="004540E2"/>
    <w:rsid w:val="00455D9D"/>
    <w:rsid w:val="004608FE"/>
    <w:rsid w:val="004712A5"/>
    <w:rsid w:val="0047182F"/>
    <w:rsid w:val="0047266F"/>
    <w:rsid w:val="00476D6B"/>
    <w:rsid w:val="0048222A"/>
    <w:rsid w:val="004827EA"/>
    <w:rsid w:val="00492C16"/>
    <w:rsid w:val="004A0678"/>
    <w:rsid w:val="004A48A3"/>
    <w:rsid w:val="004A575C"/>
    <w:rsid w:val="004B0D92"/>
    <w:rsid w:val="004B0EC0"/>
    <w:rsid w:val="004B66F1"/>
    <w:rsid w:val="004B79F9"/>
    <w:rsid w:val="004C3EA0"/>
    <w:rsid w:val="004C6BF6"/>
    <w:rsid w:val="004D1131"/>
    <w:rsid w:val="004D3559"/>
    <w:rsid w:val="004E069F"/>
    <w:rsid w:val="004F7F68"/>
    <w:rsid w:val="00500D66"/>
    <w:rsid w:val="00504846"/>
    <w:rsid w:val="0050575A"/>
    <w:rsid w:val="00521167"/>
    <w:rsid w:val="00521217"/>
    <w:rsid w:val="00531DBF"/>
    <w:rsid w:val="005355B2"/>
    <w:rsid w:val="00535D18"/>
    <w:rsid w:val="00536F34"/>
    <w:rsid w:val="00543D6A"/>
    <w:rsid w:val="005444FC"/>
    <w:rsid w:val="00545BE0"/>
    <w:rsid w:val="00562E85"/>
    <w:rsid w:val="0056332F"/>
    <w:rsid w:val="00571C7A"/>
    <w:rsid w:val="005815DF"/>
    <w:rsid w:val="00581C39"/>
    <w:rsid w:val="00582D32"/>
    <w:rsid w:val="005903B6"/>
    <w:rsid w:val="00591A07"/>
    <w:rsid w:val="005937AC"/>
    <w:rsid w:val="005A0971"/>
    <w:rsid w:val="005B140D"/>
    <w:rsid w:val="005B7488"/>
    <w:rsid w:val="005C1FEA"/>
    <w:rsid w:val="005C3495"/>
    <w:rsid w:val="005E0815"/>
    <w:rsid w:val="005E1283"/>
    <w:rsid w:val="005E3DFC"/>
    <w:rsid w:val="005E60AF"/>
    <w:rsid w:val="005F1DEA"/>
    <w:rsid w:val="005F3699"/>
    <w:rsid w:val="00607FC9"/>
    <w:rsid w:val="0061274C"/>
    <w:rsid w:val="00622FE1"/>
    <w:rsid w:val="0062521C"/>
    <w:rsid w:val="00630A2B"/>
    <w:rsid w:val="00632DC7"/>
    <w:rsid w:val="006406FC"/>
    <w:rsid w:val="00643073"/>
    <w:rsid w:val="00653E16"/>
    <w:rsid w:val="0066104B"/>
    <w:rsid w:val="00661881"/>
    <w:rsid w:val="006655EE"/>
    <w:rsid w:val="00666DA4"/>
    <w:rsid w:val="00667C10"/>
    <w:rsid w:val="00667EF4"/>
    <w:rsid w:val="00672081"/>
    <w:rsid w:val="00674789"/>
    <w:rsid w:val="00676FCA"/>
    <w:rsid w:val="00677177"/>
    <w:rsid w:val="00682921"/>
    <w:rsid w:val="0068612E"/>
    <w:rsid w:val="0069534E"/>
    <w:rsid w:val="0069669C"/>
    <w:rsid w:val="006A1200"/>
    <w:rsid w:val="006A2A27"/>
    <w:rsid w:val="006A4F4E"/>
    <w:rsid w:val="006B14DB"/>
    <w:rsid w:val="006B21C4"/>
    <w:rsid w:val="006C4A1A"/>
    <w:rsid w:val="006C648F"/>
    <w:rsid w:val="006D0393"/>
    <w:rsid w:val="006D7AC2"/>
    <w:rsid w:val="006E1CFE"/>
    <w:rsid w:val="006E451C"/>
    <w:rsid w:val="006E4A9F"/>
    <w:rsid w:val="006E5B08"/>
    <w:rsid w:val="006F10C4"/>
    <w:rsid w:val="006F5603"/>
    <w:rsid w:val="00701400"/>
    <w:rsid w:val="007037CF"/>
    <w:rsid w:val="007167C0"/>
    <w:rsid w:val="00716D24"/>
    <w:rsid w:val="00720481"/>
    <w:rsid w:val="00733193"/>
    <w:rsid w:val="007372DA"/>
    <w:rsid w:val="00755CEF"/>
    <w:rsid w:val="00757219"/>
    <w:rsid w:val="0075732A"/>
    <w:rsid w:val="00760262"/>
    <w:rsid w:val="007607AB"/>
    <w:rsid w:val="00762965"/>
    <w:rsid w:val="0076310C"/>
    <w:rsid w:val="00764820"/>
    <w:rsid w:val="0076744F"/>
    <w:rsid w:val="00767BCE"/>
    <w:rsid w:val="007707DE"/>
    <w:rsid w:val="00770B5D"/>
    <w:rsid w:val="007752F1"/>
    <w:rsid w:val="00776768"/>
    <w:rsid w:val="00792BFD"/>
    <w:rsid w:val="00797774"/>
    <w:rsid w:val="007A2573"/>
    <w:rsid w:val="007B1A4E"/>
    <w:rsid w:val="007B3D05"/>
    <w:rsid w:val="007D2682"/>
    <w:rsid w:val="007D5E9D"/>
    <w:rsid w:val="007E24F6"/>
    <w:rsid w:val="00800F64"/>
    <w:rsid w:val="00802F0B"/>
    <w:rsid w:val="00802FBC"/>
    <w:rsid w:val="00806534"/>
    <w:rsid w:val="00806785"/>
    <w:rsid w:val="00810A67"/>
    <w:rsid w:val="0082401D"/>
    <w:rsid w:val="00826410"/>
    <w:rsid w:val="00833CF7"/>
    <w:rsid w:val="00836C0F"/>
    <w:rsid w:val="00845601"/>
    <w:rsid w:val="008513EC"/>
    <w:rsid w:val="00853A91"/>
    <w:rsid w:val="008620D3"/>
    <w:rsid w:val="0088744B"/>
    <w:rsid w:val="008A3C96"/>
    <w:rsid w:val="008A4AB6"/>
    <w:rsid w:val="008B4019"/>
    <w:rsid w:val="008B61E4"/>
    <w:rsid w:val="008B65C9"/>
    <w:rsid w:val="008C2D4A"/>
    <w:rsid w:val="008D0225"/>
    <w:rsid w:val="008D3900"/>
    <w:rsid w:val="008D6E1D"/>
    <w:rsid w:val="008D7FD8"/>
    <w:rsid w:val="008E059B"/>
    <w:rsid w:val="008E389E"/>
    <w:rsid w:val="008F39B4"/>
    <w:rsid w:val="008F4162"/>
    <w:rsid w:val="008F4213"/>
    <w:rsid w:val="008F64D3"/>
    <w:rsid w:val="009018BA"/>
    <w:rsid w:val="00903E02"/>
    <w:rsid w:val="0090633F"/>
    <w:rsid w:val="00913175"/>
    <w:rsid w:val="00916EDB"/>
    <w:rsid w:val="009172A3"/>
    <w:rsid w:val="009242EF"/>
    <w:rsid w:val="00931DFF"/>
    <w:rsid w:val="00932291"/>
    <w:rsid w:val="0093408E"/>
    <w:rsid w:val="00946EC5"/>
    <w:rsid w:val="00947A1B"/>
    <w:rsid w:val="00951A3B"/>
    <w:rsid w:val="00952DDF"/>
    <w:rsid w:val="009614BF"/>
    <w:rsid w:val="00985DA8"/>
    <w:rsid w:val="009A01F5"/>
    <w:rsid w:val="009B38BE"/>
    <w:rsid w:val="009C29E8"/>
    <w:rsid w:val="009C3D0F"/>
    <w:rsid w:val="009D382D"/>
    <w:rsid w:val="009E4E4A"/>
    <w:rsid w:val="009F1206"/>
    <w:rsid w:val="009F35E2"/>
    <w:rsid w:val="009F3D45"/>
    <w:rsid w:val="009F65F9"/>
    <w:rsid w:val="009F68BA"/>
    <w:rsid w:val="009F6A76"/>
    <w:rsid w:val="00A057B9"/>
    <w:rsid w:val="00A06277"/>
    <w:rsid w:val="00A079DC"/>
    <w:rsid w:val="00A111C2"/>
    <w:rsid w:val="00A177CD"/>
    <w:rsid w:val="00A2643B"/>
    <w:rsid w:val="00A30D75"/>
    <w:rsid w:val="00A35CAA"/>
    <w:rsid w:val="00A36E7F"/>
    <w:rsid w:val="00A41E65"/>
    <w:rsid w:val="00A437DA"/>
    <w:rsid w:val="00A43E0A"/>
    <w:rsid w:val="00A55F5B"/>
    <w:rsid w:val="00A60185"/>
    <w:rsid w:val="00A63DB2"/>
    <w:rsid w:val="00A661EA"/>
    <w:rsid w:val="00A75315"/>
    <w:rsid w:val="00A809FC"/>
    <w:rsid w:val="00A830E5"/>
    <w:rsid w:val="00A87135"/>
    <w:rsid w:val="00A92B71"/>
    <w:rsid w:val="00A93280"/>
    <w:rsid w:val="00A93620"/>
    <w:rsid w:val="00AA2548"/>
    <w:rsid w:val="00AA58C4"/>
    <w:rsid w:val="00AA6107"/>
    <w:rsid w:val="00AB0688"/>
    <w:rsid w:val="00AB11C8"/>
    <w:rsid w:val="00AB21BA"/>
    <w:rsid w:val="00AB56F3"/>
    <w:rsid w:val="00AC08A8"/>
    <w:rsid w:val="00AD56C8"/>
    <w:rsid w:val="00AD58F2"/>
    <w:rsid w:val="00AD7F4E"/>
    <w:rsid w:val="00B0529F"/>
    <w:rsid w:val="00B21195"/>
    <w:rsid w:val="00B24B22"/>
    <w:rsid w:val="00B25310"/>
    <w:rsid w:val="00B32F8F"/>
    <w:rsid w:val="00B46960"/>
    <w:rsid w:val="00B54DE9"/>
    <w:rsid w:val="00B553EC"/>
    <w:rsid w:val="00B93565"/>
    <w:rsid w:val="00B93DD0"/>
    <w:rsid w:val="00B97732"/>
    <w:rsid w:val="00BA65A8"/>
    <w:rsid w:val="00BA6D19"/>
    <w:rsid w:val="00BA7461"/>
    <w:rsid w:val="00BA7DA9"/>
    <w:rsid w:val="00BB1C73"/>
    <w:rsid w:val="00BC4215"/>
    <w:rsid w:val="00BC4643"/>
    <w:rsid w:val="00BD1A6F"/>
    <w:rsid w:val="00BE6D3C"/>
    <w:rsid w:val="00BE7852"/>
    <w:rsid w:val="00BF7CEE"/>
    <w:rsid w:val="00C00A79"/>
    <w:rsid w:val="00C01295"/>
    <w:rsid w:val="00C03880"/>
    <w:rsid w:val="00C061AD"/>
    <w:rsid w:val="00C135CF"/>
    <w:rsid w:val="00C226F5"/>
    <w:rsid w:val="00C2683F"/>
    <w:rsid w:val="00C302F1"/>
    <w:rsid w:val="00C3184D"/>
    <w:rsid w:val="00C40A6D"/>
    <w:rsid w:val="00C40E93"/>
    <w:rsid w:val="00C4714E"/>
    <w:rsid w:val="00C5504F"/>
    <w:rsid w:val="00C63376"/>
    <w:rsid w:val="00C74F97"/>
    <w:rsid w:val="00C80518"/>
    <w:rsid w:val="00C80888"/>
    <w:rsid w:val="00C8276E"/>
    <w:rsid w:val="00C842AC"/>
    <w:rsid w:val="00C86E1F"/>
    <w:rsid w:val="00CA0723"/>
    <w:rsid w:val="00CB0C59"/>
    <w:rsid w:val="00CB1690"/>
    <w:rsid w:val="00CC4365"/>
    <w:rsid w:val="00CD11B0"/>
    <w:rsid w:val="00CE71C2"/>
    <w:rsid w:val="00CF42D5"/>
    <w:rsid w:val="00CF4EDA"/>
    <w:rsid w:val="00D10314"/>
    <w:rsid w:val="00D10F1A"/>
    <w:rsid w:val="00D116F8"/>
    <w:rsid w:val="00D17596"/>
    <w:rsid w:val="00D42414"/>
    <w:rsid w:val="00D45EE3"/>
    <w:rsid w:val="00D50618"/>
    <w:rsid w:val="00D509E9"/>
    <w:rsid w:val="00D53B1C"/>
    <w:rsid w:val="00D820B7"/>
    <w:rsid w:val="00D82C19"/>
    <w:rsid w:val="00D9752C"/>
    <w:rsid w:val="00DA1B12"/>
    <w:rsid w:val="00DA54C9"/>
    <w:rsid w:val="00DA62D9"/>
    <w:rsid w:val="00DA6739"/>
    <w:rsid w:val="00DA6CAE"/>
    <w:rsid w:val="00DB1A9E"/>
    <w:rsid w:val="00DB31D6"/>
    <w:rsid w:val="00DB4005"/>
    <w:rsid w:val="00DC2E7E"/>
    <w:rsid w:val="00DC34EB"/>
    <w:rsid w:val="00DD5BD0"/>
    <w:rsid w:val="00DE7787"/>
    <w:rsid w:val="00DF1E5B"/>
    <w:rsid w:val="00DF2275"/>
    <w:rsid w:val="00DF33FF"/>
    <w:rsid w:val="00DF3F5E"/>
    <w:rsid w:val="00E0596E"/>
    <w:rsid w:val="00E13611"/>
    <w:rsid w:val="00E22E53"/>
    <w:rsid w:val="00E24EFB"/>
    <w:rsid w:val="00E256C2"/>
    <w:rsid w:val="00E26449"/>
    <w:rsid w:val="00E356E5"/>
    <w:rsid w:val="00E36F81"/>
    <w:rsid w:val="00E44704"/>
    <w:rsid w:val="00E45765"/>
    <w:rsid w:val="00E5098C"/>
    <w:rsid w:val="00E57ECB"/>
    <w:rsid w:val="00E60213"/>
    <w:rsid w:val="00E73F87"/>
    <w:rsid w:val="00E74D29"/>
    <w:rsid w:val="00E82221"/>
    <w:rsid w:val="00E83C74"/>
    <w:rsid w:val="00E83CEE"/>
    <w:rsid w:val="00E866E8"/>
    <w:rsid w:val="00E9226D"/>
    <w:rsid w:val="00E96D51"/>
    <w:rsid w:val="00E96E13"/>
    <w:rsid w:val="00EA23CC"/>
    <w:rsid w:val="00EA6C19"/>
    <w:rsid w:val="00EB3654"/>
    <w:rsid w:val="00EB60CE"/>
    <w:rsid w:val="00EB7D53"/>
    <w:rsid w:val="00EE04E7"/>
    <w:rsid w:val="00EE3146"/>
    <w:rsid w:val="00EE77ED"/>
    <w:rsid w:val="00EF50BB"/>
    <w:rsid w:val="00EF79CB"/>
    <w:rsid w:val="00F00192"/>
    <w:rsid w:val="00F01DF6"/>
    <w:rsid w:val="00F0340D"/>
    <w:rsid w:val="00F2523A"/>
    <w:rsid w:val="00F25FFA"/>
    <w:rsid w:val="00F310D2"/>
    <w:rsid w:val="00F36F3D"/>
    <w:rsid w:val="00F477BD"/>
    <w:rsid w:val="00F50FB6"/>
    <w:rsid w:val="00F53491"/>
    <w:rsid w:val="00F55AEE"/>
    <w:rsid w:val="00F65A1C"/>
    <w:rsid w:val="00F66F50"/>
    <w:rsid w:val="00F75753"/>
    <w:rsid w:val="00F82FF8"/>
    <w:rsid w:val="00F8330D"/>
    <w:rsid w:val="00F84305"/>
    <w:rsid w:val="00F8485C"/>
    <w:rsid w:val="00F865D7"/>
    <w:rsid w:val="00F87149"/>
    <w:rsid w:val="00F87FFE"/>
    <w:rsid w:val="00F954C9"/>
    <w:rsid w:val="00FA61AA"/>
    <w:rsid w:val="00FA69A4"/>
    <w:rsid w:val="00FB1279"/>
    <w:rsid w:val="00FB1495"/>
    <w:rsid w:val="00FD1694"/>
    <w:rsid w:val="00FD7636"/>
    <w:rsid w:val="00FE3229"/>
    <w:rsid w:val="00FE4E74"/>
    <w:rsid w:val="00FE74C3"/>
    <w:rsid w:val="00FF161F"/>
    <w:rsid w:val="00FF215C"/>
    <w:rsid w:val="00FF22DD"/>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FE167A4"/>
  <w15:docId w15:val="{193EE418-B22A-4701-BE98-CD16A01A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8BA"/>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005CAA"/>
    <w:pPr>
      <w:tabs>
        <w:tab w:val="center" w:pos="4536"/>
        <w:tab w:val="center" w:pos="4819"/>
        <w:tab w:val="right" w:pos="9356"/>
      </w:tabs>
      <w:spacing w:after="120"/>
      <w:jc w:val="center"/>
    </w:pPr>
    <w:rPr>
      <w:rFonts w:eastAsia="Times New Roman" w:cs="Arial"/>
      <w:caps/>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character" w:styleId="Hyperlink">
    <w:name w:val="Hyperlink"/>
    <w:basedOn w:val="DefaultParagraphFont"/>
    <w:uiPriority w:val="99"/>
    <w:unhideWhenUsed/>
    <w:rsid w:val="00BC4643"/>
    <w:rPr>
      <w:color w:val="0000FF" w:themeColor="hyperlink"/>
      <w:u w:val="single"/>
    </w:rPr>
  </w:style>
  <w:style w:type="paragraph" w:styleId="FootnoteText">
    <w:name w:val="footnote text"/>
    <w:basedOn w:val="Normal"/>
    <w:link w:val="FootnoteTextChar"/>
    <w:semiHidden/>
    <w:rsid w:val="008F64D3"/>
    <w:pPr>
      <w:spacing w:after="0" w:line="240" w:lineRule="auto"/>
    </w:pPr>
    <w:rPr>
      <w:rFonts w:eastAsia="Times New Roman"/>
      <w:sz w:val="20"/>
      <w:szCs w:val="20"/>
      <w:lang w:eastAsia="en-AU"/>
    </w:rPr>
  </w:style>
  <w:style w:type="character" w:customStyle="1" w:styleId="FootnoteTextChar">
    <w:name w:val="Footnote Text Char"/>
    <w:basedOn w:val="DefaultParagraphFont"/>
    <w:link w:val="FootnoteText"/>
    <w:semiHidden/>
    <w:rsid w:val="008F64D3"/>
    <w:rPr>
      <w:rFonts w:eastAsia="Times New Roman"/>
    </w:rPr>
  </w:style>
  <w:style w:type="character" w:styleId="FootnoteReference">
    <w:name w:val="footnote reference"/>
    <w:basedOn w:val="DefaultParagraphFont"/>
    <w:semiHidden/>
    <w:rsid w:val="008F64D3"/>
    <w:rPr>
      <w:vertAlign w:val="superscript"/>
    </w:rPr>
  </w:style>
  <w:style w:type="table" w:styleId="TableGrid">
    <w:name w:val="Table Grid"/>
    <w:basedOn w:val="TableNormal"/>
    <w:uiPriority w:val="59"/>
    <w:rsid w:val="00333F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6C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96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news/historic-cobourg-peninsula-is-a-model-of-wise-use-and-wetland-conservation-40-years-after-its" TargetMode="External"/><Relationship Id="rId13" Type="http://schemas.openxmlformats.org/officeDocument/2006/relationships/hyperlink" Target="http://www.environment.gov.au/water/wetlands/publications/celebrating-australias-wetland-science" TargetMode="External"/><Relationship Id="rId18" Type="http://schemas.openxmlformats.org/officeDocument/2006/relationships/hyperlink" Target="https://wetlandinfo.des.qld.gov.au/wetlands/ecology/processes-systems/water/catchment-stories/"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li.wwt.org.uk/category/members/oceania-regional-members/" TargetMode="External"/><Relationship Id="rId7" Type="http://schemas.openxmlformats.org/officeDocument/2006/relationships/hyperlink" Target="https://www.ramsar.org/news/new-global-report-on-the-participation-of-indigenous-peoples-and-local-communities-in-wetland" TargetMode="External"/><Relationship Id="rId12" Type="http://schemas.openxmlformats.org/officeDocument/2006/relationships/hyperlink" Target="http://www.environment.gov.au/biodiversity/publications/celebrating-australias-migratory-waterbirds-and-their-habitats" TargetMode="External"/><Relationship Id="rId17" Type="http://schemas.openxmlformats.org/officeDocument/2006/relationships/hyperlink" Target="https://www.water.vic.gov.au/waterways-and-catchments/rivers-estuaries-and-waterways/wetlands/significant-wetland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environment.gov.au/resource/kakadu-national-park-management-plan-2016-2026" TargetMode="External"/><Relationship Id="rId20" Type="http://schemas.openxmlformats.org/officeDocument/2006/relationships/hyperlink" Target="https://www.mdca.org.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nment.gov.au/water/wetlands/publications/celebrating-australias-wetland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nvironment.act.gov.au/cpr/conservation_and_ecological_communities/ginini-flats-wetland-complex-ramsar-sit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environment.act.gov.au/water/ACT-Healthy-Waterways/healthy-waterways/act-healthy-waterways-project" TargetMode="External"/><Relationship Id="rId19" Type="http://schemas.openxmlformats.org/officeDocument/2006/relationships/hyperlink" Target="http://www.environment.gov.au/water/wetlands/programs/education-centres" TargetMode="External"/><Relationship Id="rId4" Type="http://schemas.openxmlformats.org/officeDocument/2006/relationships/webSettings" Target="webSettings.xml"/><Relationship Id="rId9" Type="http://schemas.openxmlformats.org/officeDocument/2006/relationships/hyperlink" Target="https://www.ramsar.org/banrock-station-how-a-ramsar-wetland-owned-by-a-private-agribusiness-in-south-australia-became-a" TargetMode="External"/><Relationship Id="rId14" Type="http://schemas.openxmlformats.org/officeDocument/2006/relationships/hyperlink" Target="https://wetlandinfo.des.qld.gov.au/wetlands/management/treatment-systems/"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614FACE9.dotm</Template>
  <TotalTime>1</TotalTime>
  <Pages>14</Pages>
  <Words>3560</Words>
  <Characters>20297</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Ramsar CEPA National Action Plan 2016-2018 - Report against indicators</dc:title>
  <dc:creator>Department of the Environment and Energy</dc:creator>
  <dc:description/>
  <cp:lastModifiedBy>Durack, Bec</cp:lastModifiedBy>
  <cp:revision>2</cp:revision>
  <dcterms:created xsi:type="dcterms:W3CDTF">2019-11-18T00:53:00Z</dcterms:created>
  <dcterms:modified xsi:type="dcterms:W3CDTF">2019-11-18T00:53:00Z</dcterms:modified>
</cp:coreProperties>
</file>