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D1459" w14:textId="77777777" w:rsidR="009F643E" w:rsidRPr="002518AB" w:rsidRDefault="009F643E" w:rsidP="00000C71">
      <w:pPr>
        <w:jc w:val="center"/>
        <w:rPr>
          <w:b/>
          <w:smallCaps/>
          <w:sz w:val="28"/>
        </w:rPr>
      </w:pPr>
      <w:bookmarkStart w:id="0" w:name="_GoBack"/>
      <w:bookmarkEnd w:id="0"/>
    </w:p>
    <w:p w14:paraId="030271B4" w14:textId="77777777" w:rsidR="009F643E" w:rsidRPr="002518AB" w:rsidRDefault="009F643E" w:rsidP="00000C71">
      <w:pPr>
        <w:jc w:val="center"/>
        <w:rPr>
          <w:b/>
          <w:smallCaps/>
          <w:sz w:val="28"/>
        </w:rPr>
      </w:pPr>
    </w:p>
    <w:p w14:paraId="0FD0B1ED" w14:textId="77777777" w:rsidR="009F643E" w:rsidRPr="002518AB" w:rsidRDefault="009F643E" w:rsidP="00000C71">
      <w:pPr>
        <w:jc w:val="center"/>
        <w:rPr>
          <w:b/>
          <w:smallCaps/>
          <w:sz w:val="28"/>
        </w:rPr>
      </w:pPr>
    </w:p>
    <w:p w14:paraId="54469908" w14:textId="77777777" w:rsidR="009F643E" w:rsidRPr="002518AB" w:rsidRDefault="009F643E" w:rsidP="00000C71">
      <w:pPr>
        <w:jc w:val="center"/>
        <w:rPr>
          <w:b/>
          <w:smallCaps/>
          <w:sz w:val="28"/>
        </w:rPr>
      </w:pPr>
    </w:p>
    <w:p w14:paraId="3369A0C6" w14:textId="77777777" w:rsidR="009F643E" w:rsidRPr="002518AB" w:rsidRDefault="009F643E" w:rsidP="00000C71">
      <w:pPr>
        <w:jc w:val="center"/>
        <w:rPr>
          <w:b/>
          <w:smallCaps/>
          <w:sz w:val="28"/>
        </w:rPr>
      </w:pPr>
    </w:p>
    <w:p w14:paraId="76498FBD" w14:textId="77777777" w:rsidR="009F643E" w:rsidRPr="002518AB" w:rsidRDefault="009F643E" w:rsidP="00000C71">
      <w:pPr>
        <w:jc w:val="center"/>
        <w:rPr>
          <w:b/>
          <w:smallCaps/>
          <w:sz w:val="28"/>
        </w:rPr>
      </w:pPr>
    </w:p>
    <w:p w14:paraId="7F1C2E42" w14:textId="77777777" w:rsidR="009F643E" w:rsidRPr="002518AB" w:rsidRDefault="009F643E" w:rsidP="00000C71">
      <w:pPr>
        <w:jc w:val="center"/>
        <w:rPr>
          <w:b/>
          <w:smallCaps/>
          <w:sz w:val="28"/>
        </w:rPr>
      </w:pPr>
    </w:p>
    <w:p w14:paraId="772789B1" w14:textId="77777777" w:rsidR="009F643E" w:rsidRPr="002518AB" w:rsidRDefault="009F643E" w:rsidP="00000C71">
      <w:pPr>
        <w:jc w:val="center"/>
        <w:rPr>
          <w:b/>
          <w:smallCaps/>
          <w:sz w:val="28"/>
        </w:rPr>
      </w:pPr>
    </w:p>
    <w:p w14:paraId="42DA44E9" w14:textId="77777777" w:rsidR="009F643E" w:rsidRPr="002518AB" w:rsidRDefault="009F643E" w:rsidP="00000C71">
      <w:pPr>
        <w:jc w:val="center"/>
        <w:rPr>
          <w:b/>
          <w:smallCaps/>
          <w:sz w:val="28"/>
        </w:rPr>
      </w:pPr>
    </w:p>
    <w:p w14:paraId="4A9270FE" w14:textId="77777777" w:rsidR="009F643E" w:rsidRPr="002518AB" w:rsidRDefault="009F643E" w:rsidP="00000C71">
      <w:pPr>
        <w:jc w:val="center"/>
        <w:rPr>
          <w:b/>
          <w:smallCaps/>
          <w:sz w:val="28"/>
        </w:rPr>
      </w:pPr>
    </w:p>
    <w:p w14:paraId="6F058BA6" w14:textId="77777777" w:rsidR="009F643E" w:rsidRPr="002518AB" w:rsidRDefault="009F643E" w:rsidP="00000C71">
      <w:pPr>
        <w:jc w:val="center"/>
        <w:rPr>
          <w:b/>
          <w:smallCaps/>
          <w:sz w:val="28"/>
        </w:rPr>
      </w:pPr>
    </w:p>
    <w:p w14:paraId="42CB552B" w14:textId="35547B4C" w:rsidR="009F643E" w:rsidRPr="002518AB" w:rsidRDefault="009F643E" w:rsidP="00000C71">
      <w:pPr>
        <w:jc w:val="center"/>
        <w:rPr>
          <w:b/>
          <w:smallCaps/>
          <w:sz w:val="36"/>
        </w:rPr>
      </w:pPr>
      <w:r w:rsidRPr="00432678">
        <w:rPr>
          <w:b/>
          <w:smallCaps/>
          <w:sz w:val="36"/>
        </w:rPr>
        <w:t>Review of Australia’s</w:t>
      </w:r>
      <w:r w:rsidRPr="00432678">
        <w:rPr>
          <w:b/>
          <w:smallCaps/>
          <w:sz w:val="36"/>
        </w:rPr>
        <w:br/>
      </w:r>
      <w:r w:rsidR="00A52A9D">
        <w:rPr>
          <w:b/>
          <w:smallCaps/>
          <w:sz w:val="36"/>
        </w:rPr>
        <w:t>Non-Defence</w:t>
      </w:r>
      <w:r w:rsidR="008235AD" w:rsidRPr="00432678">
        <w:rPr>
          <w:b/>
          <w:smallCaps/>
          <w:sz w:val="36"/>
        </w:rPr>
        <w:t xml:space="preserve"> </w:t>
      </w:r>
      <w:r w:rsidRPr="00432678">
        <w:rPr>
          <w:b/>
          <w:smallCaps/>
          <w:sz w:val="36"/>
        </w:rPr>
        <w:t>Halon Requirements</w:t>
      </w:r>
    </w:p>
    <w:p w14:paraId="0D8F21D3" w14:textId="77777777" w:rsidR="009F643E" w:rsidRPr="002518AB" w:rsidRDefault="009F643E" w:rsidP="00000C71">
      <w:pPr>
        <w:jc w:val="center"/>
        <w:rPr>
          <w:b/>
          <w:smallCaps/>
          <w:sz w:val="36"/>
        </w:rPr>
      </w:pPr>
    </w:p>
    <w:p w14:paraId="47114EE7" w14:textId="77777777" w:rsidR="009F643E" w:rsidRPr="002518AB" w:rsidRDefault="009F643E" w:rsidP="00000C71">
      <w:pPr>
        <w:jc w:val="center"/>
        <w:rPr>
          <w:b/>
          <w:smallCaps/>
          <w:sz w:val="36"/>
        </w:rPr>
      </w:pPr>
    </w:p>
    <w:p w14:paraId="7E0CD70B" w14:textId="41F69134" w:rsidR="009F643E" w:rsidRPr="002518AB" w:rsidRDefault="00460A25" w:rsidP="00000C71">
      <w:pPr>
        <w:jc w:val="center"/>
        <w:rPr>
          <w:b/>
          <w:smallCaps/>
          <w:sz w:val="28"/>
        </w:rPr>
      </w:pPr>
      <w:r>
        <w:rPr>
          <w:b/>
          <w:smallCaps/>
          <w:sz w:val="28"/>
        </w:rPr>
        <w:t xml:space="preserve">Final </w:t>
      </w:r>
      <w:r w:rsidR="00D84F54" w:rsidRPr="002518AB">
        <w:rPr>
          <w:b/>
          <w:smallCaps/>
          <w:sz w:val="28"/>
        </w:rPr>
        <w:t>Report</w:t>
      </w:r>
      <w:r w:rsidR="009F643E" w:rsidRPr="002518AB">
        <w:rPr>
          <w:b/>
          <w:smallCaps/>
          <w:sz w:val="28"/>
        </w:rPr>
        <w:br/>
      </w:r>
      <w:r w:rsidR="004204C9">
        <w:rPr>
          <w:b/>
          <w:smallCaps/>
          <w:sz w:val="28"/>
        </w:rPr>
        <w:t>April</w:t>
      </w:r>
      <w:r w:rsidR="004204C9" w:rsidRPr="002518AB">
        <w:rPr>
          <w:b/>
          <w:smallCaps/>
          <w:sz w:val="28"/>
        </w:rPr>
        <w:t xml:space="preserve"> </w:t>
      </w:r>
      <w:r w:rsidR="009F643E" w:rsidRPr="002518AB">
        <w:rPr>
          <w:b/>
          <w:smallCaps/>
          <w:sz w:val="28"/>
        </w:rPr>
        <w:t>20</w:t>
      </w:r>
      <w:r>
        <w:rPr>
          <w:b/>
          <w:smallCaps/>
          <w:sz w:val="28"/>
        </w:rPr>
        <w:t>20</w:t>
      </w:r>
    </w:p>
    <w:p w14:paraId="4DA2CD1D" w14:textId="77777777" w:rsidR="009F643E" w:rsidRPr="002518AB" w:rsidRDefault="009F643E" w:rsidP="00000C71">
      <w:pPr>
        <w:jc w:val="center"/>
        <w:rPr>
          <w:b/>
          <w:smallCaps/>
          <w:sz w:val="28"/>
        </w:rPr>
      </w:pPr>
    </w:p>
    <w:p w14:paraId="79A39EC8" w14:textId="77777777" w:rsidR="009F643E" w:rsidRPr="002518AB" w:rsidRDefault="009F643E" w:rsidP="00000C71">
      <w:pPr>
        <w:jc w:val="center"/>
        <w:rPr>
          <w:b/>
          <w:smallCaps/>
          <w:sz w:val="28"/>
        </w:rPr>
      </w:pPr>
    </w:p>
    <w:p w14:paraId="150F6947" w14:textId="7346BF64" w:rsidR="009F643E" w:rsidRPr="002518AB" w:rsidRDefault="009F643E" w:rsidP="00000C71">
      <w:pPr>
        <w:jc w:val="center"/>
      </w:pPr>
      <w:r w:rsidRPr="002518AB">
        <w:t>Dr Helen Tope</w:t>
      </w:r>
      <w:r w:rsidRPr="002518AB">
        <w:br/>
        <w:t>Principal Consultant</w:t>
      </w:r>
      <w:r w:rsidRPr="002518AB">
        <w:br/>
      </w:r>
      <w:r w:rsidR="00837BEE" w:rsidRPr="002518AB">
        <w:t>Planet Futures</w:t>
      </w:r>
    </w:p>
    <w:p w14:paraId="0B467DC5" w14:textId="77777777" w:rsidR="009F643E" w:rsidRPr="002518AB" w:rsidRDefault="009F643E" w:rsidP="00000C71">
      <w:pPr>
        <w:jc w:val="center"/>
      </w:pPr>
      <w:r w:rsidRPr="002518AB">
        <w:t>and</w:t>
      </w:r>
    </w:p>
    <w:p w14:paraId="2A53B227" w14:textId="573CE2B6" w:rsidR="009F643E" w:rsidRPr="002518AB" w:rsidRDefault="009F643E" w:rsidP="00000C71">
      <w:pPr>
        <w:jc w:val="center"/>
      </w:pPr>
      <w:r w:rsidRPr="002518AB">
        <w:t>Mr Mike Atkinson</w:t>
      </w:r>
      <w:r w:rsidRPr="002518AB">
        <w:br/>
        <w:t>Principal Consultant</w:t>
      </w:r>
      <w:r w:rsidRPr="002518AB">
        <w:br/>
      </w:r>
      <w:r w:rsidR="00837BEE" w:rsidRPr="002518AB">
        <w:t>Planet Futures</w:t>
      </w:r>
    </w:p>
    <w:p w14:paraId="67E655DC" w14:textId="77777777" w:rsidR="009F643E" w:rsidRPr="002518AB" w:rsidRDefault="009F643E" w:rsidP="00BD75CA"/>
    <w:p w14:paraId="0A78D502" w14:textId="3864BE21" w:rsidR="001C0170" w:rsidRPr="002518AB" w:rsidRDefault="001C0170" w:rsidP="00BD75CA">
      <w:pPr>
        <w:ind w:right="-348"/>
        <w:rPr>
          <w:b/>
          <w:smallCaps/>
          <w:sz w:val="28"/>
        </w:rPr>
        <w:sectPr w:rsidR="001C0170" w:rsidRPr="002518AB">
          <w:footerReference w:type="even" r:id="rId13"/>
          <w:footerReference w:type="default" r:id="rId14"/>
          <w:pgSz w:w="11899" w:h="16838" w:code="1"/>
          <w:pgMar w:top="1152" w:right="1800" w:bottom="1152" w:left="1800" w:header="720" w:footer="792" w:gutter="0"/>
          <w:pgNumType w:fmt="lowerRoman" w:start="1"/>
          <w:cols w:space="720"/>
        </w:sectPr>
      </w:pPr>
    </w:p>
    <w:p w14:paraId="58905969" w14:textId="77777777" w:rsidR="00A35EE1" w:rsidRPr="002518AB" w:rsidRDefault="00A35EE1" w:rsidP="00BD75CA">
      <w:pPr>
        <w:ind w:right="-348"/>
        <w:rPr>
          <w:b/>
          <w:smallCaps/>
          <w:sz w:val="28"/>
        </w:rPr>
      </w:pPr>
    </w:p>
    <w:p w14:paraId="34C2E703" w14:textId="77777777" w:rsidR="00A35EE1" w:rsidRPr="002518AB" w:rsidRDefault="00A35EE1" w:rsidP="00BD75CA">
      <w:pPr>
        <w:ind w:right="-348"/>
        <w:rPr>
          <w:b/>
          <w:smallCaps/>
          <w:sz w:val="28"/>
        </w:rPr>
      </w:pPr>
    </w:p>
    <w:p w14:paraId="34253E13" w14:textId="77777777" w:rsidR="00A35EE1" w:rsidRPr="002518AB" w:rsidRDefault="00A35EE1" w:rsidP="00BD75CA">
      <w:pPr>
        <w:ind w:right="-348"/>
        <w:rPr>
          <w:b/>
          <w:smallCaps/>
          <w:sz w:val="28"/>
        </w:rPr>
      </w:pPr>
    </w:p>
    <w:p w14:paraId="13CB2C88" w14:textId="77777777" w:rsidR="00A35EE1" w:rsidRPr="002518AB" w:rsidRDefault="00A35EE1" w:rsidP="00BD75CA">
      <w:pPr>
        <w:ind w:right="-348"/>
        <w:rPr>
          <w:b/>
          <w:smallCaps/>
          <w:sz w:val="28"/>
        </w:rPr>
      </w:pPr>
    </w:p>
    <w:p w14:paraId="747817C6" w14:textId="77777777" w:rsidR="00A35EE1" w:rsidRPr="002518AB" w:rsidRDefault="00A35EE1" w:rsidP="00BD75CA">
      <w:pPr>
        <w:ind w:right="-348"/>
        <w:rPr>
          <w:b/>
          <w:smallCaps/>
          <w:sz w:val="28"/>
        </w:rPr>
      </w:pPr>
    </w:p>
    <w:p w14:paraId="43DE3A08" w14:textId="77777777" w:rsidR="00A35EE1" w:rsidRPr="002518AB" w:rsidRDefault="00A35EE1" w:rsidP="00BD75CA">
      <w:pPr>
        <w:ind w:right="-348"/>
        <w:rPr>
          <w:b/>
          <w:smallCaps/>
          <w:sz w:val="28"/>
        </w:rPr>
      </w:pPr>
    </w:p>
    <w:p w14:paraId="3F650B44" w14:textId="77777777" w:rsidR="00A35EE1" w:rsidRPr="002518AB" w:rsidRDefault="00A35EE1" w:rsidP="00BD75CA">
      <w:pPr>
        <w:ind w:right="-348"/>
        <w:rPr>
          <w:b/>
          <w:smallCaps/>
          <w:sz w:val="28"/>
        </w:rPr>
      </w:pPr>
    </w:p>
    <w:p w14:paraId="226E0426" w14:textId="094FF043" w:rsidR="001C0170" w:rsidRPr="002518AB" w:rsidRDefault="00B845D1" w:rsidP="00000C71">
      <w:pPr>
        <w:ind w:right="-346"/>
        <w:rPr>
          <w:b/>
          <w:smallCaps/>
          <w:sz w:val="28"/>
        </w:rPr>
      </w:pPr>
      <w:r w:rsidRPr="002518AB">
        <w:rPr>
          <w:b/>
          <w:smallCaps/>
          <w:sz w:val="28"/>
        </w:rPr>
        <w:t xml:space="preserve">Indemnity Statement and </w:t>
      </w:r>
      <w:r w:rsidR="001C0170" w:rsidRPr="002518AB">
        <w:rPr>
          <w:b/>
          <w:smallCaps/>
          <w:sz w:val="28"/>
        </w:rPr>
        <w:t>Disclaimer</w:t>
      </w:r>
    </w:p>
    <w:p w14:paraId="56A93D40" w14:textId="77777777" w:rsidR="00116497" w:rsidRPr="002518AB" w:rsidRDefault="00116497" w:rsidP="00000C71">
      <w:pPr>
        <w:ind w:right="-346"/>
        <w:rPr>
          <w:b/>
          <w:smallCaps/>
          <w:sz w:val="28"/>
        </w:rPr>
      </w:pPr>
    </w:p>
    <w:p w14:paraId="6DE274CA" w14:textId="6BA0600B" w:rsidR="00B845D1" w:rsidRPr="002518AB" w:rsidRDefault="00837BEE" w:rsidP="00000C71">
      <w:pPr>
        <w:pStyle w:val="BodyText10"/>
      </w:pPr>
      <w:r w:rsidRPr="002518AB">
        <w:t>Takcertin Pty Ltd trading as Planet Futures (henceforth “Planet Futures”)</w:t>
      </w:r>
      <w:r w:rsidR="00B845D1" w:rsidRPr="002518AB">
        <w:t xml:space="preserve"> has taken due care in preparing the analyses contained in this report and seeks to publish its work to the highest professional standards.</w:t>
      </w:r>
      <w:r w:rsidR="00F10700">
        <w:t xml:space="preserve"> </w:t>
      </w:r>
      <w:r w:rsidR="00B845D1" w:rsidRPr="002518AB">
        <w:t xml:space="preserve">However, noting that data used and expert opinion for the analyses have been provided by third parties, </w:t>
      </w:r>
      <w:r w:rsidRPr="002518AB">
        <w:t>Planet Futures</w:t>
      </w:r>
      <w:r w:rsidR="00B845D1" w:rsidRPr="002518AB">
        <w:t xml:space="preserve"> gives no warranty to the accuracy, reliability, fitness for purpose, or otherwise of the information and cannot accept responsibility for any consequences arising from the use of information herein.</w:t>
      </w:r>
      <w:r w:rsidR="00F10700">
        <w:t xml:space="preserve"> </w:t>
      </w:r>
      <w:r w:rsidR="00B845D1" w:rsidRPr="002518AB">
        <w:t>Readers should rely on their own skill and judgment in applying any information or analysis to particular issues or circumstances.</w:t>
      </w:r>
    </w:p>
    <w:p w14:paraId="653D5742" w14:textId="5EDE57BD" w:rsidR="00694179" w:rsidRPr="002518AB" w:rsidRDefault="00245E61" w:rsidP="00000C71">
      <w:pPr>
        <w:pStyle w:val="BodyText10"/>
      </w:pPr>
      <w:r w:rsidRPr="002518AB">
        <w:t xml:space="preserve">The information and opinions included </w:t>
      </w:r>
      <w:r w:rsidR="00837BEE" w:rsidRPr="002518AB">
        <w:t>are</w:t>
      </w:r>
      <w:r w:rsidRPr="002518AB">
        <w:t xml:space="preserve"> topical </w:t>
      </w:r>
      <w:r w:rsidR="00837BEE" w:rsidRPr="002518AB">
        <w:t>as at the time of writing</w:t>
      </w:r>
      <w:r w:rsidRPr="002518AB">
        <w:t>.</w:t>
      </w:r>
      <w:r w:rsidR="00F10700">
        <w:t xml:space="preserve"> </w:t>
      </w:r>
    </w:p>
    <w:p w14:paraId="0633C9D0" w14:textId="00A5C8D4" w:rsidR="00E70E41" w:rsidRPr="002518AB" w:rsidRDefault="00B845D1" w:rsidP="00000C71">
      <w:pPr>
        <w:pStyle w:val="BodyText10"/>
      </w:pPr>
      <w:r w:rsidRPr="002518AB">
        <w:t xml:space="preserve">The opinions expressed and reported are collated from correspondence and discussion with industry stakeholders, industry associations, local and </w:t>
      </w:r>
      <w:r w:rsidR="00F74F36" w:rsidRPr="002518AB">
        <w:t xml:space="preserve">international </w:t>
      </w:r>
      <w:r w:rsidRPr="002518AB">
        <w:t>experts and government organisations</w:t>
      </w:r>
      <w:r w:rsidR="00837BEE" w:rsidRPr="002518AB">
        <w:t xml:space="preserve"> and their contractors</w:t>
      </w:r>
      <w:r w:rsidRPr="002518AB">
        <w:t>.</w:t>
      </w:r>
      <w:r w:rsidR="00F10700">
        <w:t xml:space="preserve"> </w:t>
      </w:r>
      <w:r w:rsidRPr="002518AB">
        <w:t>In order to provide confidentiality, comments and opinions contained in this report cannot and should not be attributed by the reader to any particular person, organisation, association or stakeholder unless it has been directly quoted and attributed in this document with the contributor's approval.</w:t>
      </w:r>
      <w:r w:rsidR="00F10700">
        <w:t xml:space="preserve"> </w:t>
      </w:r>
      <w:r w:rsidR="00837BEE" w:rsidRPr="002518AB">
        <w:t>Data has been aggregated for purposes of commercial confidentiality.</w:t>
      </w:r>
    </w:p>
    <w:p w14:paraId="3A5A5B8F" w14:textId="324E1A6E" w:rsidR="00E07F46" w:rsidRPr="002518AB" w:rsidRDefault="00332114" w:rsidP="00000C71">
      <w:pPr>
        <w:pStyle w:val="BodyText10"/>
      </w:pPr>
      <w:r>
        <w:t xml:space="preserve">The mention in this report of any product </w:t>
      </w:r>
      <w:r w:rsidR="00F22E3B">
        <w:t>or chemical</w:t>
      </w:r>
      <w:r w:rsidR="00B75679">
        <w:t xml:space="preserve"> </w:t>
      </w:r>
      <w:r w:rsidR="007D0BBE">
        <w:t>in no way</w:t>
      </w:r>
      <w:r w:rsidR="00B75679">
        <w:t xml:space="preserve"> constitute</w:t>
      </w:r>
      <w:r w:rsidR="007D0BBE">
        <w:t>s</w:t>
      </w:r>
      <w:r w:rsidR="00B75679">
        <w:t xml:space="preserve"> a recommendat</w:t>
      </w:r>
      <w:r w:rsidR="007D0BBE">
        <w:t xml:space="preserve">ion </w:t>
      </w:r>
      <w:r w:rsidR="00C14EEC">
        <w:t xml:space="preserve">or evaluation of </w:t>
      </w:r>
      <w:r w:rsidR="00E54457">
        <w:t>its performance as a fire suppression agent</w:t>
      </w:r>
      <w:r w:rsidR="00ED0FDA">
        <w:t xml:space="preserve">, </w:t>
      </w:r>
      <w:r w:rsidR="002F60CE">
        <w:t xml:space="preserve">nor does it </w:t>
      </w:r>
      <w:r w:rsidR="007161ED">
        <w:t xml:space="preserve">in any way </w:t>
      </w:r>
      <w:r w:rsidR="00ED1E01">
        <w:t xml:space="preserve">endorse </w:t>
      </w:r>
      <w:r w:rsidR="00ED0FDA">
        <w:t>its</w:t>
      </w:r>
      <w:r w:rsidR="002F60CE">
        <w:t xml:space="preserve"> safety</w:t>
      </w:r>
      <w:r w:rsidR="008F442C">
        <w:t>,</w:t>
      </w:r>
      <w:r w:rsidR="002F60CE">
        <w:t xml:space="preserve"> toxicity</w:t>
      </w:r>
      <w:r w:rsidR="00ED1E01">
        <w:t xml:space="preserve"> levels</w:t>
      </w:r>
      <w:r w:rsidR="007161ED">
        <w:t>, environmental effect</w:t>
      </w:r>
      <w:r w:rsidR="00D040DA">
        <w:t>s</w:t>
      </w:r>
      <w:r w:rsidR="00334A63">
        <w:t>,</w:t>
      </w:r>
      <w:r w:rsidR="00465C5E">
        <w:t xml:space="preserve"> </w:t>
      </w:r>
      <w:r w:rsidR="00334A63">
        <w:t xml:space="preserve">efficacy </w:t>
      </w:r>
      <w:r w:rsidR="00465C5E">
        <w:t xml:space="preserve">or </w:t>
      </w:r>
      <w:r w:rsidR="00ED0FDA">
        <w:t>suitability</w:t>
      </w:r>
      <w:r w:rsidR="0060638A">
        <w:t xml:space="preserve"> for purpose.</w:t>
      </w:r>
      <w:r w:rsidR="00F10700">
        <w:t xml:space="preserve"> </w:t>
      </w:r>
    </w:p>
    <w:p w14:paraId="6CBC3747" w14:textId="72AEB3EE" w:rsidR="00A35EE1" w:rsidRPr="002518AB" w:rsidRDefault="00837BEE" w:rsidP="00000C71">
      <w:pPr>
        <w:pStyle w:val="BodyText10"/>
        <w:rPr>
          <w:b/>
          <w:smallCaps/>
          <w:sz w:val="28"/>
        </w:rPr>
        <w:sectPr w:rsidR="00A35EE1" w:rsidRPr="002518AB" w:rsidSect="001C0170">
          <w:headerReference w:type="even" r:id="rId15"/>
          <w:headerReference w:type="default" r:id="rId16"/>
          <w:footerReference w:type="default" r:id="rId17"/>
          <w:headerReference w:type="first" r:id="rId18"/>
          <w:type w:val="evenPage"/>
          <w:pgSz w:w="11899" w:h="16838" w:code="1"/>
          <w:pgMar w:top="1152" w:right="1800" w:bottom="1152" w:left="1800" w:header="720" w:footer="792" w:gutter="0"/>
          <w:pgNumType w:fmt="lowerRoman" w:start="1"/>
          <w:cols w:space="720"/>
        </w:sectPr>
      </w:pPr>
      <w:r w:rsidRPr="002518AB">
        <w:t>O</w:t>
      </w:r>
      <w:r w:rsidR="00E70E41" w:rsidRPr="002518AB">
        <w:t>ne of the authors and some of the contributors to this report are members of the Technology and Economic Assessment Panel (TEAP) of the Montreal Protocol</w:t>
      </w:r>
      <w:r w:rsidRPr="002518AB">
        <w:t xml:space="preserve"> and/or members of Technical Options Committees (TOC) or Science Panels.</w:t>
      </w:r>
      <w:r w:rsidR="00F10700">
        <w:t xml:space="preserve"> </w:t>
      </w:r>
      <w:r w:rsidRPr="002518AB">
        <w:t>T</w:t>
      </w:r>
      <w:r w:rsidR="00E70E41" w:rsidRPr="002518AB">
        <w:t>his work is not a product of the TEAP, and the author and contributors are not participating in any capacity under the TEAP</w:t>
      </w:r>
      <w:r w:rsidR="00245E61" w:rsidRPr="002518AB">
        <w:t xml:space="preserve"> or its Technical Options Committees</w:t>
      </w:r>
      <w:r w:rsidR="00E70E41" w:rsidRPr="002518AB">
        <w:t>.</w:t>
      </w:r>
      <w:r w:rsidR="00F10700">
        <w:t xml:space="preserve"> </w:t>
      </w:r>
      <w:r w:rsidR="00E70E41" w:rsidRPr="002518AB">
        <w:t>The views expressed are those only of the author and/or contributors and do not necessarily represent those of the TEAP</w:t>
      </w:r>
      <w:r w:rsidR="00245E61" w:rsidRPr="002518AB">
        <w:t xml:space="preserve"> or its </w:t>
      </w:r>
      <w:r w:rsidRPr="002518AB">
        <w:t>TOCs.</w:t>
      </w:r>
    </w:p>
    <w:p w14:paraId="0BA199AE" w14:textId="4F6DC925" w:rsidR="009F643E" w:rsidRPr="002518AB" w:rsidRDefault="009F643E" w:rsidP="00B41E67">
      <w:pPr>
        <w:ind w:right="-348"/>
        <w:jc w:val="right"/>
        <w:rPr>
          <w:b/>
          <w:smallCaps/>
          <w:sz w:val="28"/>
        </w:rPr>
      </w:pPr>
      <w:r w:rsidRPr="002518AB">
        <w:rPr>
          <w:b/>
          <w:smallCaps/>
          <w:sz w:val="28"/>
        </w:rPr>
        <w:lastRenderedPageBreak/>
        <w:t>Review of Australia’s</w:t>
      </w:r>
      <w:r w:rsidRPr="002518AB">
        <w:rPr>
          <w:b/>
          <w:smallCaps/>
          <w:sz w:val="28"/>
        </w:rPr>
        <w:br/>
      </w:r>
      <w:r w:rsidR="00A52A9D">
        <w:rPr>
          <w:b/>
          <w:smallCaps/>
          <w:sz w:val="28"/>
        </w:rPr>
        <w:t>Non-Defence</w:t>
      </w:r>
      <w:r w:rsidR="002D5030" w:rsidRPr="002518AB">
        <w:rPr>
          <w:b/>
          <w:smallCaps/>
          <w:sz w:val="28"/>
        </w:rPr>
        <w:t xml:space="preserve"> </w:t>
      </w:r>
      <w:r w:rsidRPr="002518AB">
        <w:rPr>
          <w:b/>
          <w:smallCaps/>
          <w:sz w:val="28"/>
        </w:rPr>
        <w:t>Halon Requirements</w:t>
      </w:r>
    </w:p>
    <w:p w14:paraId="5191577D" w14:textId="77777777" w:rsidR="009F643E" w:rsidRPr="002518AB" w:rsidRDefault="009F643E" w:rsidP="00B41E67">
      <w:pPr>
        <w:ind w:right="-348"/>
        <w:jc w:val="right"/>
        <w:rPr>
          <w:b/>
          <w:smallCaps/>
          <w:sz w:val="20"/>
        </w:rPr>
      </w:pPr>
    </w:p>
    <w:p w14:paraId="4FD647DA" w14:textId="77777777" w:rsidR="009F643E" w:rsidRPr="002518AB" w:rsidRDefault="009F643E" w:rsidP="00B41E67">
      <w:pPr>
        <w:ind w:right="-348"/>
        <w:jc w:val="right"/>
        <w:rPr>
          <w:b/>
          <w:smallCaps/>
          <w:sz w:val="20"/>
        </w:rPr>
      </w:pPr>
    </w:p>
    <w:p w14:paraId="6A8F502F" w14:textId="0C02C3FE" w:rsidR="009F643E" w:rsidRPr="002518AB" w:rsidRDefault="0071617F" w:rsidP="00B41E67">
      <w:pPr>
        <w:ind w:right="-348"/>
        <w:jc w:val="right"/>
        <w:rPr>
          <w:b/>
          <w:smallCaps/>
          <w:sz w:val="28"/>
        </w:rPr>
      </w:pPr>
      <w:r>
        <w:rPr>
          <w:b/>
          <w:smallCaps/>
          <w:sz w:val="28"/>
        </w:rPr>
        <w:t xml:space="preserve">Final </w:t>
      </w:r>
      <w:r w:rsidR="00D84F54" w:rsidRPr="002518AB">
        <w:rPr>
          <w:b/>
          <w:smallCaps/>
          <w:sz w:val="28"/>
        </w:rPr>
        <w:t>Report</w:t>
      </w:r>
      <w:r w:rsidR="009F643E" w:rsidRPr="002518AB">
        <w:rPr>
          <w:b/>
          <w:smallCaps/>
          <w:sz w:val="28"/>
        </w:rPr>
        <w:br/>
      </w:r>
      <w:r w:rsidR="004204C9">
        <w:rPr>
          <w:b/>
          <w:smallCaps/>
          <w:sz w:val="28"/>
        </w:rPr>
        <w:t>April 2020</w:t>
      </w:r>
    </w:p>
    <w:p w14:paraId="1703FAAF" w14:textId="77777777" w:rsidR="009F643E" w:rsidRPr="002518AB" w:rsidRDefault="009F643E" w:rsidP="00BD75CA">
      <w:pPr>
        <w:ind w:right="-348"/>
        <w:rPr>
          <w:b/>
          <w:smallCaps/>
          <w:sz w:val="28"/>
        </w:rPr>
      </w:pPr>
    </w:p>
    <w:p w14:paraId="273039E3" w14:textId="77777777" w:rsidR="006C5822" w:rsidRDefault="009F643E">
      <w:pPr>
        <w:pStyle w:val="TOC1"/>
      </w:pPr>
      <w:r w:rsidRPr="002518AB">
        <w:t>Table of Contents</w:t>
      </w:r>
      <w:r w:rsidRPr="002518AB">
        <w:tab/>
        <w:t>Page</w:t>
      </w:r>
      <w:r w:rsidR="00E36A53" w:rsidRPr="002518AB">
        <w:fldChar w:fldCharType="begin"/>
      </w:r>
      <w:r w:rsidRPr="002518AB">
        <w:instrText xml:space="preserve"> TOC \o "1-4" \t "ANNEXES,2,Executive summary,1,Exec level2,2" </w:instrText>
      </w:r>
      <w:r w:rsidR="00E36A53" w:rsidRPr="002518AB">
        <w:fldChar w:fldCharType="separate"/>
      </w:r>
    </w:p>
    <w:p w14:paraId="00298DEA" w14:textId="4D63476B" w:rsidR="006C5822" w:rsidRDefault="006C5822">
      <w:pPr>
        <w:pStyle w:val="TOC1"/>
        <w:rPr>
          <w:rFonts w:asciiTheme="minorHAnsi" w:eastAsiaTheme="minorEastAsia" w:hAnsiTheme="minorHAnsi" w:cstheme="minorBidi"/>
          <w:b w:val="0"/>
          <w:caps w:val="0"/>
          <w:sz w:val="24"/>
        </w:rPr>
      </w:pPr>
      <w:r>
        <w:t>Executive Summary</w:t>
      </w:r>
      <w:r>
        <w:tab/>
      </w:r>
      <w:r>
        <w:fldChar w:fldCharType="begin"/>
      </w:r>
      <w:r>
        <w:instrText xml:space="preserve"> PAGEREF _Toc38190310 \h </w:instrText>
      </w:r>
      <w:r>
        <w:fldChar w:fldCharType="separate"/>
      </w:r>
      <w:r w:rsidR="00CF0735">
        <w:t>1</w:t>
      </w:r>
      <w:r>
        <w:fldChar w:fldCharType="end"/>
      </w:r>
    </w:p>
    <w:p w14:paraId="5535F251" w14:textId="43F4E348" w:rsidR="006C5822" w:rsidRDefault="006C5822">
      <w:pPr>
        <w:pStyle w:val="TOC1"/>
        <w:rPr>
          <w:rFonts w:asciiTheme="minorHAnsi" w:eastAsiaTheme="minorEastAsia" w:hAnsiTheme="minorHAnsi" w:cstheme="minorBidi"/>
          <w:b w:val="0"/>
          <w:caps w:val="0"/>
          <w:sz w:val="24"/>
        </w:rPr>
      </w:pPr>
      <w:r>
        <w:t>1</w:t>
      </w:r>
      <w:r>
        <w:rPr>
          <w:rFonts w:asciiTheme="minorHAnsi" w:eastAsiaTheme="minorEastAsia" w:hAnsiTheme="minorHAnsi" w:cstheme="minorBidi"/>
          <w:b w:val="0"/>
          <w:caps w:val="0"/>
          <w:sz w:val="24"/>
        </w:rPr>
        <w:tab/>
      </w:r>
      <w:r>
        <w:t>Background to the Review of Australia’s Non-Defence Halon Requirements</w:t>
      </w:r>
      <w:r>
        <w:tab/>
      </w:r>
      <w:r>
        <w:fldChar w:fldCharType="begin"/>
      </w:r>
      <w:r>
        <w:instrText xml:space="preserve"> PAGEREF _Toc38190311 \h </w:instrText>
      </w:r>
      <w:r>
        <w:fldChar w:fldCharType="separate"/>
      </w:r>
      <w:r w:rsidR="00CF0735">
        <w:t>5</w:t>
      </w:r>
      <w:r>
        <w:fldChar w:fldCharType="end"/>
      </w:r>
    </w:p>
    <w:p w14:paraId="119E02FE" w14:textId="7ADDE307" w:rsidR="006C5822" w:rsidRDefault="006C5822">
      <w:pPr>
        <w:pStyle w:val="TOC2"/>
        <w:rPr>
          <w:rFonts w:asciiTheme="minorHAnsi" w:eastAsiaTheme="minorEastAsia" w:hAnsiTheme="minorHAnsi" w:cstheme="minorBidi"/>
          <w:smallCaps w:val="0"/>
          <w:sz w:val="24"/>
        </w:rPr>
      </w:pPr>
      <w:r>
        <w:t>1.1</w:t>
      </w:r>
      <w:r>
        <w:rPr>
          <w:rFonts w:asciiTheme="minorHAnsi" w:eastAsiaTheme="minorEastAsia" w:hAnsiTheme="minorHAnsi" w:cstheme="minorBidi"/>
          <w:smallCaps w:val="0"/>
          <w:sz w:val="24"/>
        </w:rPr>
        <w:tab/>
      </w:r>
      <w:r>
        <w:t>Overview</w:t>
      </w:r>
      <w:r>
        <w:tab/>
      </w:r>
      <w:r>
        <w:fldChar w:fldCharType="begin"/>
      </w:r>
      <w:r>
        <w:instrText xml:space="preserve"> PAGEREF _Toc38190312 \h </w:instrText>
      </w:r>
      <w:r>
        <w:fldChar w:fldCharType="separate"/>
      </w:r>
      <w:r w:rsidR="00CF0735">
        <w:t>5</w:t>
      </w:r>
      <w:r>
        <w:fldChar w:fldCharType="end"/>
      </w:r>
    </w:p>
    <w:p w14:paraId="75E58BE8" w14:textId="28DA5F28" w:rsidR="006C5822" w:rsidRDefault="006C5822">
      <w:pPr>
        <w:pStyle w:val="TOC2"/>
        <w:rPr>
          <w:rFonts w:asciiTheme="minorHAnsi" w:eastAsiaTheme="minorEastAsia" w:hAnsiTheme="minorHAnsi" w:cstheme="minorBidi"/>
          <w:smallCaps w:val="0"/>
          <w:sz w:val="24"/>
        </w:rPr>
      </w:pPr>
      <w:r>
        <w:t>1.2</w:t>
      </w:r>
      <w:r>
        <w:rPr>
          <w:rFonts w:asciiTheme="minorHAnsi" w:eastAsiaTheme="minorEastAsia" w:hAnsiTheme="minorHAnsi" w:cstheme="minorBidi"/>
          <w:smallCaps w:val="0"/>
          <w:sz w:val="24"/>
        </w:rPr>
        <w:tab/>
      </w:r>
      <w:r>
        <w:t>Halons and their control</w:t>
      </w:r>
      <w:r>
        <w:tab/>
      </w:r>
      <w:r>
        <w:fldChar w:fldCharType="begin"/>
      </w:r>
      <w:r>
        <w:instrText xml:space="preserve"> PAGEREF _Toc38190313 \h </w:instrText>
      </w:r>
      <w:r>
        <w:fldChar w:fldCharType="separate"/>
      </w:r>
      <w:r w:rsidR="00CF0735">
        <w:t>5</w:t>
      </w:r>
      <w:r>
        <w:fldChar w:fldCharType="end"/>
      </w:r>
    </w:p>
    <w:p w14:paraId="023547FC" w14:textId="6587AC20" w:rsidR="006C5822" w:rsidRDefault="006C5822">
      <w:pPr>
        <w:pStyle w:val="TOC2"/>
        <w:rPr>
          <w:rFonts w:asciiTheme="minorHAnsi" w:eastAsiaTheme="minorEastAsia" w:hAnsiTheme="minorHAnsi" w:cstheme="minorBidi"/>
          <w:smallCaps w:val="0"/>
          <w:sz w:val="24"/>
        </w:rPr>
      </w:pPr>
      <w:r>
        <w:t>1.3</w:t>
      </w:r>
      <w:r>
        <w:rPr>
          <w:rFonts w:asciiTheme="minorHAnsi" w:eastAsiaTheme="minorEastAsia" w:hAnsiTheme="minorHAnsi" w:cstheme="minorBidi"/>
          <w:smallCaps w:val="0"/>
          <w:sz w:val="24"/>
        </w:rPr>
        <w:tab/>
      </w:r>
      <w:r>
        <w:t>Australia’s strategic halon stockpile: National Halon Bank</w:t>
      </w:r>
      <w:r>
        <w:tab/>
      </w:r>
      <w:r>
        <w:fldChar w:fldCharType="begin"/>
      </w:r>
      <w:r>
        <w:instrText xml:space="preserve"> PAGEREF _Toc38190314 \h </w:instrText>
      </w:r>
      <w:r>
        <w:fldChar w:fldCharType="separate"/>
      </w:r>
      <w:r w:rsidR="00CF0735">
        <w:t>7</w:t>
      </w:r>
      <w:r>
        <w:fldChar w:fldCharType="end"/>
      </w:r>
    </w:p>
    <w:p w14:paraId="51173609" w14:textId="4A2D82DA" w:rsidR="006C5822" w:rsidRDefault="006C5822">
      <w:pPr>
        <w:pStyle w:val="TOC2"/>
        <w:rPr>
          <w:rFonts w:asciiTheme="minorHAnsi" w:eastAsiaTheme="minorEastAsia" w:hAnsiTheme="minorHAnsi" w:cstheme="minorBidi"/>
          <w:smallCaps w:val="0"/>
          <w:sz w:val="24"/>
        </w:rPr>
      </w:pPr>
      <w:r>
        <w:t>1.4</w:t>
      </w:r>
      <w:r>
        <w:rPr>
          <w:rFonts w:asciiTheme="minorHAnsi" w:eastAsiaTheme="minorEastAsia" w:hAnsiTheme="minorHAnsi" w:cstheme="minorBidi"/>
          <w:smallCaps w:val="0"/>
          <w:sz w:val="24"/>
        </w:rPr>
        <w:tab/>
      </w:r>
      <w:r>
        <w:t>Halon alternatives</w:t>
      </w:r>
      <w:r>
        <w:tab/>
      </w:r>
      <w:r>
        <w:fldChar w:fldCharType="begin"/>
      </w:r>
      <w:r>
        <w:instrText xml:space="preserve"> PAGEREF _Toc38190315 \h </w:instrText>
      </w:r>
      <w:r>
        <w:fldChar w:fldCharType="separate"/>
      </w:r>
      <w:r w:rsidR="00CF0735">
        <w:t>7</w:t>
      </w:r>
      <w:r>
        <w:fldChar w:fldCharType="end"/>
      </w:r>
    </w:p>
    <w:p w14:paraId="0280C68D" w14:textId="10C870EB" w:rsidR="006C5822" w:rsidRDefault="006C5822">
      <w:pPr>
        <w:pStyle w:val="TOC2"/>
        <w:rPr>
          <w:rFonts w:asciiTheme="minorHAnsi" w:eastAsiaTheme="minorEastAsia" w:hAnsiTheme="minorHAnsi" w:cstheme="minorBidi"/>
          <w:smallCaps w:val="0"/>
          <w:sz w:val="24"/>
        </w:rPr>
      </w:pPr>
      <w:r>
        <w:t>1.5</w:t>
      </w:r>
      <w:r>
        <w:rPr>
          <w:rFonts w:asciiTheme="minorHAnsi" w:eastAsiaTheme="minorEastAsia" w:hAnsiTheme="minorHAnsi" w:cstheme="minorBidi"/>
          <w:smallCaps w:val="0"/>
          <w:sz w:val="24"/>
        </w:rPr>
        <w:tab/>
      </w:r>
      <w:r>
        <w:t>Australia’s future halon requirements</w:t>
      </w:r>
      <w:r>
        <w:tab/>
      </w:r>
      <w:r>
        <w:fldChar w:fldCharType="begin"/>
      </w:r>
      <w:r>
        <w:instrText xml:space="preserve"> PAGEREF _Toc38190316 \h </w:instrText>
      </w:r>
      <w:r>
        <w:fldChar w:fldCharType="separate"/>
      </w:r>
      <w:r w:rsidR="00CF0735">
        <w:t>8</w:t>
      </w:r>
      <w:r>
        <w:fldChar w:fldCharType="end"/>
      </w:r>
    </w:p>
    <w:p w14:paraId="214DBA15" w14:textId="5304CA1D" w:rsidR="006C5822" w:rsidRDefault="006C5822">
      <w:pPr>
        <w:pStyle w:val="TOC2"/>
        <w:rPr>
          <w:rFonts w:asciiTheme="minorHAnsi" w:eastAsiaTheme="minorEastAsia" w:hAnsiTheme="minorHAnsi" w:cstheme="minorBidi"/>
          <w:smallCaps w:val="0"/>
          <w:sz w:val="24"/>
        </w:rPr>
      </w:pPr>
      <w:r>
        <w:t>1.6</w:t>
      </w:r>
      <w:r>
        <w:rPr>
          <w:rFonts w:asciiTheme="minorHAnsi" w:eastAsiaTheme="minorEastAsia" w:hAnsiTheme="minorHAnsi" w:cstheme="minorBidi"/>
          <w:smallCaps w:val="0"/>
          <w:sz w:val="24"/>
        </w:rPr>
        <w:tab/>
      </w:r>
      <w:r>
        <w:t>Project Deliverables</w:t>
      </w:r>
      <w:r>
        <w:tab/>
      </w:r>
      <w:r>
        <w:fldChar w:fldCharType="begin"/>
      </w:r>
      <w:r>
        <w:instrText xml:space="preserve"> PAGEREF _Toc38190317 \h </w:instrText>
      </w:r>
      <w:r>
        <w:fldChar w:fldCharType="separate"/>
      </w:r>
      <w:r w:rsidR="00CF0735">
        <w:t>10</w:t>
      </w:r>
      <w:r>
        <w:fldChar w:fldCharType="end"/>
      </w:r>
    </w:p>
    <w:p w14:paraId="3DE88D93" w14:textId="6A35495B" w:rsidR="006C5822" w:rsidRDefault="006C5822">
      <w:pPr>
        <w:pStyle w:val="TOC2"/>
        <w:rPr>
          <w:rFonts w:asciiTheme="minorHAnsi" w:eastAsiaTheme="minorEastAsia" w:hAnsiTheme="minorHAnsi" w:cstheme="minorBidi"/>
          <w:smallCaps w:val="0"/>
          <w:sz w:val="24"/>
        </w:rPr>
      </w:pPr>
      <w:r>
        <w:t>1.7</w:t>
      </w:r>
      <w:r>
        <w:rPr>
          <w:rFonts w:asciiTheme="minorHAnsi" w:eastAsiaTheme="minorEastAsia" w:hAnsiTheme="minorHAnsi" w:cstheme="minorBidi"/>
          <w:smallCaps w:val="0"/>
          <w:sz w:val="24"/>
        </w:rPr>
        <w:tab/>
      </w:r>
      <w:r>
        <w:t>Project Methodology</w:t>
      </w:r>
      <w:r>
        <w:tab/>
      </w:r>
      <w:r>
        <w:fldChar w:fldCharType="begin"/>
      </w:r>
      <w:r>
        <w:instrText xml:space="preserve"> PAGEREF _Toc38190318 \h </w:instrText>
      </w:r>
      <w:r>
        <w:fldChar w:fldCharType="separate"/>
      </w:r>
      <w:r w:rsidR="00CF0735">
        <w:t>10</w:t>
      </w:r>
      <w:r>
        <w:fldChar w:fldCharType="end"/>
      </w:r>
    </w:p>
    <w:p w14:paraId="1D8C17FF" w14:textId="196C671E" w:rsidR="006C5822" w:rsidRDefault="006C5822">
      <w:pPr>
        <w:pStyle w:val="TOC2"/>
        <w:rPr>
          <w:rFonts w:asciiTheme="minorHAnsi" w:eastAsiaTheme="minorEastAsia" w:hAnsiTheme="minorHAnsi" w:cstheme="minorBidi"/>
          <w:smallCaps w:val="0"/>
          <w:sz w:val="24"/>
        </w:rPr>
      </w:pPr>
      <w:r>
        <w:t>1.8</w:t>
      </w:r>
      <w:r>
        <w:rPr>
          <w:rFonts w:asciiTheme="minorHAnsi" w:eastAsiaTheme="minorEastAsia" w:hAnsiTheme="minorHAnsi" w:cstheme="minorBidi"/>
          <w:smallCaps w:val="0"/>
          <w:sz w:val="24"/>
        </w:rPr>
        <w:tab/>
      </w:r>
      <w:r>
        <w:t>Final Report</w:t>
      </w:r>
      <w:r>
        <w:tab/>
      </w:r>
      <w:r>
        <w:fldChar w:fldCharType="begin"/>
      </w:r>
      <w:r>
        <w:instrText xml:space="preserve"> PAGEREF _Toc38190319 \h </w:instrText>
      </w:r>
      <w:r>
        <w:fldChar w:fldCharType="separate"/>
      </w:r>
      <w:r w:rsidR="00CF0735">
        <w:t>11</w:t>
      </w:r>
      <w:r>
        <w:fldChar w:fldCharType="end"/>
      </w:r>
    </w:p>
    <w:p w14:paraId="22815214" w14:textId="582FD80B" w:rsidR="006C5822" w:rsidRDefault="006C5822">
      <w:pPr>
        <w:pStyle w:val="TOC1"/>
        <w:rPr>
          <w:rFonts w:asciiTheme="minorHAnsi" w:eastAsiaTheme="minorEastAsia" w:hAnsiTheme="minorHAnsi" w:cstheme="minorBidi"/>
          <w:b w:val="0"/>
          <w:caps w:val="0"/>
          <w:sz w:val="24"/>
        </w:rPr>
      </w:pPr>
      <w:r>
        <w:t>2</w:t>
      </w:r>
      <w:r>
        <w:rPr>
          <w:rFonts w:asciiTheme="minorHAnsi" w:eastAsiaTheme="minorEastAsia" w:hAnsiTheme="minorHAnsi" w:cstheme="minorBidi"/>
          <w:b w:val="0"/>
          <w:caps w:val="0"/>
          <w:sz w:val="24"/>
        </w:rPr>
        <w:tab/>
      </w:r>
      <w:r>
        <w:t>Remaining Non-Defence Halon Uses and the Status of Alternatives</w:t>
      </w:r>
      <w:r>
        <w:tab/>
      </w:r>
      <w:r>
        <w:fldChar w:fldCharType="begin"/>
      </w:r>
      <w:r>
        <w:instrText xml:space="preserve"> PAGEREF _Toc38190320 \h </w:instrText>
      </w:r>
      <w:r>
        <w:fldChar w:fldCharType="separate"/>
      </w:r>
      <w:r w:rsidR="00CF0735">
        <w:t>12</w:t>
      </w:r>
      <w:r>
        <w:fldChar w:fldCharType="end"/>
      </w:r>
    </w:p>
    <w:p w14:paraId="563684D5" w14:textId="4D622947" w:rsidR="006C5822" w:rsidRDefault="006C5822">
      <w:pPr>
        <w:pStyle w:val="TOC2"/>
        <w:rPr>
          <w:rFonts w:asciiTheme="minorHAnsi" w:eastAsiaTheme="minorEastAsia" w:hAnsiTheme="minorHAnsi" w:cstheme="minorBidi"/>
          <w:smallCaps w:val="0"/>
          <w:sz w:val="24"/>
        </w:rPr>
      </w:pPr>
      <w:r>
        <w:rPr>
          <w:lang w:eastAsia="zh-CN"/>
        </w:rPr>
        <w:t>2.1</w:t>
      </w:r>
      <w:r>
        <w:rPr>
          <w:rFonts w:asciiTheme="minorHAnsi" w:eastAsiaTheme="minorEastAsia" w:hAnsiTheme="minorHAnsi" w:cstheme="minorBidi"/>
          <w:smallCaps w:val="0"/>
          <w:sz w:val="24"/>
        </w:rPr>
        <w:tab/>
      </w:r>
      <w:r>
        <w:t>Effectiveness of Halons in Fire Suppression</w:t>
      </w:r>
      <w:r>
        <w:tab/>
      </w:r>
      <w:r>
        <w:fldChar w:fldCharType="begin"/>
      </w:r>
      <w:r>
        <w:instrText xml:space="preserve"> PAGEREF _Toc38190321 \h </w:instrText>
      </w:r>
      <w:r>
        <w:fldChar w:fldCharType="separate"/>
      </w:r>
      <w:r w:rsidR="00CF0735">
        <w:t>12</w:t>
      </w:r>
      <w:r>
        <w:fldChar w:fldCharType="end"/>
      </w:r>
    </w:p>
    <w:p w14:paraId="0492C8BB" w14:textId="40A3F1BF" w:rsidR="006C5822" w:rsidRDefault="006C5822">
      <w:pPr>
        <w:pStyle w:val="TOC2"/>
        <w:rPr>
          <w:rFonts w:asciiTheme="minorHAnsi" w:eastAsiaTheme="minorEastAsia" w:hAnsiTheme="minorHAnsi" w:cstheme="minorBidi"/>
          <w:smallCaps w:val="0"/>
          <w:sz w:val="24"/>
        </w:rPr>
      </w:pPr>
      <w:r>
        <w:t>2.2</w:t>
      </w:r>
      <w:r>
        <w:rPr>
          <w:rFonts w:asciiTheme="minorHAnsi" w:eastAsiaTheme="minorEastAsia" w:hAnsiTheme="minorHAnsi" w:cstheme="minorBidi"/>
          <w:smallCaps w:val="0"/>
          <w:sz w:val="24"/>
        </w:rPr>
        <w:tab/>
      </w:r>
      <w:r>
        <w:t>Civil Aviation Halon Uses</w:t>
      </w:r>
      <w:r>
        <w:tab/>
      </w:r>
      <w:r>
        <w:fldChar w:fldCharType="begin"/>
      </w:r>
      <w:r>
        <w:instrText xml:space="preserve"> PAGEREF _Toc38190322 \h </w:instrText>
      </w:r>
      <w:r>
        <w:fldChar w:fldCharType="separate"/>
      </w:r>
      <w:r w:rsidR="00CF0735">
        <w:t>13</w:t>
      </w:r>
      <w:r>
        <w:fldChar w:fldCharType="end"/>
      </w:r>
    </w:p>
    <w:p w14:paraId="0E2B7040" w14:textId="3BBB99FB" w:rsidR="006C5822" w:rsidRDefault="006C5822">
      <w:pPr>
        <w:pStyle w:val="TOC2"/>
        <w:rPr>
          <w:rFonts w:asciiTheme="minorHAnsi" w:eastAsiaTheme="minorEastAsia" w:hAnsiTheme="minorHAnsi" w:cstheme="minorBidi"/>
          <w:smallCaps w:val="0"/>
          <w:sz w:val="24"/>
        </w:rPr>
      </w:pPr>
      <w:r>
        <w:t>2.3</w:t>
      </w:r>
      <w:r>
        <w:rPr>
          <w:rFonts w:asciiTheme="minorHAnsi" w:eastAsiaTheme="minorEastAsia" w:hAnsiTheme="minorHAnsi" w:cstheme="minorBidi"/>
          <w:smallCaps w:val="0"/>
          <w:sz w:val="24"/>
        </w:rPr>
        <w:tab/>
      </w:r>
      <w:r>
        <w:t>Status of Halon Alternatives in Civil Aviation Uses</w:t>
      </w:r>
      <w:r>
        <w:tab/>
      </w:r>
      <w:r>
        <w:fldChar w:fldCharType="begin"/>
      </w:r>
      <w:r>
        <w:instrText xml:space="preserve"> PAGEREF _Toc38190323 \h </w:instrText>
      </w:r>
      <w:r>
        <w:fldChar w:fldCharType="separate"/>
      </w:r>
      <w:r w:rsidR="00CF0735">
        <w:t>14</w:t>
      </w:r>
      <w:r>
        <w:fldChar w:fldCharType="end"/>
      </w:r>
    </w:p>
    <w:p w14:paraId="337DF136" w14:textId="07CB8E2A" w:rsidR="006C5822" w:rsidRDefault="006C5822">
      <w:pPr>
        <w:pStyle w:val="TOC3"/>
        <w:rPr>
          <w:rFonts w:asciiTheme="minorHAnsi" w:eastAsiaTheme="minorEastAsia" w:hAnsiTheme="minorHAnsi" w:cstheme="minorBidi"/>
          <w:i w:val="0"/>
          <w:sz w:val="24"/>
        </w:rPr>
      </w:pPr>
      <w:r>
        <w:t>2.3.1</w:t>
      </w:r>
      <w:r>
        <w:rPr>
          <w:rFonts w:asciiTheme="minorHAnsi" w:eastAsiaTheme="minorEastAsia" w:hAnsiTheme="minorHAnsi" w:cstheme="minorBidi"/>
          <w:i w:val="0"/>
          <w:sz w:val="24"/>
        </w:rPr>
        <w:tab/>
      </w:r>
      <w:r>
        <w:t>Benefits of Halons for Civil Aviation Applications</w:t>
      </w:r>
      <w:r>
        <w:tab/>
      </w:r>
      <w:r>
        <w:fldChar w:fldCharType="begin"/>
      </w:r>
      <w:r>
        <w:instrText xml:space="preserve"> PAGEREF _Toc38190324 \h </w:instrText>
      </w:r>
      <w:r>
        <w:fldChar w:fldCharType="separate"/>
      </w:r>
      <w:r w:rsidR="00CF0735">
        <w:t>15</w:t>
      </w:r>
      <w:r>
        <w:fldChar w:fldCharType="end"/>
      </w:r>
    </w:p>
    <w:p w14:paraId="019B73AC" w14:textId="1CECF0A4" w:rsidR="006C5822" w:rsidRDefault="006C5822">
      <w:pPr>
        <w:pStyle w:val="TOC3"/>
        <w:rPr>
          <w:rFonts w:asciiTheme="minorHAnsi" w:eastAsiaTheme="minorEastAsia" w:hAnsiTheme="minorHAnsi" w:cstheme="minorBidi"/>
          <w:i w:val="0"/>
          <w:sz w:val="24"/>
        </w:rPr>
      </w:pPr>
      <w:r>
        <w:t>2.3.2</w:t>
      </w:r>
      <w:r>
        <w:rPr>
          <w:rFonts w:asciiTheme="minorHAnsi" w:eastAsiaTheme="minorEastAsia" w:hAnsiTheme="minorHAnsi" w:cstheme="minorBidi"/>
          <w:i w:val="0"/>
          <w:sz w:val="24"/>
        </w:rPr>
        <w:tab/>
      </w:r>
      <w:r>
        <w:t>Alternatives to Halons in Lavatory Trash Receptacles/Lavex</w:t>
      </w:r>
      <w:r>
        <w:tab/>
      </w:r>
      <w:r>
        <w:fldChar w:fldCharType="begin"/>
      </w:r>
      <w:r>
        <w:instrText xml:space="preserve"> PAGEREF _Toc38190325 \h </w:instrText>
      </w:r>
      <w:r>
        <w:fldChar w:fldCharType="separate"/>
      </w:r>
      <w:r w:rsidR="00CF0735">
        <w:t>16</w:t>
      </w:r>
      <w:r>
        <w:fldChar w:fldCharType="end"/>
      </w:r>
    </w:p>
    <w:p w14:paraId="43B132CC" w14:textId="36C5FE72" w:rsidR="006C5822" w:rsidRDefault="006C5822">
      <w:pPr>
        <w:pStyle w:val="TOC3"/>
        <w:rPr>
          <w:rFonts w:asciiTheme="minorHAnsi" w:eastAsiaTheme="minorEastAsia" w:hAnsiTheme="minorHAnsi" w:cstheme="minorBidi"/>
          <w:i w:val="0"/>
          <w:sz w:val="24"/>
        </w:rPr>
      </w:pPr>
      <w:r>
        <w:t>2.3.3</w:t>
      </w:r>
      <w:r>
        <w:rPr>
          <w:rFonts w:asciiTheme="minorHAnsi" w:eastAsiaTheme="minorEastAsia" w:hAnsiTheme="minorHAnsi" w:cstheme="minorBidi"/>
          <w:i w:val="0"/>
          <w:sz w:val="24"/>
        </w:rPr>
        <w:tab/>
      </w:r>
      <w:r>
        <w:t>Alternatives to Halon 1211 in Handheld Extinguishers</w:t>
      </w:r>
      <w:r>
        <w:tab/>
      </w:r>
      <w:r>
        <w:fldChar w:fldCharType="begin"/>
      </w:r>
      <w:r>
        <w:instrText xml:space="preserve"> PAGEREF _Toc38190326 \h </w:instrText>
      </w:r>
      <w:r>
        <w:fldChar w:fldCharType="separate"/>
      </w:r>
      <w:r w:rsidR="00CF0735">
        <w:t>16</w:t>
      </w:r>
      <w:r>
        <w:fldChar w:fldCharType="end"/>
      </w:r>
    </w:p>
    <w:p w14:paraId="7FF6A77B" w14:textId="1293BC85" w:rsidR="006C5822" w:rsidRDefault="006C5822">
      <w:pPr>
        <w:pStyle w:val="TOC3"/>
        <w:rPr>
          <w:rFonts w:asciiTheme="minorHAnsi" w:eastAsiaTheme="minorEastAsia" w:hAnsiTheme="minorHAnsi" w:cstheme="minorBidi"/>
          <w:i w:val="0"/>
          <w:sz w:val="24"/>
        </w:rPr>
      </w:pPr>
      <w:r>
        <w:t>2.3.4</w:t>
      </w:r>
      <w:r>
        <w:rPr>
          <w:rFonts w:asciiTheme="minorHAnsi" w:eastAsiaTheme="minorEastAsia" w:hAnsiTheme="minorHAnsi" w:cstheme="minorBidi"/>
          <w:i w:val="0"/>
          <w:sz w:val="24"/>
        </w:rPr>
        <w:tab/>
      </w:r>
      <w:r>
        <w:t>Engine and Auxiliary Power Unit Fire Suppression Systems</w:t>
      </w:r>
      <w:r>
        <w:tab/>
      </w:r>
      <w:r>
        <w:fldChar w:fldCharType="begin"/>
      </w:r>
      <w:r>
        <w:instrText xml:space="preserve"> PAGEREF _Toc38190327 \h </w:instrText>
      </w:r>
      <w:r>
        <w:fldChar w:fldCharType="separate"/>
      </w:r>
      <w:r w:rsidR="00CF0735">
        <w:t>17</w:t>
      </w:r>
      <w:r>
        <w:fldChar w:fldCharType="end"/>
      </w:r>
    </w:p>
    <w:p w14:paraId="34840A27" w14:textId="3823E886" w:rsidR="006C5822" w:rsidRDefault="006C5822">
      <w:pPr>
        <w:pStyle w:val="TOC3"/>
        <w:rPr>
          <w:rFonts w:asciiTheme="minorHAnsi" w:eastAsiaTheme="minorEastAsia" w:hAnsiTheme="minorHAnsi" w:cstheme="minorBidi"/>
          <w:i w:val="0"/>
          <w:sz w:val="24"/>
        </w:rPr>
      </w:pPr>
      <w:r>
        <w:t>2.3.5</w:t>
      </w:r>
      <w:r>
        <w:rPr>
          <w:rFonts w:asciiTheme="minorHAnsi" w:eastAsiaTheme="minorEastAsia" w:hAnsiTheme="minorHAnsi" w:cstheme="minorBidi"/>
          <w:i w:val="0"/>
          <w:sz w:val="24"/>
        </w:rPr>
        <w:tab/>
      </w:r>
      <w:r>
        <w:t>Cargo Compartment Fire Suppression</w:t>
      </w:r>
      <w:r>
        <w:tab/>
      </w:r>
      <w:r>
        <w:fldChar w:fldCharType="begin"/>
      </w:r>
      <w:r>
        <w:instrText xml:space="preserve"> PAGEREF _Toc38190328 \h </w:instrText>
      </w:r>
      <w:r>
        <w:fldChar w:fldCharType="separate"/>
      </w:r>
      <w:r w:rsidR="00CF0735">
        <w:t>19</w:t>
      </w:r>
      <w:r>
        <w:fldChar w:fldCharType="end"/>
      </w:r>
    </w:p>
    <w:p w14:paraId="4886465F" w14:textId="080C9C2E" w:rsidR="006C5822" w:rsidRDefault="006C5822">
      <w:pPr>
        <w:pStyle w:val="TOC3"/>
        <w:rPr>
          <w:rFonts w:asciiTheme="minorHAnsi" w:eastAsiaTheme="minorEastAsia" w:hAnsiTheme="minorHAnsi" w:cstheme="minorBidi"/>
          <w:i w:val="0"/>
          <w:sz w:val="24"/>
        </w:rPr>
      </w:pPr>
      <w:r>
        <w:t>2.3.6</w:t>
      </w:r>
      <w:r>
        <w:rPr>
          <w:rFonts w:asciiTheme="minorHAnsi" w:eastAsiaTheme="minorEastAsia" w:hAnsiTheme="minorHAnsi" w:cstheme="minorBidi"/>
          <w:i w:val="0"/>
          <w:sz w:val="24"/>
        </w:rPr>
        <w:tab/>
      </w:r>
      <w:r>
        <w:t>Summary of International Civil Aviation Organization Requirements for Halon Replacements</w:t>
      </w:r>
      <w:r>
        <w:tab/>
      </w:r>
      <w:r>
        <w:fldChar w:fldCharType="begin"/>
      </w:r>
      <w:r>
        <w:instrText xml:space="preserve"> PAGEREF _Toc38190329 \h </w:instrText>
      </w:r>
      <w:r>
        <w:fldChar w:fldCharType="separate"/>
      </w:r>
      <w:r w:rsidR="00CF0735">
        <w:t>21</w:t>
      </w:r>
      <w:r>
        <w:fldChar w:fldCharType="end"/>
      </w:r>
    </w:p>
    <w:p w14:paraId="624679EF" w14:textId="619D9709" w:rsidR="006C5822" w:rsidRDefault="006C5822">
      <w:pPr>
        <w:pStyle w:val="TOC3"/>
        <w:rPr>
          <w:rFonts w:asciiTheme="minorHAnsi" w:eastAsiaTheme="minorEastAsia" w:hAnsiTheme="minorHAnsi" w:cstheme="minorBidi"/>
          <w:i w:val="0"/>
          <w:sz w:val="24"/>
        </w:rPr>
      </w:pPr>
      <w:r>
        <w:t>2.3.7</w:t>
      </w:r>
      <w:r>
        <w:rPr>
          <w:rFonts w:asciiTheme="minorHAnsi" w:eastAsiaTheme="minorEastAsia" w:hAnsiTheme="minorHAnsi" w:cstheme="minorBidi"/>
          <w:i w:val="0"/>
          <w:sz w:val="24"/>
        </w:rPr>
        <w:tab/>
      </w:r>
      <w:r>
        <w:t>European Union Requirements for Halon Replacements</w:t>
      </w:r>
      <w:r>
        <w:tab/>
      </w:r>
      <w:r>
        <w:fldChar w:fldCharType="begin"/>
      </w:r>
      <w:r>
        <w:instrText xml:space="preserve"> PAGEREF _Toc38190330 \h </w:instrText>
      </w:r>
      <w:r>
        <w:fldChar w:fldCharType="separate"/>
      </w:r>
      <w:r w:rsidR="00CF0735">
        <w:t>22</w:t>
      </w:r>
      <w:r>
        <w:fldChar w:fldCharType="end"/>
      </w:r>
    </w:p>
    <w:p w14:paraId="44C0B458" w14:textId="3301C2D3" w:rsidR="006C5822" w:rsidRDefault="006C5822">
      <w:pPr>
        <w:pStyle w:val="TOC3"/>
        <w:rPr>
          <w:rFonts w:asciiTheme="minorHAnsi" w:eastAsiaTheme="minorEastAsia" w:hAnsiTheme="minorHAnsi" w:cstheme="minorBidi"/>
          <w:i w:val="0"/>
          <w:sz w:val="24"/>
        </w:rPr>
      </w:pPr>
      <w:r>
        <w:t>2.3.8</w:t>
      </w:r>
      <w:r>
        <w:rPr>
          <w:rFonts w:asciiTheme="minorHAnsi" w:eastAsiaTheme="minorEastAsia" w:hAnsiTheme="minorHAnsi" w:cstheme="minorBidi"/>
          <w:i w:val="0"/>
          <w:sz w:val="24"/>
        </w:rPr>
        <w:tab/>
      </w:r>
      <w:r>
        <w:t>The United States</w:t>
      </w:r>
      <w:r>
        <w:tab/>
      </w:r>
      <w:r>
        <w:fldChar w:fldCharType="begin"/>
      </w:r>
      <w:r>
        <w:instrText xml:space="preserve"> PAGEREF _Toc38190331 \h </w:instrText>
      </w:r>
      <w:r>
        <w:fldChar w:fldCharType="separate"/>
      </w:r>
      <w:r w:rsidR="00CF0735">
        <w:t>23</w:t>
      </w:r>
      <w:r>
        <w:fldChar w:fldCharType="end"/>
      </w:r>
    </w:p>
    <w:p w14:paraId="2FD36ABD" w14:textId="29EF263E" w:rsidR="006C5822" w:rsidRDefault="006C5822">
      <w:pPr>
        <w:pStyle w:val="TOC3"/>
        <w:rPr>
          <w:rFonts w:asciiTheme="minorHAnsi" w:eastAsiaTheme="minorEastAsia" w:hAnsiTheme="minorHAnsi" w:cstheme="minorBidi"/>
          <w:i w:val="0"/>
          <w:sz w:val="24"/>
        </w:rPr>
      </w:pPr>
      <w:r>
        <w:t>2.3.9</w:t>
      </w:r>
      <w:r>
        <w:rPr>
          <w:rFonts w:asciiTheme="minorHAnsi" w:eastAsiaTheme="minorEastAsia" w:hAnsiTheme="minorHAnsi" w:cstheme="minorBidi"/>
          <w:i w:val="0"/>
          <w:sz w:val="24"/>
        </w:rPr>
        <w:tab/>
      </w:r>
      <w:r>
        <w:t>Australian Requirements for Fire Extinguishing Agents under the Civil Aviation Act 1988</w:t>
      </w:r>
      <w:r>
        <w:tab/>
      </w:r>
      <w:r>
        <w:fldChar w:fldCharType="begin"/>
      </w:r>
      <w:r>
        <w:instrText xml:space="preserve"> PAGEREF _Toc38190332 \h </w:instrText>
      </w:r>
      <w:r>
        <w:fldChar w:fldCharType="separate"/>
      </w:r>
      <w:r w:rsidR="00CF0735">
        <w:t>23</w:t>
      </w:r>
      <w:r>
        <w:fldChar w:fldCharType="end"/>
      </w:r>
    </w:p>
    <w:p w14:paraId="5CB2952C" w14:textId="0D401A47" w:rsidR="006C5822" w:rsidRDefault="006C5822">
      <w:pPr>
        <w:pStyle w:val="TOC2"/>
        <w:rPr>
          <w:rFonts w:asciiTheme="minorHAnsi" w:eastAsiaTheme="minorEastAsia" w:hAnsiTheme="minorHAnsi" w:cstheme="minorBidi"/>
          <w:smallCaps w:val="0"/>
          <w:sz w:val="24"/>
        </w:rPr>
      </w:pPr>
      <w:r>
        <w:t>2.4</w:t>
      </w:r>
      <w:r>
        <w:rPr>
          <w:rFonts w:asciiTheme="minorHAnsi" w:eastAsiaTheme="minorEastAsia" w:hAnsiTheme="minorHAnsi" w:cstheme="minorBidi"/>
          <w:smallCaps w:val="0"/>
          <w:sz w:val="24"/>
        </w:rPr>
        <w:tab/>
      </w:r>
      <w:r>
        <w:t>Non-Defence Maritime Uses</w:t>
      </w:r>
      <w:r>
        <w:tab/>
      </w:r>
      <w:r>
        <w:fldChar w:fldCharType="begin"/>
      </w:r>
      <w:r>
        <w:instrText xml:space="preserve"> PAGEREF _Toc38190333 \h </w:instrText>
      </w:r>
      <w:r>
        <w:fldChar w:fldCharType="separate"/>
      </w:r>
      <w:r w:rsidR="00CF0735">
        <w:t>24</w:t>
      </w:r>
      <w:r>
        <w:fldChar w:fldCharType="end"/>
      </w:r>
    </w:p>
    <w:p w14:paraId="4A11A1E2" w14:textId="094A3605" w:rsidR="006C5822" w:rsidRDefault="006C5822">
      <w:pPr>
        <w:pStyle w:val="TOC3"/>
        <w:rPr>
          <w:rFonts w:asciiTheme="minorHAnsi" w:eastAsiaTheme="minorEastAsia" w:hAnsiTheme="minorHAnsi" w:cstheme="minorBidi"/>
          <w:i w:val="0"/>
          <w:sz w:val="24"/>
        </w:rPr>
      </w:pPr>
      <w:r>
        <w:t>2.4.1</w:t>
      </w:r>
      <w:r>
        <w:rPr>
          <w:rFonts w:asciiTheme="minorHAnsi" w:eastAsiaTheme="minorEastAsia" w:hAnsiTheme="minorHAnsi" w:cstheme="minorBidi"/>
          <w:i w:val="0"/>
          <w:sz w:val="24"/>
        </w:rPr>
        <w:tab/>
      </w:r>
      <w:r>
        <w:t>Australian Flagged Vessels</w:t>
      </w:r>
      <w:r>
        <w:tab/>
      </w:r>
      <w:r>
        <w:fldChar w:fldCharType="begin"/>
      </w:r>
      <w:r>
        <w:instrText xml:space="preserve"> PAGEREF _Toc38190334 \h </w:instrText>
      </w:r>
      <w:r>
        <w:fldChar w:fldCharType="separate"/>
      </w:r>
      <w:r w:rsidR="00CF0735">
        <w:t>25</w:t>
      </w:r>
      <w:r>
        <w:fldChar w:fldCharType="end"/>
      </w:r>
    </w:p>
    <w:p w14:paraId="217C4055" w14:textId="4C6BC4B6" w:rsidR="006C5822" w:rsidRDefault="006C5822">
      <w:pPr>
        <w:pStyle w:val="TOC3"/>
        <w:rPr>
          <w:rFonts w:asciiTheme="minorHAnsi" w:eastAsiaTheme="minorEastAsia" w:hAnsiTheme="minorHAnsi" w:cstheme="minorBidi"/>
          <w:i w:val="0"/>
          <w:sz w:val="24"/>
        </w:rPr>
      </w:pPr>
      <w:r>
        <w:t>2.4.2</w:t>
      </w:r>
      <w:r>
        <w:rPr>
          <w:rFonts w:asciiTheme="minorHAnsi" w:eastAsiaTheme="minorEastAsia" w:hAnsiTheme="minorHAnsi" w:cstheme="minorBidi"/>
          <w:i w:val="0"/>
          <w:sz w:val="24"/>
        </w:rPr>
        <w:tab/>
      </w:r>
      <w:r>
        <w:t>Foreign Flagged Vessels</w:t>
      </w:r>
      <w:r>
        <w:tab/>
      </w:r>
      <w:r>
        <w:fldChar w:fldCharType="begin"/>
      </w:r>
      <w:r>
        <w:instrText xml:space="preserve"> PAGEREF _Toc38190335 \h </w:instrText>
      </w:r>
      <w:r>
        <w:fldChar w:fldCharType="separate"/>
      </w:r>
      <w:r w:rsidR="00CF0735">
        <w:t>25</w:t>
      </w:r>
      <w:r>
        <w:fldChar w:fldCharType="end"/>
      </w:r>
    </w:p>
    <w:p w14:paraId="36BCBF91" w14:textId="3B649C05" w:rsidR="006C5822" w:rsidRDefault="006C5822">
      <w:pPr>
        <w:pStyle w:val="TOC3"/>
        <w:rPr>
          <w:rFonts w:asciiTheme="minorHAnsi" w:eastAsiaTheme="minorEastAsia" w:hAnsiTheme="minorHAnsi" w:cstheme="minorBidi"/>
          <w:i w:val="0"/>
          <w:sz w:val="24"/>
        </w:rPr>
      </w:pPr>
      <w:r>
        <w:t>2.4.3</w:t>
      </w:r>
      <w:r>
        <w:rPr>
          <w:rFonts w:asciiTheme="minorHAnsi" w:eastAsiaTheme="minorEastAsia" w:hAnsiTheme="minorHAnsi" w:cstheme="minorBidi"/>
          <w:i w:val="0"/>
          <w:sz w:val="24"/>
        </w:rPr>
        <w:tab/>
      </w:r>
      <w:r>
        <w:t>Halon Alternatives</w:t>
      </w:r>
      <w:r>
        <w:tab/>
      </w:r>
      <w:r>
        <w:fldChar w:fldCharType="begin"/>
      </w:r>
      <w:r>
        <w:instrText xml:space="preserve"> PAGEREF _Toc38190336 \h </w:instrText>
      </w:r>
      <w:r>
        <w:fldChar w:fldCharType="separate"/>
      </w:r>
      <w:r w:rsidR="00CF0735">
        <w:t>26</w:t>
      </w:r>
      <w:r>
        <w:fldChar w:fldCharType="end"/>
      </w:r>
    </w:p>
    <w:p w14:paraId="020DEA7B" w14:textId="3F02E635" w:rsidR="006C5822" w:rsidRDefault="006C5822">
      <w:pPr>
        <w:pStyle w:val="TOC2"/>
        <w:rPr>
          <w:rFonts w:asciiTheme="minorHAnsi" w:eastAsiaTheme="minorEastAsia" w:hAnsiTheme="minorHAnsi" w:cstheme="minorBidi"/>
          <w:smallCaps w:val="0"/>
          <w:sz w:val="24"/>
        </w:rPr>
      </w:pPr>
      <w:r>
        <w:t>2.5</w:t>
      </w:r>
      <w:r>
        <w:rPr>
          <w:rFonts w:asciiTheme="minorHAnsi" w:eastAsiaTheme="minorEastAsia" w:hAnsiTheme="minorHAnsi" w:cstheme="minorBidi"/>
          <w:smallCaps w:val="0"/>
          <w:sz w:val="24"/>
        </w:rPr>
        <w:tab/>
      </w:r>
      <w:r>
        <w:t>Defence Uses</w:t>
      </w:r>
      <w:r>
        <w:tab/>
      </w:r>
      <w:r>
        <w:fldChar w:fldCharType="begin"/>
      </w:r>
      <w:r>
        <w:instrText xml:space="preserve"> PAGEREF _Toc38190337 \h </w:instrText>
      </w:r>
      <w:r>
        <w:fldChar w:fldCharType="separate"/>
      </w:r>
      <w:r w:rsidR="00CF0735">
        <w:t>26</w:t>
      </w:r>
      <w:r>
        <w:fldChar w:fldCharType="end"/>
      </w:r>
    </w:p>
    <w:p w14:paraId="6AE92B20" w14:textId="3CFD549A" w:rsidR="006C5822" w:rsidRDefault="006C5822">
      <w:pPr>
        <w:pStyle w:val="TOC1"/>
        <w:rPr>
          <w:rFonts w:asciiTheme="minorHAnsi" w:eastAsiaTheme="minorEastAsia" w:hAnsiTheme="minorHAnsi" w:cstheme="minorBidi"/>
          <w:b w:val="0"/>
          <w:caps w:val="0"/>
          <w:sz w:val="24"/>
        </w:rPr>
      </w:pPr>
      <w:r>
        <w:t>3</w:t>
      </w:r>
      <w:r>
        <w:rPr>
          <w:rFonts w:asciiTheme="minorHAnsi" w:eastAsiaTheme="minorEastAsia" w:hAnsiTheme="minorHAnsi" w:cstheme="minorBidi"/>
          <w:b w:val="0"/>
          <w:caps w:val="0"/>
          <w:sz w:val="24"/>
        </w:rPr>
        <w:tab/>
      </w:r>
      <w:r>
        <w:t>Future Trends in Halon Consumption</w:t>
      </w:r>
      <w:r>
        <w:tab/>
      </w:r>
      <w:r>
        <w:fldChar w:fldCharType="begin"/>
      </w:r>
      <w:r>
        <w:instrText xml:space="preserve"> PAGEREF _Toc38190338 \h </w:instrText>
      </w:r>
      <w:r>
        <w:fldChar w:fldCharType="separate"/>
      </w:r>
      <w:r w:rsidR="00CF0735">
        <w:t>27</w:t>
      </w:r>
      <w:r>
        <w:fldChar w:fldCharType="end"/>
      </w:r>
    </w:p>
    <w:p w14:paraId="0E285E8B" w14:textId="6012178E" w:rsidR="006C5822" w:rsidRDefault="006C5822">
      <w:pPr>
        <w:pStyle w:val="TOC2"/>
        <w:rPr>
          <w:rFonts w:asciiTheme="minorHAnsi" w:eastAsiaTheme="minorEastAsia" w:hAnsiTheme="minorHAnsi" w:cstheme="minorBidi"/>
          <w:smallCaps w:val="0"/>
          <w:sz w:val="24"/>
        </w:rPr>
      </w:pPr>
      <w:r>
        <w:t>3.1</w:t>
      </w:r>
      <w:r>
        <w:rPr>
          <w:rFonts w:asciiTheme="minorHAnsi" w:eastAsiaTheme="minorEastAsia" w:hAnsiTheme="minorHAnsi" w:cstheme="minorBidi"/>
          <w:smallCaps w:val="0"/>
          <w:sz w:val="24"/>
        </w:rPr>
        <w:tab/>
      </w:r>
      <w:r>
        <w:t>Civil Aviation Uses</w:t>
      </w:r>
      <w:r>
        <w:tab/>
      </w:r>
      <w:r>
        <w:fldChar w:fldCharType="begin"/>
      </w:r>
      <w:r>
        <w:instrText xml:space="preserve"> PAGEREF _Toc38190339 \h </w:instrText>
      </w:r>
      <w:r>
        <w:fldChar w:fldCharType="separate"/>
      </w:r>
      <w:r w:rsidR="00CF0735">
        <w:t>27</w:t>
      </w:r>
      <w:r>
        <w:fldChar w:fldCharType="end"/>
      </w:r>
    </w:p>
    <w:p w14:paraId="3DBFC4E6" w14:textId="7C4FD3F8" w:rsidR="006C5822" w:rsidRDefault="006C5822">
      <w:pPr>
        <w:pStyle w:val="TOC3"/>
        <w:rPr>
          <w:rFonts w:asciiTheme="minorHAnsi" w:eastAsiaTheme="minorEastAsia" w:hAnsiTheme="minorHAnsi" w:cstheme="minorBidi"/>
          <w:i w:val="0"/>
          <w:sz w:val="24"/>
        </w:rPr>
      </w:pPr>
      <w:r>
        <w:t>3.1.1</w:t>
      </w:r>
      <w:r>
        <w:rPr>
          <w:rFonts w:asciiTheme="minorHAnsi" w:eastAsiaTheme="minorEastAsia" w:hAnsiTheme="minorHAnsi" w:cstheme="minorBidi"/>
          <w:i w:val="0"/>
          <w:sz w:val="24"/>
        </w:rPr>
        <w:tab/>
      </w:r>
      <w:r>
        <w:t>Australian Aircraft Fleet Growth</w:t>
      </w:r>
      <w:r>
        <w:tab/>
      </w:r>
      <w:r>
        <w:fldChar w:fldCharType="begin"/>
      </w:r>
      <w:r>
        <w:instrText xml:space="preserve"> PAGEREF _Toc38190340 \h </w:instrText>
      </w:r>
      <w:r>
        <w:fldChar w:fldCharType="separate"/>
      </w:r>
      <w:r w:rsidR="00CF0735">
        <w:t>29</w:t>
      </w:r>
      <w:r>
        <w:fldChar w:fldCharType="end"/>
      </w:r>
    </w:p>
    <w:p w14:paraId="00F1938F" w14:textId="64F5A2DF" w:rsidR="006C5822" w:rsidRDefault="006C5822">
      <w:pPr>
        <w:pStyle w:val="TOC3"/>
        <w:rPr>
          <w:rFonts w:asciiTheme="minorHAnsi" w:eastAsiaTheme="minorEastAsia" w:hAnsiTheme="minorHAnsi" w:cstheme="minorBidi"/>
          <w:i w:val="0"/>
          <w:sz w:val="24"/>
        </w:rPr>
      </w:pPr>
      <w:r>
        <w:t>3.1.2</w:t>
      </w:r>
      <w:r>
        <w:rPr>
          <w:rFonts w:asciiTheme="minorHAnsi" w:eastAsiaTheme="minorEastAsia" w:hAnsiTheme="minorHAnsi" w:cstheme="minorBidi"/>
          <w:i w:val="0"/>
          <w:sz w:val="24"/>
        </w:rPr>
        <w:tab/>
      </w:r>
      <w:r>
        <w:t>Aircraft Lifetime and Australian Aircraft Fleet Age</w:t>
      </w:r>
      <w:r>
        <w:tab/>
      </w:r>
      <w:r>
        <w:fldChar w:fldCharType="begin"/>
      </w:r>
      <w:r>
        <w:instrText xml:space="preserve"> PAGEREF _Toc38190341 \h </w:instrText>
      </w:r>
      <w:r>
        <w:fldChar w:fldCharType="separate"/>
      </w:r>
      <w:r w:rsidR="00CF0735">
        <w:t>31</w:t>
      </w:r>
      <w:r>
        <w:fldChar w:fldCharType="end"/>
      </w:r>
    </w:p>
    <w:p w14:paraId="4EB68CEC" w14:textId="57FCDB2A" w:rsidR="006C5822" w:rsidRDefault="006C5822">
      <w:pPr>
        <w:pStyle w:val="TOC3"/>
        <w:rPr>
          <w:rFonts w:asciiTheme="minorHAnsi" w:eastAsiaTheme="minorEastAsia" w:hAnsiTheme="minorHAnsi" w:cstheme="minorBidi"/>
          <w:i w:val="0"/>
          <w:sz w:val="24"/>
        </w:rPr>
      </w:pPr>
      <w:r>
        <w:t>3.1.3</w:t>
      </w:r>
      <w:r>
        <w:rPr>
          <w:rFonts w:asciiTheme="minorHAnsi" w:eastAsiaTheme="minorEastAsia" w:hAnsiTheme="minorHAnsi" w:cstheme="minorBidi"/>
          <w:i w:val="0"/>
          <w:sz w:val="24"/>
        </w:rPr>
        <w:tab/>
      </w:r>
      <w:r>
        <w:t>Acquisition of New Aircraft and Disposal of Old Aircraft by Major Airlines</w:t>
      </w:r>
      <w:r>
        <w:tab/>
      </w:r>
      <w:r>
        <w:fldChar w:fldCharType="begin"/>
      </w:r>
      <w:r>
        <w:instrText xml:space="preserve"> PAGEREF _Toc38190342 \h </w:instrText>
      </w:r>
      <w:r>
        <w:fldChar w:fldCharType="separate"/>
      </w:r>
      <w:r w:rsidR="00CF0735">
        <w:t>32</w:t>
      </w:r>
      <w:r>
        <w:fldChar w:fldCharType="end"/>
      </w:r>
    </w:p>
    <w:p w14:paraId="4C490783" w14:textId="70C8541B" w:rsidR="006C5822" w:rsidRDefault="006C5822">
      <w:pPr>
        <w:pStyle w:val="TOC4"/>
        <w:rPr>
          <w:rFonts w:asciiTheme="minorHAnsi" w:eastAsiaTheme="minorEastAsia" w:hAnsiTheme="minorHAnsi" w:cstheme="minorBidi"/>
          <w:sz w:val="24"/>
        </w:rPr>
      </w:pPr>
      <w:r>
        <w:t>3.1.3.1</w:t>
      </w:r>
      <w:r>
        <w:rPr>
          <w:rFonts w:asciiTheme="minorHAnsi" w:eastAsiaTheme="minorEastAsia" w:hAnsiTheme="minorHAnsi" w:cstheme="minorBidi"/>
          <w:sz w:val="24"/>
        </w:rPr>
        <w:tab/>
      </w:r>
      <w:r>
        <w:t>Large Passenger Aircraft Entering the Australian Major Airline Fleet</w:t>
      </w:r>
      <w:r>
        <w:tab/>
      </w:r>
      <w:r>
        <w:fldChar w:fldCharType="begin"/>
      </w:r>
      <w:r>
        <w:instrText xml:space="preserve"> PAGEREF _Toc38190343 \h </w:instrText>
      </w:r>
      <w:r>
        <w:fldChar w:fldCharType="separate"/>
      </w:r>
      <w:r w:rsidR="00CF0735">
        <w:t>32</w:t>
      </w:r>
      <w:r>
        <w:fldChar w:fldCharType="end"/>
      </w:r>
    </w:p>
    <w:p w14:paraId="28B2005D" w14:textId="142CD941" w:rsidR="006C5822" w:rsidRDefault="006C5822">
      <w:pPr>
        <w:pStyle w:val="TOC4"/>
        <w:rPr>
          <w:rFonts w:asciiTheme="minorHAnsi" w:eastAsiaTheme="minorEastAsia" w:hAnsiTheme="minorHAnsi" w:cstheme="minorBidi"/>
          <w:sz w:val="24"/>
        </w:rPr>
      </w:pPr>
      <w:r>
        <w:t>3.1.3.2</w:t>
      </w:r>
      <w:r>
        <w:rPr>
          <w:rFonts w:asciiTheme="minorHAnsi" w:eastAsiaTheme="minorEastAsia" w:hAnsiTheme="minorHAnsi" w:cstheme="minorBidi"/>
          <w:sz w:val="24"/>
        </w:rPr>
        <w:tab/>
      </w:r>
      <w:r>
        <w:t>Large Passenger Aircraft Leaving the Australian Major Airline Fleet</w:t>
      </w:r>
      <w:r>
        <w:tab/>
      </w:r>
      <w:r>
        <w:fldChar w:fldCharType="begin"/>
      </w:r>
      <w:r>
        <w:instrText xml:space="preserve"> PAGEREF _Toc38190344 \h </w:instrText>
      </w:r>
      <w:r>
        <w:fldChar w:fldCharType="separate"/>
      </w:r>
      <w:r w:rsidR="00CF0735">
        <w:t>33</w:t>
      </w:r>
      <w:r>
        <w:fldChar w:fldCharType="end"/>
      </w:r>
    </w:p>
    <w:p w14:paraId="4FC4A61C" w14:textId="247F2E77" w:rsidR="006C5822" w:rsidRDefault="006C5822">
      <w:pPr>
        <w:pStyle w:val="TOC3"/>
        <w:rPr>
          <w:rFonts w:asciiTheme="minorHAnsi" w:eastAsiaTheme="minorEastAsia" w:hAnsiTheme="minorHAnsi" w:cstheme="minorBidi"/>
          <w:i w:val="0"/>
          <w:sz w:val="24"/>
        </w:rPr>
      </w:pPr>
      <w:r>
        <w:t>3.1.4</w:t>
      </w:r>
      <w:r>
        <w:rPr>
          <w:rFonts w:asciiTheme="minorHAnsi" w:eastAsiaTheme="minorEastAsia" w:hAnsiTheme="minorHAnsi" w:cstheme="minorBidi"/>
          <w:i w:val="0"/>
          <w:sz w:val="24"/>
        </w:rPr>
        <w:tab/>
      </w:r>
      <w:r>
        <w:t>International Aircraft Visiting Australia and Australian Aircraft Visiting Abroad with Halon Requirements</w:t>
      </w:r>
      <w:r>
        <w:tab/>
      </w:r>
      <w:r>
        <w:fldChar w:fldCharType="begin"/>
      </w:r>
      <w:r>
        <w:instrText xml:space="preserve"> PAGEREF _Toc38190345 \h </w:instrText>
      </w:r>
      <w:r>
        <w:fldChar w:fldCharType="separate"/>
      </w:r>
      <w:r w:rsidR="00CF0735">
        <w:t>33</w:t>
      </w:r>
      <w:r>
        <w:fldChar w:fldCharType="end"/>
      </w:r>
    </w:p>
    <w:p w14:paraId="46254E19" w14:textId="5ED2B9CF" w:rsidR="006C5822" w:rsidRDefault="006C5822">
      <w:pPr>
        <w:pStyle w:val="TOC3"/>
        <w:rPr>
          <w:rFonts w:asciiTheme="minorHAnsi" w:eastAsiaTheme="minorEastAsia" w:hAnsiTheme="minorHAnsi" w:cstheme="minorBidi"/>
          <w:i w:val="0"/>
          <w:sz w:val="24"/>
        </w:rPr>
      </w:pPr>
      <w:r>
        <w:t>3.1.5</w:t>
      </w:r>
      <w:r>
        <w:rPr>
          <w:rFonts w:asciiTheme="minorHAnsi" w:eastAsiaTheme="minorEastAsia" w:hAnsiTheme="minorHAnsi" w:cstheme="minorBidi"/>
          <w:i w:val="0"/>
          <w:sz w:val="24"/>
        </w:rPr>
        <w:tab/>
      </w:r>
      <w:r>
        <w:t>Estimating Future Civil Aviation Halon Requirements</w:t>
      </w:r>
      <w:r>
        <w:tab/>
      </w:r>
      <w:r>
        <w:fldChar w:fldCharType="begin"/>
      </w:r>
      <w:r>
        <w:instrText xml:space="preserve"> PAGEREF _Toc38190346 \h </w:instrText>
      </w:r>
      <w:r>
        <w:fldChar w:fldCharType="separate"/>
      </w:r>
      <w:r w:rsidR="00CF0735">
        <w:t>34</w:t>
      </w:r>
      <w:r>
        <w:fldChar w:fldCharType="end"/>
      </w:r>
    </w:p>
    <w:p w14:paraId="2031EB54" w14:textId="0C5C9B93" w:rsidR="006C5822" w:rsidRDefault="006C5822">
      <w:pPr>
        <w:pStyle w:val="TOC2"/>
        <w:rPr>
          <w:rFonts w:asciiTheme="minorHAnsi" w:eastAsiaTheme="minorEastAsia" w:hAnsiTheme="minorHAnsi" w:cstheme="minorBidi"/>
          <w:smallCaps w:val="0"/>
          <w:sz w:val="24"/>
        </w:rPr>
      </w:pPr>
      <w:r>
        <w:t>3.2</w:t>
      </w:r>
      <w:r>
        <w:rPr>
          <w:rFonts w:asciiTheme="minorHAnsi" w:eastAsiaTheme="minorEastAsia" w:hAnsiTheme="minorHAnsi" w:cstheme="minorBidi"/>
          <w:smallCaps w:val="0"/>
          <w:sz w:val="24"/>
        </w:rPr>
        <w:tab/>
      </w:r>
      <w:r>
        <w:t>Non-Defence Maritime Uses</w:t>
      </w:r>
      <w:r>
        <w:tab/>
      </w:r>
      <w:r>
        <w:fldChar w:fldCharType="begin"/>
      </w:r>
      <w:r>
        <w:instrText xml:space="preserve"> PAGEREF _Toc38190347 \h </w:instrText>
      </w:r>
      <w:r>
        <w:fldChar w:fldCharType="separate"/>
      </w:r>
      <w:r w:rsidR="00CF0735">
        <w:t>37</w:t>
      </w:r>
      <w:r>
        <w:fldChar w:fldCharType="end"/>
      </w:r>
    </w:p>
    <w:p w14:paraId="361DAB9D" w14:textId="5450C825" w:rsidR="006C5822" w:rsidRDefault="006C5822">
      <w:pPr>
        <w:pStyle w:val="TOC2"/>
        <w:rPr>
          <w:rFonts w:asciiTheme="minorHAnsi" w:eastAsiaTheme="minorEastAsia" w:hAnsiTheme="minorHAnsi" w:cstheme="minorBidi"/>
          <w:smallCaps w:val="0"/>
          <w:sz w:val="24"/>
        </w:rPr>
      </w:pPr>
      <w:r>
        <w:t>3.3</w:t>
      </w:r>
      <w:r>
        <w:rPr>
          <w:rFonts w:asciiTheme="minorHAnsi" w:eastAsiaTheme="minorEastAsia" w:hAnsiTheme="minorHAnsi" w:cstheme="minorBidi"/>
          <w:smallCaps w:val="0"/>
          <w:sz w:val="24"/>
        </w:rPr>
        <w:tab/>
      </w:r>
      <w:r>
        <w:t>Defence Uses</w:t>
      </w:r>
      <w:r>
        <w:tab/>
      </w:r>
      <w:r>
        <w:fldChar w:fldCharType="begin"/>
      </w:r>
      <w:r>
        <w:instrText xml:space="preserve"> PAGEREF _Toc38190348 \h </w:instrText>
      </w:r>
      <w:r>
        <w:fldChar w:fldCharType="separate"/>
      </w:r>
      <w:r w:rsidR="00CF0735">
        <w:t>39</w:t>
      </w:r>
      <w:r>
        <w:fldChar w:fldCharType="end"/>
      </w:r>
    </w:p>
    <w:p w14:paraId="2B4D856C" w14:textId="3CF2DCA5" w:rsidR="006C5822" w:rsidRDefault="006C5822">
      <w:pPr>
        <w:pStyle w:val="TOC1"/>
        <w:rPr>
          <w:rFonts w:asciiTheme="minorHAnsi" w:eastAsiaTheme="minorEastAsia" w:hAnsiTheme="minorHAnsi" w:cstheme="minorBidi"/>
          <w:b w:val="0"/>
          <w:caps w:val="0"/>
          <w:sz w:val="24"/>
        </w:rPr>
      </w:pPr>
      <w:r>
        <w:t>4</w:t>
      </w:r>
      <w:r>
        <w:rPr>
          <w:rFonts w:asciiTheme="minorHAnsi" w:eastAsiaTheme="minorEastAsia" w:hAnsiTheme="minorHAnsi" w:cstheme="minorBidi"/>
          <w:b w:val="0"/>
          <w:caps w:val="0"/>
          <w:sz w:val="24"/>
        </w:rPr>
        <w:tab/>
      </w:r>
      <w:r>
        <w:t>Estimated Non-Defence Halon Availability and Future Requirements</w:t>
      </w:r>
      <w:r>
        <w:tab/>
      </w:r>
      <w:r>
        <w:fldChar w:fldCharType="begin"/>
      </w:r>
      <w:r>
        <w:instrText xml:space="preserve"> PAGEREF _Toc38190349 \h </w:instrText>
      </w:r>
      <w:r>
        <w:fldChar w:fldCharType="separate"/>
      </w:r>
      <w:r w:rsidR="00CF0735">
        <w:t>40</w:t>
      </w:r>
      <w:r>
        <w:fldChar w:fldCharType="end"/>
      </w:r>
    </w:p>
    <w:p w14:paraId="58043C7A" w14:textId="562B53EC" w:rsidR="006C5822" w:rsidRDefault="006C5822">
      <w:pPr>
        <w:pStyle w:val="TOC2"/>
        <w:rPr>
          <w:rFonts w:asciiTheme="minorHAnsi" w:eastAsiaTheme="minorEastAsia" w:hAnsiTheme="minorHAnsi" w:cstheme="minorBidi"/>
          <w:smallCaps w:val="0"/>
          <w:sz w:val="24"/>
        </w:rPr>
      </w:pPr>
      <w:r>
        <w:t>4.1</w:t>
      </w:r>
      <w:r>
        <w:rPr>
          <w:rFonts w:asciiTheme="minorHAnsi" w:eastAsiaTheme="minorEastAsia" w:hAnsiTheme="minorHAnsi" w:cstheme="minorBidi"/>
          <w:smallCaps w:val="0"/>
          <w:sz w:val="24"/>
        </w:rPr>
        <w:tab/>
      </w:r>
      <w:r>
        <w:t>Interviews with Selected Halon Special Permit Holders</w:t>
      </w:r>
      <w:r>
        <w:tab/>
      </w:r>
      <w:r>
        <w:fldChar w:fldCharType="begin"/>
      </w:r>
      <w:r>
        <w:instrText xml:space="preserve"> PAGEREF _Toc38190350 \h </w:instrText>
      </w:r>
      <w:r>
        <w:fldChar w:fldCharType="separate"/>
      </w:r>
      <w:r w:rsidR="00CF0735">
        <w:t>40</w:t>
      </w:r>
      <w:r>
        <w:fldChar w:fldCharType="end"/>
      </w:r>
    </w:p>
    <w:p w14:paraId="3590EFA9" w14:textId="37CB002B" w:rsidR="006C5822" w:rsidRDefault="006C5822">
      <w:pPr>
        <w:pStyle w:val="TOC2"/>
        <w:rPr>
          <w:rFonts w:asciiTheme="minorHAnsi" w:eastAsiaTheme="minorEastAsia" w:hAnsiTheme="minorHAnsi" w:cstheme="minorBidi"/>
          <w:smallCaps w:val="0"/>
          <w:sz w:val="24"/>
        </w:rPr>
      </w:pPr>
      <w:r>
        <w:lastRenderedPageBreak/>
        <w:t>4.2</w:t>
      </w:r>
      <w:r>
        <w:rPr>
          <w:rFonts w:asciiTheme="minorHAnsi" w:eastAsiaTheme="minorEastAsia" w:hAnsiTheme="minorHAnsi" w:cstheme="minorBidi"/>
          <w:smallCaps w:val="0"/>
          <w:sz w:val="24"/>
        </w:rPr>
        <w:tab/>
      </w:r>
      <w:r>
        <w:t>Halon Special Permit Holders’ Statutory Reports and Analysis</w:t>
      </w:r>
      <w:r>
        <w:tab/>
      </w:r>
      <w:r>
        <w:fldChar w:fldCharType="begin"/>
      </w:r>
      <w:r>
        <w:instrText xml:space="preserve"> PAGEREF _Toc38190351 \h </w:instrText>
      </w:r>
      <w:r>
        <w:fldChar w:fldCharType="separate"/>
      </w:r>
      <w:r w:rsidR="00CF0735">
        <w:t>40</w:t>
      </w:r>
      <w:r>
        <w:fldChar w:fldCharType="end"/>
      </w:r>
    </w:p>
    <w:p w14:paraId="1446E9FC" w14:textId="77B4CCEE" w:rsidR="006C5822" w:rsidRDefault="006C5822">
      <w:pPr>
        <w:pStyle w:val="TOC3"/>
        <w:rPr>
          <w:rFonts w:asciiTheme="minorHAnsi" w:eastAsiaTheme="minorEastAsia" w:hAnsiTheme="minorHAnsi" w:cstheme="minorBidi"/>
          <w:i w:val="0"/>
          <w:sz w:val="24"/>
        </w:rPr>
      </w:pPr>
      <w:r>
        <w:t>4.2.1</w:t>
      </w:r>
      <w:r>
        <w:rPr>
          <w:rFonts w:asciiTheme="minorHAnsi" w:eastAsiaTheme="minorEastAsia" w:hAnsiTheme="minorHAnsi" w:cstheme="minorBidi"/>
          <w:i w:val="0"/>
          <w:sz w:val="24"/>
        </w:rPr>
        <w:tab/>
      </w:r>
      <w:r>
        <w:t>Categories of Reported Data of Statutory Reports</w:t>
      </w:r>
      <w:r>
        <w:tab/>
      </w:r>
      <w:r>
        <w:fldChar w:fldCharType="begin"/>
      </w:r>
      <w:r>
        <w:instrText xml:space="preserve"> PAGEREF _Toc38190352 \h </w:instrText>
      </w:r>
      <w:r>
        <w:fldChar w:fldCharType="separate"/>
      </w:r>
      <w:r w:rsidR="00CF0735">
        <w:t>40</w:t>
      </w:r>
      <w:r>
        <w:fldChar w:fldCharType="end"/>
      </w:r>
    </w:p>
    <w:p w14:paraId="7F8B15E0" w14:textId="5EDD04CF" w:rsidR="006C5822" w:rsidRDefault="006C5822">
      <w:pPr>
        <w:pStyle w:val="TOC3"/>
        <w:rPr>
          <w:rFonts w:asciiTheme="minorHAnsi" w:eastAsiaTheme="minorEastAsia" w:hAnsiTheme="minorHAnsi" w:cstheme="minorBidi"/>
          <w:i w:val="0"/>
          <w:sz w:val="24"/>
        </w:rPr>
      </w:pPr>
      <w:r>
        <w:t>4.2.2</w:t>
      </w:r>
      <w:r>
        <w:rPr>
          <w:rFonts w:asciiTheme="minorHAnsi" w:eastAsiaTheme="minorEastAsia" w:hAnsiTheme="minorHAnsi" w:cstheme="minorBidi"/>
          <w:i w:val="0"/>
          <w:sz w:val="24"/>
        </w:rPr>
        <w:tab/>
      </w:r>
      <w:r>
        <w:t>Preliminary Analysis of Halon Special Permit Holders’ Statutory Reports</w:t>
      </w:r>
      <w:r>
        <w:tab/>
      </w:r>
      <w:r>
        <w:fldChar w:fldCharType="begin"/>
      </w:r>
      <w:r>
        <w:instrText xml:space="preserve"> PAGEREF _Toc38190353 \h </w:instrText>
      </w:r>
      <w:r>
        <w:fldChar w:fldCharType="separate"/>
      </w:r>
      <w:r w:rsidR="00CF0735">
        <w:t>41</w:t>
      </w:r>
      <w:r>
        <w:fldChar w:fldCharType="end"/>
      </w:r>
    </w:p>
    <w:p w14:paraId="15D32E76" w14:textId="252F0348" w:rsidR="006C5822" w:rsidRDefault="006C5822">
      <w:pPr>
        <w:pStyle w:val="TOC2"/>
        <w:rPr>
          <w:rFonts w:asciiTheme="minorHAnsi" w:eastAsiaTheme="minorEastAsia" w:hAnsiTheme="minorHAnsi" w:cstheme="minorBidi"/>
          <w:smallCaps w:val="0"/>
          <w:sz w:val="24"/>
        </w:rPr>
      </w:pPr>
      <w:r>
        <w:t>4.3</w:t>
      </w:r>
      <w:r>
        <w:rPr>
          <w:rFonts w:asciiTheme="minorHAnsi" w:eastAsiaTheme="minorEastAsia" w:hAnsiTheme="minorHAnsi" w:cstheme="minorBidi"/>
          <w:smallCaps w:val="0"/>
          <w:sz w:val="24"/>
        </w:rPr>
        <w:tab/>
      </w:r>
      <w:r>
        <w:t>NHB Halon Sales and Halon Special Permit Holder Data</w:t>
      </w:r>
      <w:r>
        <w:tab/>
      </w:r>
      <w:r>
        <w:fldChar w:fldCharType="begin"/>
      </w:r>
      <w:r>
        <w:instrText xml:space="preserve"> PAGEREF _Toc38190354 \h </w:instrText>
      </w:r>
      <w:r>
        <w:fldChar w:fldCharType="separate"/>
      </w:r>
      <w:r w:rsidR="00CF0735">
        <w:t>43</w:t>
      </w:r>
      <w:r>
        <w:fldChar w:fldCharType="end"/>
      </w:r>
    </w:p>
    <w:p w14:paraId="61AA108C" w14:textId="18CB1DEF" w:rsidR="006C5822" w:rsidRDefault="006C5822">
      <w:pPr>
        <w:pStyle w:val="TOC3"/>
        <w:rPr>
          <w:rFonts w:asciiTheme="minorHAnsi" w:eastAsiaTheme="minorEastAsia" w:hAnsiTheme="minorHAnsi" w:cstheme="minorBidi"/>
          <w:i w:val="0"/>
          <w:sz w:val="24"/>
        </w:rPr>
      </w:pPr>
      <w:r>
        <w:t>4.3.1</w:t>
      </w:r>
      <w:r>
        <w:rPr>
          <w:rFonts w:asciiTheme="minorHAnsi" w:eastAsiaTheme="minorEastAsia" w:hAnsiTheme="minorHAnsi" w:cstheme="minorBidi"/>
          <w:i w:val="0"/>
          <w:sz w:val="24"/>
        </w:rPr>
        <w:tab/>
      </w:r>
      <w:r>
        <w:t>Current Availability of NHB Halon for Non-Defence Uses</w:t>
      </w:r>
      <w:r>
        <w:tab/>
      </w:r>
      <w:r>
        <w:fldChar w:fldCharType="begin"/>
      </w:r>
      <w:r>
        <w:instrText xml:space="preserve"> PAGEREF _Toc38190355 \h </w:instrText>
      </w:r>
      <w:r>
        <w:fldChar w:fldCharType="separate"/>
      </w:r>
      <w:r w:rsidR="00CF0735">
        <w:t>45</w:t>
      </w:r>
      <w:r>
        <w:fldChar w:fldCharType="end"/>
      </w:r>
    </w:p>
    <w:p w14:paraId="5449C717" w14:textId="3E2D54E7" w:rsidR="006C5822" w:rsidRDefault="006C5822">
      <w:pPr>
        <w:pStyle w:val="TOC2"/>
        <w:rPr>
          <w:rFonts w:asciiTheme="minorHAnsi" w:eastAsiaTheme="minorEastAsia" w:hAnsiTheme="minorHAnsi" w:cstheme="minorBidi"/>
          <w:smallCaps w:val="0"/>
          <w:sz w:val="24"/>
        </w:rPr>
      </w:pPr>
      <w:r>
        <w:t>4.4</w:t>
      </w:r>
      <w:r>
        <w:rPr>
          <w:rFonts w:asciiTheme="minorHAnsi" w:eastAsiaTheme="minorEastAsia" w:hAnsiTheme="minorHAnsi" w:cstheme="minorBidi"/>
          <w:smallCaps w:val="0"/>
          <w:sz w:val="24"/>
        </w:rPr>
        <w:tab/>
      </w:r>
      <w:r>
        <w:t>Future Halon Requirements for Non-Defence Uses Based on NHB Sales</w:t>
      </w:r>
      <w:r>
        <w:tab/>
      </w:r>
      <w:r>
        <w:fldChar w:fldCharType="begin"/>
      </w:r>
      <w:r>
        <w:instrText xml:space="preserve"> PAGEREF _Toc38190356 \h </w:instrText>
      </w:r>
      <w:r>
        <w:fldChar w:fldCharType="separate"/>
      </w:r>
      <w:r w:rsidR="00CF0735">
        <w:t>46</w:t>
      </w:r>
      <w:r>
        <w:fldChar w:fldCharType="end"/>
      </w:r>
    </w:p>
    <w:p w14:paraId="2D679D57" w14:textId="7CD805B2" w:rsidR="006C5822" w:rsidRDefault="006C5822">
      <w:pPr>
        <w:pStyle w:val="TOC3"/>
        <w:rPr>
          <w:rFonts w:asciiTheme="minorHAnsi" w:eastAsiaTheme="minorEastAsia" w:hAnsiTheme="minorHAnsi" w:cstheme="minorBidi"/>
          <w:i w:val="0"/>
          <w:sz w:val="24"/>
        </w:rPr>
      </w:pPr>
      <w:r>
        <w:t>4.4.1</w:t>
      </w:r>
      <w:r>
        <w:rPr>
          <w:rFonts w:asciiTheme="minorHAnsi" w:eastAsiaTheme="minorEastAsia" w:hAnsiTheme="minorHAnsi" w:cstheme="minorBidi"/>
          <w:i w:val="0"/>
          <w:sz w:val="24"/>
        </w:rPr>
        <w:tab/>
      </w:r>
      <w:r>
        <w:t>Methodology to Forecast Future Halon Requirements Based on NHB Sales</w:t>
      </w:r>
      <w:r>
        <w:tab/>
      </w:r>
      <w:r>
        <w:fldChar w:fldCharType="begin"/>
      </w:r>
      <w:r>
        <w:instrText xml:space="preserve"> PAGEREF _Toc38190357 \h </w:instrText>
      </w:r>
      <w:r>
        <w:fldChar w:fldCharType="separate"/>
      </w:r>
      <w:r w:rsidR="00CF0735">
        <w:t>46</w:t>
      </w:r>
      <w:r>
        <w:fldChar w:fldCharType="end"/>
      </w:r>
    </w:p>
    <w:p w14:paraId="7B0BE03A" w14:textId="17640B4C" w:rsidR="006C5822" w:rsidRDefault="006C5822">
      <w:pPr>
        <w:pStyle w:val="TOC3"/>
        <w:rPr>
          <w:rFonts w:asciiTheme="minorHAnsi" w:eastAsiaTheme="minorEastAsia" w:hAnsiTheme="minorHAnsi" w:cstheme="minorBidi"/>
          <w:i w:val="0"/>
          <w:sz w:val="24"/>
        </w:rPr>
      </w:pPr>
      <w:r>
        <w:t>4.4.2</w:t>
      </w:r>
      <w:r>
        <w:rPr>
          <w:rFonts w:asciiTheme="minorHAnsi" w:eastAsiaTheme="minorEastAsia" w:hAnsiTheme="minorHAnsi" w:cstheme="minorBidi"/>
          <w:i w:val="0"/>
          <w:sz w:val="24"/>
        </w:rPr>
        <w:tab/>
      </w:r>
      <w:r>
        <w:t>Methodology to Forecast Future Halon Requirements Based on Aviation Analysis</w:t>
      </w:r>
      <w:r>
        <w:tab/>
      </w:r>
      <w:r>
        <w:fldChar w:fldCharType="begin"/>
      </w:r>
      <w:r>
        <w:instrText xml:space="preserve"> PAGEREF _Toc38190358 \h </w:instrText>
      </w:r>
      <w:r>
        <w:fldChar w:fldCharType="separate"/>
      </w:r>
      <w:r w:rsidR="00CF0735">
        <w:t>47</w:t>
      </w:r>
      <w:r>
        <w:fldChar w:fldCharType="end"/>
      </w:r>
    </w:p>
    <w:p w14:paraId="11A6182B" w14:textId="7533B82B" w:rsidR="006C5822" w:rsidRDefault="006C5822">
      <w:pPr>
        <w:pStyle w:val="TOC3"/>
        <w:rPr>
          <w:rFonts w:asciiTheme="minorHAnsi" w:eastAsiaTheme="minorEastAsia" w:hAnsiTheme="minorHAnsi" w:cstheme="minorBidi"/>
          <w:i w:val="0"/>
          <w:sz w:val="24"/>
        </w:rPr>
      </w:pPr>
      <w:r>
        <w:t>4.4.3</w:t>
      </w:r>
      <w:r>
        <w:rPr>
          <w:rFonts w:asciiTheme="minorHAnsi" w:eastAsiaTheme="minorEastAsia" w:hAnsiTheme="minorHAnsi" w:cstheme="minorBidi"/>
          <w:i w:val="0"/>
          <w:sz w:val="24"/>
        </w:rPr>
        <w:tab/>
      </w:r>
      <w:r>
        <w:t>General Assumptions</w:t>
      </w:r>
      <w:r>
        <w:tab/>
      </w:r>
      <w:r>
        <w:fldChar w:fldCharType="begin"/>
      </w:r>
      <w:r>
        <w:instrText xml:space="preserve"> PAGEREF _Toc38190359 \h </w:instrText>
      </w:r>
      <w:r>
        <w:fldChar w:fldCharType="separate"/>
      </w:r>
      <w:r w:rsidR="00CF0735">
        <w:t>48</w:t>
      </w:r>
      <w:r>
        <w:fldChar w:fldCharType="end"/>
      </w:r>
    </w:p>
    <w:p w14:paraId="2BF9F048" w14:textId="50FA2F73" w:rsidR="006C5822" w:rsidRDefault="006C5822">
      <w:pPr>
        <w:pStyle w:val="TOC3"/>
        <w:rPr>
          <w:rFonts w:asciiTheme="minorHAnsi" w:eastAsiaTheme="minorEastAsia" w:hAnsiTheme="minorHAnsi" w:cstheme="minorBidi"/>
          <w:i w:val="0"/>
          <w:sz w:val="24"/>
        </w:rPr>
      </w:pPr>
      <w:r>
        <w:t>4.4.4</w:t>
      </w:r>
      <w:r>
        <w:rPr>
          <w:rFonts w:asciiTheme="minorHAnsi" w:eastAsiaTheme="minorEastAsia" w:hAnsiTheme="minorHAnsi" w:cstheme="minorBidi"/>
          <w:i w:val="0"/>
          <w:sz w:val="24"/>
        </w:rPr>
        <w:tab/>
      </w:r>
      <w:r>
        <w:t>Scenarios for halon 1211</w:t>
      </w:r>
      <w:r>
        <w:tab/>
      </w:r>
      <w:r>
        <w:fldChar w:fldCharType="begin"/>
      </w:r>
      <w:r>
        <w:instrText xml:space="preserve"> PAGEREF _Toc38190360 \h </w:instrText>
      </w:r>
      <w:r>
        <w:fldChar w:fldCharType="separate"/>
      </w:r>
      <w:r w:rsidR="00CF0735">
        <w:t>48</w:t>
      </w:r>
      <w:r>
        <w:fldChar w:fldCharType="end"/>
      </w:r>
    </w:p>
    <w:p w14:paraId="2E83B8A6" w14:textId="47A257F0" w:rsidR="006C5822" w:rsidRDefault="006C5822">
      <w:pPr>
        <w:pStyle w:val="TOC3"/>
        <w:rPr>
          <w:rFonts w:asciiTheme="minorHAnsi" w:eastAsiaTheme="minorEastAsia" w:hAnsiTheme="minorHAnsi" w:cstheme="minorBidi"/>
          <w:i w:val="0"/>
          <w:sz w:val="24"/>
        </w:rPr>
      </w:pPr>
      <w:r>
        <w:t>4.4.5</w:t>
      </w:r>
      <w:r>
        <w:rPr>
          <w:rFonts w:asciiTheme="minorHAnsi" w:eastAsiaTheme="minorEastAsia" w:hAnsiTheme="minorHAnsi" w:cstheme="minorBidi"/>
          <w:i w:val="0"/>
          <w:sz w:val="24"/>
        </w:rPr>
        <w:tab/>
      </w:r>
      <w:r>
        <w:t>Scenarios for halon 1301</w:t>
      </w:r>
      <w:r>
        <w:tab/>
      </w:r>
      <w:r>
        <w:fldChar w:fldCharType="begin"/>
      </w:r>
      <w:r>
        <w:instrText xml:space="preserve"> PAGEREF _Toc38190361 \h </w:instrText>
      </w:r>
      <w:r>
        <w:fldChar w:fldCharType="separate"/>
      </w:r>
      <w:r w:rsidR="00CF0735">
        <w:t>49</w:t>
      </w:r>
      <w:r>
        <w:fldChar w:fldCharType="end"/>
      </w:r>
    </w:p>
    <w:p w14:paraId="0E4F7E84" w14:textId="3EEB1E69" w:rsidR="006C5822" w:rsidRDefault="006C5822">
      <w:pPr>
        <w:pStyle w:val="TOC4"/>
        <w:rPr>
          <w:rFonts w:asciiTheme="minorHAnsi" w:eastAsiaTheme="minorEastAsia" w:hAnsiTheme="minorHAnsi" w:cstheme="minorBidi"/>
          <w:sz w:val="24"/>
        </w:rPr>
      </w:pPr>
      <w:r>
        <w:t>4.4.5.1</w:t>
      </w:r>
      <w:r>
        <w:rPr>
          <w:rFonts w:asciiTheme="minorHAnsi" w:eastAsiaTheme="minorEastAsia" w:hAnsiTheme="minorHAnsi" w:cstheme="minorBidi"/>
          <w:sz w:val="24"/>
        </w:rPr>
        <w:tab/>
      </w:r>
      <w:r>
        <w:t>Scenarios for halon 1301: 2025 new design aircraft</w:t>
      </w:r>
      <w:r>
        <w:tab/>
      </w:r>
      <w:r>
        <w:fldChar w:fldCharType="begin"/>
      </w:r>
      <w:r>
        <w:instrText xml:space="preserve"> PAGEREF _Toc38190362 \h </w:instrText>
      </w:r>
      <w:r>
        <w:fldChar w:fldCharType="separate"/>
      </w:r>
      <w:r w:rsidR="00CF0735">
        <w:t>50</w:t>
      </w:r>
      <w:r>
        <w:fldChar w:fldCharType="end"/>
      </w:r>
    </w:p>
    <w:p w14:paraId="1AB54900" w14:textId="0FD52B56" w:rsidR="006C5822" w:rsidRDefault="006C5822">
      <w:pPr>
        <w:pStyle w:val="TOC4"/>
        <w:rPr>
          <w:rFonts w:asciiTheme="minorHAnsi" w:eastAsiaTheme="minorEastAsia" w:hAnsiTheme="minorHAnsi" w:cstheme="minorBidi"/>
          <w:sz w:val="24"/>
        </w:rPr>
      </w:pPr>
      <w:r>
        <w:t>4.4.5.2</w:t>
      </w:r>
      <w:r>
        <w:rPr>
          <w:rFonts w:asciiTheme="minorHAnsi" w:eastAsiaTheme="minorEastAsia" w:hAnsiTheme="minorHAnsi" w:cstheme="minorBidi"/>
          <w:sz w:val="24"/>
        </w:rPr>
        <w:tab/>
      </w:r>
      <w:r>
        <w:t>Scenarios for halon 1301: 2030 new design aircraft</w:t>
      </w:r>
      <w:r>
        <w:tab/>
      </w:r>
      <w:r>
        <w:fldChar w:fldCharType="begin"/>
      </w:r>
      <w:r>
        <w:instrText xml:space="preserve"> PAGEREF _Toc38190363 \h </w:instrText>
      </w:r>
      <w:r>
        <w:fldChar w:fldCharType="separate"/>
      </w:r>
      <w:r w:rsidR="00CF0735">
        <w:t>50</w:t>
      </w:r>
      <w:r>
        <w:fldChar w:fldCharType="end"/>
      </w:r>
    </w:p>
    <w:p w14:paraId="37BE3D92" w14:textId="233D4C5F" w:rsidR="006C5822" w:rsidRDefault="006C5822">
      <w:pPr>
        <w:pStyle w:val="TOC4"/>
        <w:rPr>
          <w:rFonts w:asciiTheme="minorHAnsi" w:eastAsiaTheme="minorEastAsia" w:hAnsiTheme="minorHAnsi" w:cstheme="minorBidi"/>
          <w:sz w:val="24"/>
        </w:rPr>
      </w:pPr>
      <w:r>
        <w:t>4.4.5.3</w:t>
      </w:r>
      <w:r>
        <w:rPr>
          <w:rFonts w:asciiTheme="minorHAnsi" w:eastAsiaTheme="minorEastAsia" w:hAnsiTheme="minorHAnsi" w:cstheme="minorBidi"/>
          <w:sz w:val="24"/>
        </w:rPr>
        <w:tab/>
      </w:r>
      <w:r>
        <w:t>Scenarios for halon 1301: 2035 new design aircraft</w:t>
      </w:r>
      <w:r>
        <w:tab/>
      </w:r>
      <w:r>
        <w:fldChar w:fldCharType="begin"/>
      </w:r>
      <w:r>
        <w:instrText xml:space="preserve"> PAGEREF _Toc38190364 \h </w:instrText>
      </w:r>
      <w:r>
        <w:fldChar w:fldCharType="separate"/>
      </w:r>
      <w:r w:rsidR="00CF0735">
        <w:t>51</w:t>
      </w:r>
      <w:r>
        <w:fldChar w:fldCharType="end"/>
      </w:r>
    </w:p>
    <w:p w14:paraId="184CE933" w14:textId="17A04D52" w:rsidR="006C5822" w:rsidRDefault="006C5822">
      <w:pPr>
        <w:pStyle w:val="TOC4"/>
        <w:rPr>
          <w:rFonts w:asciiTheme="minorHAnsi" w:eastAsiaTheme="minorEastAsia" w:hAnsiTheme="minorHAnsi" w:cstheme="minorBidi"/>
          <w:sz w:val="24"/>
        </w:rPr>
      </w:pPr>
      <w:r>
        <w:t>4.4.5.4</w:t>
      </w:r>
      <w:r>
        <w:rPr>
          <w:rFonts w:asciiTheme="minorHAnsi" w:eastAsiaTheme="minorEastAsia" w:hAnsiTheme="minorHAnsi" w:cstheme="minorBidi"/>
          <w:sz w:val="24"/>
        </w:rPr>
        <w:tab/>
      </w:r>
      <w:r>
        <w:t>Scenarios for halon 1301: 2040 new design aircraft</w:t>
      </w:r>
      <w:r>
        <w:tab/>
      </w:r>
      <w:r>
        <w:fldChar w:fldCharType="begin"/>
      </w:r>
      <w:r>
        <w:instrText xml:space="preserve"> PAGEREF _Toc38190365 \h </w:instrText>
      </w:r>
      <w:r>
        <w:fldChar w:fldCharType="separate"/>
      </w:r>
      <w:r w:rsidR="00CF0735">
        <w:t>52</w:t>
      </w:r>
      <w:r>
        <w:fldChar w:fldCharType="end"/>
      </w:r>
    </w:p>
    <w:p w14:paraId="599B173A" w14:textId="03AD5204" w:rsidR="006C5822" w:rsidRDefault="006C5822">
      <w:pPr>
        <w:pStyle w:val="TOC3"/>
        <w:rPr>
          <w:rFonts w:asciiTheme="minorHAnsi" w:eastAsiaTheme="minorEastAsia" w:hAnsiTheme="minorHAnsi" w:cstheme="minorBidi"/>
          <w:i w:val="0"/>
          <w:sz w:val="24"/>
        </w:rPr>
      </w:pPr>
      <w:r>
        <w:t>4.4.6</w:t>
      </w:r>
      <w:r>
        <w:rPr>
          <w:rFonts w:asciiTheme="minorHAnsi" w:eastAsiaTheme="minorEastAsia" w:hAnsiTheme="minorHAnsi" w:cstheme="minorBidi"/>
          <w:i w:val="0"/>
          <w:sz w:val="24"/>
        </w:rPr>
        <w:tab/>
      </w:r>
      <w:r>
        <w:t>Estimated Future Halon Requirements for Non-Defence Uses</w:t>
      </w:r>
      <w:r>
        <w:tab/>
      </w:r>
      <w:r>
        <w:fldChar w:fldCharType="begin"/>
      </w:r>
      <w:r>
        <w:instrText xml:space="preserve"> PAGEREF _Toc38190366 \h </w:instrText>
      </w:r>
      <w:r>
        <w:fldChar w:fldCharType="separate"/>
      </w:r>
      <w:r w:rsidR="00CF0735">
        <w:t>53</w:t>
      </w:r>
      <w:r>
        <w:fldChar w:fldCharType="end"/>
      </w:r>
    </w:p>
    <w:p w14:paraId="2DD6F3C6" w14:textId="6E45C1A2" w:rsidR="006C5822" w:rsidRDefault="006C5822">
      <w:pPr>
        <w:pStyle w:val="TOC3"/>
        <w:rPr>
          <w:rFonts w:asciiTheme="minorHAnsi" w:eastAsiaTheme="minorEastAsia" w:hAnsiTheme="minorHAnsi" w:cstheme="minorBidi"/>
          <w:i w:val="0"/>
          <w:sz w:val="24"/>
        </w:rPr>
      </w:pPr>
      <w:r>
        <w:t>4.4.7</w:t>
      </w:r>
      <w:r>
        <w:rPr>
          <w:rFonts w:asciiTheme="minorHAnsi" w:eastAsiaTheme="minorEastAsia" w:hAnsiTheme="minorHAnsi" w:cstheme="minorBidi"/>
          <w:i w:val="0"/>
          <w:sz w:val="24"/>
        </w:rPr>
        <w:tab/>
      </w:r>
      <w:r>
        <w:t>Halon Quantity and Quality</w:t>
      </w:r>
      <w:r>
        <w:tab/>
      </w:r>
      <w:r>
        <w:fldChar w:fldCharType="begin"/>
      </w:r>
      <w:r>
        <w:instrText xml:space="preserve"> PAGEREF _Toc38190367 \h </w:instrText>
      </w:r>
      <w:r>
        <w:fldChar w:fldCharType="separate"/>
      </w:r>
      <w:r w:rsidR="00CF0735">
        <w:t>63</w:t>
      </w:r>
      <w:r>
        <w:fldChar w:fldCharType="end"/>
      </w:r>
    </w:p>
    <w:p w14:paraId="2A52B565" w14:textId="0EE77291" w:rsidR="006C5822" w:rsidRDefault="006C5822">
      <w:pPr>
        <w:pStyle w:val="TOC1"/>
        <w:rPr>
          <w:rFonts w:asciiTheme="minorHAnsi" w:eastAsiaTheme="minorEastAsia" w:hAnsiTheme="minorHAnsi" w:cstheme="minorBidi"/>
          <w:b w:val="0"/>
          <w:caps w:val="0"/>
          <w:sz w:val="24"/>
        </w:rPr>
      </w:pPr>
      <w:r>
        <w:t>5</w:t>
      </w:r>
      <w:r>
        <w:rPr>
          <w:rFonts w:asciiTheme="minorHAnsi" w:eastAsiaTheme="minorEastAsia" w:hAnsiTheme="minorHAnsi" w:cstheme="minorBidi"/>
          <w:b w:val="0"/>
          <w:caps w:val="0"/>
          <w:sz w:val="24"/>
        </w:rPr>
        <w:tab/>
      </w:r>
      <w:r>
        <w:t>International Sale Price of Halon</w:t>
      </w:r>
      <w:r>
        <w:tab/>
      </w:r>
      <w:r>
        <w:fldChar w:fldCharType="begin"/>
      </w:r>
      <w:r>
        <w:instrText xml:space="preserve"> PAGEREF _Toc38190368 \h </w:instrText>
      </w:r>
      <w:r>
        <w:fldChar w:fldCharType="separate"/>
      </w:r>
      <w:r w:rsidR="00CF0735">
        <w:t>65</w:t>
      </w:r>
      <w:r>
        <w:fldChar w:fldCharType="end"/>
      </w:r>
    </w:p>
    <w:p w14:paraId="42059B97" w14:textId="349738A9" w:rsidR="006C5822" w:rsidRDefault="006C5822">
      <w:pPr>
        <w:pStyle w:val="TOC2"/>
        <w:rPr>
          <w:rFonts w:asciiTheme="minorHAnsi" w:eastAsiaTheme="minorEastAsia" w:hAnsiTheme="minorHAnsi" w:cstheme="minorBidi"/>
          <w:smallCaps w:val="0"/>
          <w:sz w:val="24"/>
        </w:rPr>
      </w:pPr>
      <w:r>
        <w:t>5.1</w:t>
      </w:r>
      <w:r>
        <w:rPr>
          <w:rFonts w:asciiTheme="minorHAnsi" w:eastAsiaTheme="minorEastAsia" w:hAnsiTheme="minorHAnsi" w:cstheme="minorBidi"/>
          <w:smallCaps w:val="0"/>
          <w:sz w:val="24"/>
        </w:rPr>
        <w:tab/>
      </w:r>
      <w:r>
        <w:t>Sale Price of Halon 1301</w:t>
      </w:r>
      <w:r>
        <w:tab/>
      </w:r>
      <w:r>
        <w:fldChar w:fldCharType="begin"/>
      </w:r>
      <w:r>
        <w:instrText xml:space="preserve"> PAGEREF _Toc38190369 \h </w:instrText>
      </w:r>
      <w:r>
        <w:fldChar w:fldCharType="separate"/>
      </w:r>
      <w:r w:rsidR="00CF0735">
        <w:t>65</w:t>
      </w:r>
      <w:r>
        <w:fldChar w:fldCharType="end"/>
      </w:r>
    </w:p>
    <w:p w14:paraId="6C2EB6A9" w14:textId="56092AC2" w:rsidR="006C5822" w:rsidRDefault="006C5822">
      <w:pPr>
        <w:pStyle w:val="TOC2"/>
        <w:rPr>
          <w:rFonts w:asciiTheme="minorHAnsi" w:eastAsiaTheme="minorEastAsia" w:hAnsiTheme="minorHAnsi" w:cstheme="minorBidi"/>
          <w:smallCaps w:val="0"/>
          <w:sz w:val="24"/>
        </w:rPr>
      </w:pPr>
      <w:r>
        <w:t>5.2</w:t>
      </w:r>
      <w:r>
        <w:rPr>
          <w:rFonts w:asciiTheme="minorHAnsi" w:eastAsiaTheme="minorEastAsia" w:hAnsiTheme="minorHAnsi" w:cstheme="minorBidi"/>
          <w:smallCaps w:val="0"/>
          <w:sz w:val="24"/>
        </w:rPr>
        <w:tab/>
      </w:r>
      <w:r>
        <w:t>Sale Price of Halon 1211</w:t>
      </w:r>
      <w:r>
        <w:tab/>
      </w:r>
      <w:r>
        <w:fldChar w:fldCharType="begin"/>
      </w:r>
      <w:r>
        <w:instrText xml:space="preserve"> PAGEREF _Toc38190370 \h </w:instrText>
      </w:r>
      <w:r>
        <w:fldChar w:fldCharType="separate"/>
      </w:r>
      <w:r w:rsidR="00CF0735">
        <w:t>66</w:t>
      </w:r>
      <w:r>
        <w:fldChar w:fldCharType="end"/>
      </w:r>
    </w:p>
    <w:p w14:paraId="5722642F" w14:textId="5A394377" w:rsidR="006C5822" w:rsidRDefault="006C5822">
      <w:pPr>
        <w:pStyle w:val="TOC1"/>
        <w:rPr>
          <w:rFonts w:asciiTheme="minorHAnsi" w:eastAsiaTheme="minorEastAsia" w:hAnsiTheme="minorHAnsi" w:cstheme="minorBidi"/>
          <w:b w:val="0"/>
          <w:caps w:val="0"/>
          <w:sz w:val="24"/>
        </w:rPr>
      </w:pPr>
      <w:r w:rsidRPr="00053FC2">
        <w:rPr>
          <w:color w:val="000000"/>
          <w:lang w:val="en-GB" w:eastAsia="zh-CN"/>
        </w:rPr>
        <w:t>6</w:t>
      </w:r>
      <w:r>
        <w:rPr>
          <w:rFonts w:asciiTheme="minorHAnsi" w:eastAsiaTheme="minorEastAsia" w:hAnsiTheme="minorHAnsi" w:cstheme="minorBidi"/>
          <w:b w:val="0"/>
          <w:caps w:val="0"/>
          <w:sz w:val="24"/>
        </w:rPr>
        <w:tab/>
      </w:r>
      <w:r w:rsidRPr="00053FC2">
        <w:rPr>
          <w:color w:val="000000"/>
          <w:lang w:val="en-GB" w:eastAsia="zh-CN"/>
        </w:rPr>
        <w:t>Recommendations</w:t>
      </w:r>
      <w:r>
        <w:tab/>
      </w:r>
      <w:r>
        <w:fldChar w:fldCharType="begin"/>
      </w:r>
      <w:r>
        <w:instrText xml:space="preserve"> PAGEREF _Toc38190371 \h </w:instrText>
      </w:r>
      <w:r>
        <w:fldChar w:fldCharType="separate"/>
      </w:r>
      <w:r w:rsidR="00CF0735">
        <w:t>67</w:t>
      </w:r>
      <w:r>
        <w:fldChar w:fldCharType="end"/>
      </w:r>
    </w:p>
    <w:p w14:paraId="5BA6ED16" w14:textId="77777777" w:rsidR="009F643E" w:rsidRPr="002518AB" w:rsidRDefault="00E36A53" w:rsidP="00BD75CA">
      <w:pPr>
        <w:pStyle w:val="TOC2"/>
        <w:tabs>
          <w:tab w:val="left" w:pos="728"/>
        </w:tabs>
      </w:pPr>
      <w:r w:rsidRPr="002518AB">
        <w:fldChar w:fldCharType="end"/>
      </w:r>
    </w:p>
    <w:p w14:paraId="2DE25AB5" w14:textId="77777777" w:rsidR="00A35EE1" w:rsidRPr="002518AB" w:rsidRDefault="00A35EE1" w:rsidP="00F579E3">
      <w:pPr>
        <w:pStyle w:val="Heading1"/>
        <w:sectPr w:rsidR="00A35EE1" w:rsidRPr="002518AB" w:rsidSect="002E3FEE">
          <w:headerReference w:type="even" r:id="rId19"/>
          <w:headerReference w:type="default" r:id="rId20"/>
          <w:footerReference w:type="default" r:id="rId21"/>
          <w:headerReference w:type="first" r:id="rId22"/>
          <w:pgSz w:w="11899" w:h="16838" w:code="1"/>
          <w:pgMar w:top="1440" w:right="1800" w:bottom="1526" w:left="1800" w:header="720" w:footer="792" w:gutter="0"/>
          <w:pgNumType w:fmt="lowerRoman" w:start="1"/>
          <w:cols w:space="720"/>
        </w:sectPr>
      </w:pPr>
    </w:p>
    <w:p w14:paraId="6EAE7768" w14:textId="75799F97" w:rsidR="00543957" w:rsidRDefault="00DF6E20" w:rsidP="00DF6E20">
      <w:pPr>
        <w:pStyle w:val="Heading1"/>
        <w:numPr>
          <w:ilvl w:val="0"/>
          <w:numId w:val="0"/>
        </w:numPr>
      </w:pPr>
      <w:bookmarkStart w:id="1" w:name="_Toc38190310"/>
      <w:r>
        <w:lastRenderedPageBreak/>
        <w:t>Executive Summary</w:t>
      </w:r>
      <w:bookmarkEnd w:id="1"/>
    </w:p>
    <w:p w14:paraId="7059CA88" w14:textId="57EE338A" w:rsidR="008444C7" w:rsidRDefault="008444C7" w:rsidP="00331E4C">
      <w:pPr>
        <w:pStyle w:val="BodyText10"/>
      </w:pPr>
      <w:r w:rsidRPr="0010298D">
        <w:t xml:space="preserve">Halons are </w:t>
      </w:r>
      <w:r w:rsidR="000C662B">
        <w:t xml:space="preserve">highly effective </w:t>
      </w:r>
      <w:r w:rsidRPr="0010298D">
        <w:t>fire-fighting agents that were introduced into Australia in the early 1970s. Halon 1211 was commonly used in portable fire extinguishers</w:t>
      </w:r>
      <w:r w:rsidR="00681F94">
        <w:t>,</w:t>
      </w:r>
      <w:r w:rsidRPr="0010298D">
        <w:t xml:space="preserve"> and halon 1301 was used for fixed fire protection systems. </w:t>
      </w:r>
      <w:r>
        <w:t>Halons are brominated halocarbons that are highly potent ozone-depleting chemicals.</w:t>
      </w:r>
    </w:p>
    <w:p w14:paraId="1C1FCA81" w14:textId="0B6FEA82" w:rsidR="00B64E74" w:rsidRDefault="00331E4C" w:rsidP="00331E4C">
      <w:pPr>
        <w:pStyle w:val="BodyText10"/>
      </w:pPr>
      <w:r w:rsidRPr="004E7808">
        <w:t xml:space="preserve">The </w:t>
      </w:r>
      <w:r>
        <w:t xml:space="preserve">Australian Government </w:t>
      </w:r>
      <w:r w:rsidRPr="004E7808">
        <w:t xml:space="preserve">Department </w:t>
      </w:r>
      <w:r>
        <w:t>of Agriculture, Water and the Environment (the Department) sought</w:t>
      </w:r>
      <w:r w:rsidRPr="004E7808">
        <w:t xml:space="preserve"> </w:t>
      </w:r>
      <w:r>
        <w:t xml:space="preserve">consultancy services to </w:t>
      </w:r>
      <w:r w:rsidRPr="004E7808">
        <w:t>advi</w:t>
      </w:r>
      <w:r>
        <w:t>s</w:t>
      </w:r>
      <w:r w:rsidRPr="004E7808">
        <w:t xml:space="preserve">e </w:t>
      </w:r>
      <w:r>
        <w:t xml:space="preserve">it </w:t>
      </w:r>
      <w:r w:rsidRPr="004E7808">
        <w:t>on non-defence</w:t>
      </w:r>
      <w:r>
        <w:t xml:space="preserve"> </w:t>
      </w:r>
      <w:r w:rsidRPr="004E7808">
        <w:t xml:space="preserve">halon uses, </w:t>
      </w:r>
      <w:r>
        <w:t>including</w:t>
      </w:r>
      <w:r w:rsidRPr="004E7808">
        <w:t xml:space="preserve"> current </w:t>
      </w:r>
      <w:r>
        <w:t xml:space="preserve">and </w:t>
      </w:r>
      <w:r w:rsidRPr="004E7808">
        <w:t xml:space="preserve">future trends </w:t>
      </w:r>
      <w:r>
        <w:t xml:space="preserve">in </w:t>
      </w:r>
      <w:r w:rsidRPr="004E7808">
        <w:t xml:space="preserve">halon use, and </w:t>
      </w:r>
      <w:r>
        <w:t xml:space="preserve">likely </w:t>
      </w:r>
      <w:r w:rsidRPr="004E7808">
        <w:t xml:space="preserve">future </w:t>
      </w:r>
      <w:r>
        <w:t xml:space="preserve">domestic </w:t>
      </w:r>
      <w:r w:rsidRPr="004E7808">
        <w:t>halon demand</w:t>
      </w:r>
      <w:r w:rsidR="00474AB2">
        <w:t xml:space="preserve"> until</w:t>
      </w:r>
      <w:r w:rsidR="00140A17">
        <w:t xml:space="preserve"> halon is no longer needed</w:t>
      </w:r>
      <w:r w:rsidRPr="004E7808">
        <w:t>.</w:t>
      </w:r>
      <w:r>
        <w:t xml:space="preserve"> </w:t>
      </w:r>
    </w:p>
    <w:p w14:paraId="6D39D79E" w14:textId="34321782" w:rsidR="007B1FE0" w:rsidRDefault="003327B0" w:rsidP="00331E4C">
      <w:pPr>
        <w:pStyle w:val="BodyText10"/>
      </w:pPr>
      <w:r>
        <w:rPr>
          <w:lang w:val="en-AU"/>
        </w:rPr>
        <w:t>The Montreal Protocol</w:t>
      </w:r>
      <w:r>
        <w:t xml:space="preserve"> </w:t>
      </w:r>
      <w:r w:rsidRPr="004E7808">
        <w:t xml:space="preserve">on Substances that Deplete the Ozone Layer </w:t>
      </w:r>
      <w:r w:rsidRPr="00BB0B1F">
        <w:t xml:space="preserve">is </w:t>
      </w:r>
      <w:r w:rsidRPr="006C4E96">
        <w:t xml:space="preserve">a global agreement to protect the Earth’s ozone layer by phasing out the chemicals that </w:t>
      </w:r>
      <w:r>
        <w:t>destroy stratospheric ozone. The Protocol phased out t</w:t>
      </w:r>
      <w:r w:rsidRPr="0010298D">
        <w:t>he production</w:t>
      </w:r>
      <w:r w:rsidR="00822E02">
        <w:t>,</w:t>
      </w:r>
      <w:r w:rsidRPr="0010298D">
        <w:t xml:space="preserve"> </w:t>
      </w:r>
      <w:r>
        <w:t xml:space="preserve">import and export </w:t>
      </w:r>
      <w:r w:rsidRPr="0010298D">
        <w:t>of ozone-depleting halons</w:t>
      </w:r>
      <w:r w:rsidRPr="00BE54C2">
        <w:t xml:space="preserve"> in non-Article 5 parties</w:t>
      </w:r>
      <w:r>
        <w:t xml:space="preserve"> (developed countries)</w:t>
      </w:r>
      <w:r w:rsidRPr="00BE54C2">
        <w:t xml:space="preserve"> </w:t>
      </w:r>
      <w:r w:rsidR="00760CDB" w:rsidRPr="00BE54C2">
        <w:t xml:space="preserve">in 1994 </w:t>
      </w:r>
      <w:r w:rsidRPr="00BE54C2">
        <w:t>and in Article 5 parties</w:t>
      </w:r>
      <w:r>
        <w:t xml:space="preserve"> (developing countries</w:t>
      </w:r>
      <w:r w:rsidR="00760CDB">
        <w:t>)</w:t>
      </w:r>
      <w:r w:rsidR="00822E02" w:rsidRPr="00822E02">
        <w:t xml:space="preserve"> </w:t>
      </w:r>
      <w:r w:rsidR="00822E02" w:rsidRPr="00BE54C2">
        <w:t>in 2000</w:t>
      </w:r>
      <w:r>
        <w:t xml:space="preserve">. </w:t>
      </w:r>
      <w:r w:rsidR="007B1FE0">
        <w:t>The Montreal Protocol control measures relate to newly manufactured halon not to recycled or reused halon, which h</w:t>
      </w:r>
      <w:r w:rsidR="000563BA">
        <w:t>as been the source of all halon for remaining critical fire protection applications whe</w:t>
      </w:r>
      <w:r w:rsidR="00CB7362">
        <w:t>n</w:t>
      </w:r>
      <w:r w:rsidR="000563BA">
        <w:t xml:space="preserve"> alternative</w:t>
      </w:r>
      <w:r w:rsidR="002874FE">
        <w:t>s</w:t>
      </w:r>
      <w:r w:rsidR="000563BA">
        <w:t xml:space="preserve"> to using halon </w:t>
      </w:r>
      <w:r w:rsidR="00CB7362">
        <w:t>have been</w:t>
      </w:r>
      <w:r w:rsidR="002874FE">
        <w:t xml:space="preserve"> unavailable</w:t>
      </w:r>
      <w:r w:rsidR="00CB7362">
        <w:t xml:space="preserve"> since the phase-out</w:t>
      </w:r>
      <w:r w:rsidR="007B1FE0">
        <w:t xml:space="preserve">. </w:t>
      </w:r>
    </w:p>
    <w:p w14:paraId="3D6D070F" w14:textId="1CA8C44D" w:rsidR="00FE1375" w:rsidRPr="00DF6E20" w:rsidRDefault="00FE1375" w:rsidP="00FE1375">
      <w:pPr>
        <w:pStyle w:val="BodyText10"/>
      </w:pPr>
      <w:r>
        <w:rPr>
          <w:lang w:val="en-US"/>
        </w:rPr>
        <w:t>T</w:t>
      </w:r>
      <w:r w:rsidRPr="002359AC">
        <w:rPr>
          <w:lang w:val="en-US"/>
        </w:rPr>
        <w:t>he Department</w:t>
      </w:r>
      <w:r w:rsidRPr="002359AC">
        <w:t xml:space="preserve"> manages a strategic </w:t>
      </w:r>
      <w:r>
        <w:t xml:space="preserve">halon </w:t>
      </w:r>
      <w:r w:rsidRPr="002359AC">
        <w:t xml:space="preserve">stockpile </w:t>
      </w:r>
      <w:r w:rsidRPr="000E2644">
        <w:rPr>
          <w:lang w:val="en-AU"/>
        </w:rPr>
        <w:t>originat</w:t>
      </w:r>
      <w:r>
        <w:rPr>
          <w:lang w:val="en-AU"/>
        </w:rPr>
        <w:t>ing</w:t>
      </w:r>
      <w:r w:rsidRPr="000E2644">
        <w:rPr>
          <w:lang w:val="en-AU"/>
        </w:rPr>
        <w:t xml:space="preserve"> from </w:t>
      </w:r>
      <w:r>
        <w:rPr>
          <w:lang w:val="en-AU"/>
        </w:rPr>
        <w:t>surplus</w:t>
      </w:r>
      <w:r w:rsidRPr="000E2644">
        <w:rPr>
          <w:lang w:val="en-AU"/>
        </w:rPr>
        <w:t xml:space="preserve"> halon</w:t>
      </w:r>
      <w:r>
        <w:rPr>
          <w:lang w:val="en-AU"/>
        </w:rPr>
        <w:t>s</w:t>
      </w:r>
      <w:r w:rsidRPr="000E2644">
        <w:rPr>
          <w:lang w:val="en-AU"/>
        </w:rPr>
        <w:t xml:space="preserve"> recovered from decommissioned </w:t>
      </w:r>
      <w:r>
        <w:rPr>
          <w:lang w:val="en-AU"/>
        </w:rPr>
        <w:t xml:space="preserve">halon equipment and </w:t>
      </w:r>
      <w:r w:rsidRPr="000E2644">
        <w:rPr>
          <w:lang w:val="en-AU"/>
        </w:rPr>
        <w:t>systems in Australia</w:t>
      </w:r>
      <w:r w:rsidRPr="002359AC">
        <w:t xml:space="preserve">. The National Halon Bank (NHB) was established in 1993 to maintain a bank of halons (halon 1211 and halon 1301) for Australia’s </w:t>
      </w:r>
      <w:r>
        <w:t xml:space="preserve">future </w:t>
      </w:r>
      <w:r w:rsidRPr="002359AC">
        <w:t xml:space="preserve">strategic </w:t>
      </w:r>
      <w:r w:rsidR="009726FC">
        <w:t xml:space="preserve">non-defence </w:t>
      </w:r>
      <w:r w:rsidRPr="002359AC">
        <w:t>requirements</w:t>
      </w:r>
      <w:r>
        <w:t xml:space="preserve"> until the transition to halon alternatives is completed</w:t>
      </w:r>
      <w:r w:rsidRPr="002359AC">
        <w:t>.</w:t>
      </w:r>
    </w:p>
    <w:p w14:paraId="425E7A5E" w14:textId="43FD7F90" w:rsidR="000D0DC0" w:rsidRDefault="00FE1375" w:rsidP="00331E4C">
      <w:pPr>
        <w:pStyle w:val="BodyText10"/>
      </w:pPr>
      <w:r w:rsidRPr="002359AC">
        <w:t xml:space="preserve">Globally, alternatives </w:t>
      </w:r>
      <w:r>
        <w:t xml:space="preserve">to halons </w:t>
      </w:r>
      <w:r w:rsidRPr="002359AC">
        <w:t>are now available for most, but not all, halon applications.</w:t>
      </w:r>
      <w:r w:rsidR="00F10700">
        <w:t xml:space="preserve"> </w:t>
      </w:r>
      <w:r w:rsidRPr="002359AC">
        <w:t xml:space="preserve">Since the mid-1990s, most halon </w:t>
      </w:r>
      <w:r>
        <w:t xml:space="preserve">equipment and </w:t>
      </w:r>
      <w:r w:rsidRPr="002359AC">
        <w:t>systems in Australia have been replaced or decommissioned.</w:t>
      </w:r>
      <w:r w:rsidR="008719DF">
        <w:t xml:space="preserve"> </w:t>
      </w:r>
      <w:r w:rsidR="000D0DC0">
        <w:t>The r</w:t>
      </w:r>
      <w:r w:rsidR="000D0DC0" w:rsidRPr="00F97402">
        <w:t xml:space="preserve">emaining major halon uses in Australia are in civil aviation and defence applications. </w:t>
      </w:r>
    </w:p>
    <w:p w14:paraId="540BEBB9" w14:textId="4C14AC56" w:rsidR="000D0DC0" w:rsidRDefault="004629DA" w:rsidP="00331E4C">
      <w:pPr>
        <w:pStyle w:val="BodyText10"/>
      </w:pPr>
      <w:r>
        <w:t>Civil a</w:t>
      </w:r>
      <w:r w:rsidR="008719DF" w:rsidRPr="00F97402">
        <w:t xml:space="preserve">viation is the largest on-going </w:t>
      </w:r>
      <w:r w:rsidR="008719DF">
        <w:t>non-defence</w:t>
      </w:r>
      <w:r w:rsidR="008719DF" w:rsidRPr="00F97402">
        <w:t xml:space="preserve"> application for halon. Progress has been made on </w:t>
      </w:r>
      <w:r w:rsidR="008719DF">
        <w:t xml:space="preserve">halon </w:t>
      </w:r>
      <w:r w:rsidR="008719DF" w:rsidRPr="00F97402">
        <w:t>replacements for handheld extinguishers and lavatory extinguisher (lavex) receptacles</w:t>
      </w:r>
      <w:r w:rsidR="00062FE4">
        <w:t xml:space="preserve"> on aircraft. However</w:t>
      </w:r>
      <w:r w:rsidR="008719DF" w:rsidRPr="00F97402">
        <w:t>, little progress has been made on engine nacelles/auxiliary power units (APU</w:t>
      </w:r>
      <w:r w:rsidR="008719DF">
        <w:t>s</w:t>
      </w:r>
      <w:r w:rsidR="008719DF" w:rsidRPr="00F97402">
        <w:t xml:space="preserve">) or cargo compartment </w:t>
      </w:r>
      <w:r w:rsidR="008719DF">
        <w:t xml:space="preserve">halon </w:t>
      </w:r>
      <w:r w:rsidR="008719DF" w:rsidRPr="00F97402">
        <w:t>fire protection systems, where still no practical alternatives have been found to be acceptable.</w:t>
      </w:r>
      <w:r w:rsidR="008719DF">
        <w:t xml:space="preserve"> In the last five years, transnational consortia of aircraft manufacturers and stakeholders have been established to accelerate the development of halon alternatives for the remaining aviation applications</w:t>
      </w:r>
      <w:r w:rsidR="00062FE4">
        <w:t>.</w:t>
      </w:r>
      <w:r w:rsidR="00137319">
        <w:t xml:space="preserve"> </w:t>
      </w:r>
      <w:r w:rsidR="00137319" w:rsidRPr="00F97402">
        <w:t>Most maritime applications have been, or are in the process of being, replaced by alternatives</w:t>
      </w:r>
      <w:r w:rsidR="00137319">
        <w:t xml:space="preserve"> to halons</w:t>
      </w:r>
      <w:r w:rsidR="00137319" w:rsidRPr="005E3915">
        <w:t xml:space="preserve">. </w:t>
      </w:r>
    </w:p>
    <w:p w14:paraId="131DE13E" w14:textId="35CB1250" w:rsidR="00FE1375" w:rsidRDefault="006071CF" w:rsidP="00331E4C">
      <w:pPr>
        <w:pStyle w:val="BodyText10"/>
      </w:pPr>
      <w:r w:rsidRPr="008166CE">
        <w:t xml:space="preserve">Defence </w:t>
      </w:r>
      <w:r w:rsidR="00095240" w:rsidRPr="008166CE">
        <w:t xml:space="preserve">halon usage and </w:t>
      </w:r>
      <w:r w:rsidRPr="008166CE">
        <w:t xml:space="preserve">future halon requirements have been addressed </w:t>
      </w:r>
      <w:r w:rsidRPr="008166CE">
        <w:lastRenderedPageBreak/>
        <w:t>separately.</w:t>
      </w:r>
    </w:p>
    <w:p w14:paraId="3E5A5E36" w14:textId="4A8A59B5" w:rsidR="00062FE4" w:rsidRDefault="00062FE4" w:rsidP="00062FE4">
      <w:pPr>
        <w:pStyle w:val="BodyText10"/>
      </w:pPr>
      <w:r>
        <w:t>A key issue for the Department, and stakeholders still reliant on halons, is whether there will be adequate halon to supply Australia’s future requirements until halon alternatives have replaced remaining halon uses.</w:t>
      </w:r>
    </w:p>
    <w:p w14:paraId="43073F0C" w14:textId="38A05C02" w:rsidR="00062FE4" w:rsidRDefault="009D1910" w:rsidP="00331E4C">
      <w:pPr>
        <w:pStyle w:val="BodyText10"/>
      </w:pPr>
      <w:r>
        <w:t xml:space="preserve">Future halon requirements for non-defence uses have been estimated based </w:t>
      </w:r>
      <w:r w:rsidR="001C05A6">
        <w:t xml:space="preserve">on </w:t>
      </w:r>
      <w:r>
        <w:t xml:space="preserve">NHB halon sales data and </w:t>
      </w:r>
      <w:r w:rsidR="001C05A6">
        <w:t>an</w:t>
      </w:r>
      <w:r>
        <w:t xml:space="preserve"> aviation </w:t>
      </w:r>
      <w:r w:rsidR="001C05A6">
        <w:t xml:space="preserve">halon </w:t>
      </w:r>
      <w:r>
        <w:t xml:space="preserve">inventory </w:t>
      </w:r>
      <w:r w:rsidR="001C05A6">
        <w:t>using</w:t>
      </w:r>
      <w:r>
        <w:t xml:space="preserve"> methodology</w:t>
      </w:r>
      <w:r w:rsidR="001C05A6">
        <w:t>,</w:t>
      </w:r>
      <w:r>
        <w:t xml:space="preserve"> </w:t>
      </w:r>
      <w:r w:rsidR="001C05A6">
        <w:t xml:space="preserve">scenarios and </w:t>
      </w:r>
      <w:r>
        <w:t>assumptions outlined</w:t>
      </w:r>
      <w:r w:rsidR="001C05A6">
        <w:t xml:space="preserve"> in </w:t>
      </w:r>
      <w:r w:rsidR="005A21F4">
        <w:t xml:space="preserve">this </w:t>
      </w:r>
      <w:r w:rsidR="001C05A6">
        <w:t>report.</w:t>
      </w:r>
    </w:p>
    <w:p w14:paraId="47EB0643" w14:textId="264D1FFA" w:rsidR="000F5464" w:rsidRDefault="003D1A28" w:rsidP="000F5464">
      <w:pPr>
        <w:pStyle w:val="BodyText10"/>
      </w:pPr>
      <w:r>
        <w:t>For halon 1211, based on NHB sales analysis, between 7.01 and 10.35 tonnes</w:t>
      </w:r>
      <w:r w:rsidR="00BB76CC">
        <w:t>, depending on aircraft lifetime variables,</w:t>
      </w:r>
      <w:r>
        <w:t xml:space="preserve"> are estimated to be needed to supply non-defence uses until </w:t>
      </w:r>
      <w:r w:rsidR="00BB76CC">
        <w:t>halon 1211 is no longer required</w:t>
      </w:r>
      <w:r>
        <w:t>. Based on the aviation inventory analysis, between 4.12 and 6.17 tonnes halon 1211</w:t>
      </w:r>
      <w:r w:rsidR="00047419">
        <w:t>, depending on aircraft lifetime variables</w:t>
      </w:r>
      <w:r w:rsidR="00371165">
        <w:t>,</w:t>
      </w:r>
      <w:r>
        <w:t xml:space="preserve"> are estimated to be needed to supply non-defence uses until </w:t>
      </w:r>
      <w:r w:rsidR="00047419">
        <w:t>halon 1211 is no longer required</w:t>
      </w:r>
      <w:r>
        <w:t>.</w:t>
      </w:r>
      <w:r w:rsidRPr="00E33D50">
        <w:t xml:space="preserve"> </w:t>
      </w:r>
      <w:r>
        <w:t xml:space="preserve">These estimations </w:t>
      </w:r>
      <w:r w:rsidR="00371165">
        <w:t xml:space="preserve">can be </w:t>
      </w:r>
      <w:r>
        <w:t>compare</w:t>
      </w:r>
      <w:r w:rsidR="00371165">
        <w:t>d</w:t>
      </w:r>
      <w:r>
        <w:t xml:space="preserve"> with the available NHB inventory of 93.03 tonnes of halon 1211.</w:t>
      </w:r>
      <w:r w:rsidR="000F5464">
        <w:t xml:space="preserve"> There would appear to be a wide margin within the limit of the NHB’s reserves of halon 1211, which minimises the risks of inadequate supply of halon 1211 until replacements are installed.</w:t>
      </w:r>
    </w:p>
    <w:p w14:paraId="361F8396" w14:textId="48E0D94F" w:rsidR="000F5464" w:rsidRDefault="00B67F48" w:rsidP="00331E4C">
      <w:pPr>
        <w:pStyle w:val="BodyText10"/>
      </w:pPr>
      <w:r>
        <w:t xml:space="preserve">For halon 1301, based on the NHB sales analysis, between 35.05 and 96.81 tonnes are estimated to be needed to supply non-defence uses until </w:t>
      </w:r>
      <w:r w:rsidR="00BE039C">
        <w:t xml:space="preserve">halon 1301 </w:t>
      </w:r>
      <w:r w:rsidR="00F52EAD">
        <w:t>is no longer</w:t>
      </w:r>
      <w:r w:rsidR="00E66888">
        <w:t xml:space="preserve"> required. The </w:t>
      </w:r>
      <w:r w:rsidR="00AB37C4">
        <w:t xml:space="preserve">range of </w:t>
      </w:r>
      <w:r w:rsidR="005F3194">
        <w:t xml:space="preserve">estimated </w:t>
      </w:r>
      <w:r w:rsidR="00C465EF">
        <w:t>quantities</w:t>
      </w:r>
      <w:r w:rsidR="00AB37C4">
        <w:t xml:space="preserve"> </w:t>
      </w:r>
      <w:r w:rsidR="005F3194">
        <w:t>is dependent</w:t>
      </w:r>
      <w:r>
        <w:t xml:space="preserve"> on the variables of new design aircraft dates, aircraft lifetime, and aviation industry growth rates. Based on the aviation inventory analysis, between 27.00 and 503.62 tonnes halon 1301 are estimated to be needed to supply non-defence uses until </w:t>
      </w:r>
      <w:r w:rsidR="005F3194">
        <w:t>halon 1301 is no longer required. The range of estimated quantities</w:t>
      </w:r>
      <w:r>
        <w:t xml:space="preserve"> </w:t>
      </w:r>
      <w:r w:rsidR="00F36200">
        <w:t xml:space="preserve">is dependent </w:t>
      </w:r>
      <w:r>
        <w:t xml:space="preserve">on the variables of the starting level of consumption estimated for 2020 </w:t>
      </w:r>
      <w:r w:rsidR="00C13770">
        <w:t>(</w:t>
      </w:r>
      <w:r w:rsidR="008C4332">
        <w:t xml:space="preserve">which are </w:t>
      </w:r>
      <w:r>
        <w:t>based on different emission factors for the aviation inventory</w:t>
      </w:r>
      <w:r w:rsidR="00C13770">
        <w:t>)</w:t>
      </w:r>
      <w:r>
        <w:t xml:space="preserve">, new design aircraft dates, aircraft lifetime, and aviation industry growth rates. These estimations </w:t>
      </w:r>
      <w:r w:rsidR="00746017">
        <w:t xml:space="preserve">can be </w:t>
      </w:r>
      <w:r>
        <w:t>compare</w:t>
      </w:r>
      <w:r w:rsidR="00746017">
        <w:t>d</w:t>
      </w:r>
      <w:r>
        <w:t xml:space="preserve"> with the available NHB inventory of 165.87 tonnes of halon 1301.</w:t>
      </w:r>
      <w:r w:rsidR="006576D1">
        <w:t xml:space="preserve"> </w:t>
      </w:r>
    </w:p>
    <w:p w14:paraId="7FBE1D52" w14:textId="23043D69" w:rsidR="008C4332" w:rsidRDefault="008C4332" w:rsidP="00331E4C">
      <w:pPr>
        <w:pStyle w:val="BodyText10"/>
      </w:pPr>
      <w:r>
        <w:t>The broad range of possible outcomes for halon 1301 indicates the potential impact of the different variables, including the risks associated with delays in implementing halon replacements.</w:t>
      </w:r>
      <w:r w:rsidR="008C2A8A">
        <w:t xml:space="preserve"> Longer delays will increase the total demand for halon 1301 and narrow the margin within the limit of the NHB’s reserves of halon 1301, which increases the risks of inadequate supply of halon 1301 until replacements are installed.</w:t>
      </w:r>
      <w:r w:rsidR="006C2989">
        <w:t xml:space="preserve"> This underlines the on-going importance of active international aviation industry investigation and implementation of halon 1301 replacements at the earliest possible dates.</w:t>
      </w:r>
      <w:r w:rsidR="005B5237">
        <w:t xml:space="preserve"> </w:t>
      </w:r>
      <w:r w:rsidR="006C2989">
        <w:t>Higher leakage rates also increase the risks of inadequate supply of halon 1301. From a risk perspective, this clearly underlines the importance of Australia’s suite of halon management controls aimed at minimising emissions in fire protection applications.</w:t>
      </w:r>
    </w:p>
    <w:p w14:paraId="245E9849" w14:textId="44656363" w:rsidR="002F1527" w:rsidRDefault="002F1527" w:rsidP="00331E4C">
      <w:pPr>
        <w:pStyle w:val="BodyText10"/>
      </w:pPr>
      <w:r>
        <w:lastRenderedPageBreak/>
        <w:t xml:space="preserve">Assuming the </w:t>
      </w:r>
      <w:r w:rsidR="005B5237">
        <w:t xml:space="preserve">average </w:t>
      </w:r>
      <w:r>
        <w:t xml:space="preserve">annual sales of halon 1301 from the NHB </w:t>
      </w:r>
      <w:r w:rsidR="00E14723">
        <w:t>represent</w:t>
      </w:r>
      <w:r w:rsidR="005B5237">
        <w:t xml:space="preserve"> </w:t>
      </w:r>
      <w:r>
        <w:t xml:space="preserve">total annual non-defence consumption, using the estimated halon 1301 aviation inventory, an annual emission rate of 3% can be derived for Australian aviation. Similarly, assuming the </w:t>
      </w:r>
      <w:r w:rsidR="005B5237">
        <w:t xml:space="preserve">average </w:t>
      </w:r>
      <w:r>
        <w:t xml:space="preserve">annual sales of halon 1211 from the NHB </w:t>
      </w:r>
      <w:r w:rsidR="00E14723">
        <w:t>represent</w:t>
      </w:r>
      <w:r w:rsidR="005B5237">
        <w:t xml:space="preserve"> </w:t>
      </w:r>
      <w:r>
        <w:t>total annual non-defence consumption, using the estimated halon 1211 aviation inventory, an annual emission rate of 10% can be derived for Australian aviation.</w:t>
      </w:r>
    </w:p>
    <w:p w14:paraId="73E5BFAD" w14:textId="6035D7DB" w:rsidR="00B37FC6" w:rsidRDefault="00B37FC6" w:rsidP="00331E4C">
      <w:pPr>
        <w:pStyle w:val="BodyText10"/>
      </w:pPr>
      <w:r>
        <w:t xml:space="preserve">Uncertainties </w:t>
      </w:r>
      <w:r w:rsidR="00A653F8">
        <w:t xml:space="preserve">in the analysis </w:t>
      </w:r>
      <w:r>
        <w:t xml:space="preserve">surround </w:t>
      </w:r>
      <w:r w:rsidR="002441CD">
        <w:t xml:space="preserve">unquantified </w:t>
      </w:r>
      <w:r w:rsidR="00904ED0">
        <w:t>industry activities</w:t>
      </w:r>
      <w:r w:rsidR="00122271">
        <w:t xml:space="preserve"> (</w:t>
      </w:r>
      <w:r w:rsidR="00D455CF">
        <w:t xml:space="preserve">such as </w:t>
      </w:r>
      <w:r w:rsidR="000753E7">
        <w:t xml:space="preserve">potential </w:t>
      </w:r>
      <w:r w:rsidR="00D455CF">
        <w:t>reuse of recovered halon</w:t>
      </w:r>
      <w:r w:rsidR="00392D77">
        <w:t xml:space="preserve"> by industry stakeholders</w:t>
      </w:r>
      <w:r w:rsidR="00744B4A">
        <w:t xml:space="preserve"> that </w:t>
      </w:r>
      <w:r w:rsidR="00F13E80">
        <w:t>c</w:t>
      </w:r>
      <w:r w:rsidR="00744B4A">
        <w:t>ould add to overall halon consumption</w:t>
      </w:r>
      <w:r w:rsidR="00131089">
        <w:t xml:space="preserve"> in non-defence uses</w:t>
      </w:r>
      <w:r w:rsidR="00122271">
        <w:t>)</w:t>
      </w:r>
      <w:r w:rsidR="00904ED0">
        <w:t xml:space="preserve"> and reporting</w:t>
      </w:r>
      <w:r w:rsidR="000753E7">
        <w:t xml:space="preserve"> </w:t>
      </w:r>
      <w:r w:rsidR="00122271">
        <w:t>(</w:t>
      </w:r>
      <w:r w:rsidR="000753E7">
        <w:t xml:space="preserve">such as </w:t>
      </w:r>
      <w:r w:rsidR="00543465">
        <w:t>NHB sales</w:t>
      </w:r>
      <w:r w:rsidR="00097F26">
        <w:t xml:space="preserve"> </w:t>
      </w:r>
      <w:r w:rsidR="001C0FF5">
        <w:t>designated</w:t>
      </w:r>
      <w:r w:rsidR="00753814">
        <w:t xml:space="preserve"> </w:t>
      </w:r>
      <w:r w:rsidR="00543465">
        <w:t xml:space="preserve">by purchasers </w:t>
      </w:r>
      <w:r w:rsidR="00122271">
        <w:t xml:space="preserve">into </w:t>
      </w:r>
      <w:r w:rsidR="00276D85">
        <w:t>a certain</w:t>
      </w:r>
      <w:r w:rsidR="00EA4C9D">
        <w:t xml:space="preserve"> </w:t>
      </w:r>
      <w:r w:rsidR="00F13E80">
        <w:t xml:space="preserve">halon </w:t>
      </w:r>
      <w:r w:rsidR="008E5BD7">
        <w:t>end-use</w:t>
      </w:r>
      <w:r w:rsidR="00097F26">
        <w:t xml:space="preserve"> categor</w:t>
      </w:r>
      <w:r w:rsidR="00276D85">
        <w:t>y</w:t>
      </w:r>
      <w:r w:rsidR="00BC1D1F">
        <w:t xml:space="preserve"> potentially</w:t>
      </w:r>
      <w:r w:rsidR="00276D85">
        <w:t xml:space="preserve"> being used in a different end-use category</w:t>
      </w:r>
      <w:r w:rsidR="00122271">
        <w:t>)</w:t>
      </w:r>
      <w:r w:rsidR="00D50695">
        <w:t>. These uncertainties</w:t>
      </w:r>
      <w:r w:rsidR="00AD5D86">
        <w:t xml:space="preserve"> </w:t>
      </w:r>
      <w:r>
        <w:t xml:space="preserve">could increase or decrease the total halon requirements for non-defence uses estimated from NHB sales. </w:t>
      </w:r>
      <w:r w:rsidR="00D0376E">
        <w:t>Improved</w:t>
      </w:r>
      <w:r w:rsidR="00F64477">
        <w:t xml:space="preserve"> or validated</w:t>
      </w:r>
      <w:r>
        <w:t xml:space="preserve"> reporting </w:t>
      </w:r>
      <w:r w:rsidR="00B74B79">
        <w:t>t</w:t>
      </w:r>
      <w:r w:rsidR="00B47F9D">
        <w:t>hat</w:t>
      </w:r>
      <w:r w:rsidR="00B74B79">
        <w:t xml:space="preserve"> </w:t>
      </w:r>
      <w:r w:rsidR="003D716A">
        <w:t>more accurately</w:t>
      </w:r>
      <w:r w:rsidR="00B74B79">
        <w:t xml:space="preserve"> capture</w:t>
      </w:r>
      <w:r w:rsidR="00B47F9D">
        <w:t>s</w:t>
      </w:r>
      <w:r w:rsidR="00A3597B">
        <w:t xml:space="preserve"> </w:t>
      </w:r>
      <w:r w:rsidR="00EB60BF">
        <w:t xml:space="preserve">halon </w:t>
      </w:r>
      <w:r w:rsidR="0027792C">
        <w:t>usage</w:t>
      </w:r>
      <w:r>
        <w:t xml:space="preserve"> </w:t>
      </w:r>
      <w:r w:rsidR="00A3597B">
        <w:t xml:space="preserve">activities </w:t>
      </w:r>
      <w:r>
        <w:t xml:space="preserve">would meaningfully inform </w:t>
      </w:r>
      <w:r w:rsidR="0069402D">
        <w:t xml:space="preserve">future </w:t>
      </w:r>
      <w:r>
        <w:t>estimations of halon requirements.</w:t>
      </w:r>
    </w:p>
    <w:p w14:paraId="65E55586" w14:textId="5C6B30BD" w:rsidR="00FD4FD3" w:rsidRPr="00FD4FD3" w:rsidRDefault="00156757" w:rsidP="00FD4FD3">
      <w:pPr>
        <w:pStyle w:val="BodyText10"/>
      </w:pPr>
      <w:r>
        <w:t xml:space="preserve">Uncertainties also surround the available quantities </w:t>
      </w:r>
      <w:r w:rsidR="004F4573">
        <w:t xml:space="preserve">of halon of </w:t>
      </w:r>
      <w:r w:rsidR="007F5090">
        <w:t xml:space="preserve">appropriate quality for use in </w:t>
      </w:r>
      <w:r w:rsidR="00577FCE">
        <w:t>civil aviation</w:t>
      </w:r>
      <w:r w:rsidR="00823E78">
        <w:t xml:space="preserve">. Civil aviation procedures specify halon certified to meet </w:t>
      </w:r>
      <w:r w:rsidR="002218DF">
        <w:t xml:space="preserve">international standards (either </w:t>
      </w:r>
      <w:r w:rsidR="002218DF">
        <w:rPr>
          <w:lang w:val="en-US"/>
        </w:rPr>
        <w:t xml:space="preserve">ASTM D 5632 Type 2 for </w:t>
      </w:r>
      <w:r w:rsidR="00F94F8D">
        <w:rPr>
          <w:lang w:val="en-US"/>
        </w:rPr>
        <w:t>h</w:t>
      </w:r>
      <w:r w:rsidR="002218DF">
        <w:rPr>
          <w:lang w:val="en-US"/>
        </w:rPr>
        <w:t xml:space="preserve">alon 1301 or ISO 7201 for </w:t>
      </w:r>
      <w:r w:rsidR="00F94F8D">
        <w:rPr>
          <w:lang w:val="en-US"/>
        </w:rPr>
        <w:t>h</w:t>
      </w:r>
      <w:r w:rsidR="002218DF">
        <w:rPr>
          <w:lang w:val="en-US"/>
        </w:rPr>
        <w:t>alon 1211)</w:t>
      </w:r>
      <w:r w:rsidR="00823E78">
        <w:t xml:space="preserve">, essentially the same specification as newly manufactured halon. Halon </w:t>
      </w:r>
      <w:r w:rsidR="00540716">
        <w:t>recovered and recycled</w:t>
      </w:r>
      <w:r w:rsidR="00823E78">
        <w:t xml:space="preserve"> from equipment may not necessarily meet </w:t>
      </w:r>
      <w:r w:rsidR="002218DF">
        <w:t>international standards</w:t>
      </w:r>
      <w:r w:rsidR="0071786E">
        <w:t xml:space="preserve"> because of contamination or non-condensable gas content</w:t>
      </w:r>
      <w:r w:rsidR="00823E78">
        <w:t xml:space="preserve">. A </w:t>
      </w:r>
      <w:r w:rsidR="00774EC4">
        <w:t xml:space="preserve">small </w:t>
      </w:r>
      <w:r w:rsidR="00823E78">
        <w:t>number of service providers have indicated that they are able to reclaim halon to ISO</w:t>
      </w:r>
      <w:r w:rsidR="002B12A4">
        <w:t xml:space="preserve"> </w:t>
      </w:r>
      <w:r w:rsidR="00823E78">
        <w:t>7201</w:t>
      </w:r>
      <w:r w:rsidR="0071786E">
        <w:t xml:space="preserve"> or ASTM D5632</w:t>
      </w:r>
      <w:r w:rsidR="00823E78">
        <w:t xml:space="preserve"> </w:t>
      </w:r>
      <w:r w:rsidR="0071786E">
        <w:t xml:space="preserve">Type 1 or </w:t>
      </w:r>
      <w:r w:rsidR="00823E78">
        <w:t>Type 2</w:t>
      </w:r>
      <w:r w:rsidR="004E709F">
        <w:t>, while others are not</w:t>
      </w:r>
      <w:r w:rsidR="00823E78">
        <w:t>.</w:t>
      </w:r>
      <w:r w:rsidR="00E572B7">
        <w:t xml:space="preserve"> </w:t>
      </w:r>
      <w:r w:rsidR="002218DF">
        <w:t>There is some uncertainty about the effects of long</w:t>
      </w:r>
      <w:r w:rsidR="00C17E7B">
        <w:t>-</w:t>
      </w:r>
      <w:r w:rsidR="002218DF">
        <w:t xml:space="preserve">term storage </w:t>
      </w:r>
      <w:r w:rsidR="00ED25D9">
        <w:t xml:space="preserve">(30+ years), particularly whether the storage containers, seals, valves and fittings could degrade and contaminate the halon. </w:t>
      </w:r>
      <w:r w:rsidR="00E572B7">
        <w:t xml:space="preserve">If there </w:t>
      </w:r>
      <w:r w:rsidR="002A1BCF">
        <w:t xml:space="preserve">were </w:t>
      </w:r>
      <w:r w:rsidR="00E572B7">
        <w:t>substantial contamination in stocks of halon held either by the NHB or other halon special permit holders</w:t>
      </w:r>
      <w:r w:rsidR="008F027B">
        <w:t xml:space="preserve">, </w:t>
      </w:r>
      <w:r w:rsidR="00ED2970">
        <w:t>e.g.,</w:t>
      </w:r>
      <w:r w:rsidR="002218DF">
        <w:t xml:space="preserve"> due to the extraordinary length of time it is stored for</w:t>
      </w:r>
      <w:r w:rsidR="00E572B7">
        <w:t xml:space="preserve">, </w:t>
      </w:r>
      <w:r w:rsidR="00BE2B00">
        <w:t xml:space="preserve">or any significant losses of agent due to processing used to meet the required standards, these </w:t>
      </w:r>
      <w:r w:rsidR="00E572B7">
        <w:t>could materially reduce the net amount of ISO</w:t>
      </w:r>
      <w:r w:rsidR="002B12A4">
        <w:t xml:space="preserve"> </w:t>
      </w:r>
      <w:r w:rsidR="00E572B7">
        <w:t>7201</w:t>
      </w:r>
      <w:r w:rsidR="0071786E">
        <w:t xml:space="preserve"> or ASTM D5632</w:t>
      </w:r>
      <w:r w:rsidR="00E572B7">
        <w:t xml:space="preserve"> Type 2 halon that </w:t>
      </w:r>
      <w:r w:rsidR="00ED2970">
        <w:t xml:space="preserve">could </w:t>
      </w:r>
      <w:r w:rsidR="00E572B7">
        <w:t>be produced from halon stocks.</w:t>
      </w:r>
      <w:r w:rsidR="00BC645D">
        <w:t xml:space="preserve"> To maximise future available halon, any methods or equipment implemented to reclaim halon to meet international standards should be designed to be efficient </w:t>
      </w:r>
      <w:r w:rsidR="008B5BCB">
        <w:t xml:space="preserve">and </w:t>
      </w:r>
      <w:r w:rsidR="00BC645D">
        <w:t>minimise any potential loss</w:t>
      </w:r>
      <w:r w:rsidR="003E1A1B">
        <w:t>es</w:t>
      </w:r>
      <w:r w:rsidR="00BC645D">
        <w:t xml:space="preserve"> of halon </w:t>
      </w:r>
      <w:r w:rsidR="008B5BCB">
        <w:t>during the process and any potential contamination</w:t>
      </w:r>
      <w:r w:rsidR="00BC645D">
        <w:t>.</w:t>
      </w:r>
    </w:p>
    <w:p w14:paraId="64B84554" w14:textId="75F1E5DC" w:rsidR="00A17744" w:rsidRDefault="00D63C4F" w:rsidP="00331E4C">
      <w:pPr>
        <w:pStyle w:val="BodyText10"/>
      </w:pPr>
      <w:r w:rsidRPr="00026FE9">
        <w:t xml:space="preserve">The price of </w:t>
      </w:r>
      <w:r w:rsidRPr="000D0DC0">
        <w:t xml:space="preserve">halon 1301 has increased since </w:t>
      </w:r>
      <w:r w:rsidR="00932B27" w:rsidRPr="000D0DC0">
        <w:t>2012</w:t>
      </w:r>
      <w:r w:rsidRPr="000D0DC0">
        <w:t xml:space="preserve"> and is </w:t>
      </w:r>
      <w:r w:rsidR="0020553B" w:rsidRPr="000D0DC0">
        <w:t>predicted</w:t>
      </w:r>
      <w:r w:rsidRPr="000D0DC0">
        <w:t xml:space="preserve"> to continue increasing </w:t>
      </w:r>
      <w:r w:rsidR="00EB794A" w:rsidRPr="000D0DC0">
        <w:t xml:space="preserve">in response to </w:t>
      </w:r>
      <w:r w:rsidR="004868E7" w:rsidRPr="000D0DC0">
        <w:t xml:space="preserve">limited supply </w:t>
      </w:r>
      <w:r w:rsidR="0020553B" w:rsidRPr="000D0DC0">
        <w:t xml:space="preserve">and increasing demand </w:t>
      </w:r>
      <w:r w:rsidR="00F66DEC" w:rsidRPr="000D0DC0">
        <w:t xml:space="preserve">from </w:t>
      </w:r>
      <w:r w:rsidR="009639C2" w:rsidRPr="000D0DC0">
        <w:t>aviation</w:t>
      </w:r>
      <w:r w:rsidR="00026FE9">
        <w:t>,</w:t>
      </w:r>
      <w:r w:rsidR="009639C2" w:rsidRPr="000D0DC0">
        <w:t xml:space="preserve"> </w:t>
      </w:r>
      <w:r w:rsidRPr="000D0DC0">
        <w:t xml:space="preserve">as </w:t>
      </w:r>
      <w:r w:rsidR="00B7780A" w:rsidRPr="000D0DC0">
        <w:t xml:space="preserve">expected by </w:t>
      </w:r>
      <w:r w:rsidRPr="000D0DC0">
        <w:t xml:space="preserve">modelling of </w:t>
      </w:r>
      <w:r w:rsidR="00B47A6E" w:rsidRPr="000D0DC0">
        <w:t xml:space="preserve">future </w:t>
      </w:r>
      <w:r w:rsidRPr="000D0DC0">
        <w:t xml:space="preserve">global demand </w:t>
      </w:r>
      <w:r w:rsidR="00784FD7" w:rsidRPr="000D0DC0">
        <w:t xml:space="preserve">that </w:t>
      </w:r>
      <w:r w:rsidR="00FA5C83" w:rsidRPr="000D0DC0">
        <w:t>is</w:t>
      </w:r>
      <w:r w:rsidRPr="000D0DC0">
        <w:t xml:space="preserve"> predicted </w:t>
      </w:r>
      <w:r w:rsidR="005C526D" w:rsidRPr="000D0DC0">
        <w:t xml:space="preserve">by others </w:t>
      </w:r>
      <w:r w:rsidRPr="000D0DC0">
        <w:t>to exceed supply leading to potential future shortages</w:t>
      </w:r>
      <w:r w:rsidR="00932B27" w:rsidRPr="000D0DC0">
        <w:t>.</w:t>
      </w:r>
    </w:p>
    <w:p w14:paraId="7B502D46" w14:textId="77777777" w:rsidR="00FE1350" w:rsidRDefault="00FE1350">
      <w:pPr>
        <w:rPr>
          <w:rFonts w:ascii="Book Antiqua" w:eastAsia="ヒラギノ角ゴ Pro W3" w:hAnsi="Book Antiqua"/>
          <w:color w:val="000000"/>
          <w:szCs w:val="20"/>
          <w:lang w:val="en-GB" w:eastAsia="en-US"/>
        </w:rPr>
      </w:pPr>
      <w:r>
        <w:br w:type="page"/>
      </w:r>
    </w:p>
    <w:p w14:paraId="5C0C2F6B" w14:textId="282700A3" w:rsidR="008A3E79" w:rsidRDefault="008A3E79" w:rsidP="00331E4C">
      <w:pPr>
        <w:pStyle w:val="BodyText10"/>
      </w:pPr>
      <w:r>
        <w:lastRenderedPageBreak/>
        <w:t xml:space="preserve">Based on </w:t>
      </w:r>
      <w:r w:rsidR="00FF6D25">
        <w:t xml:space="preserve">these </w:t>
      </w:r>
      <w:r w:rsidR="005F5EAA">
        <w:t>findings, a number of recommendation</w:t>
      </w:r>
      <w:r w:rsidR="00B2564F">
        <w:t>s</w:t>
      </w:r>
      <w:r w:rsidR="005F5EAA">
        <w:t xml:space="preserve"> have been made </w:t>
      </w:r>
      <w:r w:rsidR="00B2564F">
        <w:t>in relation to</w:t>
      </w:r>
      <w:r w:rsidR="00EA16D6">
        <w:t>:</w:t>
      </w:r>
      <w:r w:rsidR="00B2564F">
        <w:t xml:space="preserve"> </w:t>
      </w:r>
      <w:r w:rsidR="005B0E85">
        <w:t>monitoring</w:t>
      </w:r>
      <w:r w:rsidR="00AB5641">
        <w:t xml:space="preserve"> halon consumption and </w:t>
      </w:r>
      <w:r w:rsidR="00074626">
        <w:t xml:space="preserve">relevant </w:t>
      </w:r>
      <w:r w:rsidR="00AB5641">
        <w:t>developments in civil aviation</w:t>
      </w:r>
      <w:r w:rsidR="00EA16D6">
        <w:t xml:space="preserve">; </w:t>
      </w:r>
      <w:r w:rsidR="00E11E5E">
        <w:t>ensuring halon quality for civil aviation</w:t>
      </w:r>
      <w:r w:rsidR="00EA16D6">
        <w:t xml:space="preserve">; </w:t>
      </w:r>
      <w:r w:rsidR="00C76DA3">
        <w:t xml:space="preserve">and </w:t>
      </w:r>
      <w:r w:rsidR="0073351C">
        <w:t xml:space="preserve">validating and/or improving </w:t>
      </w:r>
      <w:r w:rsidR="00896FB3">
        <w:t>data on</w:t>
      </w:r>
      <w:r w:rsidR="00E4561F">
        <w:t xml:space="preserve"> halon </w:t>
      </w:r>
      <w:r w:rsidR="001C03F9">
        <w:t xml:space="preserve">usage </w:t>
      </w:r>
      <w:r w:rsidR="00E4561F">
        <w:t>activit</w:t>
      </w:r>
      <w:r w:rsidR="004F2029">
        <w:t>ies</w:t>
      </w:r>
      <w:r w:rsidR="00E4561F">
        <w:t xml:space="preserve"> </w:t>
      </w:r>
      <w:r w:rsidR="00212325">
        <w:t>to allow for better quantitative analysis</w:t>
      </w:r>
      <w:r w:rsidR="00A12493">
        <w:t xml:space="preserve"> while</w:t>
      </w:r>
      <w:r w:rsidR="00AF4E4B">
        <w:t xml:space="preserve"> preserving </w:t>
      </w:r>
      <w:r w:rsidR="00A12493">
        <w:t>comparability and continuity with the historic dataset.</w:t>
      </w:r>
    </w:p>
    <w:p w14:paraId="1F663975" w14:textId="77777777" w:rsidR="00DF6E20" w:rsidRDefault="00DF6E20">
      <w:pPr>
        <w:rPr>
          <w:b/>
          <w:sz w:val="28"/>
        </w:rPr>
      </w:pPr>
      <w:r>
        <w:br w:type="page"/>
      </w:r>
    </w:p>
    <w:p w14:paraId="5FBE92F1" w14:textId="69AA548B" w:rsidR="009F643E" w:rsidRPr="00A16573" w:rsidRDefault="00A605BC" w:rsidP="000D0DC0">
      <w:pPr>
        <w:pStyle w:val="Heading1"/>
        <w:numPr>
          <w:ilvl w:val="0"/>
          <w:numId w:val="36"/>
        </w:numPr>
      </w:pPr>
      <w:bookmarkStart w:id="2" w:name="_Toc38190311"/>
      <w:r w:rsidRPr="00A16573">
        <w:lastRenderedPageBreak/>
        <w:t xml:space="preserve">Background to </w:t>
      </w:r>
      <w:r w:rsidR="00DF6E20">
        <w:t xml:space="preserve">the </w:t>
      </w:r>
      <w:r w:rsidR="004847B0" w:rsidRPr="00A16573">
        <w:t>Review</w:t>
      </w:r>
      <w:r w:rsidR="00DF6E20">
        <w:t xml:space="preserve"> of Australia’s </w:t>
      </w:r>
      <w:r w:rsidR="00A52A9D">
        <w:t>Non-Defence</w:t>
      </w:r>
      <w:r w:rsidR="00DF6E20">
        <w:t xml:space="preserve"> Halon Requirements</w:t>
      </w:r>
      <w:bookmarkEnd w:id="2"/>
    </w:p>
    <w:p w14:paraId="2D180271" w14:textId="32B2B6E7" w:rsidR="00A605BC" w:rsidRPr="00DF4CEB" w:rsidRDefault="00A605BC" w:rsidP="00324056">
      <w:pPr>
        <w:pStyle w:val="Heading2"/>
      </w:pPr>
      <w:bookmarkStart w:id="3" w:name="_Toc38190312"/>
      <w:r w:rsidRPr="00DF4CEB">
        <w:t>Overview</w:t>
      </w:r>
      <w:bookmarkEnd w:id="3"/>
    </w:p>
    <w:p w14:paraId="2738734B" w14:textId="5B097691" w:rsidR="004E7808" w:rsidRDefault="004E7808" w:rsidP="00D92359">
      <w:pPr>
        <w:pStyle w:val="BodyText10"/>
      </w:pPr>
      <w:r w:rsidRPr="004E7808">
        <w:t xml:space="preserve">The </w:t>
      </w:r>
      <w:r w:rsidR="00BB0B1F">
        <w:t xml:space="preserve">Australian Government </w:t>
      </w:r>
      <w:r w:rsidRPr="004E7808">
        <w:t xml:space="preserve">Department </w:t>
      </w:r>
      <w:r>
        <w:t xml:space="preserve">of Agriculture, Water and the Environment </w:t>
      </w:r>
      <w:r w:rsidR="008118EE">
        <w:t xml:space="preserve">(the Department) </w:t>
      </w:r>
      <w:r w:rsidR="00BB0B1F">
        <w:t>sought</w:t>
      </w:r>
      <w:r w:rsidRPr="004E7808">
        <w:t xml:space="preserve"> </w:t>
      </w:r>
      <w:r w:rsidR="00BB0B1F">
        <w:t xml:space="preserve">consultancy services to </w:t>
      </w:r>
      <w:r w:rsidRPr="004E7808">
        <w:t>advi</w:t>
      </w:r>
      <w:r w:rsidR="00BB0B1F">
        <w:t>s</w:t>
      </w:r>
      <w:r w:rsidRPr="004E7808">
        <w:t xml:space="preserve">e </w:t>
      </w:r>
      <w:r w:rsidR="00BB0B1F">
        <w:t xml:space="preserve">it </w:t>
      </w:r>
      <w:r w:rsidRPr="004E7808">
        <w:t>on non-defence</w:t>
      </w:r>
      <w:r w:rsidR="00BB0B1F">
        <w:t xml:space="preserve"> </w:t>
      </w:r>
      <w:r w:rsidRPr="004E7808">
        <w:t xml:space="preserve">halon uses, </w:t>
      </w:r>
      <w:r w:rsidR="00BB0B1F">
        <w:t>including</w:t>
      </w:r>
      <w:r w:rsidRPr="004E7808">
        <w:t xml:space="preserve"> current </w:t>
      </w:r>
      <w:r w:rsidR="00BB0B1F">
        <w:t xml:space="preserve">and </w:t>
      </w:r>
      <w:r w:rsidR="00BB0B1F" w:rsidRPr="004E7808">
        <w:t xml:space="preserve">future trends </w:t>
      </w:r>
      <w:r w:rsidR="00BB0B1F">
        <w:t xml:space="preserve">in </w:t>
      </w:r>
      <w:r w:rsidRPr="004E7808">
        <w:t xml:space="preserve">halon use, and </w:t>
      </w:r>
      <w:r w:rsidR="00BB0B1F">
        <w:t xml:space="preserve">likely </w:t>
      </w:r>
      <w:r w:rsidRPr="004E7808">
        <w:t xml:space="preserve">future </w:t>
      </w:r>
      <w:r w:rsidR="00BB0B1F">
        <w:t xml:space="preserve">domestic </w:t>
      </w:r>
      <w:r w:rsidRPr="004E7808">
        <w:t>halon demand.</w:t>
      </w:r>
      <w:r w:rsidR="00BB0B1F">
        <w:t xml:space="preserve"> Planet Futures</w:t>
      </w:r>
      <w:r w:rsidR="008118EE">
        <w:t xml:space="preserve"> </w:t>
      </w:r>
      <w:r w:rsidR="00951A3F">
        <w:t>was</w:t>
      </w:r>
      <w:r w:rsidR="008118EE">
        <w:t xml:space="preserve"> engaged to prepare this advice</w:t>
      </w:r>
      <w:r w:rsidR="00BB0B1F">
        <w:t>.</w:t>
      </w:r>
    </w:p>
    <w:p w14:paraId="36011EAC" w14:textId="0CBC2F49" w:rsidR="008118EE" w:rsidRDefault="008118EE" w:rsidP="00324056">
      <w:pPr>
        <w:pStyle w:val="Heading2"/>
      </w:pPr>
      <w:bookmarkStart w:id="4" w:name="_Toc38190313"/>
      <w:r>
        <w:t>Halons and their control</w:t>
      </w:r>
      <w:bookmarkEnd w:id="4"/>
    </w:p>
    <w:p w14:paraId="54A07E97" w14:textId="5A785093" w:rsidR="00212F79" w:rsidRDefault="00654043" w:rsidP="00D92359">
      <w:pPr>
        <w:pStyle w:val="BodyText10"/>
      </w:pPr>
      <w:r w:rsidRPr="0010298D">
        <w:t xml:space="preserve">Halons are </w:t>
      </w:r>
      <w:r w:rsidR="00AA3B49">
        <w:t xml:space="preserve">highly effective </w:t>
      </w:r>
      <w:r w:rsidRPr="0010298D">
        <w:t>fire-fighting agents that were introduced into Australia in the early 1970s.</w:t>
      </w:r>
      <w:r w:rsidR="00F10700">
        <w:t xml:space="preserve"> </w:t>
      </w:r>
      <w:r w:rsidRPr="0010298D">
        <w:t>Halon 1211 was commonly used in portable fire extinguishers</w:t>
      </w:r>
      <w:r w:rsidR="00681F94">
        <w:t>,</w:t>
      </w:r>
      <w:r w:rsidRPr="0010298D">
        <w:t xml:space="preserve"> </w:t>
      </w:r>
      <w:r w:rsidR="00AC3030" w:rsidRPr="0010298D">
        <w:t>and</w:t>
      </w:r>
      <w:r w:rsidRPr="0010298D">
        <w:t xml:space="preserve"> halon 1301 was used for fixed fire protection systems. </w:t>
      </w:r>
      <w:r w:rsidR="00B1754F">
        <w:t xml:space="preserve">Halons are </w:t>
      </w:r>
      <w:r w:rsidR="00310303">
        <w:t>brominated halo</w:t>
      </w:r>
      <w:r w:rsidR="00DE31BE">
        <w:t xml:space="preserve">carbons that are </w:t>
      </w:r>
      <w:r w:rsidR="00B1754F">
        <w:t>highly potent ozone-depleting chemicals.</w:t>
      </w:r>
      <w:r w:rsidR="00FA5F92">
        <w:t xml:space="preserve"> </w:t>
      </w:r>
    </w:p>
    <w:p w14:paraId="1CD6C6A1" w14:textId="1DBF7E9D" w:rsidR="0045255C" w:rsidRPr="0045255C" w:rsidRDefault="007C7BFD" w:rsidP="0045255C">
      <w:pPr>
        <w:pStyle w:val="BodyText10"/>
      </w:pPr>
      <w:r w:rsidRPr="0045255C">
        <w:t xml:space="preserve">The Montreal Protocol </w:t>
      </w:r>
      <w:r w:rsidRPr="004E7808">
        <w:t xml:space="preserve">on Substances that Deplete the Ozone Layer </w:t>
      </w:r>
      <w:r w:rsidR="0045255C" w:rsidRPr="00BB0B1F">
        <w:t xml:space="preserve">is </w:t>
      </w:r>
      <w:r w:rsidR="0045255C" w:rsidRPr="000D0DC0">
        <w:t xml:space="preserve">a global agreement to protect the Earth’s ozone layer by phasing out the chemicals that </w:t>
      </w:r>
      <w:r w:rsidR="0045255C">
        <w:t>destroy stratospheric ozone</w:t>
      </w:r>
      <w:r w:rsidR="0045255C" w:rsidRPr="000D0DC0">
        <w:t xml:space="preserve">. </w:t>
      </w:r>
      <w:r w:rsidR="0045255C" w:rsidRPr="0045255C">
        <w:t xml:space="preserve">This phase-out </w:t>
      </w:r>
      <w:r w:rsidR="0045255C">
        <w:t>agreement</w:t>
      </w:r>
      <w:r w:rsidR="0045255C" w:rsidRPr="0045255C">
        <w:t xml:space="preserve"> </w:t>
      </w:r>
      <w:r w:rsidR="00887E5A">
        <w:t>requires</w:t>
      </w:r>
      <w:r w:rsidR="006D0BBE">
        <w:t xml:space="preserve"> zero</w:t>
      </w:r>
      <w:r w:rsidR="0045255C" w:rsidRPr="0045255C">
        <w:t xml:space="preserve"> production and consumption of ozone-depleting substances</w:t>
      </w:r>
      <w:r w:rsidR="006D0BBE">
        <w:t xml:space="preserve"> by </w:t>
      </w:r>
      <w:r w:rsidR="00B44A4F">
        <w:t>specified dates</w:t>
      </w:r>
      <w:r w:rsidR="0045255C" w:rsidRPr="0045255C">
        <w:t xml:space="preserve">. </w:t>
      </w:r>
      <w:r w:rsidR="00FA5F92">
        <w:t>Due to their ozone-depleting potential, h</w:t>
      </w:r>
      <w:r w:rsidR="0045255C">
        <w:t>alons are listed as controlled substances under the Montreal Protocol.</w:t>
      </w:r>
      <w:r w:rsidR="00B44A4F">
        <w:t xml:space="preserve"> The Kigali Amendment</w:t>
      </w:r>
      <w:r w:rsidR="00B90D36">
        <w:t xml:space="preserve"> to the Montreal Protocol includes a range of </w:t>
      </w:r>
      <w:r w:rsidR="00167859">
        <w:t xml:space="preserve">hydrofluorocarbon </w:t>
      </w:r>
      <w:r w:rsidR="00506F8B">
        <w:t xml:space="preserve">(HFC) </w:t>
      </w:r>
      <w:r w:rsidR="00B90D36">
        <w:t>chemicals</w:t>
      </w:r>
      <w:r w:rsidR="00C179B9">
        <w:t>, which</w:t>
      </w:r>
      <w:r w:rsidR="00B90D36">
        <w:t xml:space="preserve"> are not ozone-depleting but </w:t>
      </w:r>
      <w:r w:rsidR="00505030">
        <w:t>have</w:t>
      </w:r>
      <w:r w:rsidR="00B90D36">
        <w:t xml:space="preserve"> potent </w:t>
      </w:r>
      <w:r w:rsidR="00505030">
        <w:t>global warming potentials</w:t>
      </w:r>
      <w:r w:rsidR="007D0C40">
        <w:t>,</w:t>
      </w:r>
      <w:r w:rsidR="00C31504">
        <w:t xml:space="preserve"> </w:t>
      </w:r>
      <w:r w:rsidR="00C179B9">
        <w:t>that</w:t>
      </w:r>
      <w:r w:rsidR="00C31504">
        <w:t xml:space="preserve"> are </w:t>
      </w:r>
      <w:r w:rsidR="00506F8B">
        <w:t>required to be phased down over specified periods.</w:t>
      </w:r>
      <w:r w:rsidR="00B90D36">
        <w:t xml:space="preserve"> </w:t>
      </w:r>
    </w:p>
    <w:p w14:paraId="34C874A8" w14:textId="31CB10E2" w:rsidR="00DA62F7" w:rsidRPr="001B3A85" w:rsidRDefault="0045255C" w:rsidP="00D92359">
      <w:pPr>
        <w:pStyle w:val="BodyText10"/>
        <w:rPr>
          <w:lang w:val="en-AU"/>
        </w:rPr>
      </w:pPr>
      <w:r>
        <w:rPr>
          <w:lang w:val="en-AU"/>
        </w:rPr>
        <w:t>The Montreal Protocol</w:t>
      </w:r>
      <w:r>
        <w:t xml:space="preserve"> </w:t>
      </w:r>
      <w:r w:rsidR="007C7BFD">
        <w:t>phased out t</w:t>
      </w:r>
      <w:r w:rsidR="00654043" w:rsidRPr="0010298D">
        <w:t xml:space="preserve">he production </w:t>
      </w:r>
      <w:r w:rsidR="00212F79">
        <w:t>and consumption</w:t>
      </w:r>
      <w:r w:rsidR="00B61BF7">
        <w:rPr>
          <w:rStyle w:val="FootnoteReference"/>
        </w:rPr>
        <w:footnoteReference w:id="2"/>
      </w:r>
      <w:r w:rsidR="00B61BF7">
        <w:t>, including import</w:t>
      </w:r>
      <w:r w:rsidR="007C7BFD">
        <w:t xml:space="preserve"> and export</w:t>
      </w:r>
      <w:r w:rsidR="00B61BF7">
        <w:t>,</w:t>
      </w:r>
      <w:r w:rsidR="00212F79">
        <w:t xml:space="preserve"> </w:t>
      </w:r>
      <w:r w:rsidR="00654043" w:rsidRPr="0010298D">
        <w:t>of ozone-depleting halons</w:t>
      </w:r>
      <w:r w:rsidR="00BE54C2" w:rsidRPr="00BE54C2">
        <w:t xml:space="preserve"> in non-Article 5 parties</w:t>
      </w:r>
      <w:r w:rsidR="0044713A">
        <w:t xml:space="preserve"> (developed countries)</w:t>
      </w:r>
      <w:r w:rsidR="00BE54C2" w:rsidRPr="00BE54C2">
        <w:t xml:space="preserve"> </w:t>
      </w:r>
      <w:r w:rsidR="00760CDB" w:rsidRPr="00BE54C2">
        <w:t xml:space="preserve">in 1994 </w:t>
      </w:r>
      <w:r w:rsidR="00BE54C2" w:rsidRPr="00BE54C2">
        <w:t>and in Article 5 parties</w:t>
      </w:r>
      <w:r w:rsidR="0044713A">
        <w:t xml:space="preserve"> (developing countries)</w:t>
      </w:r>
      <w:r w:rsidR="007C7BFD">
        <w:t xml:space="preserve"> </w:t>
      </w:r>
      <w:r w:rsidR="00B662B7" w:rsidRPr="00BE54C2">
        <w:t>in 2000</w:t>
      </w:r>
      <w:r w:rsidR="005B5616">
        <w:t xml:space="preserve">. </w:t>
      </w:r>
      <w:r w:rsidR="007C7BFD">
        <w:t>This control measure applies</w:t>
      </w:r>
      <w:r w:rsidR="00212F79">
        <w:t xml:space="preserve"> unless </w:t>
      </w:r>
      <w:r w:rsidR="007C7BFD">
        <w:t xml:space="preserve">the Montreal Protocol has otherwise </w:t>
      </w:r>
      <w:r w:rsidR="00093A25">
        <w:t xml:space="preserve">authorised </w:t>
      </w:r>
      <w:r w:rsidR="007C7BFD">
        <w:t xml:space="preserve">halon </w:t>
      </w:r>
      <w:r w:rsidR="00212F79">
        <w:t xml:space="preserve">production or consumption </w:t>
      </w:r>
      <w:r w:rsidR="007C7BFD">
        <w:t xml:space="preserve">that is </w:t>
      </w:r>
      <w:r w:rsidR="00212F79">
        <w:t>necessary to satisfy uses agreed by them to be essential</w:t>
      </w:r>
      <w:r w:rsidR="008047A2">
        <w:t>, under an essential use exemption</w:t>
      </w:r>
      <w:r w:rsidR="00B61BF7">
        <w:rPr>
          <w:rStyle w:val="FootnoteReference"/>
        </w:rPr>
        <w:footnoteReference w:id="3"/>
      </w:r>
      <w:r w:rsidR="00BE54C2">
        <w:t>.</w:t>
      </w:r>
      <w:r w:rsidR="00F10700">
        <w:t xml:space="preserve"> </w:t>
      </w:r>
      <w:r w:rsidR="00B61BF7">
        <w:t xml:space="preserve">The Montreal Protocol control measures relate to newly manufactured halon not to </w:t>
      </w:r>
      <w:r w:rsidR="00F17672">
        <w:t>recycled or reused</w:t>
      </w:r>
      <w:r w:rsidR="00B61BF7">
        <w:t xml:space="preserve"> halon</w:t>
      </w:r>
      <w:r w:rsidR="000563BA">
        <w:t>, which has been the source of all halon for remaining critical fire protection applications whe</w:t>
      </w:r>
      <w:r w:rsidR="00051568">
        <w:t>n</w:t>
      </w:r>
      <w:r w:rsidR="000563BA">
        <w:t xml:space="preserve"> alternative to using halon </w:t>
      </w:r>
      <w:r w:rsidR="00051568">
        <w:t>have been</w:t>
      </w:r>
      <w:r w:rsidR="002874FE">
        <w:t xml:space="preserve"> unavailable</w:t>
      </w:r>
      <w:r w:rsidR="00051568">
        <w:t xml:space="preserve"> since the phase-out</w:t>
      </w:r>
      <w:r w:rsidR="00B61BF7">
        <w:t xml:space="preserve">. </w:t>
      </w:r>
      <w:r w:rsidR="0082237E">
        <w:t xml:space="preserve">In 1993 </w:t>
      </w:r>
      <w:r w:rsidR="0082237E">
        <w:lastRenderedPageBreak/>
        <w:t>and 1994, Montreal Protocol parties considered nominations for essential use exemptions for halon production or consumption, including import</w:t>
      </w:r>
      <w:r w:rsidR="007C7BFD">
        <w:t xml:space="preserve">, </w:t>
      </w:r>
      <w:r w:rsidR="009507D6">
        <w:t xml:space="preserve">to occur </w:t>
      </w:r>
      <w:r w:rsidR="007C7BFD">
        <w:t>beyond the mandated phase-out date</w:t>
      </w:r>
      <w:r w:rsidR="009507D6">
        <w:t xml:space="preserve"> for developed countries</w:t>
      </w:r>
      <w:r w:rsidR="0082237E">
        <w:t>. E</w:t>
      </w:r>
      <w:r w:rsidR="00BB192D">
        <w:t xml:space="preserve">ssential use exemptions for halon </w:t>
      </w:r>
      <w:r w:rsidR="0082237E">
        <w:t>were not</w:t>
      </w:r>
      <w:r w:rsidR="00BB192D">
        <w:t xml:space="preserve"> authorised </w:t>
      </w:r>
      <w:r w:rsidR="00230541">
        <w:t xml:space="preserve">by </w:t>
      </w:r>
      <w:r w:rsidR="0082237E">
        <w:t xml:space="preserve">Montreal Protocol </w:t>
      </w:r>
      <w:r w:rsidR="00230541">
        <w:t xml:space="preserve">parties </w:t>
      </w:r>
      <w:r w:rsidR="00BB192D">
        <w:t>because “</w:t>
      </w:r>
      <w:r w:rsidR="00BB192D" w:rsidRPr="001B3A85">
        <w:rPr>
          <w:i/>
          <w:iCs/>
          <w:lang w:val="en-AU"/>
        </w:rPr>
        <w:t>there are technically and economically feasible alternatives and substitutes for most applications</w:t>
      </w:r>
      <w:r w:rsidR="00BB192D">
        <w:rPr>
          <w:lang w:val="en-AU"/>
        </w:rPr>
        <w:t>”</w:t>
      </w:r>
      <w:r w:rsidR="00BB192D" w:rsidRPr="00BB192D">
        <w:rPr>
          <w:lang w:val="en-AU"/>
        </w:rPr>
        <w:t xml:space="preserve">, and </w:t>
      </w:r>
      <w:r w:rsidR="00BB192D">
        <w:rPr>
          <w:lang w:val="en-AU"/>
        </w:rPr>
        <w:t>“</w:t>
      </w:r>
      <w:r w:rsidR="00BB192D" w:rsidRPr="001B3A85">
        <w:rPr>
          <w:i/>
          <w:iCs/>
          <w:lang w:val="en-AU"/>
        </w:rPr>
        <w:t>halon is available in sufficient quantity and quality from existing stocks of banked and recycled halon</w:t>
      </w:r>
      <w:r w:rsidR="00BB192D">
        <w:rPr>
          <w:lang w:val="en-AU"/>
        </w:rPr>
        <w:t>”</w:t>
      </w:r>
      <w:r w:rsidR="00BB192D">
        <w:rPr>
          <w:rStyle w:val="FootnoteReference"/>
          <w:lang w:val="en-AU"/>
        </w:rPr>
        <w:footnoteReference w:id="4"/>
      </w:r>
      <w:r w:rsidR="00BB192D">
        <w:t>.</w:t>
      </w:r>
      <w:r w:rsidR="00212F79" w:rsidRPr="00212F79">
        <w:t xml:space="preserve"> </w:t>
      </w:r>
      <w:r w:rsidR="0082237E">
        <w:t xml:space="preserve">Nominations for essential use exemptions for halon production or consumption have not been </w:t>
      </w:r>
      <w:r w:rsidR="009507D6">
        <w:t>considered by the Montreal Protocol</w:t>
      </w:r>
      <w:r w:rsidR="0082237E">
        <w:t xml:space="preserve"> since the</w:t>
      </w:r>
      <w:r w:rsidR="009507D6">
        <w:t>se</w:t>
      </w:r>
      <w:r w:rsidR="0082237E">
        <w:t xml:space="preserve"> decisions </w:t>
      </w:r>
      <w:r w:rsidR="009507D6">
        <w:t xml:space="preserve">were taken </w:t>
      </w:r>
      <w:r w:rsidR="0082237E">
        <w:t xml:space="preserve">in the </w:t>
      </w:r>
      <w:r w:rsidR="009507D6">
        <w:t xml:space="preserve">early </w:t>
      </w:r>
      <w:r w:rsidR="0082237E">
        <w:t>1990s.</w:t>
      </w:r>
      <w:r w:rsidR="005058D0">
        <w:rPr>
          <w:lang w:val="en-AU"/>
        </w:rPr>
        <w:t xml:space="preserve"> </w:t>
      </w:r>
      <w:r w:rsidR="00B61BF7">
        <w:t>S</w:t>
      </w:r>
      <w:r w:rsidR="00B61BF7" w:rsidRPr="0010298D">
        <w:t>ince 1993</w:t>
      </w:r>
      <w:r w:rsidR="00B61BF7">
        <w:t>,</w:t>
      </w:r>
      <w:r w:rsidR="00B61BF7" w:rsidRPr="0010298D">
        <w:t xml:space="preserve"> </w:t>
      </w:r>
      <w:r w:rsidR="00B61BF7">
        <w:t>t</w:t>
      </w:r>
      <w:r w:rsidR="00212F79" w:rsidRPr="0010298D">
        <w:t xml:space="preserve">he import of newly manufactured halons into Australia has been prohibited unless an “essential use exemption” for production or </w:t>
      </w:r>
      <w:r w:rsidR="0082237E">
        <w:t>consumption (</w:t>
      </w:r>
      <w:r w:rsidR="00E32343">
        <w:t xml:space="preserve">including </w:t>
      </w:r>
      <w:r w:rsidR="00212F79">
        <w:t>import</w:t>
      </w:r>
      <w:r w:rsidR="0082237E">
        <w:t>)</w:t>
      </w:r>
      <w:r w:rsidR="00212F79" w:rsidRPr="0010298D">
        <w:t xml:space="preserve"> is authorised by the </w:t>
      </w:r>
      <w:r w:rsidRPr="0010298D">
        <w:t>Montreal Protocol</w:t>
      </w:r>
      <w:r w:rsidR="00212F79" w:rsidRPr="0010298D">
        <w:t>.</w:t>
      </w:r>
    </w:p>
    <w:p w14:paraId="22A44E09" w14:textId="420CF5D0" w:rsidR="009A0E45" w:rsidRPr="002359AC" w:rsidRDefault="00DA62F7" w:rsidP="00D92359">
      <w:pPr>
        <w:pStyle w:val="BodyText10"/>
      </w:pPr>
      <w:r w:rsidRPr="002359AC">
        <w:t xml:space="preserve">The </w:t>
      </w:r>
      <w:r w:rsidRPr="000D0DC0">
        <w:rPr>
          <w:iCs/>
        </w:rPr>
        <w:t>Australian Halon Management Strategy</w:t>
      </w:r>
      <w:r w:rsidRPr="002359AC">
        <w:t xml:space="preserve"> </w:t>
      </w:r>
      <w:r w:rsidR="00157C9D" w:rsidRPr="002359AC">
        <w:t>was first published in 2000</w:t>
      </w:r>
      <w:r w:rsidRPr="002359AC">
        <w:t xml:space="preserve"> </w:t>
      </w:r>
      <w:r w:rsidR="00A61D42" w:rsidRPr="002359AC">
        <w:t xml:space="preserve">in response to </w:t>
      </w:r>
      <w:r w:rsidR="004E7808">
        <w:t>the Montreal Protocol’s d</w:t>
      </w:r>
      <w:r w:rsidR="00602B5C" w:rsidRPr="002359AC">
        <w:t>ecision X/7</w:t>
      </w:r>
      <w:r w:rsidR="003B03CA" w:rsidRPr="002359AC">
        <w:t xml:space="preserve"> </w:t>
      </w:r>
      <w:r w:rsidR="004E7808">
        <w:t>on halon management strategies</w:t>
      </w:r>
      <w:r w:rsidR="00F31966" w:rsidRPr="002359AC">
        <w:t>.</w:t>
      </w:r>
      <w:r w:rsidR="00F10700">
        <w:t xml:space="preserve"> </w:t>
      </w:r>
      <w:r w:rsidR="004E7808">
        <w:t xml:space="preserve">This decision requested each party to develop a national </w:t>
      </w:r>
      <w:r w:rsidR="004E7808" w:rsidRPr="004E7808">
        <w:t>strategy for the management of halons, including emissions reduction and ultimate elimination of their use</w:t>
      </w:r>
      <w:r w:rsidR="004E7808">
        <w:t>.</w:t>
      </w:r>
      <w:r w:rsidR="004E7808" w:rsidRPr="004E7808">
        <w:t xml:space="preserve"> </w:t>
      </w:r>
      <w:r w:rsidR="00472E01">
        <w:t xml:space="preserve">The </w:t>
      </w:r>
      <w:r w:rsidR="00472E01" w:rsidRPr="006C4E96">
        <w:rPr>
          <w:iCs/>
        </w:rPr>
        <w:t>Australian Halon Management Strategy</w:t>
      </w:r>
      <w:r w:rsidR="0098377C" w:rsidRPr="002359AC">
        <w:t xml:space="preserve"> </w:t>
      </w:r>
      <w:r w:rsidR="001B66F3" w:rsidRPr="002359AC">
        <w:t xml:space="preserve">describes </w:t>
      </w:r>
      <w:r w:rsidRPr="002359AC">
        <w:t>Australia’s approach to halon management</w:t>
      </w:r>
      <w:r w:rsidR="004357C8" w:rsidRPr="002359AC">
        <w:t xml:space="preserve"> and outline</w:t>
      </w:r>
      <w:r w:rsidR="00CE1F83" w:rsidRPr="002359AC">
        <w:t>s</w:t>
      </w:r>
      <w:r w:rsidR="004357C8" w:rsidRPr="002359AC">
        <w:t xml:space="preserve"> principles and measures </w:t>
      </w:r>
      <w:r w:rsidR="006371D1">
        <w:t>established</w:t>
      </w:r>
      <w:r w:rsidR="009950BD" w:rsidRPr="002359AC">
        <w:t xml:space="preserve"> to</w:t>
      </w:r>
      <w:r w:rsidR="00F9580E" w:rsidRPr="002359AC">
        <w:t xml:space="preserve"> manage </w:t>
      </w:r>
      <w:r w:rsidR="00DE5430">
        <w:t xml:space="preserve">halon </w:t>
      </w:r>
      <w:r w:rsidR="00F9580E" w:rsidRPr="002359AC">
        <w:t>use</w:t>
      </w:r>
      <w:r w:rsidR="004C7EC3" w:rsidRPr="002359AC">
        <w:t>s</w:t>
      </w:r>
      <w:r w:rsidR="00F9580E" w:rsidRPr="002359AC">
        <w:t xml:space="preserve"> </w:t>
      </w:r>
      <w:r w:rsidR="007A45D5" w:rsidRPr="002359AC">
        <w:t xml:space="preserve">until </w:t>
      </w:r>
      <w:r w:rsidR="0053377A" w:rsidRPr="002359AC">
        <w:t>halon is no longer required</w:t>
      </w:r>
      <w:r w:rsidRPr="002359AC">
        <w:t>.</w:t>
      </w:r>
      <w:r w:rsidR="00F10700">
        <w:t xml:space="preserve"> </w:t>
      </w:r>
      <w:r w:rsidR="00F97520">
        <w:t>It</w:t>
      </w:r>
      <w:r w:rsidR="00774887" w:rsidRPr="002359AC">
        <w:t xml:space="preserve"> was reviewed in 2014-2016, and the updated 2019 version is available from the Department</w:t>
      </w:r>
      <w:r w:rsidR="00F97520">
        <w:t>’s</w:t>
      </w:r>
      <w:r w:rsidR="00774887" w:rsidRPr="002359AC">
        <w:t xml:space="preserve"> website</w:t>
      </w:r>
      <w:r w:rsidR="00774887" w:rsidRPr="002359AC">
        <w:rPr>
          <w:rStyle w:val="FootnoteReference"/>
        </w:rPr>
        <w:footnoteReference w:id="5"/>
      </w:r>
      <w:r w:rsidR="00774887" w:rsidRPr="002359AC">
        <w:t>.</w:t>
      </w:r>
    </w:p>
    <w:p w14:paraId="00A39A23" w14:textId="0DA3665D" w:rsidR="009D31F3" w:rsidRDefault="00382B1A" w:rsidP="00D92359">
      <w:pPr>
        <w:pStyle w:val="BodyText10"/>
        <w:rPr>
          <w:lang w:val="en-AU"/>
        </w:rPr>
      </w:pPr>
      <w:r w:rsidRPr="002359AC">
        <w:rPr>
          <w:lang w:val="en-AU"/>
        </w:rPr>
        <w:t xml:space="preserve">Australia controls the manufacture and import of equipment that contains halon through licensing under the </w:t>
      </w:r>
      <w:r w:rsidRPr="000D0DC0">
        <w:rPr>
          <w:i/>
          <w:iCs/>
          <w:lang w:val="en-AU"/>
        </w:rPr>
        <w:t>Ozone Protection and Synthetic Greenhouse Gas Management Act 1989</w:t>
      </w:r>
      <w:r w:rsidRPr="002359AC">
        <w:rPr>
          <w:lang w:val="en-AU"/>
        </w:rPr>
        <w:t xml:space="preserve"> </w:t>
      </w:r>
      <w:r w:rsidR="00667115">
        <w:rPr>
          <w:lang w:val="en-AU"/>
        </w:rPr>
        <w:t xml:space="preserve">(the Act) </w:t>
      </w:r>
      <w:r w:rsidRPr="002359AC">
        <w:rPr>
          <w:lang w:val="en-AU"/>
        </w:rPr>
        <w:t xml:space="preserve">and associated </w:t>
      </w:r>
      <w:r w:rsidRPr="000D0DC0">
        <w:rPr>
          <w:i/>
          <w:iCs/>
          <w:lang w:val="en-AU"/>
        </w:rPr>
        <w:t>Ozone Protection and Synthetic Greenhouse Gas Management Regulations 1995</w:t>
      </w:r>
      <w:r w:rsidRPr="002359AC">
        <w:rPr>
          <w:lang w:val="en-AU"/>
        </w:rPr>
        <w:t xml:space="preserve">. Through these legislative and regulatory requirements, Australia </w:t>
      </w:r>
      <w:r w:rsidR="00D46199">
        <w:rPr>
          <w:lang w:val="en-AU"/>
        </w:rPr>
        <w:t>limits</w:t>
      </w:r>
      <w:r w:rsidR="00D46199" w:rsidRPr="002359AC">
        <w:rPr>
          <w:lang w:val="en-AU"/>
        </w:rPr>
        <w:t xml:space="preserve"> </w:t>
      </w:r>
      <w:r w:rsidRPr="002359AC">
        <w:rPr>
          <w:lang w:val="en-AU"/>
        </w:rPr>
        <w:t xml:space="preserve">the use of halons in new installations and equipment and has enacted measures for the environmentally safe recovery, storage, management and </w:t>
      </w:r>
      <w:r w:rsidR="0044713A">
        <w:rPr>
          <w:lang w:val="en-AU"/>
        </w:rPr>
        <w:t>disposal</w:t>
      </w:r>
      <w:r w:rsidR="0044713A" w:rsidRPr="002359AC">
        <w:rPr>
          <w:lang w:val="en-AU"/>
        </w:rPr>
        <w:t xml:space="preserve"> </w:t>
      </w:r>
      <w:r w:rsidRPr="002359AC">
        <w:rPr>
          <w:lang w:val="en-AU"/>
        </w:rPr>
        <w:t>of halons.</w:t>
      </w:r>
      <w:r w:rsidR="00BC3CC9">
        <w:rPr>
          <w:lang w:val="en-AU"/>
        </w:rPr>
        <w:t xml:space="preserve"> </w:t>
      </w:r>
      <w:r w:rsidR="00BC534F">
        <w:rPr>
          <w:lang w:val="en-AU"/>
        </w:rPr>
        <w:t xml:space="preserve">These requirements also apply to some halon alternatives that are </w:t>
      </w:r>
      <w:r w:rsidR="00443164">
        <w:rPr>
          <w:lang w:val="en-AU"/>
        </w:rPr>
        <w:t xml:space="preserve">ozone-depleting substances but not halons (e.g., </w:t>
      </w:r>
      <w:r w:rsidR="00E749A4">
        <w:rPr>
          <w:lang w:val="en-AU"/>
        </w:rPr>
        <w:t>hydrochlorofluorocarbons) and/or</w:t>
      </w:r>
      <w:r w:rsidR="00443164">
        <w:rPr>
          <w:lang w:val="en-AU"/>
        </w:rPr>
        <w:t xml:space="preserve"> </w:t>
      </w:r>
      <w:r w:rsidR="00E749A4">
        <w:rPr>
          <w:lang w:val="en-AU"/>
        </w:rPr>
        <w:t>are synthetic greenhouse gases (e.g., hydrofluorocarbons).</w:t>
      </w:r>
    </w:p>
    <w:p w14:paraId="71393614" w14:textId="2B0A55B3" w:rsidR="0093033A" w:rsidRPr="000D0DC0" w:rsidRDefault="008A1D89" w:rsidP="00D92359">
      <w:pPr>
        <w:pStyle w:val="BodyText10"/>
        <w:rPr>
          <w:szCs w:val="24"/>
        </w:rPr>
      </w:pPr>
      <w:r w:rsidRPr="008A1D89">
        <w:rPr>
          <w:szCs w:val="24"/>
        </w:rPr>
        <w:t xml:space="preserve">Under the </w:t>
      </w:r>
      <w:r w:rsidR="00667115" w:rsidRPr="000D0DC0">
        <w:rPr>
          <w:szCs w:val="24"/>
        </w:rPr>
        <w:t>Act</w:t>
      </w:r>
      <w:r w:rsidRPr="008A1D89">
        <w:rPr>
          <w:szCs w:val="24"/>
        </w:rPr>
        <w:t>,</w:t>
      </w:r>
      <w:r>
        <w:rPr>
          <w:szCs w:val="24"/>
        </w:rPr>
        <w:t xml:space="preserve"> a </w:t>
      </w:r>
      <w:r w:rsidR="00481A17">
        <w:rPr>
          <w:szCs w:val="24"/>
        </w:rPr>
        <w:t>halon special permit</w:t>
      </w:r>
      <w:r w:rsidR="0093033A" w:rsidRPr="006276F6">
        <w:rPr>
          <w:szCs w:val="24"/>
        </w:rPr>
        <w:t xml:space="preserve"> is required by an individual or company possessing halon for use in fire protection equipment or systems.</w:t>
      </w:r>
      <w:r w:rsidR="002F1E70">
        <w:rPr>
          <w:szCs w:val="24"/>
        </w:rPr>
        <w:t xml:space="preserve"> </w:t>
      </w:r>
      <w:r w:rsidR="00E33DDC" w:rsidRPr="00E33DDC">
        <w:rPr>
          <w:szCs w:val="24"/>
        </w:rPr>
        <w:t xml:space="preserve">The Fire Protection Industry (ODS &amp; SGG) Board </w:t>
      </w:r>
      <w:r w:rsidR="00192605">
        <w:rPr>
          <w:szCs w:val="24"/>
        </w:rPr>
        <w:t xml:space="preserve">(the Board) </w:t>
      </w:r>
      <w:r w:rsidR="00E33DDC">
        <w:rPr>
          <w:szCs w:val="24"/>
        </w:rPr>
        <w:t>is authorised under the requirements to</w:t>
      </w:r>
      <w:r w:rsidR="00E33DDC" w:rsidRPr="00E33DDC">
        <w:rPr>
          <w:szCs w:val="24"/>
        </w:rPr>
        <w:t xml:space="preserve"> administer</w:t>
      </w:r>
      <w:r w:rsidR="00E33DDC">
        <w:rPr>
          <w:szCs w:val="24"/>
        </w:rPr>
        <w:t xml:space="preserve"> </w:t>
      </w:r>
      <w:r w:rsidR="00AA1BA8">
        <w:rPr>
          <w:szCs w:val="24"/>
        </w:rPr>
        <w:t>licensing and</w:t>
      </w:r>
      <w:r w:rsidR="00E33DDC" w:rsidRPr="00E33DDC">
        <w:rPr>
          <w:szCs w:val="24"/>
        </w:rPr>
        <w:t xml:space="preserve"> permit</w:t>
      </w:r>
      <w:r w:rsidR="00AA1BA8">
        <w:rPr>
          <w:szCs w:val="24"/>
        </w:rPr>
        <w:t>s</w:t>
      </w:r>
      <w:r w:rsidR="00E33DDC" w:rsidRPr="00E33DDC">
        <w:rPr>
          <w:szCs w:val="24"/>
        </w:rPr>
        <w:t xml:space="preserve"> on behalf of the Australian Government.</w:t>
      </w:r>
      <w:r w:rsidR="00AA1BA8">
        <w:rPr>
          <w:szCs w:val="24"/>
        </w:rPr>
        <w:t xml:space="preserve"> </w:t>
      </w:r>
      <w:r w:rsidR="002F1E70">
        <w:rPr>
          <w:szCs w:val="24"/>
        </w:rPr>
        <w:t xml:space="preserve">Among other things, </w:t>
      </w:r>
      <w:r w:rsidR="005C48CB">
        <w:rPr>
          <w:szCs w:val="24"/>
        </w:rPr>
        <w:t>halon special permit</w:t>
      </w:r>
      <w:r w:rsidR="00732715" w:rsidRPr="00732715">
        <w:rPr>
          <w:szCs w:val="24"/>
        </w:rPr>
        <w:t xml:space="preserve"> holders are required to report </w:t>
      </w:r>
      <w:r w:rsidR="00750A76" w:rsidRPr="000D0DC0">
        <w:t>to the Board</w:t>
      </w:r>
      <w:r w:rsidR="00750A76">
        <w:rPr>
          <w:szCs w:val="24"/>
        </w:rPr>
        <w:t xml:space="preserve"> </w:t>
      </w:r>
      <w:r w:rsidR="005C48CB">
        <w:rPr>
          <w:szCs w:val="24"/>
        </w:rPr>
        <w:t xml:space="preserve">on a </w:t>
      </w:r>
      <w:r w:rsidR="00732715" w:rsidRPr="00732715">
        <w:rPr>
          <w:szCs w:val="24"/>
        </w:rPr>
        <w:t>quarterly</w:t>
      </w:r>
      <w:r w:rsidR="005C48CB">
        <w:rPr>
          <w:szCs w:val="24"/>
        </w:rPr>
        <w:t xml:space="preserve"> basis about </w:t>
      </w:r>
      <w:r w:rsidR="00750A76">
        <w:rPr>
          <w:szCs w:val="24"/>
        </w:rPr>
        <w:t xml:space="preserve">quantities of </w:t>
      </w:r>
      <w:r w:rsidR="00750A76">
        <w:rPr>
          <w:szCs w:val="24"/>
        </w:rPr>
        <w:lastRenderedPageBreak/>
        <w:t>halon acquired, recovered, supplied, refilled, destroyed and on hand</w:t>
      </w:r>
      <w:r w:rsidR="00732715" w:rsidRPr="00732715">
        <w:rPr>
          <w:szCs w:val="24"/>
        </w:rPr>
        <w:t>.</w:t>
      </w:r>
      <w:r w:rsidR="00667115">
        <w:rPr>
          <w:szCs w:val="24"/>
        </w:rPr>
        <w:t xml:space="preserve"> </w:t>
      </w:r>
      <w:r w:rsidR="001A3103" w:rsidRPr="000D0DC0">
        <w:t xml:space="preserve">The Department provided </w:t>
      </w:r>
      <w:r w:rsidR="005C2A57">
        <w:t xml:space="preserve">this review with </w:t>
      </w:r>
      <w:r w:rsidR="001A3103" w:rsidRPr="000D0DC0">
        <w:t xml:space="preserve">a summary of quarterly </w:t>
      </w:r>
      <w:r w:rsidR="00192605">
        <w:t xml:space="preserve">reports </w:t>
      </w:r>
      <w:r w:rsidR="00AA1BA8" w:rsidRPr="00BD479A">
        <w:t>from halon special permit holder</w:t>
      </w:r>
      <w:r w:rsidR="00AA1BA8">
        <w:t xml:space="preserve">s </w:t>
      </w:r>
      <w:r w:rsidR="005C2A57">
        <w:t xml:space="preserve">that had been </w:t>
      </w:r>
      <w:r w:rsidR="008451EE">
        <w:t>submitted</w:t>
      </w:r>
      <w:r w:rsidR="00AA1BA8">
        <w:t xml:space="preserve"> to the Board</w:t>
      </w:r>
      <w:r w:rsidR="001A3103" w:rsidRPr="000D0DC0">
        <w:t>.</w:t>
      </w:r>
    </w:p>
    <w:p w14:paraId="3128546E" w14:textId="509AB17C" w:rsidR="008118EE" w:rsidRDefault="0050254C" w:rsidP="00D92359">
      <w:pPr>
        <w:pStyle w:val="BodyText10"/>
        <w:rPr>
          <w:lang w:val="en-AU"/>
        </w:rPr>
      </w:pPr>
      <w:r>
        <w:rPr>
          <w:lang w:val="en-AU"/>
        </w:rPr>
        <w:t xml:space="preserve">Under its strategy, </w:t>
      </w:r>
      <w:r w:rsidR="00F00BA1" w:rsidRPr="002359AC">
        <w:rPr>
          <w:lang w:val="en-AU"/>
        </w:rPr>
        <w:t>Australia aims to phase</w:t>
      </w:r>
      <w:r w:rsidR="00BC153C">
        <w:rPr>
          <w:lang w:val="en-AU"/>
        </w:rPr>
        <w:t xml:space="preserve"> </w:t>
      </w:r>
      <w:r w:rsidR="00F00BA1" w:rsidRPr="002359AC">
        <w:rPr>
          <w:lang w:val="en-AU"/>
        </w:rPr>
        <w:t xml:space="preserve">out halons </w:t>
      </w:r>
      <w:r w:rsidR="008118EE" w:rsidRPr="002359AC">
        <w:rPr>
          <w:lang w:val="en-AU"/>
        </w:rPr>
        <w:t xml:space="preserve">completely </w:t>
      </w:r>
      <w:r w:rsidR="00F00BA1" w:rsidRPr="002359AC">
        <w:rPr>
          <w:lang w:val="en-AU"/>
        </w:rPr>
        <w:t>when alternatives are available. However, the long-term need for halon is uncertain, with halon systems potentially still required for specific uses</w:t>
      </w:r>
      <w:r w:rsidR="00B931AE" w:rsidRPr="002359AC">
        <w:rPr>
          <w:lang w:val="en-AU"/>
        </w:rPr>
        <w:t xml:space="preserve"> that are still essential</w:t>
      </w:r>
      <w:r w:rsidR="00F00BA1" w:rsidRPr="002359AC">
        <w:rPr>
          <w:lang w:val="en-AU"/>
        </w:rPr>
        <w:t xml:space="preserve">, such as </w:t>
      </w:r>
      <w:r w:rsidR="00B931AE" w:rsidRPr="002359AC">
        <w:rPr>
          <w:lang w:val="en-AU"/>
        </w:rPr>
        <w:t xml:space="preserve">civil </w:t>
      </w:r>
      <w:r w:rsidR="00F00BA1" w:rsidRPr="002359AC">
        <w:rPr>
          <w:lang w:val="en-AU"/>
        </w:rPr>
        <w:t>aviation, well into the foreseeable future.</w:t>
      </w:r>
    </w:p>
    <w:p w14:paraId="49FB855A" w14:textId="5240C35C" w:rsidR="009D31F3" w:rsidRPr="002359AC" w:rsidRDefault="008118EE" w:rsidP="00324056">
      <w:pPr>
        <w:pStyle w:val="Heading2"/>
      </w:pPr>
      <w:bookmarkStart w:id="5" w:name="_Toc38190314"/>
      <w:r>
        <w:t>Australia’s strategic halon</w:t>
      </w:r>
      <w:r w:rsidR="00F00BA1" w:rsidRPr="002359AC">
        <w:t xml:space="preserve"> </w:t>
      </w:r>
      <w:r>
        <w:t>stockpile: National Halon Bank</w:t>
      </w:r>
      <w:bookmarkEnd w:id="5"/>
    </w:p>
    <w:p w14:paraId="4E99CE91" w14:textId="00AD9877" w:rsidR="001D3F8A" w:rsidRPr="001B3A85" w:rsidRDefault="008118EE" w:rsidP="00D92359">
      <w:pPr>
        <w:pStyle w:val="BodyText10"/>
        <w:rPr>
          <w:lang w:val="en-AU"/>
        </w:rPr>
      </w:pPr>
      <w:r>
        <w:rPr>
          <w:lang w:val="en-US"/>
        </w:rPr>
        <w:t>T</w:t>
      </w:r>
      <w:r w:rsidR="001D3F8A" w:rsidRPr="002359AC">
        <w:rPr>
          <w:lang w:val="en-US"/>
        </w:rPr>
        <w:t>he Department</w:t>
      </w:r>
      <w:r w:rsidR="00B931AE" w:rsidRPr="002359AC">
        <w:t xml:space="preserve"> </w:t>
      </w:r>
      <w:r w:rsidR="001D3F8A" w:rsidRPr="002359AC">
        <w:t xml:space="preserve">manages a strategic </w:t>
      </w:r>
      <w:r w:rsidR="000E2644">
        <w:t xml:space="preserve">halon </w:t>
      </w:r>
      <w:r w:rsidR="001D3F8A" w:rsidRPr="002359AC">
        <w:t xml:space="preserve">stockpile </w:t>
      </w:r>
      <w:r w:rsidR="000E2644" w:rsidRPr="000E2644">
        <w:rPr>
          <w:lang w:val="en-AU"/>
        </w:rPr>
        <w:t>originat</w:t>
      </w:r>
      <w:r w:rsidR="000E2644">
        <w:rPr>
          <w:lang w:val="en-AU"/>
        </w:rPr>
        <w:t>ing</w:t>
      </w:r>
      <w:r w:rsidR="000E2644" w:rsidRPr="000E2644">
        <w:rPr>
          <w:lang w:val="en-AU"/>
        </w:rPr>
        <w:t xml:space="preserve"> from </w:t>
      </w:r>
      <w:r w:rsidR="00DF6E20">
        <w:rPr>
          <w:lang w:val="en-AU"/>
        </w:rPr>
        <w:t>surplus</w:t>
      </w:r>
      <w:r w:rsidR="00DF6E20" w:rsidRPr="000E2644">
        <w:rPr>
          <w:lang w:val="en-AU"/>
        </w:rPr>
        <w:t xml:space="preserve"> </w:t>
      </w:r>
      <w:r w:rsidR="000E2644" w:rsidRPr="000E2644">
        <w:rPr>
          <w:lang w:val="en-AU"/>
        </w:rPr>
        <w:t>halon</w:t>
      </w:r>
      <w:r w:rsidR="000E2644">
        <w:rPr>
          <w:lang w:val="en-AU"/>
        </w:rPr>
        <w:t>s</w:t>
      </w:r>
      <w:r w:rsidR="000E2644" w:rsidRPr="000E2644">
        <w:rPr>
          <w:lang w:val="en-AU"/>
        </w:rPr>
        <w:t xml:space="preserve"> recovered from decommissioned </w:t>
      </w:r>
      <w:r w:rsidR="00DF6E20">
        <w:rPr>
          <w:lang w:val="en-AU"/>
        </w:rPr>
        <w:t xml:space="preserve">halon equipment and </w:t>
      </w:r>
      <w:r w:rsidR="000E2644" w:rsidRPr="000E2644">
        <w:rPr>
          <w:lang w:val="en-AU"/>
        </w:rPr>
        <w:t>systems in Australia</w:t>
      </w:r>
      <w:r w:rsidR="001D3F8A" w:rsidRPr="002359AC">
        <w:t>.</w:t>
      </w:r>
      <w:r w:rsidR="00F10700">
        <w:t xml:space="preserve"> </w:t>
      </w:r>
      <w:r w:rsidR="001D3F8A" w:rsidRPr="002359AC">
        <w:t xml:space="preserve">The National Halon Bank (NHB) was established in 1993 </w:t>
      </w:r>
      <w:r w:rsidR="00B931AE" w:rsidRPr="002359AC">
        <w:t>to</w:t>
      </w:r>
      <w:r w:rsidR="001D3F8A" w:rsidRPr="002359AC">
        <w:t xml:space="preserve"> maintain a bank of halons (halon 1211 and halon 1301) for Australia’s </w:t>
      </w:r>
      <w:r w:rsidR="00DF6E20">
        <w:t xml:space="preserve">future </w:t>
      </w:r>
      <w:r w:rsidR="001D3F8A" w:rsidRPr="002359AC">
        <w:t xml:space="preserve">strategic </w:t>
      </w:r>
      <w:r w:rsidR="009D1EAA">
        <w:t xml:space="preserve">non-defence </w:t>
      </w:r>
      <w:r w:rsidR="001D3F8A" w:rsidRPr="002359AC">
        <w:t>requirements</w:t>
      </w:r>
      <w:r w:rsidR="006E07AD">
        <w:t xml:space="preserve"> until the transition to halon alternatives is completed</w:t>
      </w:r>
      <w:r w:rsidR="001D3F8A" w:rsidRPr="002359AC">
        <w:t xml:space="preserve">. </w:t>
      </w:r>
      <w:r w:rsidR="00225F31">
        <w:t>Initially, t</w:t>
      </w:r>
      <w:r w:rsidR="000E2644" w:rsidRPr="000E2644">
        <w:t>he NHB operate</w:t>
      </w:r>
      <w:r w:rsidR="00225F31">
        <w:t>d</w:t>
      </w:r>
      <w:r w:rsidR="000E2644" w:rsidRPr="000E2644">
        <w:t xml:space="preserve"> as a decanting, purification, and storage facility </w:t>
      </w:r>
      <w:r w:rsidR="000E2644">
        <w:t xml:space="preserve">for </w:t>
      </w:r>
      <w:r w:rsidR="000E2644" w:rsidRPr="000E2644">
        <w:t>halon</w:t>
      </w:r>
      <w:r w:rsidR="000E2644">
        <w:t>s</w:t>
      </w:r>
      <w:r w:rsidR="000E2644" w:rsidRPr="000E2644">
        <w:t xml:space="preserve"> 1211 and 1301</w:t>
      </w:r>
      <w:r w:rsidR="000E2644">
        <w:t xml:space="preserve">. </w:t>
      </w:r>
      <w:r w:rsidR="00855748" w:rsidRPr="00855748">
        <w:t>Currently</w:t>
      </w:r>
      <w:r w:rsidR="00855748">
        <w:t>,</w:t>
      </w:r>
      <w:r w:rsidR="00855748" w:rsidRPr="00855748">
        <w:t xml:space="preserve"> the NHB operates as a storage and supply facility for halon 1211 and 1301</w:t>
      </w:r>
      <w:r w:rsidR="000A4B34" w:rsidRPr="000E2644">
        <w:t xml:space="preserve"> and provide</w:t>
      </w:r>
      <w:r w:rsidR="000A4B34">
        <w:t>s</w:t>
      </w:r>
      <w:r w:rsidR="000A4B34" w:rsidRPr="000E2644">
        <w:t xml:space="preserve"> </w:t>
      </w:r>
      <w:r w:rsidR="000A4B34">
        <w:t xml:space="preserve">halon </w:t>
      </w:r>
      <w:r w:rsidR="000A4B34" w:rsidRPr="000E2644">
        <w:t>testing services</w:t>
      </w:r>
      <w:r w:rsidR="00855748">
        <w:t xml:space="preserve">. </w:t>
      </w:r>
      <w:r w:rsidR="006E07AD">
        <w:t xml:space="preserve">Under contractual arrangements, the </w:t>
      </w:r>
      <w:r w:rsidR="00DF6E20">
        <w:t xml:space="preserve">halon </w:t>
      </w:r>
      <w:r w:rsidR="006E07AD">
        <w:t xml:space="preserve">stockpile is managed under controlled conditions to prevent accidental releases and to preserve the integrity of Australia’s strategic </w:t>
      </w:r>
      <w:r w:rsidR="00DF6E20">
        <w:t xml:space="preserve">halon </w:t>
      </w:r>
      <w:r w:rsidR="006E07AD">
        <w:t xml:space="preserve">reserves. </w:t>
      </w:r>
      <w:r w:rsidR="001D3F8A" w:rsidRPr="002359AC">
        <w:t xml:space="preserve">The </w:t>
      </w:r>
      <w:r w:rsidR="00122AAE">
        <w:t xml:space="preserve">NHB </w:t>
      </w:r>
      <w:r w:rsidR="001D3F8A" w:rsidRPr="002359AC">
        <w:t>stockpile includes recovered halon that meets ASTM and ISO standards and is ready for service</w:t>
      </w:r>
      <w:r w:rsidR="00B931AE" w:rsidRPr="002359AC">
        <w:t>,</w:t>
      </w:r>
      <w:r w:rsidR="001D3F8A" w:rsidRPr="002359AC">
        <w:t xml:space="preserve"> as well as </w:t>
      </w:r>
      <w:r w:rsidR="006E07AD">
        <w:t xml:space="preserve">relinquished </w:t>
      </w:r>
      <w:r w:rsidR="001D3F8A" w:rsidRPr="002359AC">
        <w:t xml:space="preserve">material that is held as received but </w:t>
      </w:r>
      <w:r w:rsidR="0061450C">
        <w:t xml:space="preserve">has not yet been analysed </w:t>
      </w:r>
      <w:r w:rsidR="00B931AE" w:rsidRPr="002359AC">
        <w:t>to determine</w:t>
      </w:r>
      <w:r w:rsidR="0061450C">
        <w:t xml:space="preserve"> its quality</w:t>
      </w:r>
      <w:r w:rsidR="001D3F8A" w:rsidRPr="002359AC">
        <w:t>.</w:t>
      </w:r>
    </w:p>
    <w:p w14:paraId="4251AB6A" w14:textId="09B722F6" w:rsidR="00CE114E" w:rsidRPr="002359AC" w:rsidRDefault="00654043" w:rsidP="00D92359">
      <w:pPr>
        <w:pStyle w:val="BodyText10"/>
      </w:pPr>
      <w:r w:rsidRPr="002359AC">
        <w:t xml:space="preserve">The halon stockpile is available for </w:t>
      </w:r>
      <w:r w:rsidR="006E07AD">
        <w:t>permitted</w:t>
      </w:r>
      <w:r w:rsidR="006E07AD" w:rsidRPr="002359AC">
        <w:t xml:space="preserve"> </w:t>
      </w:r>
      <w:r w:rsidRPr="002359AC">
        <w:t>uses, such as for medical, veterinary, defence, industrial safety or public safety purposes, where no practical alternative exists.</w:t>
      </w:r>
      <w:r w:rsidR="00F10700">
        <w:t xml:space="preserve"> </w:t>
      </w:r>
      <w:r w:rsidR="00DF6E20">
        <w:t>Permissions</w:t>
      </w:r>
      <w:r w:rsidR="00DF6E20" w:rsidRPr="002359AC">
        <w:t xml:space="preserve"> </w:t>
      </w:r>
      <w:r w:rsidR="00FE2E82" w:rsidRPr="002359AC">
        <w:t xml:space="preserve">for supply of halons from the stockpile are </w:t>
      </w:r>
      <w:r w:rsidR="00AB38FD" w:rsidRPr="002359AC">
        <w:t>administered</w:t>
      </w:r>
      <w:r w:rsidR="00FE2E82" w:rsidRPr="002359AC">
        <w:t xml:space="preserve"> in accordance with the criteria established in the </w:t>
      </w:r>
      <w:r w:rsidR="00FE2E82" w:rsidRPr="002359AC">
        <w:rPr>
          <w:i/>
        </w:rPr>
        <w:t>Ozone Protection and Synthetic Greenhouse Gas Management Act 1989</w:t>
      </w:r>
      <w:r w:rsidR="00FC06F7" w:rsidRPr="002359AC">
        <w:rPr>
          <w:i/>
        </w:rPr>
        <w:t xml:space="preserve"> </w:t>
      </w:r>
      <w:r w:rsidR="00FC06F7" w:rsidRPr="002359AC">
        <w:t>and</w:t>
      </w:r>
      <w:r w:rsidR="00FC06F7" w:rsidRPr="002359AC">
        <w:rPr>
          <w:i/>
        </w:rPr>
        <w:t xml:space="preserve"> </w:t>
      </w:r>
      <w:r w:rsidR="00E85716" w:rsidRPr="002359AC">
        <w:rPr>
          <w:i/>
        </w:rPr>
        <w:t xml:space="preserve">Ozone Protection and Synthetic Greenhouse Gas Management </w:t>
      </w:r>
      <w:r w:rsidR="00545D34" w:rsidRPr="002359AC">
        <w:rPr>
          <w:i/>
        </w:rPr>
        <w:t>Regulations 1995</w:t>
      </w:r>
      <w:r w:rsidR="00E85716" w:rsidRPr="002359AC">
        <w:t>.</w:t>
      </w:r>
      <w:r w:rsidR="00F10700">
        <w:t xml:space="preserve"> </w:t>
      </w:r>
    </w:p>
    <w:p w14:paraId="66C5D86C" w14:textId="68B9FBA5" w:rsidR="008118EE" w:rsidRPr="008118EE" w:rsidRDefault="008118EE" w:rsidP="00324056">
      <w:pPr>
        <w:pStyle w:val="Heading2"/>
      </w:pPr>
      <w:bookmarkStart w:id="6" w:name="_Toc38190315"/>
      <w:r w:rsidRPr="008118EE">
        <w:t>Halon alternatives</w:t>
      </w:r>
      <w:bookmarkEnd w:id="6"/>
    </w:p>
    <w:p w14:paraId="24C7359D" w14:textId="37112D65" w:rsidR="00CE114E" w:rsidRPr="002359AC" w:rsidRDefault="00700FCD" w:rsidP="00D92359">
      <w:pPr>
        <w:pStyle w:val="BodyText10"/>
      </w:pPr>
      <w:r w:rsidRPr="002359AC">
        <w:t>Globally, a</w:t>
      </w:r>
      <w:r w:rsidR="00DA62F7" w:rsidRPr="002359AC">
        <w:t xml:space="preserve">lternatives </w:t>
      </w:r>
      <w:r w:rsidR="00E74FBC">
        <w:t xml:space="preserve">to halons </w:t>
      </w:r>
      <w:r w:rsidR="00DA62F7" w:rsidRPr="002359AC">
        <w:t>are now available for most, but not all</w:t>
      </w:r>
      <w:r w:rsidR="008967A8" w:rsidRPr="002359AC">
        <w:t>,</w:t>
      </w:r>
      <w:r w:rsidR="005C1F1F" w:rsidRPr="002359AC">
        <w:t xml:space="preserve"> </w:t>
      </w:r>
      <w:r w:rsidR="00DA62F7" w:rsidRPr="002359AC">
        <w:t>halon applications.</w:t>
      </w:r>
      <w:r w:rsidR="00F10700">
        <w:t xml:space="preserve"> </w:t>
      </w:r>
      <w:r w:rsidR="00EF0503" w:rsidRPr="002359AC">
        <w:t>Since the mid-1990s</w:t>
      </w:r>
      <w:r w:rsidR="008967A8" w:rsidRPr="002359AC">
        <w:t>,</w:t>
      </w:r>
      <w:r w:rsidR="003537C4" w:rsidRPr="002359AC">
        <w:t xml:space="preserve"> most </w:t>
      </w:r>
      <w:r w:rsidR="00B833E6" w:rsidRPr="002359AC">
        <w:t>halon</w:t>
      </w:r>
      <w:r w:rsidR="00EF0503" w:rsidRPr="002359AC">
        <w:t xml:space="preserve"> </w:t>
      </w:r>
      <w:r w:rsidR="00DF6E20">
        <w:t xml:space="preserve">equipment and </w:t>
      </w:r>
      <w:r w:rsidR="00EF0503" w:rsidRPr="002359AC">
        <w:t>systems</w:t>
      </w:r>
      <w:r w:rsidR="006B1D5E" w:rsidRPr="002359AC">
        <w:t xml:space="preserve"> in Australia have been replaced </w:t>
      </w:r>
      <w:r w:rsidR="008179C2" w:rsidRPr="002359AC">
        <w:t>or decommissioned.</w:t>
      </w:r>
      <w:r w:rsidR="00F10700">
        <w:t xml:space="preserve"> </w:t>
      </w:r>
    </w:p>
    <w:p w14:paraId="2198A956" w14:textId="609D76D4" w:rsidR="00350B98" w:rsidRPr="00F97402" w:rsidRDefault="006B244E" w:rsidP="00F97402">
      <w:pPr>
        <w:pStyle w:val="BodyText10"/>
      </w:pPr>
      <w:r w:rsidRPr="00F97402">
        <w:t>Most maritime applications have been</w:t>
      </w:r>
      <w:r w:rsidR="007C3EC2" w:rsidRPr="00F97402">
        <w:t>,</w:t>
      </w:r>
      <w:r w:rsidRPr="00F97402">
        <w:t xml:space="preserve"> or are in the process of being</w:t>
      </w:r>
      <w:r w:rsidR="007C3EC2" w:rsidRPr="00F97402">
        <w:t>,</w:t>
      </w:r>
      <w:r w:rsidRPr="00F97402">
        <w:t xml:space="preserve"> replaced by alternatives</w:t>
      </w:r>
      <w:r w:rsidR="00E74FBC">
        <w:t xml:space="preserve"> to halons</w:t>
      </w:r>
      <w:r w:rsidRPr="00F97402">
        <w:t>.</w:t>
      </w:r>
      <w:r w:rsidR="00F10700">
        <w:t xml:space="preserve"> </w:t>
      </w:r>
      <w:r w:rsidR="00350B98" w:rsidRPr="00F97402">
        <w:t>Since the mid-1990s</w:t>
      </w:r>
      <w:r w:rsidR="007C3EC2" w:rsidRPr="00F97402">
        <w:t>,</w:t>
      </w:r>
      <w:r w:rsidR="00DC4711" w:rsidRPr="00F97402">
        <w:t xml:space="preserve"> new vessels</w:t>
      </w:r>
      <w:r w:rsidR="003500BB" w:rsidRPr="00F97402">
        <w:t xml:space="preserve"> </w:t>
      </w:r>
      <w:r w:rsidR="00AD795B" w:rsidRPr="00F97402">
        <w:t>complying with international maritime tre</w:t>
      </w:r>
      <w:r w:rsidR="00FF36BF" w:rsidRPr="00F97402">
        <w:t>a</w:t>
      </w:r>
      <w:r w:rsidR="00AD795B" w:rsidRPr="00F97402">
        <w:t>ties</w:t>
      </w:r>
      <w:r w:rsidR="00DC4711" w:rsidRPr="00F97402">
        <w:t xml:space="preserve"> </w:t>
      </w:r>
      <w:r w:rsidR="00003F22" w:rsidRPr="00F97402">
        <w:t xml:space="preserve">have been prohibited </w:t>
      </w:r>
      <w:r w:rsidR="00D45744" w:rsidRPr="00F97402">
        <w:t xml:space="preserve">from installing </w:t>
      </w:r>
      <w:r w:rsidR="00323A31" w:rsidRPr="00F97402">
        <w:t xml:space="preserve">halon </w:t>
      </w:r>
      <w:r w:rsidR="00301EAD" w:rsidRPr="00F97402">
        <w:t xml:space="preserve">fire </w:t>
      </w:r>
      <w:r w:rsidR="00350B98" w:rsidRPr="00F97402">
        <w:t xml:space="preserve">protection systems. </w:t>
      </w:r>
      <w:r w:rsidR="00A37DE0" w:rsidRPr="00F97402">
        <w:t>Legacy</w:t>
      </w:r>
      <w:r w:rsidR="00301EAD" w:rsidRPr="00F97402">
        <w:t xml:space="preserve"> vessels </w:t>
      </w:r>
      <w:r w:rsidR="005B6633" w:rsidRPr="00F97402">
        <w:t>were not required to retrofit</w:t>
      </w:r>
      <w:r w:rsidR="002D0BEC" w:rsidRPr="00F97402">
        <w:t xml:space="preserve"> </w:t>
      </w:r>
      <w:r w:rsidR="00C068C4" w:rsidRPr="00F97402">
        <w:t>alternative</w:t>
      </w:r>
      <w:r w:rsidR="00301EAD" w:rsidRPr="00F97402">
        <w:t xml:space="preserve"> </w:t>
      </w:r>
      <w:r w:rsidR="005A1C98" w:rsidRPr="00F97402">
        <w:t>non-</w:t>
      </w:r>
      <w:r w:rsidR="002D0BEC" w:rsidRPr="00F97402">
        <w:t>halon systems</w:t>
      </w:r>
      <w:r w:rsidR="00CE7A7A" w:rsidRPr="00F97402">
        <w:t>,</w:t>
      </w:r>
      <w:r w:rsidR="002D0BEC" w:rsidRPr="00F97402">
        <w:t xml:space="preserve"> but </w:t>
      </w:r>
      <w:r w:rsidR="00E26DDD" w:rsidRPr="00F97402">
        <w:t xml:space="preserve">policies and </w:t>
      </w:r>
      <w:r w:rsidR="002D0BEC" w:rsidRPr="00F97402">
        <w:t>economic</w:t>
      </w:r>
      <w:r w:rsidR="008C6B40" w:rsidRPr="00F97402">
        <w:t>s ha</w:t>
      </w:r>
      <w:r w:rsidR="00DF6E20">
        <w:t>ve</w:t>
      </w:r>
      <w:r w:rsidR="008C6B40" w:rsidRPr="00F97402">
        <w:t xml:space="preserve"> </w:t>
      </w:r>
      <w:r w:rsidR="002C4BC1" w:rsidRPr="00F97402">
        <w:t>led to replacement of many</w:t>
      </w:r>
      <w:r w:rsidR="00EB6CA5" w:rsidRPr="00F97402">
        <w:t xml:space="preserve"> of these systems </w:t>
      </w:r>
      <w:r w:rsidR="00E2563C" w:rsidRPr="00F97402">
        <w:t xml:space="preserve">anyway. </w:t>
      </w:r>
      <w:r w:rsidR="0036054F" w:rsidRPr="00F97402">
        <w:t>The vast majority of Australian</w:t>
      </w:r>
      <w:r w:rsidR="00347811" w:rsidRPr="00F97402">
        <w:t xml:space="preserve">-flagged vessels </w:t>
      </w:r>
      <w:r w:rsidR="00AC2A0A" w:rsidRPr="00F97402">
        <w:t xml:space="preserve">are </w:t>
      </w:r>
      <w:r w:rsidR="00695C16" w:rsidRPr="00F97402">
        <w:t xml:space="preserve">no longer </w:t>
      </w:r>
      <w:r w:rsidR="009B7A91" w:rsidRPr="00F97402">
        <w:t>fitted with halon</w:t>
      </w:r>
      <w:r w:rsidR="00EB6CA5" w:rsidRPr="00F97402">
        <w:t xml:space="preserve"> </w:t>
      </w:r>
      <w:r w:rsidR="00943F0E" w:rsidRPr="00F97402">
        <w:t>systems</w:t>
      </w:r>
      <w:r w:rsidR="008918D8" w:rsidRPr="00F97402">
        <w:t>.</w:t>
      </w:r>
      <w:r w:rsidR="00F10700">
        <w:t xml:space="preserve"> </w:t>
      </w:r>
      <w:r w:rsidR="00BC6113" w:rsidRPr="00F97402">
        <w:t>G</w:t>
      </w:r>
      <w:r w:rsidR="003D33F5" w:rsidRPr="00F97402">
        <w:t>lob</w:t>
      </w:r>
      <w:r w:rsidR="00B41697" w:rsidRPr="00F97402">
        <w:t>a</w:t>
      </w:r>
      <w:r w:rsidR="003D33F5" w:rsidRPr="00F97402">
        <w:t>lly</w:t>
      </w:r>
      <w:r w:rsidR="00CA1E6B" w:rsidRPr="00F97402">
        <w:t>,</w:t>
      </w:r>
      <w:r w:rsidR="00953200" w:rsidRPr="00F97402">
        <w:t xml:space="preserve"> </w:t>
      </w:r>
      <w:r w:rsidR="00B660E4" w:rsidRPr="00F97402">
        <w:t xml:space="preserve">there has been a </w:t>
      </w:r>
      <w:r w:rsidR="00BC6113" w:rsidRPr="00F97402">
        <w:t>similar</w:t>
      </w:r>
      <w:r w:rsidR="00AC2A0A" w:rsidRPr="00F97402">
        <w:t xml:space="preserve"> </w:t>
      </w:r>
      <w:r w:rsidR="00B660E4" w:rsidRPr="00F97402">
        <w:t xml:space="preserve">very </w:t>
      </w:r>
      <w:r w:rsidR="00701F05" w:rsidRPr="00F97402">
        <w:t xml:space="preserve">significant reduction </w:t>
      </w:r>
      <w:r w:rsidR="00AC2A0A" w:rsidRPr="00F97402">
        <w:t xml:space="preserve">in </w:t>
      </w:r>
      <w:r w:rsidR="00BD75CC" w:rsidRPr="00F97402">
        <w:t xml:space="preserve">vessels </w:t>
      </w:r>
      <w:r w:rsidR="0048750C" w:rsidRPr="00F97402">
        <w:t>fitted</w:t>
      </w:r>
      <w:r w:rsidR="00B438CB" w:rsidRPr="00F97402">
        <w:t xml:space="preserve"> </w:t>
      </w:r>
      <w:r w:rsidR="00B04742" w:rsidRPr="00F97402">
        <w:t>with halon</w:t>
      </w:r>
      <w:r w:rsidR="00CA1E6B" w:rsidRPr="00F97402">
        <w:t>,</w:t>
      </w:r>
      <w:r w:rsidR="00BC6113" w:rsidRPr="00F97402">
        <w:t xml:space="preserve"> primarily due </w:t>
      </w:r>
      <w:r w:rsidR="00BC6113" w:rsidRPr="00F97402">
        <w:lastRenderedPageBreak/>
        <w:t xml:space="preserve">to </w:t>
      </w:r>
      <w:r w:rsidR="00244DF2">
        <w:t xml:space="preserve">the </w:t>
      </w:r>
      <w:r w:rsidR="00BC6113" w:rsidRPr="00F97402">
        <w:t>natural attrition</w:t>
      </w:r>
      <w:r w:rsidR="00CA1E6B" w:rsidRPr="00F97402">
        <w:t xml:space="preserve"> </w:t>
      </w:r>
      <w:r w:rsidR="00244DF2">
        <w:t>of</w:t>
      </w:r>
      <w:r w:rsidR="00244DF2" w:rsidRPr="00F97402">
        <w:t xml:space="preserve"> </w:t>
      </w:r>
      <w:r w:rsidR="00EF04BD" w:rsidRPr="00F97402">
        <w:t>vessel</w:t>
      </w:r>
      <w:r w:rsidR="00244DF2">
        <w:t>s at their</w:t>
      </w:r>
      <w:r w:rsidR="00244DF2" w:rsidRPr="00244DF2">
        <w:t xml:space="preserve"> </w:t>
      </w:r>
      <w:r w:rsidR="00244DF2" w:rsidRPr="00F97402">
        <w:t>end-of-life</w:t>
      </w:r>
      <w:r w:rsidR="00B04742" w:rsidRPr="00F97402">
        <w:t xml:space="preserve">. </w:t>
      </w:r>
      <w:r w:rsidR="0006033F" w:rsidRPr="00F97402">
        <w:t xml:space="preserve">The </w:t>
      </w:r>
      <w:r w:rsidR="006D4C35" w:rsidRPr="00F97402">
        <w:t>NHB suppl</w:t>
      </w:r>
      <w:r w:rsidR="00895762">
        <w:t>ies</w:t>
      </w:r>
      <w:r w:rsidR="006D4C35" w:rsidRPr="00F97402">
        <w:t xml:space="preserve"> </w:t>
      </w:r>
      <w:r w:rsidR="00B06CB8" w:rsidRPr="00F97402">
        <w:t xml:space="preserve">halon to foreign vessels </w:t>
      </w:r>
      <w:r w:rsidR="00395FC0" w:rsidRPr="00F97402">
        <w:t xml:space="preserve">to replenish </w:t>
      </w:r>
      <w:r w:rsidR="00AB5F6A" w:rsidRPr="00F97402">
        <w:t>halon</w:t>
      </w:r>
      <w:r w:rsidR="00395FC0" w:rsidRPr="00F97402">
        <w:t xml:space="preserve"> </w:t>
      </w:r>
      <w:r w:rsidR="003912C5" w:rsidRPr="00F97402">
        <w:t xml:space="preserve">lost </w:t>
      </w:r>
      <w:r w:rsidR="003F7664" w:rsidRPr="00F97402">
        <w:t xml:space="preserve">in transit to Australia, </w:t>
      </w:r>
      <w:r w:rsidR="00056455" w:rsidRPr="00F97402">
        <w:t xml:space="preserve">if the vessel would </w:t>
      </w:r>
      <w:r w:rsidR="00F66077" w:rsidRPr="00F97402">
        <w:t xml:space="preserve">otherwise be </w:t>
      </w:r>
      <w:r w:rsidR="008317DC" w:rsidRPr="00F97402">
        <w:t>un</w:t>
      </w:r>
      <w:r w:rsidR="00F66077" w:rsidRPr="00F97402">
        <w:t>able to meet safety standards.</w:t>
      </w:r>
      <w:r w:rsidR="00F10700">
        <w:t xml:space="preserve"> </w:t>
      </w:r>
      <w:r w:rsidR="006E7375">
        <w:t>However, t</w:t>
      </w:r>
      <w:r w:rsidR="00942823">
        <w:t xml:space="preserve">here have been </w:t>
      </w:r>
      <w:r w:rsidR="00942823" w:rsidRPr="00942823">
        <w:rPr>
          <w:lang w:val="en-AU"/>
        </w:rPr>
        <w:t xml:space="preserve">no </w:t>
      </w:r>
      <w:r w:rsidR="003D28F5">
        <w:rPr>
          <w:lang w:val="en-AU"/>
        </w:rPr>
        <w:t xml:space="preserve">apparent </w:t>
      </w:r>
      <w:r w:rsidR="006E7375">
        <w:rPr>
          <w:lang w:val="en-AU"/>
        </w:rPr>
        <w:t xml:space="preserve">NHB </w:t>
      </w:r>
      <w:r w:rsidR="00942823" w:rsidRPr="00942823">
        <w:rPr>
          <w:lang w:val="en-AU"/>
        </w:rPr>
        <w:t>halon sales into maritime uses since 2012</w:t>
      </w:r>
      <w:r w:rsidR="003D28F5">
        <w:rPr>
          <w:lang w:val="en-AU"/>
        </w:rPr>
        <w:t xml:space="preserve">. Future </w:t>
      </w:r>
      <w:r w:rsidR="00886A0A">
        <w:rPr>
          <w:lang w:val="en-AU"/>
        </w:rPr>
        <w:t xml:space="preserve">NHB </w:t>
      </w:r>
      <w:r w:rsidR="003D28F5">
        <w:rPr>
          <w:lang w:val="en-AU"/>
        </w:rPr>
        <w:t xml:space="preserve">halon demand </w:t>
      </w:r>
      <w:r w:rsidR="00F66077" w:rsidRPr="00F97402">
        <w:t>f</w:t>
      </w:r>
      <w:r w:rsidR="00E74CA0" w:rsidRPr="00F97402">
        <w:t xml:space="preserve">or this application </w:t>
      </w:r>
      <w:r w:rsidR="001B7054">
        <w:t>is</w:t>
      </w:r>
      <w:r w:rsidR="001B7054" w:rsidRPr="00F97402">
        <w:t xml:space="preserve"> </w:t>
      </w:r>
      <w:r w:rsidR="00E74CA0" w:rsidRPr="00F97402">
        <w:t>expected to be rare</w:t>
      </w:r>
      <w:r w:rsidR="00D421F1">
        <w:t xml:space="preserve"> (see </w:t>
      </w:r>
      <w:r w:rsidR="001B7054">
        <w:t xml:space="preserve">also </w:t>
      </w:r>
      <w:r w:rsidR="00D421F1">
        <w:t>section</w:t>
      </w:r>
      <w:r w:rsidR="00D2502A">
        <w:t xml:space="preserve">s 2.4 and </w:t>
      </w:r>
      <w:r w:rsidR="00553650">
        <w:t>3.2)</w:t>
      </w:r>
      <w:r w:rsidR="00E74CA0" w:rsidRPr="00F97402">
        <w:t>.</w:t>
      </w:r>
      <w:r w:rsidR="003912C5" w:rsidRPr="00F97402">
        <w:t xml:space="preserve"> </w:t>
      </w:r>
    </w:p>
    <w:p w14:paraId="3B10A5D4" w14:textId="590421B5" w:rsidR="00FE2E82" w:rsidRPr="00F97402" w:rsidRDefault="000C109E" w:rsidP="00F97402">
      <w:pPr>
        <w:pStyle w:val="BodyText10"/>
      </w:pPr>
      <w:r w:rsidRPr="00F97402">
        <w:t>Aviation</w:t>
      </w:r>
      <w:r w:rsidR="00A70197" w:rsidRPr="00F97402">
        <w:t xml:space="preserve"> </w:t>
      </w:r>
      <w:r w:rsidR="00CD2D91" w:rsidRPr="00F97402">
        <w:t>is the</w:t>
      </w:r>
      <w:r w:rsidR="00A70197" w:rsidRPr="00F97402">
        <w:t xml:space="preserve"> largest on</w:t>
      </w:r>
      <w:r w:rsidR="00195585" w:rsidRPr="00F97402">
        <w:t>-</w:t>
      </w:r>
      <w:r w:rsidR="00A70197" w:rsidRPr="00F97402">
        <w:t xml:space="preserve">going </w:t>
      </w:r>
      <w:r w:rsidR="0089235C">
        <w:t>non-defence</w:t>
      </w:r>
      <w:r w:rsidR="00162765" w:rsidRPr="00F97402">
        <w:t xml:space="preserve"> </w:t>
      </w:r>
      <w:r w:rsidR="00A70197" w:rsidRPr="00F97402">
        <w:t>application for h</w:t>
      </w:r>
      <w:r w:rsidR="00FE2E82" w:rsidRPr="00F97402">
        <w:t>alon</w:t>
      </w:r>
      <w:r w:rsidR="004B29A7" w:rsidRPr="00F97402">
        <w:t>.</w:t>
      </w:r>
      <w:r w:rsidR="00E451BE" w:rsidRPr="00F97402">
        <w:t xml:space="preserve"> </w:t>
      </w:r>
      <w:r w:rsidR="004B29A7" w:rsidRPr="00F97402">
        <w:t>P</w:t>
      </w:r>
      <w:r w:rsidR="00631371" w:rsidRPr="00F97402">
        <w:t>r</w:t>
      </w:r>
      <w:r w:rsidR="00E451BE" w:rsidRPr="00F97402">
        <w:t xml:space="preserve">ogress has been made on </w:t>
      </w:r>
      <w:r w:rsidR="00244DF2">
        <w:t xml:space="preserve">halon </w:t>
      </w:r>
      <w:r w:rsidR="00E451BE" w:rsidRPr="00F97402">
        <w:t xml:space="preserve">replacements for handheld </w:t>
      </w:r>
      <w:r w:rsidR="00344070" w:rsidRPr="00F97402">
        <w:t xml:space="preserve">extinguishers </w:t>
      </w:r>
      <w:r w:rsidR="002D307A" w:rsidRPr="00F97402">
        <w:t>and lav</w:t>
      </w:r>
      <w:r w:rsidR="009F0003" w:rsidRPr="00F97402">
        <w:t xml:space="preserve">atory </w:t>
      </w:r>
      <w:r w:rsidR="00A9530C" w:rsidRPr="00F97402">
        <w:t>extinguisher</w:t>
      </w:r>
      <w:r w:rsidR="00D056AD" w:rsidRPr="00F97402">
        <w:t xml:space="preserve"> (lavex) </w:t>
      </w:r>
      <w:r w:rsidR="00A9530C" w:rsidRPr="00F97402">
        <w:t>receptacles</w:t>
      </w:r>
      <w:r w:rsidR="00062FE4">
        <w:t xml:space="preserve"> on aircraft. However,</w:t>
      </w:r>
      <w:r w:rsidR="00BC1504" w:rsidRPr="00F97402">
        <w:t xml:space="preserve"> </w:t>
      </w:r>
      <w:r w:rsidR="00B20369" w:rsidRPr="00F97402">
        <w:t xml:space="preserve">little progress has been made on </w:t>
      </w:r>
      <w:r w:rsidR="00CD1B57" w:rsidRPr="00F97402">
        <w:t>engine nace</w:t>
      </w:r>
      <w:r w:rsidR="00F92793" w:rsidRPr="00F97402">
        <w:t>lles</w:t>
      </w:r>
      <w:r w:rsidR="00AE2AEA" w:rsidRPr="00F97402">
        <w:t>/</w:t>
      </w:r>
      <w:r w:rsidR="001574BE" w:rsidRPr="00F97402">
        <w:t>auxiliary power units</w:t>
      </w:r>
      <w:r w:rsidR="00FE2E82" w:rsidRPr="00F97402">
        <w:t xml:space="preserve"> </w:t>
      </w:r>
      <w:r w:rsidR="00ED70E8" w:rsidRPr="00F97402">
        <w:t>(APU</w:t>
      </w:r>
      <w:r w:rsidR="003342A8">
        <w:t>s</w:t>
      </w:r>
      <w:r w:rsidR="00ED70E8" w:rsidRPr="00F97402">
        <w:t xml:space="preserve">) </w:t>
      </w:r>
      <w:r w:rsidR="00621067" w:rsidRPr="00F97402">
        <w:t>or</w:t>
      </w:r>
      <w:r w:rsidR="00C079A6" w:rsidRPr="00F97402">
        <w:t xml:space="preserve"> cargo compartment</w:t>
      </w:r>
      <w:r w:rsidR="00300300" w:rsidRPr="00F97402">
        <w:t xml:space="preserve"> </w:t>
      </w:r>
      <w:r w:rsidR="00244DF2">
        <w:t xml:space="preserve">halon </w:t>
      </w:r>
      <w:r w:rsidR="00300300" w:rsidRPr="00F97402">
        <w:t>fire protection systems</w:t>
      </w:r>
      <w:r w:rsidR="0082104A" w:rsidRPr="00F97402">
        <w:t>,</w:t>
      </w:r>
      <w:r w:rsidR="00FE2E82" w:rsidRPr="00F97402">
        <w:t xml:space="preserve"> </w:t>
      </w:r>
      <w:r w:rsidR="00AB38FD" w:rsidRPr="00F97402">
        <w:t xml:space="preserve">where still </w:t>
      </w:r>
      <w:r w:rsidR="0078774F" w:rsidRPr="00F97402">
        <w:t xml:space="preserve">no practical alternatives </w:t>
      </w:r>
      <w:r w:rsidR="009E1939" w:rsidRPr="00F97402">
        <w:t>have been found to be acceptable</w:t>
      </w:r>
      <w:r w:rsidR="00FE2E82" w:rsidRPr="00F97402">
        <w:t>.</w:t>
      </w:r>
      <w:r w:rsidR="00FC4D07">
        <w:t xml:space="preserve"> </w:t>
      </w:r>
      <w:r w:rsidR="008C2652">
        <w:t>In the last five years</w:t>
      </w:r>
      <w:r w:rsidR="00244DF2">
        <w:t>,</w:t>
      </w:r>
      <w:r w:rsidR="008C2652">
        <w:t xml:space="preserve"> </w:t>
      </w:r>
      <w:r w:rsidR="00165DDF">
        <w:t>transnational consortia of aircraft manufacturers and stakeholders</w:t>
      </w:r>
      <w:r w:rsidR="00132C9F">
        <w:t xml:space="preserve"> have been established to accelerate </w:t>
      </w:r>
      <w:r w:rsidR="00244DF2">
        <w:t xml:space="preserve">the </w:t>
      </w:r>
      <w:r w:rsidR="00BD042F">
        <w:t>development of halon a</w:t>
      </w:r>
      <w:r w:rsidR="00133B53">
        <w:t>lternatives for the remaining aviation applications</w:t>
      </w:r>
      <w:r w:rsidR="005657C0">
        <w:t xml:space="preserve"> (see section </w:t>
      </w:r>
      <w:r w:rsidR="00D17BFE">
        <w:t>2.3)</w:t>
      </w:r>
      <w:r w:rsidR="00133B53">
        <w:t>.</w:t>
      </w:r>
    </w:p>
    <w:p w14:paraId="72600C18" w14:textId="7F0C448B" w:rsidR="008118EE" w:rsidRDefault="00FA5F92" w:rsidP="00324056">
      <w:pPr>
        <w:pStyle w:val="Heading2"/>
      </w:pPr>
      <w:bookmarkStart w:id="7" w:name="_Toc38190316"/>
      <w:r>
        <w:t>Australia’s future halon requirements</w:t>
      </w:r>
      <w:bookmarkEnd w:id="7"/>
    </w:p>
    <w:p w14:paraId="35C84F8B" w14:textId="13E4815A" w:rsidR="00244DF2" w:rsidRDefault="00244DF2" w:rsidP="00F97402">
      <w:pPr>
        <w:pStyle w:val="BodyText10"/>
      </w:pPr>
      <w:r>
        <w:t xml:space="preserve">A key </w:t>
      </w:r>
      <w:r w:rsidR="00D46199">
        <w:t>issue</w:t>
      </w:r>
      <w:r>
        <w:t xml:space="preserve"> for the Department</w:t>
      </w:r>
      <w:r w:rsidR="00BC19B8">
        <w:t>,</w:t>
      </w:r>
      <w:r>
        <w:t xml:space="preserve"> and stakeholders </w:t>
      </w:r>
      <w:r w:rsidR="00BC238B">
        <w:t>still reliant on halon</w:t>
      </w:r>
      <w:r w:rsidR="0064717A">
        <w:t>s</w:t>
      </w:r>
      <w:r w:rsidR="00BC19B8">
        <w:t>,</w:t>
      </w:r>
      <w:r w:rsidR="00BC238B">
        <w:t xml:space="preserve"> </w:t>
      </w:r>
      <w:r>
        <w:t xml:space="preserve">is whether there will be adequate halon to supply </w:t>
      </w:r>
      <w:r w:rsidR="00D46199">
        <w:t xml:space="preserve">Australia’s </w:t>
      </w:r>
      <w:r>
        <w:t xml:space="preserve">future requirements until halon alternatives have replaced remaining </w:t>
      </w:r>
      <w:r w:rsidR="00B404C7">
        <w:t xml:space="preserve">halon </w:t>
      </w:r>
      <w:r>
        <w:t>uses.</w:t>
      </w:r>
    </w:p>
    <w:p w14:paraId="452DB1A0" w14:textId="3D77F39E" w:rsidR="00244DF2" w:rsidRDefault="00654043" w:rsidP="00F97402">
      <w:pPr>
        <w:pStyle w:val="BodyText10"/>
      </w:pPr>
      <w:r w:rsidRPr="00F97402">
        <w:t xml:space="preserve">An </w:t>
      </w:r>
      <w:r w:rsidR="001E64C0" w:rsidRPr="00F97402">
        <w:t xml:space="preserve">Australian </w:t>
      </w:r>
      <w:r w:rsidRPr="00F97402">
        <w:t>inventory conducted in 1998</w:t>
      </w:r>
      <w:r w:rsidR="00AA7AFD">
        <w:rPr>
          <w:rStyle w:val="FootnoteReference"/>
        </w:rPr>
        <w:footnoteReference w:id="6"/>
      </w:r>
      <w:r w:rsidRPr="00F97402">
        <w:t xml:space="preserve"> </w:t>
      </w:r>
      <w:r w:rsidR="001A00C0">
        <w:t>estimated</w:t>
      </w:r>
      <w:r w:rsidR="001A00C0" w:rsidRPr="00F97402">
        <w:t xml:space="preserve"> </w:t>
      </w:r>
      <w:r w:rsidRPr="00F97402">
        <w:t>that</w:t>
      </w:r>
      <w:r w:rsidR="009240C1">
        <w:t>,</w:t>
      </w:r>
      <w:r w:rsidR="001A00C0">
        <w:t xml:space="preserve"> at that time,</w:t>
      </w:r>
      <w:r w:rsidRPr="00F97402">
        <w:t xml:space="preserve"> 70 tonnes of halon 1211 and 250 tonnes of halon 1301 would be required to meet </w:t>
      </w:r>
      <w:r w:rsidR="0089658C" w:rsidRPr="00F97402">
        <w:t xml:space="preserve">essential </w:t>
      </w:r>
      <w:r w:rsidRPr="00F97402">
        <w:t xml:space="preserve">uses until 2030. </w:t>
      </w:r>
    </w:p>
    <w:p w14:paraId="7F15DCA5" w14:textId="4F967FB8" w:rsidR="006B244E" w:rsidRPr="00F97402" w:rsidRDefault="006B244E" w:rsidP="00F97402">
      <w:pPr>
        <w:pStyle w:val="BodyText10"/>
      </w:pPr>
      <w:r w:rsidRPr="00F97402">
        <w:t xml:space="preserve">A </w:t>
      </w:r>
      <w:r w:rsidR="00E53456" w:rsidRPr="00F97402">
        <w:t>R</w:t>
      </w:r>
      <w:r w:rsidRPr="00F97402">
        <w:t>eview</w:t>
      </w:r>
      <w:r w:rsidR="00E53456" w:rsidRPr="00F97402">
        <w:t xml:space="preserve"> of Australia’s Halon Essential Use Requirements</w:t>
      </w:r>
      <w:r w:rsidR="004D3177" w:rsidRPr="00AA7AFD">
        <w:rPr>
          <w:rStyle w:val="FootnoteReference"/>
        </w:rPr>
        <w:footnoteReference w:id="7"/>
      </w:r>
      <w:r w:rsidRPr="00F97402">
        <w:t xml:space="preserve"> </w:t>
      </w:r>
      <w:r w:rsidR="00E61A8A" w:rsidRPr="00F97402">
        <w:t>was</w:t>
      </w:r>
      <w:r w:rsidRPr="00F97402">
        <w:t xml:space="preserve"> conducted </w:t>
      </w:r>
      <w:r w:rsidR="00427EFB" w:rsidRPr="00F97402">
        <w:t xml:space="preserve">for the </w:t>
      </w:r>
      <w:r w:rsidR="00DA33F1" w:rsidRPr="00F97402">
        <w:t>Australian Government</w:t>
      </w:r>
      <w:r w:rsidR="00F81A09" w:rsidRPr="00F97402">
        <w:t xml:space="preserve"> </w:t>
      </w:r>
      <w:r w:rsidRPr="00F97402">
        <w:t>in 2012</w:t>
      </w:r>
      <w:r w:rsidR="002040E0" w:rsidRPr="00F97402">
        <w:t xml:space="preserve"> (</w:t>
      </w:r>
      <w:r w:rsidR="00576F5A" w:rsidRPr="00F97402">
        <w:t xml:space="preserve">henceforth </w:t>
      </w:r>
      <w:r w:rsidR="002040E0" w:rsidRPr="00F97402">
        <w:t xml:space="preserve">referred </w:t>
      </w:r>
      <w:r w:rsidR="003A7269" w:rsidRPr="00F97402">
        <w:t>to as the</w:t>
      </w:r>
      <w:r w:rsidR="002040E0" w:rsidRPr="00F97402">
        <w:t xml:space="preserve"> 2012 Halon Review)</w:t>
      </w:r>
      <w:r w:rsidR="001E64C0" w:rsidRPr="00F97402">
        <w:t>, which</w:t>
      </w:r>
      <w:r w:rsidRPr="00F97402">
        <w:t xml:space="preserve"> noted that halon</w:t>
      </w:r>
      <w:r w:rsidR="00654043" w:rsidRPr="00F97402">
        <w:t xml:space="preserve"> stock</w:t>
      </w:r>
      <w:r w:rsidR="008368A5" w:rsidRPr="00F97402">
        <w:t xml:space="preserve"> </w:t>
      </w:r>
      <w:r w:rsidR="00A64990" w:rsidRPr="00F97402">
        <w:t xml:space="preserve">reserved </w:t>
      </w:r>
      <w:r w:rsidR="008368A5" w:rsidRPr="00F97402">
        <w:t xml:space="preserve">for </w:t>
      </w:r>
      <w:r w:rsidR="0089235C">
        <w:t>non-defence</w:t>
      </w:r>
      <w:r w:rsidR="008368A5" w:rsidRPr="00F97402">
        <w:t xml:space="preserve"> essential uses</w:t>
      </w:r>
      <w:r w:rsidR="00654043" w:rsidRPr="00F97402">
        <w:t xml:space="preserve">, as of </w:t>
      </w:r>
      <w:r w:rsidR="00FE2E82" w:rsidRPr="00F97402">
        <w:t xml:space="preserve">February 2012, </w:t>
      </w:r>
      <w:r w:rsidRPr="00F97402">
        <w:t>wa</w:t>
      </w:r>
      <w:r w:rsidR="00FE2E82" w:rsidRPr="00F97402">
        <w:t>s 73.4</w:t>
      </w:r>
      <w:r w:rsidR="00654043" w:rsidRPr="00F97402">
        <w:t xml:space="preserve"> tonnes of halon 1211</w:t>
      </w:r>
      <w:r w:rsidR="008368A5" w:rsidRPr="00F97402">
        <w:t xml:space="preserve"> (plus another 27 tonnes in bulk storage </w:t>
      </w:r>
      <w:r w:rsidR="00A64990" w:rsidRPr="00F97402">
        <w:t>awaiting</w:t>
      </w:r>
      <w:r w:rsidR="008368A5" w:rsidRPr="00F97402">
        <w:t xml:space="preserve"> reclamation)</w:t>
      </w:r>
      <w:r w:rsidR="00654043" w:rsidRPr="00F97402">
        <w:t xml:space="preserve"> and </w:t>
      </w:r>
      <w:r w:rsidR="00FE2E82" w:rsidRPr="00F97402">
        <w:t>195.2</w:t>
      </w:r>
      <w:r w:rsidR="00654043" w:rsidRPr="00F97402">
        <w:t xml:space="preserve"> tonnes of halon 1301.</w:t>
      </w:r>
      <w:r w:rsidR="00F10700">
        <w:t xml:space="preserve"> </w:t>
      </w:r>
    </w:p>
    <w:p w14:paraId="40D13F3F" w14:textId="16479198" w:rsidR="00DA62F7" w:rsidRPr="00C9304E" w:rsidRDefault="0061573E" w:rsidP="00F97402">
      <w:pPr>
        <w:pStyle w:val="BodyText10"/>
      </w:pPr>
      <w:r w:rsidRPr="00F97402">
        <w:t>The 2012 Halon Review</w:t>
      </w:r>
      <w:r w:rsidR="00654043" w:rsidRPr="003768DB">
        <w:t xml:space="preserve"> </w:t>
      </w:r>
      <w:r w:rsidR="007618AB" w:rsidRPr="00C9304E">
        <w:t xml:space="preserve">was undertaken </w:t>
      </w:r>
      <w:r w:rsidR="00AF152B" w:rsidRPr="00C9304E">
        <w:t>to</w:t>
      </w:r>
      <w:r w:rsidR="007618AB" w:rsidRPr="00C9304E">
        <w:t xml:space="preserve"> investigate </w:t>
      </w:r>
      <w:r w:rsidR="00BF53C6" w:rsidRPr="003768DB">
        <w:t xml:space="preserve">Australia’s </w:t>
      </w:r>
      <w:r w:rsidR="00BF53C6">
        <w:t>non-defence</w:t>
      </w:r>
      <w:r w:rsidR="00BF53C6" w:rsidRPr="003768DB">
        <w:t xml:space="preserve"> halon essential uses requirements</w:t>
      </w:r>
      <w:r w:rsidR="00EB3DE2">
        <w:t>, including</w:t>
      </w:r>
      <w:r w:rsidR="00654043" w:rsidRPr="00C9304E">
        <w:t>:</w:t>
      </w:r>
    </w:p>
    <w:p w14:paraId="36742F00" w14:textId="52A9364E" w:rsidR="00654043" w:rsidRPr="001B3A85" w:rsidRDefault="00AB38FD" w:rsidP="00DF4CEB">
      <w:pPr>
        <w:pStyle w:val="BodyText1"/>
        <w:numPr>
          <w:ilvl w:val="0"/>
          <w:numId w:val="12"/>
        </w:numPr>
        <w:tabs>
          <w:tab w:val="clear" w:pos="357"/>
          <w:tab w:val="num" w:pos="709"/>
        </w:tabs>
        <w:spacing w:after="120"/>
        <w:ind w:left="709" w:hanging="425"/>
        <w:rPr>
          <w:rFonts w:ascii="Book Antiqua" w:hAnsi="Book Antiqua"/>
        </w:rPr>
      </w:pPr>
      <w:r w:rsidRPr="001B3A85">
        <w:rPr>
          <w:rFonts w:ascii="Book Antiqua" w:hAnsi="Book Antiqua"/>
        </w:rPr>
        <w:t>The</w:t>
      </w:r>
      <w:r w:rsidR="00654043" w:rsidRPr="001B3A85">
        <w:rPr>
          <w:rFonts w:ascii="Book Antiqua" w:hAnsi="Book Antiqua"/>
        </w:rPr>
        <w:t xml:space="preserve"> prospects and possible timeframe for transition of remaining </w:t>
      </w:r>
      <w:r w:rsidR="0089235C">
        <w:rPr>
          <w:rFonts w:ascii="Book Antiqua" w:hAnsi="Book Antiqua"/>
        </w:rPr>
        <w:t>non-defence</w:t>
      </w:r>
      <w:r w:rsidR="00654043" w:rsidRPr="001B3A85">
        <w:rPr>
          <w:rFonts w:ascii="Book Antiqua" w:hAnsi="Book Antiqua"/>
        </w:rPr>
        <w:t xml:space="preserve"> halon uses;</w:t>
      </w:r>
    </w:p>
    <w:p w14:paraId="223BE80C" w14:textId="3ED66735" w:rsidR="00654043" w:rsidRPr="001B3A85" w:rsidRDefault="00AB38FD" w:rsidP="00DF4CEB">
      <w:pPr>
        <w:pStyle w:val="BodyText1"/>
        <w:numPr>
          <w:ilvl w:val="0"/>
          <w:numId w:val="12"/>
        </w:numPr>
        <w:tabs>
          <w:tab w:val="clear" w:pos="357"/>
          <w:tab w:val="num" w:pos="709"/>
        </w:tabs>
        <w:spacing w:after="120"/>
        <w:ind w:left="709" w:hanging="425"/>
        <w:rPr>
          <w:rFonts w:ascii="Book Antiqua" w:hAnsi="Book Antiqua"/>
        </w:rPr>
      </w:pPr>
      <w:r w:rsidRPr="001B3A85">
        <w:rPr>
          <w:rFonts w:ascii="Book Antiqua" w:hAnsi="Book Antiqua"/>
        </w:rPr>
        <w:lastRenderedPageBreak/>
        <w:t>Whether</w:t>
      </w:r>
      <w:r w:rsidR="00654043" w:rsidRPr="001B3A85">
        <w:rPr>
          <w:rFonts w:ascii="Book Antiqua" w:hAnsi="Book Antiqua"/>
        </w:rPr>
        <w:t xml:space="preserve"> a strategic stockpile of halon w</w:t>
      </w:r>
      <w:r w:rsidR="007618AB" w:rsidRPr="001B3A85">
        <w:rPr>
          <w:rFonts w:ascii="Book Antiqua" w:hAnsi="Book Antiqua"/>
        </w:rPr>
        <w:t>ould</w:t>
      </w:r>
      <w:r w:rsidR="00654043" w:rsidRPr="001B3A85">
        <w:rPr>
          <w:rFonts w:ascii="Book Antiqua" w:hAnsi="Book Antiqua"/>
        </w:rPr>
        <w:t xml:space="preserve"> be required beyond 2030; and</w:t>
      </w:r>
    </w:p>
    <w:p w14:paraId="6F41CE0D" w14:textId="51948C36" w:rsidR="00AE2B22" w:rsidRPr="001B3A85" w:rsidRDefault="00AB38FD" w:rsidP="00DF4CEB">
      <w:pPr>
        <w:pStyle w:val="BodyText1"/>
        <w:numPr>
          <w:ilvl w:val="0"/>
          <w:numId w:val="12"/>
        </w:numPr>
        <w:tabs>
          <w:tab w:val="clear" w:pos="357"/>
          <w:tab w:val="num" w:pos="709"/>
        </w:tabs>
        <w:spacing w:after="240"/>
        <w:ind w:left="709" w:hanging="425"/>
        <w:rPr>
          <w:rFonts w:ascii="Book Antiqua" w:hAnsi="Book Antiqua"/>
        </w:rPr>
      </w:pPr>
      <w:r w:rsidRPr="001B3A85">
        <w:rPr>
          <w:rFonts w:ascii="Book Antiqua" w:hAnsi="Book Antiqua"/>
        </w:rPr>
        <w:t>The</w:t>
      </w:r>
      <w:r w:rsidR="00654043" w:rsidRPr="001B3A85">
        <w:rPr>
          <w:rFonts w:ascii="Book Antiqua" w:hAnsi="Book Antiqua"/>
        </w:rPr>
        <w:t xml:space="preserve"> quantity of halon likely to be required for remaining </w:t>
      </w:r>
      <w:r w:rsidR="0089235C">
        <w:rPr>
          <w:rFonts w:ascii="Book Antiqua" w:hAnsi="Book Antiqua"/>
        </w:rPr>
        <w:t>non-defence</w:t>
      </w:r>
      <w:r w:rsidR="00654043" w:rsidRPr="001B3A85">
        <w:rPr>
          <w:rFonts w:ascii="Book Antiqua" w:hAnsi="Book Antiqua"/>
        </w:rPr>
        <w:t xml:space="preserve"> essential uses.</w:t>
      </w:r>
      <w:r w:rsidR="00F10700">
        <w:rPr>
          <w:rFonts w:ascii="Book Antiqua" w:hAnsi="Book Antiqua"/>
        </w:rPr>
        <w:t xml:space="preserve"> </w:t>
      </w:r>
    </w:p>
    <w:p w14:paraId="7E72EC02" w14:textId="77777777" w:rsidR="00946C6D" w:rsidRDefault="00284DE5" w:rsidP="00F97402">
      <w:pPr>
        <w:pStyle w:val="BodyText10"/>
      </w:pPr>
      <w:r w:rsidRPr="002518AB">
        <w:t>The 2012 Halon Review</w:t>
      </w:r>
      <w:r w:rsidR="007618AB" w:rsidRPr="003768DB">
        <w:t xml:space="preserve"> </w:t>
      </w:r>
      <w:r w:rsidR="00C965AF">
        <w:rPr>
          <w:lang w:val="en-AU"/>
        </w:rPr>
        <w:t>confirmed</w:t>
      </w:r>
      <w:r w:rsidR="00C965AF" w:rsidRPr="00C9304E">
        <w:rPr>
          <w:lang w:val="en-AU"/>
        </w:rPr>
        <w:t xml:space="preserve"> </w:t>
      </w:r>
      <w:r w:rsidR="008D6C6C" w:rsidRPr="00C9304E">
        <w:rPr>
          <w:lang w:val="en-AU"/>
        </w:rPr>
        <w:t>that halon is no longer used or needed in the majority of applications where it was previously considered important for fire protection.</w:t>
      </w:r>
      <w:r w:rsidR="00A13B33" w:rsidRPr="00C9304E">
        <w:rPr>
          <w:lang w:val="en-AU"/>
        </w:rPr>
        <w:t xml:space="preserve"> </w:t>
      </w:r>
      <w:r w:rsidR="00A13B33" w:rsidRPr="00C9304E">
        <w:t>It concluded</w:t>
      </w:r>
      <w:r w:rsidR="007618AB" w:rsidRPr="00C9304E">
        <w:t xml:space="preserve"> that going forward the major </w:t>
      </w:r>
      <w:r w:rsidR="0089235C">
        <w:t>non-defence</w:t>
      </w:r>
      <w:r w:rsidR="007618AB" w:rsidRPr="00C9304E">
        <w:t xml:space="preserve"> essential use requirement</w:t>
      </w:r>
      <w:r w:rsidR="00220C4A" w:rsidRPr="00C9304E">
        <w:t>s</w:t>
      </w:r>
      <w:r w:rsidR="007618AB" w:rsidRPr="00C9304E">
        <w:t xml:space="preserve"> for </w:t>
      </w:r>
      <w:r w:rsidR="00BC153C" w:rsidRPr="00C9304E">
        <w:t>h</w:t>
      </w:r>
      <w:r w:rsidR="007618AB" w:rsidRPr="00C9304E">
        <w:t>alon</w:t>
      </w:r>
      <w:r w:rsidR="004F3B4B">
        <w:t>s</w:t>
      </w:r>
      <w:r w:rsidR="007618AB" w:rsidRPr="00C9304E">
        <w:t xml:space="preserve"> 1211 and 1301 would be </w:t>
      </w:r>
      <w:r w:rsidR="00C965AF">
        <w:t xml:space="preserve">for </w:t>
      </w:r>
      <w:r w:rsidR="007618AB" w:rsidRPr="00C9304E">
        <w:t>the aviation sector</w:t>
      </w:r>
      <w:r w:rsidR="00220C4A" w:rsidRPr="00C9304E">
        <w:t>,</w:t>
      </w:r>
      <w:r w:rsidR="009F6E5B" w:rsidRPr="00C9304E">
        <w:t xml:space="preserve"> and that</w:t>
      </w:r>
      <w:r w:rsidR="008C0B57" w:rsidRPr="00C9304E">
        <w:t xml:space="preserve"> a strategic stockpile would </w:t>
      </w:r>
      <w:r w:rsidR="002E5CA2" w:rsidRPr="00C9304E">
        <w:t>be required beyond 20</w:t>
      </w:r>
      <w:r w:rsidR="00775C1C" w:rsidRPr="00C9304E">
        <w:t>3</w:t>
      </w:r>
      <w:r w:rsidR="002E5CA2" w:rsidRPr="00C9304E">
        <w:t>0</w:t>
      </w:r>
      <w:r w:rsidR="007618AB" w:rsidRPr="00C9304E">
        <w:t xml:space="preserve">, </w:t>
      </w:r>
      <w:r w:rsidR="00D2251C">
        <w:t xml:space="preserve">but </w:t>
      </w:r>
      <w:r w:rsidR="007618AB" w:rsidRPr="00C9304E">
        <w:t>with all other sectors either having already transitioned</w:t>
      </w:r>
      <w:r w:rsidR="00161CC7" w:rsidRPr="00C9304E">
        <w:t xml:space="preserve"> </w:t>
      </w:r>
      <w:r w:rsidR="007618AB" w:rsidRPr="00C9304E">
        <w:t>or progressing to</w:t>
      </w:r>
      <w:r w:rsidR="00161CC7" w:rsidRPr="00C9304E">
        <w:t>wards</w:t>
      </w:r>
      <w:r w:rsidR="007618AB" w:rsidRPr="00C9304E">
        <w:t xml:space="preserve"> </w:t>
      </w:r>
      <w:r w:rsidR="00830551" w:rsidRPr="00C9304E">
        <w:t>a full</w:t>
      </w:r>
      <w:r w:rsidR="00161CC7" w:rsidRPr="00C9304E">
        <w:t xml:space="preserve"> transition to alternatives.</w:t>
      </w:r>
      <w:r w:rsidR="00AF152B" w:rsidRPr="00C9304E">
        <w:t xml:space="preserve"> </w:t>
      </w:r>
    </w:p>
    <w:p w14:paraId="2A00991A" w14:textId="40432779" w:rsidR="00946C6D" w:rsidRDefault="005650C5" w:rsidP="00F97402">
      <w:pPr>
        <w:pStyle w:val="BodyText10"/>
        <w:rPr>
          <w:lang w:val="en-AU"/>
        </w:rPr>
      </w:pPr>
      <w:r w:rsidRPr="00C9304E">
        <w:rPr>
          <w:lang w:val="en-AU"/>
        </w:rPr>
        <w:t>Noting the limitations of the available data, as outlined in the report</w:t>
      </w:r>
      <w:r w:rsidR="00946C6D">
        <w:rPr>
          <w:rStyle w:val="FootnoteReference"/>
          <w:lang w:val="en-AU"/>
        </w:rPr>
        <w:footnoteReference w:id="8"/>
      </w:r>
      <w:r w:rsidRPr="00C9304E">
        <w:rPr>
          <w:lang w:val="en-AU"/>
        </w:rPr>
        <w:t xml:space="preserve">, future halon requirements were estimated </w:t>
      </w:r>
      <w:r w:rsidR="003E2526">
        <w:rPr>
          <w:lang w:val="en-AU"/>
        </w:rPr>
        <w:t xml:space="preserve">based on NHB </w:t>
      </w:r>
      <w:r w:rsidR="009D6A1A">
        <w:rPr>
          <w:lang w:val="en-AU"/>
        </w:rPr>
        <w:t xml:space="preserve">halon sales data </w:t>
      </w:r>
      <w:r w:rsidRPr="00C9304E">
        <w:rPr>
          <w:lang w:val="en-AU"/>
        </w:rPr>
        <w:t xml:space="preserve">using scenarios and a sensitivity analysis approach and compared against halon stocks </w:t>
      </w:r>
      <w:r w:rsidR="00CA64A5">
        <w:rPr>
          <w:lang w:val="en-AU"/>
        </w:rPr>
        <w:t>earmarked</w:t>
      </w:r>
      <w:r w:rsidRPr="00C9304E">
        <w:rPr>
          <w:lang w:val="en-AU"/>
        </w:rPr>
        <w:t xml:space="preserve"> for </w:t>
      </w:r>
      <w:r w:rsidR="0089235C">
        <w:rPr>
          <w:lang w:val="en-AU"/>
        </w:rPr>
        <w:t>non-defence</w:t>
      </w:r>
      <w:r w:rsidR="00000E2B" w:rsidRPr="00C9304E">
        <w:rPr>
          <w:lang w:val="en-AU"/>
        </w:rPr>
        <w:t xml:space="preserve"> </w:t>
      </w:r>
      <w:r w:rsidRPr="00C9304E">
        <w:rPr>
          <w:lang w:val="en-AU"/>
        </w:rPr>
        <w:t xml:space="preserve">uses. Future </w:t>
      </w:r>
      <w:r w:rsidR="0089235C">
        <w:rPr>
          <w:lang w:val="en-AU"/>
        </w:rPr>
        <w:t>non-defence</w:t>
      </w:r>
      <w:r w:rsidR="00000E2B" w:rsidRPr="00C9304E">
        <w:rPr>
          <w:lang w:val="en-AU"/>
        </w:rPr>
        <w:t xml:space="preserve"> </w:t>
      </w:r>
      <w:r w:rsidRPr="00C9304E">
        <w:rPr>
          <w:lang w:val="en-AU"/>
        </w:rPr>
        <w:t xml:space="preserve">halon requirements alone were difficult to determine </w:t>
      </w:r>
      <w:r w:rsidR="00527B6E">
        <w:rPr>
          <w:lang w:val="en-AU"/>
        </w:rPr>
        <w:t xml:space="preserve">accurately </w:t>
      </w:r>
      <w:r w:rsidRPr="00C9304E">
        <w:rPr>
          <w:lang w:val="en-AU"/>
        </w:rPr>
        <w:t xml:space="preserve">due to the limitations of the </w:t>
      </w:r>
      <w:r w:rsidR="00000E2B" w:rsidRPr="00C9304E">
        <w:rPr>
          <w:lang w:val="en-AU"/>
        </w:rPr>
        <w:t xml:space="preserve">available </w:t>
      </w:r>
      <w:r w:rsidRPr="00C9304E">
        <w:rPr>
          <w:lang w:val="en-AU"/>
        </w:rPr>
        <w:t xml:space="preserve">halon </w:t>
      </w:r>
      <w:r w:rsidR="004A6688">
        <w:rPr>
          <w:lang w:val="en-AU"/>
        </w:rPr>
        <w:t>sales</w:t>
      </w:r>
      <w:r w:rsidR="004A6688" w:rsidRPr="00C9304E">
        <w:rPr>
          <w:lang w:val="en-AU"/>
        </w:rPr>
        <w:t xml:space="preserve"> </w:t>
      </w:r>
      <w:r w:rsidRPr="00C9304E">
        <w:rPr>
          <w:lang w:val="en-AU"/>
        </w:rPr>
        <w:t>data</w:t>
      </w:r>
      <w:r w:rsidR="00E30AD4">
        <w:rPr>
          <w:rStyle w:val="FootnoteReference"/>
          <w:lang w:val="en-AU"/>
        </w:rPr>
        <w:footnoteReference w:id="9"/>
      </w:r>
      <w:r w:rsidRPr="00C9304E">
        <w:rPr>
          <w:lang w:val="en-AU"/>
        </w:rPr>
        <w:t xml:space="preserve">, and </w:t>
      </w:r>
      <w:r w:rsidR="00FA17FB">
        <w:rPr>
          <w:lang w:val="en-AU"/>
        </w:rPr>
        <w:t xml:space="preserve">unquantified sales of </w:t>
      </w:r>
      <w:r w:rsidR="00CB0896">
        <w:rPr>
          <w:lang w:val="en-AU"/>
        </w:rPr>
        <w:t xml:space="preserve">non-defence NHB reserves </w:t>
      </w:r>
      <w:r w:rsidR="00FA17FB">
        <w:rPr>
          <w:lang w:val="en-AU"/>
        </w:rPr>
        <w:t xml:space="preserve">to fire protection service providers going to </w:t>
      </w:r>
      <w:r w:rsidRPr="00C9304E">
        <w:rPr>
          <w:lang w:val="en-AU"/>
        </w:rPr>
        <w:t xml:space="preserve">defence uses. </w:t>
      </w:r>
    </w:p>
    <w:p w14:paraId="6C5F2507" w14:textId="58C21DDD" w:rsidR="00FB54B2" w:rsidRDefault="009A6AF0" w:rsidP="00F97402">
      <w:pPr>
        <w:pStyle w:val="BodyText10"/>
        <w:rPr>
          <w:lang w:val="en-AU"/>
        </w:rPr>
      </w:pPr>
      <w:r>
        <w:rPr>
          <w:lang w:val="en-AU"/>
        </w:rPr>
        <w:t xml:space="preserve">The table below presents the estimated future halon requirements </w:t>
      </w:r>
      <w:r w:rsidR="00EC1968">
        <w:rPr>
          <w:lang w:val="en-AU"/>
        </w:rPr>
        <w:t xml:space="preserve">from the 2012 Halon Review, and the </w:t>
      </w:r>
      <w:r w:rsidR="00B2142C">
        <w:rPr>
          <w:lang w:val="en-AU"/>
        </w:rPr>
        <w:t xml:space="preserve">available </w:t>
      </w:r>
      <w:r w:rsidR="00EC1968">
        <w:rPr>
          <w:lang w:val="en-AU"/>
        </w:rPr>
        <w:t xml:space="preserve">NHB </w:t>
      </w:r>
      <w:r w:rsidR="001E5316">
        <w:rPr>
          <w:lang w:val="en-AU"/>
        </w:rPr>
        <w:t xml:space="preserve">non-defence halon </w:t>
      </w:r>
      <w:r w:rsidR="00EC1968">
        <w:rPr>
          <w:lang w:val="en-AU"/>
        </w:rPr>
        <w:t>stocks at that time.</w:t>
      </w:r>
      <w:r w:rsidR="00664448">
        <w:rPr>
          <w:lang w:val="en-AU"/>
        </w:rPr>
        <w:t xml:space="preserve"> </w:t>
      </w:r>
    </w:p>
    <w:p w14:paraId="2A84A1FD" w14:textId="6447BF1C" w:rsidR="000D0DC0" w:rsidRPr="000D0DC0" w:rsidRDefault="000D0DC0" w:rsidP="000D0DC0">
      <w:pPr>
        <w:pStyle w:val="BodyText10"/>
        <w:tabs>
          <w:tab w:val="left" w:pos="1134"/>
        </w:tabs>
        <w:rPr>
          <w:b/>
          <w:bCs/>
          <w:i/>
          <w:iCs/>
          <w:lang w:val="en-AU"/>
        </w:rPr>
      </w:pPr>
      <w:r w:rsidRPr="000D0DC0">
        <w:rPr>
          <w:b/>
          <w:bCs/>
          <w:i/>
          <w:iCs/>
          <w:lang w:val="en-AU"/>
        </w:rPr>
        <w:t>Table 1.1</w:t>
      </w:r>
      <w:r w:rsidRPr="000D0DC0">
        <w:rPr>
          <w:b/>
          <w:bCs/>
          <w:i/>
          <w:iCs/>
          <w:lang w:val="en-AU"/>
        </w:rPr>
        <w:tab/>
        <w:t>2012 Halon Review: Estimated future halon requirements</w:t>
      </w:r>
    </w:p>
    <w:tbl>
      <w:tblPr>
        <w:tblStyle w:val="TableGrid"/>
        <w:tblW w:w="0" w:type="auto"/>
        <w:tblLook w:val="04A0" w:firstRow="1" w:lastRow="0" w:firstColumn="1" w:lastColumn="0" w:noHBand="0" w:noVBand="1"/>
      </w:tblPr>
      <w:tblGrid>
        <w:gridCol w:w="2763"/>
        <w:gridCol w:w="2763"/>
        <w:gridCol w:w="2763"/>
      </w:tblGrid>
      <w:tr w:rsidR="00EC1968" w:rsidRPr="001E5316" w14:paraId="17A0AF3D" w14:textId="77777777" w:rsidTr="00EC1968">
        <w:tc>
          <w:tcPr>
            <w:tcW w:w="2763" w:type="dxa"/>
          </w:tcPr>
          <w:p w14:paraId="6FA47F0F" w14:textId="35EF0B2F" w:rsidR="00EC1968" w:rsidRPr="000D0DC0" w:rsidRDefault="009A3664" w:rsidP="000D0DC0">
            <w:pPr>
              <w:pStyle w:val="BodyText10"/>
              <w:spacing w:before="120" w:after="120"/>
              <w:rPr>
                <w:b/>
                <w:bCs/>
                <w:lang w:val="en-AU"/>
              </w:rPr>
            </w:pPr>
            <w:r w:rsidRPr="000D0DC0">
              <w:rPr>
                <w:b/>
                <w:bCs/>
                <w:lang w:val="en-AU"/>
              </w:rPr>
              <w:t>Total Halon (tonnes)</w:t>
            </w:r>
          </w:p>
        </w:tc>
        <w:tc>
          <w:tcPr>
            <w:tcW w:w="2763" w:type="dxa"/>
          </w:tcPr>
          <w:p w14:paraId="14AB5611" w14:textId="1EC565EE" w:rsidR="00EC1968" w:rsidRPr="000D0DC0" w:rsidRDefault="009A3664" w:rsidP="000D0DC0">
            <w:pPr>
              <w:pStyle w:val="BodyText10"/>
              <w:spacing w:before="120" w:after="120"/>
              <w:jc w:val="center"/>
              <w:rPr>
                <w:b/>
                <w:bCs/>
                <w:lang w:val="en-AU"/>
              </w:rPr>
            </w:pPr>
            <w:r w:rsidRPr="000D0DC0">
              <w:rPr>
                <w:b/>
                <w:bCs/>
                <w:lang w:val="en-AU"/>
              </w:rPr>
              <w:t>Halon 1211</w:t>
            </w:r>
          </w:p>
        </w:tc>
        <w:tc>
          <w:tcPr>
            <w:tcW w:w="2763" w:type="dxa"/>
          </w:tcPr>
          <w:p w14:paraId="0C118825" w14:textId="33854BF5" w:rsidR="00EC1968" w:rsidRPr="000D0DC0" w:rsidRDefault="009A3664" w:rsidP="000D0DC0">
            <w:pPr>
              <w:pStyle w:val="BodyText10"/>
              <w:spacing w:before="120" w:after="120"/>
              <w:jc w:val="center"/>
              <w:rPr>
                <w:b/>
                <w:bCs/>
                <w:lang w:val="en-AU"/>
              </w:rPr>
            </w:pPr>
            <w:r w:rsidRPr="000D0DC0">
              <w:rPr>
                <w:b/>
                <w:bCs/>
                <w:lang w:val="en-AU"/>
              </w:rPr>
              <w:t>Halon 1301</w:t>
            </w:r>
          </w:p>
        </w:tc>
      </w:tr>
      <w:tr w:rsidR="00EC1968" w14:paraId="48428396" w14:textId="77777777" w:rsidTr="00EC1968">
        <w:tc>
          <w:tcPr>
            <w:tcW w:w="2763" w:type="dxa"/>
          </w:tcPr>
          <w:p w14:paraId="0A6F68B1" w14:textId="5700F357" w:rsidR="00EC1968" w:rsidRPr="000D0DC0" w:rsidRDefault="00D57784" w:rsidP="000D0DC0">
            <w:pPr>
              <w:pStyle w:val="BodyText10"/>
              <w:spacing w:before="120" w:after="120"/>
              <w:rPr>
                <w:b/>
                <w:bCs/>
                <w:lang w:val="en-AU"/>
              </w:rPr>
            </w:pPr>
            <w:r w:rsidRPr="000D0DC0">
              <w:rPr>
                <w:b/>
                <w:bCs/>
                <w:lang w:val="en-AU"/>
              </w:rPr>
              <w:t>Range of Scenarios</w:t>
            </w:r>
          </w:p>
        </w:tc>
        <w:tc>
          <w:tcPr>
            <w:tcW w:w="2763" w:type="dxa"/>
          </w:tcPr>
          <w:p w14:paraId="6F10043F" w14:textId="6D495D77" w:rsidR="00EC1968" w:rsidRDefault="00D57784" w:rsidP="000D0DC0">
            <w:pPr>
              <w:pStyle w:val="BodyText10"/>
              <w:spacing w:before="120" w:after="120"/>
              <w:jc w:val="center"/>
              <w:rPr>
                <w:lang w:val="en-AU"/>
              </w:rPr>
            </w:pPr>
            <w:r>
              <w:rPr>
                <w:lang w:val="en-AU"/>
              </w:rPr>
              <w:t>35-55</w:t>
            </w:r>
          </w:p>
        </w:tc>
        <w:tc>
          <w:tcPr>
            <w:tcW w:w="2763" w:type="dxa"/>
          </w:tcPr>
          <w:p w14:paraId="547FDCB2" w14:textId="322CC3E1" w:rsidR="00EC1968" w:rsidRDefault="0063291F" w:rsidP="000D0DC0">
            <w:pPr>
              <w:pStyle w:val="BodyText10"/>
              <w:spacing w:before="120" w:after="120"/>
              <w:jc w:val="center"/>
              <w:rPr>
                <w:lang w:val="en-AU"/>
              </w:rPr>
            </w:pPr>
            <w:r>
              <w:rPr>
                <w:lang w:val="en-AU"/>
              </w:rPr>
              <w:t>139-229</w:t>
            </w:r>
          </w:p>
        </w:tc>
      </w:tr>
      <w:tr w:rsidR="00EC1968" w14:paraId="11074976" w14:textId="77777777" w:rsidTr="00EC1968">
        <w:tc>
          <w:tcPr>
            <w:tcW w:w="2763" w:type="dxa"/>
          </w:tcPr>
          <w:p w14:paraId="1EB8491A" w14:textId="12AA6041" w:rsidR="00EC1968" w:rsidRPr="000D0DC0" w:rsidRDefault="0063291F" w:rsidP="000D0DC0">
            <w:pPr>
              <w:pStyle w:val="BodyText10"/>
              <w:spacing w:before="120" w:after="120"/>
              <w:rPr>
                <w:b/>
                <w:bCs/>
                <w:lang w:val="en-AU"/>
              </w:rPr>
            </w:pPr>
            <w:r w:rsidRPr="000D0DC0">
              <w:rPr>
                <w:b/>
                <w:bCs/>
                <w:lang w:val="en-AU"/>
              </w:rPr>
              <w:t>NHB stocks</w:t>
            </w:r>
          </w:p>
        </w:tc>
        <w:tc>
          <w:tcPr>
            <w:tcW w:w="2763" w:type="dxa"/>
          </w:tcPr>
          <w:p w14:paraId="1ED92A10" w14:textId="747AB362" w:rsidR="00EC1968" w:rsidRDefault="00B06F41" w:rsidP="000D0DC0">
            <w:pPr>
              <w:pStyle w:val="BodyText10"/>
              <w:spacing w:before="120" w:after="120"/>
              <w:jc w:val="center"/>
              <w:rPr>
                <w:lang w:val="en-AU"/>
              </w:rPr>
            </w:pPr>
            <w:r>
              <w:rPr>
                <w:lang w:val="en-AU"/>
              </w:rPr>
              <w:t>73-95</w:t>
            </w:r>
          </w:p>
        </w:tc>
        <w:tc>
          <w:tcPr>
            <w:tcW w:w="2763" w:type="dxa"/>
          </w:tcPr>
          <w:p w14:paraId="0C2F6375" w14:textId="574BB235" w:rsidR="00EC1968" w:rsidRDefault="00B06F41" w:rsidP="000D0DC0">
            <w:pPr>
              <w:pStyle w:val="BodyText10"/>
              <w:spacing w:before="120" w:after="120"/>
              <w:jc w:val="center"/>
              <w:rPr>
                <w:lang w:val="en-AU"/>
              </w:rPr>
            </w:pPr>
            <w:r>
              <w:rPr>
                <w:lang w:val="en-AU"/>
              </w:rPr>
              <w:t>195</w:t>
            </w:r>
          </w:p>
        </w:tc>
      </w:tr>
    </w:tbl>
    <w:p w14:paraId="62026BF5" w14:textId="77777777" w:rsidR="009A6AF0" w:rsidRPr="00C9304E" w:rsidRDefault="009A6AF0" w:rsidP="00F97402">
      <w:pPr>
        <w:pStyle w:val="BodyText10"/>
        <w:rPr>
          <w:lang w:val="en-AU"/>
        </w:rPr>
      </w:pPr>
    </w:p>
    <w:p w14:paraId="5AE7EBA3" w14:textId="166287C2" w:rsidR="00C72C62" w:rsidRPr="002518AB" w:rsidRDefault="00C72C62" w:rsidP="00F97402">
      <w:pPr>
        <w:pStyle w:val="BodyText10"/>
        <w:rPr>
          <w:color w:val="auto"/>
          <w:lang w:val="en-AU"/>
        </w:rPr>
      </w:pPr>
      <w:r w:rsidRPr="002518AB">
        <w:lastRenderedPageBreak/>
        <w:t>Th</w:t>
      </w:r>
      <w:r w:rsidR="00EF029C" w:rsidRPr="002518AB">
        <w:t>is</w:t>
      </w:r>
      <w:r w:rsidR="00AF2F60" w:rsidRPr="002518AB">
        <w:t xml:space="preserve"> </w:t>
      </w:r>
      <w:r w:rsidR="00E12D8B">
        <w:t>2020 Halon Review</w:t>
      </w:r>
      <w:r w:rsidR="007A14F1" w:rsidRPr="002518AB">
        <w:t xml:space="preserve"> </w:t>
      </w:r>
      <w:r w:rsidR="003B1FB0" w:rsidRPr="002518AB">
        <w:t>provide</w:t>
      </w:r>
      <w:r w:rsidR="00666816">
        <w:t>s</w:t>
      </w:r>
      <w:r w:rsidR="003B1FB0" w:rsidRPr="002518AB">
        <w:t xml:space="preserve"> </w:t>
      </w:r>
      <w:r w:rsidR="00B1754F">
        <w:t xml:space="preserve">updated and new </w:t>
      </w:r>
      <w:r w:rsidR="003B1FB0" w:rsidRPr="002518AB">
        <w:t xml:space="preserve">advice on </w:t>
      </w:r>
      <w:r w:rsidR="00362099">
        <w:t>non-defence</w:t>
      </w:r>
      <w:r w:rsidR="003B1FB0" w:rsidRPr="002518AB">
        <w:t xml:space="preserve"> halon uses, addresses current halon uses and future trends, and estimates future Australian </w:t>
      </w:r>
      <w:r w:rsidR="00362099">
        <w:t>non-defence</w:t>
      </w:r>
      <w:r w:rsidR="003B1FB0" w:rsidRPr="002518AB">
        <w:t xml:space="preserve"> halon demand</w:t>
      </w:r>
      <w:r w:rsidR="00244DF2">
        <w:t xml:space="preserve"> based on available </w:t>
      </w:r>
      <w:r w:rsidR="00055DFC" w:rsidRPr="002518AB">
        <w:t xml:space="preserve">updated </w:t>
      </w:r>
      <w:r w:rsidR="00B1754F">
        <w:t xml:space="preserve">and new </w:t>
      </w:r>
      <w:r w:rsidR="00055DFC" w:rsidRPr="002518AB">
        <w:t>information</w:t>
      </w:r>
      <w:r w:rsidR="00E341F4" w:rsidRPr="002518AB">
        <w:t xml:space="preserve"> </w:t>
      </w:r>
      <w:r w:rsidR="00EC6156" w:rsidRPr="002518AB">
        <w:t>from suppliers</w:t>
      </w:r>
      <w:r w:rsidR="00775938" w:rsidRPr="002518AB">
        <w:t>, stakeholders and</w:t>
      </w:r>
      <w:r w:rsidR="00C41804" w:rsidRPr="002518AB">
        <w:t xml:space="preserve"> </w:t>
      </w:r>
      <w:r w:rsidR="00DE7CA5" w:rsidRPr="002518AB">
        <w:t>experts</w:t>
      </w:r>
      <w:r w:rsidR="00CC619B" w:rsidRPr="002518AB">
        <w:t>.</w:t>
      </w:r>
      <w:r w:rsidR="00E341F4" w:rsidRPr="002518AB">
        <w:t xml:space="preserve"> </w:t>
      </w:r>
      <w:r w:rsidR="00603BBA" w:rsidRPr="002518AB">
        <w:t>Updated</w:t>
      </w:r>
      <w:r w:rsidR="001757A4" w:rsidRPr="002518AB">
        <w:t xml:space="preserve"> </w:t>
      </w:r>
      <w:r w:rsidR="00CC7B1A" w:rsidRPr="002518AB">
        <w:t xml:space="preserve">historical sales </w:t>
      </w:r>
      <w:r w:rsidR="009539A3" w:rsidRPr="002518AB">
        <w:t xml:space="preserve">and handling </w:t>
      </w:r>
      <w:r w:rsidR="00CC7B1A" w:rsidRPr="002518AB">
        <w:t xml:space="preserve">data, </w:t>
      </w:r>
      <w:r w:rsidR="006B4CA9">
        <w:t xml:space="preserve">improved categorisation of NHB sales into non-defence and defence uses, </w:t>
      </w:r>
      <w:r w:rsidR="00D80F9C" w:rsidRPr="002518AB">
        <w:t xml:space="preserve">progress </w:t>
      </w:r>
      <w:r w:rsidR="001C0417" w:rsidRPr="002518AB">
        <w:t>towards alternatives,</w:t>
      </w:r>
      <w:r w:rsidR="00C31C6E" w:rsidRPr="002518AB">
        <w:t xml:space="preserve"> </w:t>
      </w:r>
      <w:r w:rsidR="00244DF2">
        <w:t xml:space="preserve">current </w:t>
      </w:r>
      <w:r w:rsidR="00C31C6E" w:rsidRPr="002518AB">
        <w:t xml:space="preserve">expectations </w:t>
      </w:r>
      <w:r w:rsidR="001C0417" w:rsidRPr="002518AB">
        <w:t xml:space="preserve">of </w:t>
      </w:r>
      <w:r w:rsidR="00244DF2">
        <w:t xml:space="preserve">aviation </w:t>
      </w:r>
      <w:r w:rsidR="001757A4" w:rsidRPr="002518AB">
        <w:t xml:space="preserve">fleet </w:t>
      </w:r>
      <w:r w:rsidR="00244DF2">
        <w:t>trends</w:t>
      </w:r>
      <w:r w:rsidR="00B1754F">
        <w:t>,</w:t>
      </w:r>
      <w:r w:rsidR="001757A4" w:rsidRPr="002518AB">
        <w:t xml:space="preserve"> </w:t>
      </w:r>
      <w:r w:rsidR="00B1754F">
        <w:t xml:space="preserve">and updated </w:t>
      </w:r>
      <w:r w:rsidR="007E0555" w:rsidRPr="002518AB">
        <w:t xml:space="preserve">data </w:t>
      </w:r>
      <w:r w:rsidR="00B1754F">
        <w:t xml:space="preserve">and new modelling </w:t>
      </w:r>
      <w:r w:rsidR="00C417C9" w:rsidRPr="002518AB">
        <w:t xml:space="preserve">on the </w:t>
      </w:r>
      <w:r w:rsidR="0084025B">
        <w:t xml:space="preserve">amount of halon </w:t>
      </w:r>
      <w:r w:rsidR="001C0417" w:rsidRPr="002518AB">
        <w:t xml:space="preserve">installed </w:t>
      </w:r>
      <w:r w:rsidR="0090445B">
        <w:t xml:space="preserve">in </w:t>
      </w:r>
      <w:r w:rsidR="004C1F47">
        <w:t xml:space="preserve">civil </w:t>
      </w:r>
      <w:r w:rsidR="0090445B">
        <w:t>aviation</w:t>
      </w:r>
      <w:r w:rsidR="0090445B" w:rsidRPr="002518AB">
        <w:t xml:space="preserve"> </w:t>
      </w:r>
      <w:r w:rsidR="0097060A">
        <w:t>ha</w:t>
      </w:r>
      <w:r w:rsidR="00B1754F">
        <w:t>ve</w:t>
      </w:r>
      <w:r w:rsidR="0097060A" w:rsidRPr="002518AB">
        <w:t xml:space="preserve"> </w:t>
      </w:r>
      <w:r w:rsidR="004C3FBD" w:rsidRPr="002518AB">
        <w:t>be</w:t>
      </w:r>
      <w:r w:rsidR="0097060A">
        <w:t>en</w:t>
      </w:r>
      <w:r w:rsidR="004C3FBD" w:rsidRPr="002518AB">
        <w:t xml:space="preserve"> used to inform</w:t>
      </w:r>
      <w:r w:rsidR="00D61C80" w:rsidRPr="002518AB">
        <w:t xml:space="preserve"> </w:t>
      </w:r>
      <w:r w:rsidR="00244DF2">
        <w:t xml:space="preserve">new </w:t>
      </w:r>
      <w:r w:rsidR="00B1754F">
        <w:t>estimations</w:t>
      </w:r>
      <w:r w:rsidR="00B1754F" w:rsidRPr="002518AB">
        <w:t xml:space="preserve"> </w:t>
      </w:r>
      <w:r w:rsidR="00E248AA" w:rsidRPr="002518AB">
        <w:t xml:space="preserve">of Australia’s </w:t>
      </w:r>
      <w:r w:rsidR="00B1754F">
        <w:t>future</w:t>
      </w:r>
      <w:r w:rsidR="00B1754F" w:rsidRPr="002518AB">
        <w:t xml:space="preserve"> </w:t>
      </w:r>
      <w:r w:rsidR="00E248AA" w:rsidRPr="002518AB">
        <w:t>halon requirements</w:t>
      </w:r>
      <w:r w:rsidR="00B23A8C">
        <w:t xml:space="preserve"> for non-defence uses</w:t>
      </w:r>
      <w:r w:rsidR="00E248AA" w:rsidRPr="002518AB">
        <w:t>.</w:t>
      </w:r>
      <w:r w:rsidR="004C3FBD" w:rsidRPr="002518AB">
        <w:t xml:space="preserve"> </w:t>
      </w:r>
    </w:p>
    <w:p w14:paraId="4881C6E6" w14:textId="77777777" w:rsidR="00A64990" w:rsidRPr="002518AB" w:rsidRDefault="00A605BC" w:rsidP="00324056">
      <w:pPr>
        <w:pStyle w:val="Heading2"/>
      </w:pPr>
      <w:bookmarkStart w:id="8" w:name="_Toc38190317"/>
      <w:r w:rsidRPr="002518AB">
        <w:t xml:space="preserve">Project </w:t>
      </w:r>
      <w:r w:rsidR="004847B0" w:rsidRPr="002518AB">
        <w:t>Deliverables</w:t>
      </w:r>
      <w:bookmarkEnd w:id="8"/>
    </w:p>
    <w:p w14:paraId="2A33FE68" w14:textId="77777777" w:rsidR="0002069C" w:rsidRPr="002518AB" w:rsidRDefault="0002069C" w:rsidP="00BD75CA">
      <w:pPr>
        <w:pStyle w:val="CCSNormalText"/>
        <w:rPr>
          <w:rFonts w:ascii="Book Antiqua" w:hAnsi="Book Antiqua"/>
          <w:sz w:val="24"/>
          <w:szCs w:val="24"/>
        </w:rPr>
      </w:pPr>
      <w:r w:rsidRPr="002518AB">
        <w:rPr>
          <w:rFonts w:ascii="Book Antiqua" w:hAnsi="Book Antiqua"/>
          <w:b/>
          <w:bCs/>
          <w:i/>
          <w:iCs/>
          <w:sz w:val="24"/>
          <w:szCs w:val="24"/>
        </w:rPr>
        <w:t>Reporting</w:t>
      </w:r>
      <w:r w:rsidRPr="002518AB">
        <w:rPr>
          <w:rFonts w:ascii="Book Antiqua" w:hAnsi="Book Antiqua"/>
          <w:sz w:val="24"/>
          <w:szCs w:val="24"/>
        </w:rPr>
        <w:t xml:space="preserve"> of progress and/or findings through:</w:t>
      </w:r>
    </w:p>
    <w:p w14:paraId="4064149D" w14:textId="627692D1" w:rsidR="00114C28" w:rsidRPr="002518AB" w:rsidRDefault="0002069C" w:rsidP="00DF4CEB">
      <w:pPr>
        <w:pStyle w:val="BodyText10"/>
        <w:numPr>
          <w:ilvl w:val="0"/>
          <w:numId w:val="12"/>
        </w:numPr>
        <w:tabs>
          <w:tab w:val="clear" w:pos="357"/>
          <w:tab w:val="num" w:pos="709"/>
        </w:tabs>
        <w:spacing w:after="120"/>
        <w:ind w:left="709" w:hanging="425"/>
      </w:pPr>
      <w:r w:rsidRPr="002518AB">
        <w:t>a brief outline report with preliminary findings</w:t>
      </w:r>
    </w:p>
    <w:p w14:paraId="25EE9671" w14:textId="682415D8" w:rsidR="00114C28" w:rsidRPr="002518AB" w:rsidRDefault="0002069C" w:rsidP="00DF4CEB">
      <w:pPr>
        <w:pStyle w:val="BodyText10"/>
        <w:numPr>
          <w:ilvl w:val="0"/>
          <w:numId w:val="12"/>
        </w:numPr>
        <w:tabs>
          <w:tab w:val="clear" w:pos="357"/>
          <w:tab w:val="num" w:pos="709"/>
        </w:tabs>
        <w:spacing w:after="120"/>
        <w:ind w:left="709" w:hanging="425"/>
      </w:pPr>
      <w:r w:rsidRPr="002518AB">
        <w:t>a draft report</w:t>
      </w:r>
      <w:r w:rsidR="00724440">
        <w:t xml:space="preserve"> </w:t>
      </w:r>
    </w:p>
    <w:p w14:paraId="5278AD6B" w14:textId="50AA9EBE" w:rsidR="00114C28" w:rsidRPr="002518AB" w:rsidRDefault="0002069C" w:rsidP="00DF4CEB">
      <w:pPr>
        <w:pStyle w:val="BodyText10"/>
        <w:numPr>
          <w:ilvl w:val="0"/>
          <w:numId w:val="12"/>
        </w:numPr>
        <w:tabs>
          <w:tab w:val="clear" w:pos="357"/>
          <w:tab w:val="num" w:pos="709"/>
        </w:tabs>
        <w:spacing w:after="120"/>
        <w:ind w:left="709" w:hanging="425"/>
      </w:pPr>
      <w:r w:rsidRPr="002518AB">
        <w:t>a draft final report</w:t>
      </w:r>
    </w:p>
    <w:p w14:paraId="70DB8168" w14:textId="54DF93FD" w:rsidR="00114C28" w:rsidRPr="002518AB" w:rsidRDefault="0002069C" w:rsidP="00DF4CEB">
      <w:pPr>
        <w:pStyle w:val="BodyText10"/>
        <w:numPr>
          <w:ilvl w:val="0"/>
          <w:numId w:val="12"/>
        </w:numPr>
        <w:tabs>
          <w:tab w:val="clear" w:pos="357"/>
          <w:tab w:val="num" w:pos="709"/>
        </w:tabs>
        <w:spacing w:after="120"/>
        <w:ind w:left="709" w:hanging="425"/>
      </w:pPr>
      <w:r w:rsidRPr="002518AB">
        <w:t xml:space="preserve">a briefing presentation </w:t>
      </w:r>
      <w:r w:rsidR="003E41EC">
        <w:t xml:space="preserve">and consultation meeting with </w:t>
      </w:r>
      <w:r w:rsidRPr="002518AB">
        <w:t>stakeholders</w:t>
      </w:r>
    </w:p>
    <w:p w14:paraId="3CFB2ED7" w14:textId="1F387B51" w:rsidR="0002069C" w:rsidRPr="002518AB" w:rsidRDefault="0002069C" w:rsidP="000022B3">
      <w:pPr>
        <w:pStyle w:val="BodyText10"/>
        <w:numPr>
          <w:ilvl w:val="0"/>
          <w:numId w:val="12"/>
        </w:numPr>
        <w:tabs>
          <w:tab w:val="clear" w:pos="357"/>
          <w:tab w:val="num" w:pos="709"/>
        </w:tabs>
        <w:ind w:left="709" w:hanging="425"/>
      </w:pPr>
      <w:r w:rsidRPr="002518AB">
        <w:t>a final report, incorporating relevant feedback from the stakeholder briefing</w:t>
      </w:r>
      <w:r w:rsidR="003E41EC">
        <w:t xml:space="preserve"> and consultation meeting</w:t>
      </w:r>
      <w:r w:rsidRPr="002518AB">
        <w:t>.</w:t>
      </w:r>
    </w:p>
    <w:p w14:paraId="609EA6E6" w14:textId="77777777" w:rsidR="009F643E" w:rsidRPr="002518AB" w:rsidRDefault="009F643E" w:rsidP="00324056">
      <w:pPr>
        <w:pStyle w:val="Heading2"/>
      </w:pPr>
      <w:bookmarkStart w:id="9" w:name="_Toc38190318"/>
      <w:r w:rsidRPr="002518AB">
        <w:t>Project Methodology</w:t>
      </w:r>
      <w:bookmarkEnd w:id="9"/>
    </w:p>
    <w:p w14:paraId="2887FDEF" w14:textId="0E2FEFDA" w:rsidR="007618AB" w:rsidRPr="002518AB" w:rsidRDefault="00BB0B1F" w:rsidP="00F97402">
      <w:pPr>
        <w:pStyle w:val="BodyText10"/>
      </w:pPr>
      <w:r w:rsidRPr="002518AB">
        <w:t xml:space="preserve">Planet Futures </w:t>
      </w:r>
      <w:r>
        <w:t>has undertaken</w:t>
      </w:r>
      <w:r w:rsidR="00161CC7" w:rsidRPr="002518AB">
        <w:t xml:space="preserve"> the </w:t>
      </w:r>
      <w:r w:rsidR="009F643E" w:rsidRPr="002518AB">
        <w:t>following methodology</w:t>
      </w:r>
      <w:r w:rsidR="00161CC7" w:rsidRPr="002518AB">
        <w:t xml:space="preserve"> and activities</w:t>
      </w:r>
      <w:r w:rsidR="00B1754F">
        <w:t xml:space="preserve"> in provision of its services to the Department</w:t>
      </w:r>
      <w:r w:rsidR="007618AB" w:rsidRPr="002518AB">
        <w:t>:</w:t>
      </w:r>
    </w:p>
    <w:p w14:paraId="04257C11" w14:textId="09F8D5C3" w:rsidR="007618AB" w:rsidRPr="002518AB" w:rsidRDefault="007618AB" w:rsidP="00F97402">
      <w:pPr>
        <w:pStyle w:val="BodyText10"/>
        <w:rPr>
          <w:szCs w:val="24"/>
        </w:rPr>
      </w:pPr>
      <w:r w:rsidRPr="002518AB">
        <w:rPr>
          <w:b/>
          <w:bCs/>
          <w:i/>
          <w:iCs/>
          <w:szCs w:val="24"/>
        </w:rPr>
        <w:t>Desktop review</w:t>
      </w:r>
      <w:r w:rsidRPr="002518AB">
        <w:rPr>
          <w:szCs w:val="24"/>
        </w:rPr>
        <w:t xml:space="preserve"> of relevant Australian and international resources to summarise current information on the status of halon policy, management and uses in Australia and internationally, future trends in halon use and demand, international halon price and possible trends. Resources include information sources such as web-based resources and reports relating to the national and international industry sectors and halon use, including although not limited to reports of the Technology and Economic Assessment Panel and its Halon Technical Options Committee, </w:t>
      </w:r>
      <w:r w:rsidR="003B62AA">
        <w:rPr>
          <w:szCs w:val="24"/>
        </w:rPr>
        <w:t>and</w:t>
      </w:r>
      <w:r w:rsidRPr="002518AB">
        <w:rPr>
          <w:szCs w:val="24"/>
        </w:rPr>
        <w:t xml:space="preserve"> the International Civil Aviation Organization</w:t>
      </w:r>
      <w:r w:rsidR="00EF4621">
        <w:rPr>
          <w:szCs w:val="24"/>
        </w:rPr>
        <w:t xml:space="preserve"> and associated working groups and committees</w:t>
      </w:r>
      <w:r w:rsidRPr="002518AB">
        <w:rPr>
          <w:szCs w:val="24"/>
        </w:rPr>
        <w:t>.</w:t>
      </w:r>
    </w:p>
    <w:p w14:paraId="2D153B2B" w14:textId="3E9812D5" w:rsidR="007618AB" w:rsidRPr="002518AB" w:rsidRDefault="007618AB" w:rsidP="00F97402">
      <w:pPr>
        <w:pStyle w:val="BodyText10"/>
        <w:rPr>
          <w:szCs w:val="24"/>
        </w:rPr>
      </w:pPr>
      <w:r w:rsidRPr="002518AB">
        <w:rPr>
          <w:b/>
          <w:bCs/>
          <w:i/>
          <w:iCs/>
          <w:szCs w:val="24"/>
        </w:rPr>
        <w:t>Interviews</w:t>
      </w:r>
      <w:r w:rsidRPr="002518AB">
        <w:rPr>
          <w:szCs w:val="24"/>
        </w:rPr>
        <w:t xml:space="preserve"> with a selection of relevant major Australian industry sector stakeholders and halon user groups, and international industry sector experts, regarding current and future halon use trends, feasibility, commercialisation, and research of halon alternatives, potential risks and uncertainties that may influence future halon demand, and, in the case of halon special permit holders, clarification of their record keeping practices to explore uncertainties in data reporting. </w:t>
      </w:r>
    </w:p>
    <w:p w14:paraId="228BB3CB" w14:textId="41B457C6" w:rsidR="007618AB" w:rsidRPr="002518AB" w:rsidRDefault="007618AB" w:rsidP="00F97402">
      <w:pPr>
        <w:pStyle w:val="BodyText10"/>
        <w:rPr>
          <w:szCs w:val="24"/>
        </w:rPr>
      </w:pPr>
      <w:r w:rsidRPr="002518AB">
        <w:rPr>
          <w:b/>
          <w:bCs/>
          <w:i/>
          <w:iCs/>
          <w:szCs w:val="24"/>
        </w:rPr>
        <w:t>Data analysis</w:t>
      </w:r>
      <w:r w:rsidRPr="002518AB">
        <w:rPr>
          <w:szCs w:val="24"/>
        </w:rPr>
        <w:t xml:space="preserve"> of historic halon stocks and sales associated with the NHB, and halon special permit holder records. Depending on an assessment of available </w:t>
      </w:r>
      <w:r w:rsidRPr="002518AB">
        <w:rPr>
          <w:szCs w:val="24"/>
        </w:rPr>
        <w:lastRenderedPageBreak/>
        <w:t xml:space="preserve">data and its reliability, which </w:t>
      </w:r>
      <w:r w:rsidR="00CA4DD0">
        <w:rPr>
          <w:szCs w:val="24"/>
        </w:rPr>
        <w:t>were</w:t>
      </w:r>
      <w:r w:rsidR="00CA4DD0" w:rsidRPr="002518AB">
        <w:rPr>
          <w:szCs w:val="24"/>
        </w:rPr>
        <w:t xml:space="preserve"> </w:t>
      </w:r>
      <w:r w:rsidRPr="002518AB">
        <w:rPr>
          <w:szCs w:val="24"/>
        </w:rPr>
        <w:t xml:space="preserve">also determined through limited interviews, a range of methodologies </w:t>
      </w:r>
      <w:r w:rsidR="00C367E1">
        <w:rPr>
          <w:szCs w:val="24"/>
        </w:rPr>
        <w:t>were</w:t>
      </w:r>
      <w:r w:rsidRPr="002518AB">
        <w:rPr>
          <w:szCs w:val="24"/>
        </w:rPr>
        <w:t xml:space="preserve"> considered to describe, estimate, and/or corroborate estimations of, future non-defence halon requirements and possible trends, including halon stocks inventory and annual sales analysis, scenario modelling and sensitivity analysis to test the impact of different assumptions relating to future demand patterns and qualitative and quantitative industry analysis. The final methodology </w:t>
      </w:r>
      <w:r w:rsidR="0017463A">
        <w:rPr>
          <w:szCs w:val="24"/>
        </w:rPr>
        <w:t>was</w:t>
      </w:r>
      <w:r w:rsidRPr="002518AB">
        <w:rPr>
          <w:szCs w:val="24"/>
        </w:rPr>
        <w:t xml:space="preserve"> discussed and agreed upon with the Department. </w:t>
      </w:r>
      <w:r w:rsidR="00670FCC">
        <w:rPr>
          <w:szCs w:val="24"/>
        </w:rPr>
        <w:t>Where possible</w:t>
      </w:r>
      <w:r w:rsidR="007D0730">
        <w:rPr>
          <w:szCs w:val="24"/>
        </w:rPr>
        <w:t>,</w:t>
      </w:r>
      <w:r w:rsidR="00670FCC">
        <w:rPr>
          <w:szCs w:val="24"/>
        </w:rPr>
        <w:t xml:space="preserve"> </w:t>
      </w:r>
      <w:r w:rsidRPr="002518AB">
        <w:rPr>
          <w:szCs w:val="24"/>
        </w:rPr>
        <w:t xml:space="preserve">uncertainties </w:t>
      </w:r>
      <w:r w:rsidR="008A48DB">
        <w:rPr>
          <w:szCs w:val="24"/>
        </w:rPr>
        <w:t xml:space="preserve">where </w:t>
      </w:r>
      <w:r w:rsidR="007D0730">
        <w:rPr>
          <w:szCs w:val="24"/>
        </w:rPr>
        <w:t>explored</w:t>
      </w:r>
      <w:r w:rsidR="008A48DB">
        <w:rPr>
          <w:szCs w:val="24"/>
        </w:rPr>
        <w:t xml:space="preserve"> and these have been noted </w:t>
      </w:r>
      <w:r w:rsidR="007D0730">
        <w:rPr>
          <w:szCs w:val="24"/>
        </w:rPr>
        <w:t>in</w:t>
      </w:r>
      <w:r w:rsidR="008A48DB">
        <w:rPr>
          <w:szCs w:val="24"/>
        </w:rPr>
        <w:t xml:space="preserve"> this report</w:t>
      </w:r>
      <w:r w:rsidR="00E54187">
        <w:rPr>
          <w:szCs w:val="24"/>
        </w:rPr>
        <w:t xml:space="preserve">. </w:t>
      </w:r>
    </w:p>
    <w:p w14:paraId="26B6C94B" w14:textId="5CFEEE06" w:rsidR="00B96DE1" w:rsidRPr="008F3E32" w:rsidRDefault="0029135B" w:rsidP="00324056">
      <w:pPr>
        <w:pStyle w:val="Heading2"/>
      </w:pPr>
      <w:bookmarkStart w:id="10" w:name="_Toc38190319"/>
      <w:r>
        <w:t xml:space="preserve">Final </w:t>
      </w:r>
      <w:r w:rsidR="00DC049B" w:rsidRPr="008F3E32">
        <w:t>Report</w:t>
      </w:r>
      <w:bookmarkEnd w:id="10"/>
    </w:p>
    <w:p w14:paraId="626CEA1C" w14:textId="376B417B" w:rsidR="00C6588A" w:rsidRPr="00F97402" w:rsidRDefault="00B33E97" w:rsidP="00F97402">
      <w:pPr>
        <w:pStyle w:val="BodyText10"/>
      </w:pPr>
      <w:r w:rsidRPr="008F3E32">
        <w:t>This</w:t>
      </w:r>
      <w:r w:rsidR="00C6588A" w:rsidRPr="008F3E32">
        <w:t xml:space="preserve"> </w:t>
      </w:r>
      <w:r w:rsidR="0029135B">
        <w:t xml:space="preserve">final </w:t>
      </w:r>
      <w:r w:rsidR="00C6588A" w:rsidRPr="008F3E32">
        <w:t xml:space="preserve">report </w:t>
      </w:r>
      <w:r w:rsidR="006976FD">
        <w:t>incorporates</w:t>
      </w:r>
      <w:r w:rsidR="00161CC7" w:rsidRPr="008F3E32">
        <w:t xml:space="preserve"> </w:t>
      </w:r>
      <w:r w:rsidR="00C85F70" w:rsidRPr="008F3E32">
        <w:t>currently available data</w:t>
      </w:r>
      <w:r w:rsidR="006976FD">
        <w:t xml:space="preserve"> and </w:t>
      </w:r>
      <w:r w:rsidR="00C85F70" w:rsidRPr="008F3E32">
        <w:t>its analysis</w:t>
      </w:r>
      <w:r w:rsidR="0029135B">
        <w:t xml:space="preserve"> </w:t>
      </w:r>
      <w:r w:rsidR="006976FD">
        <w:t xml:space="preserve">and advice is </w:t>
      </w:r>
      <w:r w:rsidR="0029135B">
        <w:t xml:space="preserve">based on </w:t>
      </w:r>
      <w:r w:rsidR="006976FD">
        <w:t xml:space="preserve">this data, </w:t>
      </w:r>
      <w:r w:rsidR="0029135B">
        <w:t xml:space="preserve">the results </w:t>
      </w:r>
      <w:r w:rsidR="006976FD">
        <w:t>of</w:t>
      </w:r>
      <w:r w:rsidR="0029135B">
        <w:t xml:space="preserve"> the desktop review</w:t>
      </w:r>
      <w:r w:rsidR="006976FD">
        <w:t>,</w:t>
      </w:r>
      <w:r w:rsidR="0029135B">
        <w:t xml:space="preserve"> and expert and stakeholder consultations</w:t>
      </w:r>
      <w:r w:rsidR="00E40964" w:rsidRPr="008F3E32">
        <w:t>.</w:t>
      </w:r>
      <w:r w:rsidR="00161CC7" w:rsidRPr="008F3E32">
        <w:t xml:space="preserve"> </w:t>
      </w:r>
    </w:p>
    <w:p w14:paraId="5B89E364" w14:textId="77777777" w:rsidR="000A47D5" w:rsidRPr="002518AB" w:rsidRDefault="000A47D5" w:rsidP="00BD75CA">
      <w:pPr>
        <w:rPr>
          <w:b/>
          <w:sz w:val="28"/>
          <w:highlight w:val="lightGray"/>
        </w:rPr>
      </w:pPr>
      <w:r w:rsidRPr="002518AB">
        <w:rPr>
          <w:highlight w:val="lightGray"/>
        </w:rPr>
        <w:br w:type="page"/>
      </w:r>
    </w:p>
    <w:p w14:paraId="785F4568" w14:textId="0762F2FA" w:rsidR="00AF2C3F" w:rsidRPr="00C24F0C" w:rsidRDefault="00AF2C3F" w:rsidP="00842135">
      <w:pPr>
        <w:pStyle w:val="Heading1"/>
      </w:pPr>
      <w:bookmarkStart w:id="11" w:name="_Toc38190320"/>
      <w:r w:rsidRPr="00842135">
        <w:lastRenderedPageBreak/>
        <w:t xml:space="preserve">Remaining </w:t>
      </w:r>
      <w:r w:rsidR="000855BA">
        <w:t>Non-Defence</w:t>
      </w:r>
      <w:r w:rsidR="00FD2706">
        <w:t xml:space="preserve"> </w:t>
      </w:r>
      <w:r w:rsidR="004847B0" w:rsidRPr="00F579E3">
        <w:t xml:space="preserve">Halon Uses </w:t>
      </w:r>
      <w:r w:rsidR="00DA603D" w:rsidRPr="00F579E3">
        <w:t xml:space="preserve">and </w:t>
      </w:r>
      <w:r w:rsidR="00726852">
        <w:t xml:space="preserve">the </w:t>
      </w:r>
      <w:r w:rsidR="004847B0" w:rsidRPr="002A5D0C">
        <w:t xml:space="preserve">Status </w:t>
      </w:r>
      <w:r w:rsidR="002504E5" w:rsidRPr="002A5D0C">
        <w:t>of</w:t>
      </w:r>
      <w:r w:rsidR="00DA603D" w:rsidRPr="00C24F0C">
        <w:t xml:space="preserve"> </w:t>
      </w:r>
      <w:r w:rsidR="004847B0" w:rsidRPr="00C24F0C">
        <w:t>Alternatives</w:t>
      </w:r>
      <w:bookmarkEnd w:id="11"/>
    </w:p>
    <w:p w14:paraId="4B7B1732" w14:textId="2F7B729C" w:rsidR="000D49EB" w:rsidRDefault="00B44E3D" w:rsidP="00363EA5">
      <w:pPr>
        <w:pStyle w:val="BodyText10"/>
      </w:pPr>
      <w:r w:rsidRPr="00F97402">
        <w:t xml:space="preserve">Halon is no longer used in the majority of </w:t>
      </w:r>
      <w:r w:rsidR="00362099">
        <w:t>non-defence</w:t>
      </w:r>
      <w:r w:rsidR="00FD2706">
        <w:t xml:space="preserve"> </w:t>
      </w:r>
      <w:r w:rsidRPr="00F97402">
        <w:t xml:space="preserve">applications where </w:t>
      </w:r>
      <w:r w:rsidR="005C78BC" w:rsidRPr="00F97402">
        <w:t>previously</w:t>
      </w:r>
      <w:r w:rsidRPr="00F97402">
        <w:t xml:space="preserve"> it was considered important for fire protection. </w:t>
      </w:r>
      <w:r w:rsidR="00174A6C">
        <w:t>Most land</w:t>
      </w:r>
      <w:r w:rsidR="00943DD5">
        <w:t>-</w:t>
      </w:r>
      <w:r w:rsidR="00174A6C">
        <w:t xml:space="preserve">based fixed systems </w:t>
      </w:r>
      <w:r w:rsidR="006C033C">
        <w:t xml:space="preserve">and </w:t>
      </w:r>
      <w:r w:rsidR="001F58CD">
        <w:t xml:space="preserve">major </w:t>
      </w:r>
      <w:r w:rsidR="006221D7">
        <w:t xml:space="preserve">commercial maritime </w:t>
      </w:r>
      <w:r w:rsidR="00E93AE6">
        <w:t xml:space="preserve">applications </w:t>
      </w:r>
      <w:r w:rsidR="00174A6C">
        <w:t>previously</w:t>
      </w:r>
      <w:r w:rsidR="00FD2706">
        <w:t xml:space="preserve"> using halon</w:t>
      </w:r>
      <w:r w:rsidR="00174A6C">
        <w:t xml:space="preserve"> </w:t>
      </w:r>
      <w:r w:rsidR="00216B81">
        <w:t>for fire protection</w:t>
      </w:r>
      <w:r w:rsidR="00F32D12">
        <w:t xml:space="preserve"> have been </w:t>
      </w:r>
      <w:r w:rsidR="006C033C">
        <w:t>replaced</w:t>
      </w:r>
      <w:r w:rsidR="00E93AE6">
        <w:t xml:space="preserve"> with alternatives.</w:t>
      </w:r>
    </w:p>
    <w:p w14:paraId="7E58F775" w14:textId="7699FD59" w:rsidR="00E2606B" w:rsidRPr="00E2606B" w:rsidRDefault="00BB478B" w:rsidP="00363EA5">
      <w:pPr>
        <w:pStyle w:val="BodyText10"/>
      </w:pPr>
      <w:r>
        <w:rPr>
          <w:szCs w:val="24"/>
        </w:rPr>
        <w:t xml:space="preserve">Halon </w:t>
      </w:r>
      <w:r w:rsidR="00417A07">
        <w:rPr>
          <w:szCs w:val="24"/>
        </w:rPr>
        <w:t>s</w:t>
      </w:r>
      <w:r>
        <w:rPr>
          <w:szCs w:val="24"/>
        </w:rPr>
        <w:t xml:space="preserve">pecial </w:t>
      </w:r>
      <w:r w:rsidR="00417A07">
        <w:rPr>
          <w:szCs w:val="24"/>
        </w:rPr>
        <w:t>p</w:t>
      </w:r>
      <w:r>
        <w:rPr>
          <w:szCs w:val="24"/>
        </w:rPr>
        <w:t>ermit</w:t>
      </w:r>
      <w:r w:rsidR="007777E1">
        <w:rPr>
          <w:szCs w:val="24"/>
        </w:rPr>
        <w:t xml:space="preserve"> holder</w:t>
      </w:r>
      <w:r w:rsidR="007777E1" w:rsidRPr="00FD00F3">
        <w:rPr>
          <w:szCs w:val="24"/>
        </w:rPr>
        <w:t>s</w:t>
      </w:r>
      <w:r w:rsidR="00417A07">
        <w:rPr>
          <w:rStyle w:val="FootnoteReference"/>
          <w:szCs w:val="24"/>
        </w:rPr>
        <w:footnoteReference w:id="10"/>
      </w:r>
      <w:r w:rsidR="007777E1" w:rsidRPr="00FD00F3">
        <w:rPr>
          <w:szCs w:val="24"/>
        </w:rPr>
        <w:t xml:space="preserve"> </w:t>
      </w:r>
      <w:r w:rsidR="007777E1">
        <w:rPr>
          <w:szCs w:val="24"/>
        </w:rPr>
        <w:t>have</w:t>
      </w:r>
      <w:r w:rsidR="00055291" w:rsidRPr="00FD00F3">
        <w:rPr>
          <w:szCs w:val="24"/>
        </w:rPr>
        <w:t xml:space="preserve"> reported that al</w:t>
      </w:r>
      <w:r w:rsidR="00FE30B0">
        <w:rPr>
          <w:szCs w:val="24"/>
        </w:rPr>
        <w:t xml:space="preserve">most </w:t>
      </w:r>
      <w:r w:rsidR="00055291" w:rsidRPr="00FD00F3">
        <w:rPr>
          <w:szCs w:val="24"/>
        </w:rPr>
        <w:t xml:space="preserve">all maritime commercial fleets have implemented halon alternatives. </w:t>
      </w:r>
      <w:r w:rsidR="00A30309">
        <w:t>There</w:t>
      </w:r>
      <w:r w:rsidR="00A30309" w:rsidRPr="00F97402">
        <w:t xml:space="preserve"> may be remaining </w:t>
      </w:r>
      <w:r w:rsidR="00C5040A">
        <w:t>minor</w:t>
      </w:r>
      <w:r w:rsidR="00C5040A" w:rsidRPr="00F97402">
        <w:t xml:space="preserve"> </w:t>
      </w:r>
      <w:r w:rsidR="00362099">
        <w:t>non-defence</w:t>
      </w:r>
      <w:r w:rsidR="00A30309">
        <w:t xml:space="preserve"> </w:t>
      </w:r>
      <w:r w:rsidR="00A30309" w:rsidRPr="00F97402">
        <w:t>maritime use</w:t>
      </w:r>
      <w:r w:rsidR="00E552C0">
        <w:t>,</w:t>
      </w:r>
      <w:r w:rsidR="00D042AC">
        <w:t xml:space="preserve"> </w:t>
      </w:r>
      <w:r w:rsidR="00407BA4">
        <w:t>particular</w:t>
      </w:r>
      <w:r w:rsidR="00ED46B7">
        <w:t xml:space="preserve">ly in </w:t>
      </w:r>
      <w:r w:rsidR="00D22DEA">
        <w:t>older</w:t>
      </w:r>
      <w:r w:rsidR="0057314B">
        <w:t>,</w:t>
      </w:r>
      <w:r w:rsidR="0031674D">
        <w:t xml:space="preserve"> </w:t>
      </w:r>
      <w:r w:rsidR="00BC212C">
        <w:t>marine</w:t>
      </w:r>
      <w:r w:rsidR="0031674D">
        <w:t xml:space="preserve"> craft </w:t>
      </w:r>
      <w:r w:rsidR="00C14600">
        <w:t xml:space="preserve">with </w:t>
      </w:r>
      <w:r w:rsidR="0099691A">
        <w:t>legacy</w:t>
      </w:r>
      <w:r w:rsidR="00C14600">
        <w:t xml:space="preserve"> </w:t>
      </w:r>
      <w:r w:rsidR="00A95DB6">
        <w:t xml:space="preserve">halon </w:t>
      </w:r>
      <w:r w:rsidR="00C14600">
        <w:t>strangler</w:t>
      </w:r>
      <w:r w:rsidR="00C55500">
        <w:rPr>
          <w:rStyle w:val="FootnoteReference"/>
        </w:rPr>
        <w:footnoteReference w:id="11"/>
      </w:r>
      <w:r w:rsidR="00A95DB6">
        <w:t xml:space="preserve"> systems</w:t>
      </w:r>
      <w:r w:rsidR="00C14600">
        <w:t xml:space="preserve"> </w:t>
      </w:r>
      <w:r w:rsidR="00E036A8">
        <w:t>for inboard motors</w:t>
      </w:r>
      <w:r w:rsidR="00E552C0">
        <w:t>,</w:t>
      </w:r>
      <w:r w:rsidR="00055291" w:rsidRPr="00FD00F3">
        <w:rPr>
          <w:szCs w:val="24"/>
        </w:rPr>
        <w:t xml:space="preserve"> </w:t>
      </w:r>
      <w:r w:rsidR="000709D0">
        <w:rPr>
          <w:szCs w:val="24"/>
        </w:rPr>
        <w:t>some of which</w:t>
      </w:r>
      <w:r w:rsidR="00055291" w:rsidRPr="00FD00F3">
        <w:rPr>
          <w:szCs w:val="24"/>
        </w:rPr>
        <w:t xml:space="preserve"> may not have been serviced in many years</w:t>
      </w:r>
      <w:r w:rsidR="00055291" w:rsidRPr="00F97402">
        <w:t>.</w:t>
      </w:r>
    </w:p>
    <w:p w14:paraId="69225B2A" w14:textId="2F8B5B74" w:rsidR="005E689F" w:rsidRPr="000C5B44" w:rsidRDefault="00F54662" w:rsidP="00363EA5">
      <w:pPr>
        <w:pStyle w:val="BodyText10"/>
      </w:pPr>
      <w:r w:rsidRPr="000C5B44">
        <w:t xml:space="preserve">NSW </w:t>
      </w:r>
      <w:r w:rsidR="009C6A5D" w:rsidRPr="000C5B44">
        <w:t>P</w:t>
      </w:r>
      <w:r w:rsidRPr="000C5B44">
        <w:t>olice</w:t>
      </w:r>
      <w:r w:rsidR="000C5B44" w:rsidRPr="000C5B44">
        <w:t xml:space="preserve"> Force </w:t>
      </w:r>
      <w:r w:rsidR="00F34EF4">
        <w:t>(</w:t>
      </w:r>
      <w:r w:rsidR="000C5B44">
        <w:t xml:space="preserve">Public Order </w:t>
      </w:r>
      <w:r w:rsidR="008A618E">
        <w:t>and</w:t>
      </w:r>
      <w:r w:rsidR="000C5B44">
        <w:t xml:space="preserve"> Riot</w:t>
      </w:r>
      <w:r w:rsidR="00F34EF4">
        <w:t>)</w:t>
      </w:r>
      <w:r w:rsidR="000C5B44">
        <w:t xml:space="preserve"> </w:t>
      </w:r>
      <w:r w:rsidR="00497324">
        <w:t>hold</w:t>
      </w:r>
      <w:r w:rsidRPr="000C5B44">
        <w:t xml:space="preserve"> a halon special permit and </w:t>
      </w:r>
      <w:r w:rsidR="00CD0C09" w:rsidRPr="000C5B44">
        <w:t xml:space="preserve">there is preliminary information that </w:t>
      </w:r>
      <w:r w:rsidR="00A761AD" w:rsidRPr="000C5B44">
        <w:t xml:space="preserve">halon </w:t>
      </w:r>
      <w:r w:rsidR="000B4864">
        <w:t>1211</w:t>
      </w:r>
      <w:r w:rsidR="00A761AD" w:rsidRPr="000C5B44">
        <w:t xml:space="preserve"> is </w:t>
      </w:r>
      <w:r w:rsidR="00350256">
        <w:t>use</w:t>
      </w:r>
      <w:r w:rsidR="00F76050">
        <w:t>d</w:t>
      </w:r>
      <w:r w:rsidR="00A761AD" w:rsidRPr="000C5B44">
        <w:t xml:space="preserve"> </w:t>
      </w:r>
      <w:r w:rsidR="00497324">
        <w:t>as an extinguishant</w:t>
      </w:r>
      <w:r w:rsidR="00A761AD" w:rsidRPr="000C5B44">
        <w:t xml:space="preserve"> in </w:t>
      </w:r>
      <w:r w:rsidR="006573E2" w:rsidRPr="000C5B44">
        <w:t>their public order response</w:t>
      </w:r>
      <w:r w:rsidRPr="000C5B44">
        <w:t xml:space="preserve"> </w:t>
      </w:r>
      <w:r w:rsidR="00497324">
        <w:t xml:space="preserve">vehicles. </w:t>
      </w:r>
      <w:r w:rsidR="007A7457">
        <w:t xml:space="preserve">Due </w:t>
      </w:r>
      <w:r w:rsidR="00ED58C2">
        <w:t>to</w:t>
      </w:r>
      <w:r w:rsidR="007A7457">
        <w:t xml:space="preserve"> personnel chang</w:t>
      </w:r>
      <w:r w:rsidR="00754A81">
        <w:t>es</w:t>
      </w:r>
      <w:r w:rsidR="00BB478B">
        <w:t>,</w:t>
      </w:r>
      <w:r w:rsidR="007A7457">
        <w:t xml:space="preserve"> </w:t>
      </w:r>
      <w:r w:rsidR="00C82427">
        <w:t xml:space="preserve">confirmation of </w:t>
      </w:r>
      <w:r w:rsidR="000B4864">
        <w:t>the application and quantities involved</w:t>
      </w:r>
      <w:r w:rsidR="00297A22">
        <w:t xml:space="preserve"> </w:t>
      </w:r>
      <w:r w:rsidR="00463ABB">
        <w:t xml:space="preserve">is pending </w:t>
      </w:r>
      <w:r w:rsidR="00297A22">
        <w:t xml:space="preserve">from the new official </w:t>
      </w:r>
      <w:r w:rsidR="004C4801">
        <w:t xml:space="preserve">halon special permit </w:t>
      </w:r>
      <w:r w:rsidR="00BB478B">
        <w:t xml:space="preserve">holder </w:t>
      </w:r>
      <w:r w:rsidR="00297A22">
        <w:t>administrator</w:t>
      </w:r>
      <w:r w:rsidR="000B4864">
        <w:t>.</w:t>
      </w:r>
      <w:r w:rsidR="004A1159">
        <w:t xml:space="preserve"> At the </w:t>
      </w:r>
      <w:r w:rsidR="00D62ED8">
        <w:t>time of publication</w:t>
      </w:r>
      <w:r w:rsidR="00F52BEF">
        <w:t xml:space="preserve">, </w:t>
      </w:r>
      <w:r w:rsidR="004204EC">
        <w:t xml:space="preserve">no further information </w:t>
      </w:r>
      <w:r w:rsidR="005C11EB">
        <w:t>could</w:t>
      </w:r>
      <w:r w:rsidR="00D761B5">
        <w:t xml:space="preserve"> be</w:t>
      </w:r>
      <w:r w:rsidR="004204EC">
        <w:t xml:space="preserve"> made available. </w:t>
      </w:r>
      <w:r w:rsidR="008654D4">
        <w:t>F</w:t>
      </w:r>
      <w:r w:rsidR="0056041F">
        <w:t xml:space="preserve">ollow-up with the new </w:t>
      </w:r>
      <w:r w:rsidR="00F047C1">
        <w:t>halon special permit holder administrator</w:t>
      </w:r>
      <w:r w:rsidR="008654D4">
        <w:t xml:space="preserve"> is continuing</w:t>
      </w:r>
      <w:r w:rsidR="00F047C1">
        <w:t>.</w:t>
      </w:r>
    </w:p>
    <w:p w14:paraId="7D4DA9C5" w14:textId="3DE1EC1F" w:rsidR="000026DA" w:rsidRDefault="00C6264A" w:rsidP="00363EA5">
      <w:pPr>
        <w:pStyle w:val="BodyText10"/>
      </w:pPr>
      <w:r w:rsidRPr="00F97402">
        <w:t xml:space="preserve">In the past, there have also been small quantities used for research </w:t>
      </w:r>
      <w:r w:rsidR="00B6798A">
        <w:t>(University of N</w:t>
      </w:r>
      <w:r w:rsidR="00CF7278">
        <w:t xml:space="preserve">ewcastle for </w:t>
      </w:r>
      <w:r w:rsidR="00473F3C">
        <w:t xml:space="preserve">research </w:t>
      </w:r>
      <w:r w:rsidR="005B5A58">
        <w:t>into</w:t>
      </w:r>
      <w:r w:rsidR="00473F3C">
        <w:t xml:space="preserve"> </w:t>
      </w:r>
      <w:r w:rsidR="005B5A58">
        <w:t xml:space="preserve">halocarbon </w:t>
      </w:r>
      <w:r w:rsidR="00473F3C">
        <w:t xml:space="preserve">destruction) </w:t>
      </w:r>
      <w:r w:rsidRPr="00F97402">
        <w:t>and specialist refrigeration purposes</w:t>
      </w:r>
      <w:r w:rsidR="00473F3C">
        <w:t xml:space="preserve"> (</w:t>
      </w:r>
      <w:r w:rsidR="00CC326A">
        <w:t xml:space="preserve">now </w:t>
      </w:r>
      <w:r w:rsidR="00473F3C">
        <w:t xml:space="preserve">CSL </w:t>
      </w:r>
      <w:r w:rsidR="00CC326A">
        <w:t xml:space="preserve">Ltd., </w:t>
      </w:r>
      <w:r w:rsidR="001E5380">
        <w:t>which had specialist refrigeration equipment using halon as a refrigerant)</w:t>
      </w:r>
      <w:r w:rsidRPr="00F97402">
        <w:t>.</w:t>
      </w:r>
      <w:r w:rsidR="00F10700">
        <w:t xml:space="preserve"> </w:t>
      </w:r>
    </w:p>
    <w:p w14:paraId="409856C5" w14:textId="6CD65ACB" w:rsidR="00E93AE6" w:rsidRDefault="0070211F" w:rsidP="00363EA5">
      <w:pPr>
        <w:pStyle w:val="BodyText10"/>
      </w:pPr>
      <w:r w:rsidRPr="00FD00F3">
        <w:rPr>
          <w:szCs w:val="24"/>
        </w:rPr>
        <w:t xml:space="preserve">Internationally, </w:t>
      </w:r>
      <w:r w:rsidR="00A00FCE">
        <w:rPr>
          <w:szCs w:val="24"/>
        </w:rPr>
        <w:t>halon</w:t>
      </w:r>
      <w:r w:rsidRPr="00FD00F3">
        <w:rPr>
          <w:szCs w:val="24"/>
        </w:rPr>
        <w:t xml:space="preserve"> uses also include oil and gas installations, nuclear facilities and feedstock uses</w:t>
      </w:r>
      <w:r w:rsidR="00F10E23">
        <w:rPr>
          <w:szCs w:val="24"/>
        </w:rPr>
        <w:t xml:space="preserve"> in chemical manufacturing</w:t>
      </w:r>
      <w:r w:rsidR="00A00FCE">
        <w:rPr>
          <w:szCs w:val="24"/>
        </w:rPr>
        <w:t>.</w:t>
      </w:r>
    </w:p>
    <w:p w14:paraId="6E7BF8D7" w14:textId="0AE2EF61" w:rsidR="00C65E32" w:rsidRDefault="00E93AE6" w:rsidP="00F97402">
      <w:pPr>
        <w:pStyle w:val="BodyText10"/>
      </w:pPr>
      <w:r>
        <w:t>The</w:t>
      </w:r>
      <w:r w:rsidR="00174A6C">
        <w:t xml:space="preserve"> </w:t>
      </w:r>
      <w:r>
        <w:t>r</w:t>
      </w:r>
      <w:r w:rsidR="00B44E3D" w:rsidRPr="00F97402">
        <w:t xml:space="preserve">emaining </w:t>
      </w:r>
      <w:r w:rsidR="00AA3F6D" w:rsidRPr="00F97402">
        <w:t xml:space="preserve">major </w:t>
      </w:r>
      <w:r w:rsidR="00B44E3D" w:rsidRPr="00F97402">
        <w:t xml:space="preserve">halon uses </w:t>
      </w:r>
      <w:r w:rsidR="005C78BC" w:rsidRPr="00F97402">
        <w:t xml:space="preserve">in Australia </w:t>
      </w:r>
      <w:r w:rsidR="00B44E3D" w:rsidRPr="00F97402">
        <w:t xml:space="preserve">are in </w:t>
      </w:r>
      <w:r w:rsidR="00CB79B7" w:rsidRPr="00F97402">
        <w:t xml:space="preserve">civil </w:t>
      </w:r>
      <w:r w:rsidR="00B44E3D" w:rsidRPr="00F97402">
        <w:t xml:space="preserve">aviation </w:t>
      </w:r>
      <w:r w:rsidR="00AA3F6D" w:rsidRPr="00F97402">
        <w:t>and defence applications</w:t>
      </w:r>
      <w:r w:rsidR="00344C63" w:rsidRPr="00F97402">
        <w:t>.</w:t>
      </w:r>
      <w:r w:rsidR="00AA3F6D" w:rsidRPr="00F97402">
        <w:t xml:space="preserve"> </w:t>
      </w:r>
      <w:r w:rsidR="005C78BC" w:rsidRPr="00F97402">
        <w:t>The following</w:t>
      </w:r>
      <w:r w:rsidR="003A287B">
        <w:t xml:space="preserve"> sections</w:t>
      </w:r>
      <w:r w:rsidR="005C78BC" w:rsidRPr="00F97402">
        <w:t xml:space="preserve"> describe</w:t>
      </w:r>
      <w:r w:rsidR="001A3981">
        <w:t xml:space="preserve"> </w:t>
      </w:r>
      <w:r w:rsidR="005C78BC" w:rsidRPr="00F97402">
        <w:t xml:space="preserve">the </w:t>
      </w:r>
      <w:r w:rsidR="003337D8">
        <w:t xml:space="preserve">remaining </w:t>
      </w:r>
      <w:r w:rsidR="000E067F" w:rsidRPr="00F97402">
        <w:t xml:space="preserve">major </w:t>
      </w:r>
      <w:r w:rsidR="00362099">
        <w:t>non-defence</w:t>
      </w:r>
      <w:r w:rsidR="004C5546">
        <w:t xml:space="preserve"> </w:t>
      </w:r>
      <w:r w:rsidR="005C78BC" w:rsidRPr="00F97402">
        <w:t>use of halon in Australia,</w:t>
      </w:r>
      <w:r w:rsidR="00896B51">
        <w:t xml:space="preserve"> </w:t>
      </w:r>
      <w:r w:rsidR="003A287B">
        <w:t>c</w:t>
      </w:r>
      <w:r w:rsidR="00896B51">
        <w:t xml:space="preserve">ivil </w:t>
      </w:r>
      <w:r w:rsidR="003A287B">
        <w:t>a</w:t>
      </w:r>
      <w:r w:rsidR="00896B51">
        <w:t>viation</w:t>
      </w:r>
      <w:r w:rsidR="0088359C">
        <w:t xml:space="preserve">, </w:t>
      </w:r>
      <w:r w:rsidR="002D1C2B">
        <w:t xml:space="preserve">and </w:t>
      </w:r>
      <w:r w:rsidR="001A6020">
        <w:t xml:space="preserve">briefly </w:t>
      </w:r>
      <w:r w:rsidR="0088359C">
        <w:t>explains the challenge</w:t>
      </w:r>
      <w:r w:rsidR="00846BE4">
        <w:t>s</w:t>
      </w:r>
      <w:r w:rsidR="001A6020">
        <w:t xml:space="preserve"> in replacing halon</w:t>
      </w:r>
      <w:r w:rsidR="005C78BC" w:rsidRPr="00F97402">
        <w:t xml:space="preserve"> and the status of the development and introduction of alternatives.</w:t>
      </w:r>
    </w:p>
    <w:p w14:paraId="08948DC6" w14:textId="77777777" w:rsidR="00BB7C71" w:rsidRPr="00FD00F3" w:rsidRDefault="00BB7C71" w:rsidP="00324056">
      <w:pPr>
        <w:pStyle w:val="Heading2"/>
        <w:rPr>
          <w:lang w:eastAsia="zh-CN"/>
        </w:rPr>
      </w:pPr>
      <w:bookmarkStart w:id="12" w:name="_Toc38190321"/>
      <w:r w:rsidRPr="00FD00F3">
        <w:t>Effectiveness of Halons in Fire Suppression</w:t>
      </w:r>
      <w:bookmarkEnd w:id="12"/>
    </w:p>
    <w:p w14:paraId="62647C46" w14:textId="7C49441E" w:rsidR="00BB7C71" w:rsidRPr="00FD00F3" w:rsidRDefault="00BB7C71" w:rsidP="00363EA5">
      <w:pPr>
        <w:pStyle w:val="BodyText10"/>
      </w:pPr>
      <w:r w:rsidRPr="00FD00F3">
        <w:t>Fire suppression agents can operate by a number of mechanisms. These include cooling, reducing oxygen availability</w:t>
      </w:r>
      <w:r w:rsidR="00045790">
        <w:t>,</w:t>
      </w:r>
      <w:r w:rsidRPr="00FD00F3">
        <w:t xml:space="preserve"> and dilution of fuel availability. In addition to these mechanisms, when exposed to flames, halon 1211 and halon 1301 release bromine that can participate in fast catalytic chain reactions </w:t>
      </w:r>
      <w:r w:rsidRPr="00FD00F3">
        <w:lastRenderedPageBreak/>
        <w:t>that rapidly and efficiently quench the free radicals that otherwise propagate flame fronts.</w:t>
      </w:r>
      <w:r w:rsidR="00F10700">
        <w:t xml:space="preserve"> </w:t>
      </w:r>
    </w:p>
    <w:p w14:paraId="440080CA" w14:textId="717C0423" w:rsidR="00BB7C71" w:rsidRPr="00FD00F3" w:rsidRDefault="00BB7C71" w:rsidP="00363EA5">
      <w:pPr>
        <w:pStyle w:val="BodyText10"/>
      </w:pPr>
      <w:r w:rsidRPr="00FD00F3">
        <w:t>These properties make these bromine</w:t>
      </w:r>
      <w:r w:rsidR="005F7A1C">
        <w:t>-</w:t>
      </w:r>
      <w:r w:rsidRPr="00FD00F3">
        <w:t>containing halons extremely efficient in suppressing fires and allows them to be effective at much lower concentrations than would be required for non-halon agents.</w:t>
      </w:r>
      <w:r w:rsidR="00F10700">
        <w:t xml:space="preserve"> </w:t>
      </w:r>
      <w:r>
        <w:t>Consequently, the search for effective and efficient alternatives poses significant challenges.</w:t>
      </w:r>
    </w:p>
    <w:p w14:paraId="615AE6E1" w14:textId="13460575" w:rsidR="00AF2C3F" w:rsidRPr="002518AB" w:rsidRDefault="005A7C5F" w:rsidP="00324056">
      <w:pPr>
        <w:pStyle w:val="Heading2"/>
      </w:pPr>
      <w:bookmarkStart w:id="13" w:name="_Toc38190322"/>
      <w:r>
        <w:t xml:space="preserve">Civil </w:t>
      </w:r>
      <w:r w:rsidR="00AF2C3F" w:rsidRPr="002518AB">
        <w:t xml:space="preserve">Aviation </w:t>
      </w:r>
      <w:r w:rsidR="00167529">
        <w:t xml:space="preserve">Halon </w:t>
      </w:r>
      <w:r w:rsidR="00AF2C3F" w:rsidRPr="002518AB">
        <w:t>Uses</w:t>
      </w:r>
      <w:bookmarkEnd w:id="13"/>
    </w:p>
    <w:p w14:paraId="6C12B156" w14:textId="56468697" w:rsidR="002537C8" w:rsidRPr="00FD00F3" w:rsidRDefault="004754D2" w:rsidP="002537C8">
      <w:pPr>
        <w:pStyle w:val="BodyText10"/>
        <w:rPr>
          <w:szCs w:val="24"/>
        </w:rPr>
      </w:pPr>
      <w:r>
        <w:rPr>
          <w:szCs w:val="24"/>
        </w:rPr>
        <w:t>For</w:t>
      </w:r>
      <w:r w:rsidR="002537C8" w:rsidRPr="00FD00F3">
        <w:rPr>
          <w:szCs w:val="24"/>
        </w:rPr>
        <w:t xml:space="preserve"> civil aviation</w:t>
      </w:r>
      <w:r>
        <w:rPr>
          <w:szCs w:val="24"/>
        </w:rPr>
        <w:t>,</w:t>
      </w:r>
      <w:r w:rsidR="002537C8" w:rsidRPr="00FD00F3">
        <w:rPr>
          <w:szCs w:val="24"/>
        </w:rPr>
        <w:t xml:space="preserve"> halons have been in use </w:t>
      </w:r>
      <w:r w:rsidR="00036E85" w:rsidRPr="00FD00F3">
        <w:rPr>
          <w:szCs w:val="24"/>
        </w:rPr>
        <w:t xml:space="preserve">in Australia </w:t>
      </w:r>
      <w:r w:rsidR="002537C8" w:rsidRPr="00FD00F3">
        <w:rPr>
          <w:szCs w:val="24"/>
        </w:rPr>
        <w:t>in four areas</w:t>
      </w:r>
      <w:r w:rsidR="007806C5">
        <w:rPr>
          <w:szCs w:val="24"/>
        </w:rPr>
        <w:t>:</w:t>
      </w:r>
    </w:p>
    <w:tbl>
      <w:tblPr>
        <w:tblStyle w:val="TableGrid"/>
        <w:tblW w:w="0" w:type="auto"/>
        <w:tblLook w:val="04A0" w:firstRow="1" w:lastRow="0" w:firstColumn="1" w:lastColumn="0" w:noHBand="0" w:noVBand="1"/>
      </w:tblPr>
      <w:tblGrid>
        <w:gridCol w:w="4195"/>
        <w:gridCol w:w="4094"/>
      </w:tblGrid>
      <w:tr w:rsidR="002537C8" w:rsidRPr="00FD00F3" w14:paraId="2A835C1A" w14:textId="77777777" w:rsidTr="00C3543E">
        <w:tc>
          <w:tcPr>
            <w:tcW w:w="4505" w:type="dxa"/>
          </w:tcPr>
          <w:p w14:paraId="242A2163" w14:textId="77777777" w:rsidR="002537C8" w:rsidRPr="00FD00F3" w:rsidRDefault="002537C8" w:rsidP="00324056">
            <w:pPr>
              <w:pStyle w:val="BodyText10"/>
              <w:spacing w:before="120" w:after="120"/>
              <w:rPr>
                <w:b/>
                <w:bCs/>
                <w:szCs w:val="24"/>
              </w:rPr>
            </w:pPr>
            <w:r w:rsidRPr="00FD00F3">
              <w:rPr>
                <w:b/>
                <w:bCs/>
                <w:szCs w:val="24"/>
              </w:rPr>
              <w:t>LOCATION</w:t>
            </w:r>
          </w:p>
        </w:tc>
        <w:tc>
          <w:tcPr>
            <w:tcW w:w="4505" w:type="dxa"/>
          </w:tcPr>
          <w:p w14:paraId="7F4F913A" w14:textId="77777777" w:rsidR="002537C8" w:rsidRPr="00FD00F3" w:rsidRDefault="002537C8" w:rsidP="00324056">
            <w:pPr>
              <w:pStyle w:val="BodyText10"/>
              <w:spacing w:before="120" w:after="120"/>
              <w:rPr>
                <w:b/>
                <w:bCs/>
                <w:szCs w:val="24"/>
              </w:rPr>
            </w:pPr>
            <w:r w:rsidRPr="00FD00F3">
              <w:rPr>
                <w:b/>
                <w:bCs/>
                <w:szCs w:val="24"/>
              </w:rPr>
              <w:t>TYPE/AGENT</w:t>
            </w:r>
          </w:p>
        </w:tc>
      </w:tr>
      <w:tr w:rsidR="002537C8" w:rsidRPr="00FD00F3" w14:paraId="44FE80DE" w14:textId="77777777" w:rsidTr="00C3543E">
        <w:tc>
          <w:tcPr>
            <w:tcW w:w="4505" w:type="dxa"/>
          </w:tcPr>
          <w:p w14:paraId="0C711901" w14:textId="77777777" w:rsidR="002537C8" w:rsidRPr="00FD00F3" w:rsidRDefault="002537C8" w:rsidP="00324056">
            <w:pPr>
              <w:pStyle w:val="BodyText10"/>
              <w:spacing w:before="120" w:after="120"/>
              <w:rPr>
                <w:szCs w:val="24"/>
              </w:rPr>
            </w:pPr>
            <w:r w:rsidRPr="00FD00F3">
              <w:rPr>
                <w:szCs w:val="24"/>
              </w:rPr>
              <w:t>Cabin spaces/Cockpit/Galleys</w:t>
            </w:r>
          </w:p>
        </w:tc>
        <w:tc>
          <w:tcPr>
            <w:tcW w:w="4505" w:type="dxa"/>
          </w:tcPr>
          <w:p w14:paraId="69D900BF" w14:textId="340331B5" w:rsidR="002537C8" w:rsidRPr="00FD00F3" w:rsidRDefault="002537C8" w:rsidP="00324056">
            <w:pPr>
              <w:pStyle w:val="BodyText10"/>
              <w:spacing w:before="120" w:after="120"/>
              <w:rPr>
                <w:szCs w:val="24"/>
              </w:rPr>
            </w:pPr>
            <w:r w:rsidRPr="00FD00F3">
              <w:rPr>
                <w:szCs w:val="24"/>
              </w:rPr>
              <w:t>Handheld extinguishers</w:t>
            </w:r>
            <w:r w:rsidR="00367FCD">
              <w:rPr>
                <w:szCs w:val="24"/>
              </w:rPr>
              <w:t>/</w:t>
            </w:r>
            <w:r w:rsidRPr="00FD00F3">
              <w:rPr>
                <w:szCs w:val="24"/>
              </w:rPr>
              <w:t>1211</w:t>
            </w:r>
          </w:p>
        </w:tc>
      </w:tr>
      <w:tr w:rsidR="002537C8" w:rsidRPr="00FD00F3" w14:paraId="7110DE7D" w14:textId="77777777" w:rsidTr="00C3543E">
        <w:tc>
          <w:tcPr>
            <w:tcW w:w="4505" w:type="dxa"/>
          </w:tcPr>
          <w:p w14:paraId="72A2AA8C" w14:textId="6F9B2103" w:rsidR="002537C8" w:rsidRPr="00FD00F3" w:rsidRDefault="00DD254E" w:rsidP="00324056">
            <w:pPr>
              <w:pStyle w:val="BodyText10"/>
              <w:spacing w:before="120" w:after="120"/>
              <w:rPr>
                <w:szCs w:val="24"/>
              </w:rPr>
            </w:pPr>
            <w:r>
              <w:rPr>
                <w:szCs w:val="24"/>
              </w:rPr>
              <w:t>Lavatory</w:t>
            </w:r>
            <w:r w:rsidR="002537C8" w:rsidRPr="00FD00F3">
              <w:rPr>
                <w:szCs w:val="24"/>
              </w:rPr>
              <w:t xml:space="preserve"> trash receptacles/Lavex</w:t>
            </w:r>
          </w:p>
        </w:tc>
        <w:tc>
          <w:tcPr>
            <w:tcW w:w="4505" w:type="dxa"/>
          </w:tcPr>
          <w:p w14:paraId="6575BE42" w14:textId="63E96674" w:rsidR="002537C8" w:rsidRPr="00FD00F3" w:rsidRDefault="00E85EDB" w:rsidP="00324056">
            <w:pPr>
              <w:pStyle w:val="BodyText10"/>
              <w:spacing w:before="120" w:after="120"/>
              <w:rPr>
                <w:szCs w:val="24"/>
              </w:rPr>
            </w:pPr>
            <w:r>
              <w:rPr>
                <w:szCs w:val="24"/>
              </w:rPr>
              <w:t>Inbuilt</w:t>
            </w:r>
            <w:r w:rsidR="00367FCD">
              <w:rPr>
                <w:szCs w:val="24"/>
              </w:rPr>
              <w:t>/</w:t>
            </w:r>
            <w:r w:rsidR="00DA28A7">
              <w:rPr>
                <w:szCs w:val="24"/>
              </w:rPr>
              <w:t>mainly</w:t>
            </w:r>
            <w:r w:rsidR="00367FCD">
              <w:rPr>
                <w:szCs w:val="24"/>
              </w:rPr>
              <w:t xml:space="preserve"> </w:t>
            </w:r>
            <w:r w:rsidR="002537C8" w:rsidRPr="00FD00F3">
              <w:rPr>
                <w:szCs w:val="24"/>
              </w:rPr>
              <w:t>1301</w:t>
            </w:r>
            <w:r w:rsidR="00367FCD">
              <w:rPr>
                <w:szCs w:val="24"/>
              </w:rPr>
              <w:t>,</w:t>
            </w:r>
            <w:r w:rsidR="008A742A">
              <w:rPr>
                <w:szCs w:val="24"/>
              </w:rPr>
              <w:t xml:space="preserve"> </w:t>
            </w:r>
            <w:r w:rsidR="00DA28A7">
              <w:rPr>
                <w:szCs w:val="24"/>
              </w:rPr>
              <w:t xml:space="preserve">some </w:t>
            </w:r>
            <w:r w:rsidR="00F83821" w:rsidRPr="00FD00F3">
              <w:rPr>
                <w:szCs w:val="24"/>
              </w:rPr>
              <w:t>12</w:t>
            </w:r>
            <w:r w:rsidR="00F83821">
              <w:rPr>
                <w:szCs w:val="24"/>
              </w:rPr>
              <w:t>1</w:t>
            </w:r>
            <w:r w:rsidR="00F83821" w:rsidRPr="00FD00F3">
              <w:rPr>
                <w:szCs w:val="24"/>
              </w:rPr>
              <w:t>1</w:t>
            </w:r>
          </w:p>
        </w:tc>
      </w:tr>
      <w:tr w:rsidR="002537C8" w:rsidRPr="00FD00F3" w14:paraId="6BE49E9B" w14:textId="77777777" w:rsidTr="00C3543E">
        <w:tc>
          <w:tcPr>
            <w:tcW w:w="4505" w:type="dxa"/>
          </w:tcPr>
          <w:p w14:paraId="2F344C8F" w14:textId="77777777" w:rsidR="002537C8" w:rsidRPr="00FD00F3" w:rsidRDefault="002537C8" w:rsidP="00324056">
            <w:pPr>
              <w:pStyle w:val="BodyText10"/>
              <w:spacing w:before="120" w:after="120"/>
              <w:rPr>
                <w:szCs w:val="24"/>
              </w:rPr>
            </w:pPr>
            <w:r w:rsidRPr="00FD00F3">
              <w:rPr>
                <w:szCs w:val="24"/>
              </w:rPr>
              <w:t>Engine nacelles/Auxilliary Power Units (APUs)</w:t>
            </w:r>
          </w:p>
        </w:tc>
        <w:tc>
          <w:tcPr>
            <w:tcW w:w="4505" w:type="dxa"/>
          </w:tcPr>
          <w:p w14:paraId="0469DA34" w14:textId="12C02AAF" w:rsidR="002537C8" w:rsidRPr="00FD00F3" w:rsidRDefault="00DA28A7" w:rsidP="00324056">
            <w:pPr>
              <w:pStyle w:val="BodyText10"/>
              <w:spacing w:before="120" w:after="120"/>
              <w:rPr>
                <w:szCs w:val="24"/>
              </w:rPr>
            </w:pPr>
            <w:r>
              <w:rPr>
                <w:szCs w:val="24"/>
              </w:rPr>
              <w:t>Inb</w:t>
            </w:r>
            <w:r w:rsidR="008641AB">
              <w:rPr>
                <w:szCs w:val="24"/>
              </w:rPr>
              <w:t>ui</w:t>
            </w:r>
            <w:r w:rsidR="00CA135F">
              <w:rPr>
                <w:szCs w:val="24"/>
              </w:rPr>
              <w:t>l</w:t>
            </w:r>
            <w:r w:rsidR="008641AB">
              <w:rPr>
                <w:szCs w:val="24"/>
              </w:rPr>
              <w:t>t system</w:t>
            </w:r>
            <w:r w:rsidR="00660AB8">
              <w:rPr>
                <w:szCs w:val="24"/>
              </w:rPr>
              <w:t>s</w:t>
            </w:r>
            <w:r w:rsidR="00CA135F">
              <w:rPr>
                <w:szCs w:val="24"/>
              </w:rPr>
              <w:t>/</w:t>
            </w:r>
            <w:r w:rsidR="002537C8" w:rsidRPr="00FD00F3">
              <w:rPr>
                <w:szCs w:val="24"/>
              </w:rPr>
              <w:t>1301</w:t>
            </w:r>
          </w:p>
        </w:tc>
      </w:tr>
      <w:tr w:rsidR="002537C8" w:rsidRPr="00FD00F3" w14:paraId="5344BD40" w14:textId="77777777" w:rsidTr="00C3543E">
        <w:tc>
          <w:tcPr>
            <w:tcW w:w="4505" w:type="dxa"/>
          </w:tcPr>
          <w:p w14:paraId="3CA59679" w14:textId="77777777" w:rsidR="002537C8" w:rsidRPr="00FD00F3" w:rsidRDefault="002537C8" w:rsidP="00324056">
            <w:pPr>
              <w:pStyle w:val="BodyText10"/>
              <w:spacing w:before="120" w:after="120"/>
              <w:rPr>
                <w:szCs w:val="24"/>
              </w:rPr>
            </w:pPr>
            <w:r w:rsidRPr="00FD00F3">
              <w:rPr>
                <w:szCs w:val="24"/>
              </w:rPr>
              <w:t>Cargo Compartments</w:t>
            </w:r>
          </w:p>
        </w:tc>
        <w:tc>
          <w:tcPr>
            <w:tcW w:w="4505" w:type="dxa"/>
          </w:tcPr>
          <w:p w14:paraId="378A64AB" w14:textId="34388AAB" w:rsidR="002537C8" w:rsidRPr="00FD00F3" w:rsidRDefault="00CA135F" w:rsidP="00324056">
            <w:pPr>
              <w:pStyle w:val="BodyText10"/>
              <w:spacing w:before="120" w:after="120"/>
              <w:rPr>
                <w:szCs w:val="24"/>
              </w:rPr>
            </w:pPr>
            <w:r>
              <w:rPr>
                <w:szCs w:val="24"/>
              </w:rPr>
              <w:t>Inbuilt systems/</w:t>
            </w:r>
            <w:r w:rsidR="002537C8" w:rsidRPr="00FD00F3">
              <w:rPr>
                <w:szCs w:val="24"/>
              </w:rPr>
              <w:t>1301</w:t>
            </w:r>
          </w:p>
        </w:tc>
      </w:tr>
    </w:tbl>
    <w:p w14:paraId="0F1D24E2" w14:textId="77777777" w:rsidR="002537C8" w:rsidRPr="00FD00F3" w:rsidRDefault="002537C8" w:rsidP="002537C8">
      <w:pPr>
        <w:pStyle w:val="BodyText10"/>
        <w:rPr>
          <w:szCs w:val="24"/>
        </w:rPr>
      </w:pPr>
    </w:p>
    <w:p w14:paraId="62310A39" w14:textId="398C7BB7" w:rsidR="000F3ECD" w:rsidRDefault="002537C8" w:rsidP="002537C8">
      <w:pPr>
        <w:pStyle w:val="BodyText10"/>
        <w:rPr>
          <w:szCs w:val="24"/>
        </w:rPr>
      </w:pPr>
      <w:r w:rsidRPr="00FD00F3">
        <w:rPr>
          <w:szCs w:val="24"/>
        </w:rPr>
        <w:t xml:space="preserve">The search for </w:t>
      </w:r>
      <w:r w:rsidR="000329FF">
        <w:rPr>
          <w:szCs w:val="24"/>
        </w:rPr>
        <w:t xml:space="preserve">halon </w:t>
      </w:r>
      <w:r w:rsidRPr="00FD00F3">
        <w:rPr>
          <w:szCs w:val="24"/>
        </w:rPr>
        <w:t>alternatives began over 25 years ago</w:t>
      </w:r>
      <w:r w:rsidR="00096173">
        <w:rPr>
          <w:szCs w:val="24"/>
        </w:rPr>
        <w:t>,</w:t>
      </w:r>
      <w:r w:rsidRPr="00FD00F3">
        <w:rPr>
          <w:szCs w:val="24"/>
        </w:rPr>
        <w:t xml:space="preserve"> but the prospects for replacements of the streaming agent</w:t>
      </w:r>
      <w:r w:rsidR="00DC6E6C">
        <w:rPr>
          <w:szCs w:val="24"/>
        </w:rPr>
        <w:t>,</w:t>
      </w:r>
      <w:r w:rsidRPr="00FD00F3">
        <w:rPr>
          <w:szCs w:val="24"/>
        </w:rPr>
        <w:t xml:space="preserve"> halon 1211</w:t>
      </w:r>
      <w:r w:rsidR="00DC6E6C">
        <w:rPr>
          <w:szCs w:val="24"/>
        </w:rPr>
        <w:t>,</w:t>
      </w:r>
      <w:r w:rsidRPr="00FD00F3">
        <w:rPr>
          <w:szCs w:val="24"/>
        </w:rPr>
        <w:t xml:space="preserve"> and the flooding agent</w:t>
      </w:r>
      <w:r w:rsidR="00DC6E6C">
        <w:rPr>
          <w:szCs w:val="24"/>
        </w:rPr>
        <w:t>,</w:t>
      </w:r>
      <w:r w:rsidRPr="00FD00F3">
        <w:rPr>
          <w:szCs w:val="24"/>
        </w:rPr>
        <w:t xml:space="preserve"> halon 1301</w:t>
      </w:r>
      <w:r w:rsidR="00DC6E6C">
        <w:rPr>
          <w:szCs w:val="24"/>
        </w:rPr>
        <w:t>,</w:t>
      </w:r>
      <w:r w:rsidRPr="00FD00F3">
        <w:rPr>
          <w:szCs w:val="24"/>
        </w:rPr>
        <w:t xml:space="preserve"> have diverged sharply in recent years. </w:t>
      </w:r>
    </w:p>
    <w:p w14:paraId="202A2656" w14:textId="4BFB8BAC" w:rsidR="0089530F" w:rsidRDefault="002537C8" w:rsidP="002537C8">
      <w:pPr>
        <w:pStyle w:val="BodyText10"/>
        <w:rPr>
          <w:szCs w:val="24"/>
        </w:rPr>
      </w:pPr>
      <w:r w:rsidRPr="00FD00F3">
        <w:rPr>
          <w:szCs w:val="24"/>
        </w:rPr>
        <w:t>Replacements for halon 1211 as a streaming agent are now available</w:t>
      </w:r>
      <w:r w:rsidR="007376F1">
        <w:rPr>
          <w:szCs w:val="24"/>
        </w:rPr>
        <w:t xml:space="preserve"> and mandated in Australia for new</w:t>
      </w:r>
      <w:r w:rsidR="00322476">
        <w:rPr>
          <w:szCs w:val="24"/>
        </w:rPr>
        <w:t xml:space="preserve"> </w:t>
      </w:r>
      <w:r w:rsidR="00343E64">
        <w:rPr>
          <w:szCs w:val="24"/>
        </w:rPr>
        <w:t>aircraft</w:t>
      </w:r>
      <w:r w:rsidR="000967E1">
        <w:rPr>
          <w:szCs w:val="24"/>
        </w:rPr>
        <w:t xml:space="preserve"> </w:t>
      </w:r>
      <w:r w:rsidR="00322476">
        <w:rPr>
          <w:szCs w:val="24"/>
        </w:rPr>
        <w:t xml:space="preserve">manufactured </w:t>
      </w:r>
      <w:r w:rsidR="000967E1">
        <w:rPr>
          <w:szCs w:val="24"/>
        </w:rPr>
        <w:t>after December 2018</w:t>
      </w:r>
      <w:r w:rsidRPr="00FD00F3">
        <w:rPr>
          <w:szCs w:val="24"/>
        </w:rPr>
        <w:t>.</w:t>
      </w:r>
      <w:r w:rsidR="0094200A">
        <w:rPr>
          <w:szCs w:val="24"/>
        </w:rPr>
        <w:t xml:space="preserve"> </w:t>
      </w:r>
      <w:r w:rsidRPr="00FD00F3">
        <w:rPr>
          <w:szCs w:val="24"/>
        </w:rPr>
        <w:t xml:space="preserve">Replacements are also available for halon 1301 in </w:t>
      </w:r>
      <w:r w:rsidR="003A7045">
        <w:rPr>
          <w:szCs w:val="24"/>
        </w:rPr>
        <w:t>lavatory</w:t>
      </w:r>
      <w:r w:rsidR="0089530F">
        <w:rPr>
          <w:szCs w:val="24"/>
        </w:rPr>
        <w:t xml:space="preserve"> </w:t>
      </w:r>
      <w:r w:rsidRPr="00FD00F3">
        <w:rPr>
          <w:szCs w:val="24"/>
        </w:rPr>
        <w:t>trash receptacles</w:t>
      </w:r>
      <w:r w:rsidR="0089530F">
        <w:rPr>
          <w:szCs w:val="24"/>
        </w:rPr>
        <w:t>/</w:t>
      </w:r>
      <w:r w:rsidRPr="00FD00F3">
        <w:rPr>
          <w:szCs w:val="24"/>
        </w:rPr>
        <w:t>lavex</w:t>
      </w:r>
      <w:r w:rsidR="000967E1">
        <w:rPr>
          <w:szCs w:val="24"/>
        </w:rPr>
        <w:t xml:space="preserve"> </w:t>
      </w:r>
      <w:r w:rsidR="00322476">
        <w:rPr>
          <w:szCs w:val="24"/>
        </w:rPr>
        <w:t xml:space="preserve">and mandated in Australia </w:t>
      </w:r>
      <w:r w:rsidR="000967E1">
        <w:rPr>
          <w:szCs w:val="24"/>
        </w:rPr>
        <w:t xml:space="preserve">for new aircraft </w:t>
      </w:r>
      <w:r w:rsidR="00322476">
        <w:rPr>
          <w:szCs w:val="24"/>
        </w:rPr>
        <w:t xml:space="preserve">manufactured </w:t>
      </w:r>
      <w:r w:rsidR="000967E1">
        <w:rPr>
          <w:szCs w:val="24"/>
        </w:rPr>
        <w:t>after December 2018</w:t>
      </w:r>
      <w:r w:rsidRPr="00FD00F3">
        <w:rPr>
          <w:szCs w:val="24"/>
        </w:rPr>
        <w:t>.</w:t>
      </w:r>
      <w:r w:rsidR="00F10700">
        <w:rPr>
          <w:szCs w:val="24"/>
        </w:rPr>
        <w:t xml:space="preserve"> </w:t>
      </w:r>
      <w:r w:rsidR="002E35F1">
        <w:rPr>
          <w:szCs w:val="24"/>
        </w:rPr>
        <w:t xml:space="preserve">The </w:t>
      </w:r>
      <w:r w:rsidR="002E35F1" w:rsidRPr="000D0DC0">
        <w:rPr>
          <w:i/>
          <w:iCs/>
          <w:szCs w:val="24"/>
        </w:rPr>
        <w:t>Civil A</w:t>
      </w:r>
      <w:r w:rsidR="00B12BD0" w:rsidRPr="000D0DC0">
        <w:rPr>
          <w:i/>
          <w:iCs/>
          <w:szCs w:val="24"/>
        </w:rPr>
        <w:t xml:space="preserve">viation Safety Regulations </w:t>
      </w:r>
      <w:r w:rsidR="004659A1" w:rsidRPr="000D0DC0">
        <w:rPr>
          <w:i/>
          <w:iCs/>
          <w:szCs w:val="24"/>
        </w:rPr>
        <w:t>1998</w:t>
      </w:r>
      <w:r w:rsidR="00C45082">
        <w:rPr>
          <w:szCs w:val="24"/>
        </w:rPr>
        <w:t xml:space="preserve">, </w:t>
      </w:r>
      <w:r w:rsidR="00B12BD0">
        <w:rPr>
          <w:szCs w:val="24"/>
        </w:rPr>
        <w:t>and associated Manual of Standards</w:t>
      </w:r>
      <w:r w:rsidR="00C45082">
        <w:rPr>
          <w:szCs w:val="24"/>
        </w:rPr>
        <w:t>,</w:t>
      </w:r>
      <w:r w:rsidR="00F10738">
        <w:rPr>
          <w:szCs w:val="24"/>
        </w:rPr>
        <w:t xml:space="preserve"> </w:t>
      </w:r>
      <w:r w:rsidR="003D17CC">
        <w:rPr>
          <w:szCs w:val="24"/>
        </w:rPr>
        <w:t>establish</w:t>
      </w:r>
      <w:r w:rsidR="00F10738">
        <w:rPr>
          <w:szCs w:val="24"/>
        </w:rPr>
        <w:t xml:space="preserve"> these requirements</w:t>
      </w:r>
      <w:r w:rsidR="00F10738">
        <w:rPr>
          <w:rStyle w:val="FootnoteReference"/>
          <w:szCs w:val="24"/>
        </w:rPr>
        <w:footnoteReference w:id="12"/>
      </w:r>
      <w:r w:rsidR="003D17CC">
        <w:rPr>
          <w:szCs w:val="24"/>
        </w:rPr>
        <w:t xml:space="preserve"> (see section </w:t>
      </w:r>
      <w:r w:rsidR="0015048C">
        <w:rPr>
          <w:szCs w:val="24"/>
        </w:rPr>
        <w:t>2.3.</w:t>
      </w:r>
      <w:r w:rsidR="00A829AA">
        <w:rPr>
          <w:szCs w:val="24"/>
        </w:rPr>
        <w:t>9</w:t>
      </w:r>
      <w:r w:rsidR="0015048C">
        <w:rPr>
          <w:szCs w:val="24"/>
        </w:rPr>
        <w:t>)</w:t>
      </w:r>
      <w:r w:rsidR="00F10738">
        <w:rPr>
          <w:szCs w:val="24"/>
        </w:rPr>
        <w:t>.</w:t>
      </w:r>
    </w:p>
    <w:p w14:paraId="1FB018DF" w14:textId="52A0C443" w:rsidR="00042798" w:rsidRPr="002518AB" w:rsidRDefault="002537C8" w:rsidP="00F97402">
      <w:pPr>
        <w:pStyle w:val="BodyText10"/>
      </w:pPr>
      <w:r w:rsidRPr="00FD00F3">
        <w:rPr>
          <w:szCs w:val="24"/>
        </w:rPr>
        <w:t>Progress towards suitable alternatives for halon 1301 in engine nacelle/</w:t>
      </w:r>
      <w:r w:rsidR="00906CFB">
        <w:rPr>
          <w:szCs w:val="24"/>
        </w:rPr>
        <w:t>auxiliary power unit</w:t>
      </w:r>
      <w:r w:rsidRPr="00FD00F3">
        <w:rPr>
          <w:szCs w:val="24"/>
        </w:rPr>
        <w:t>s and cargo compartments has been slow</w:t>
      </w:r>
      <w:r w:rsidR="009607FC">
        <w:rPr>
          <w:szCs w:val="24"/>
        </w:rPr>
        <w:t>,</w:t>
      </w:r>
      <w:r w:rsidRPr="00FD00F3">
        <w:rPr>
          <w:szCs w:val="24"/>
        </w:rPr>
        <w:t xml:space="preserve"> and potential solutions are </w:t>
      </w:r>
      <w:r w:rsidR="00211394">
        <w:rPr>
          <w:szCs w:val="24"/>
        </w:rPr>
        <w:t xml:space="preserve">now </w:t>
      </w:r>
      <w:r w:rsidRPr="00FD00F3">
        <w:rPr>
          <w:szCs w:val="24"/>
        </w:rPr>
        <w:t>in an early pre-qualification phase.</w:t>
      </w:r>
    </w:p>
    <w:p w14:paraId="0F729A7A" w14:textId="04D8B371" w:rsidR="00071E45" w:rsidRDefault="004D72F3" w:rsidP="00F97402">
      <w:pPr>
        <w:pStyle w:val="BodyText10"/>
      </w:pPr>
      <w:r>
        <w:t>Halon a</w:t>
      </w:r>
      <w:r w:rsidR="00071E45" w:rsidRPr="00F97402">
        <w:t xml:space="preserve">lternatives are available for lavatory extinguisher bottles and handheld fire extinguishers. </w:t>
      </w:r>
      <w:r w:rsidR="003D3DB7">
        <w:t xml:space="preserve">The </w:t>
      </w:r>
      <w:r w:rsidR="00071E45">
        <w:t xml:space="preserve">International Civil Aviation Organization </w:t>
      </w:r>
      <w:r w:rsidR="00071E45" w:rsidRPr="00F97402">
        <w:t xml:space="preserve">has mandated installation of alternatives for airframes built and certified after </w:t>
      </w:r>
      <w:r w:rsidR="00071E45" w:rsidRPr="00F97402">
        <w:lastRenderedPageBreak/>
        <w:t>201</w:t>
      </w:r>
      <w:r w:rsidR="000A1254">
        <w:t>8</w:t>
      </w:r>
      <w:r w:rsidR="00CE50EE">
        <w:t xml:space="preserve"> (see section 2.3.6)</w:t>
      </w:r>
      <w:r w:rsidR="00071E45" w:rsidRPr="00F97402">
        <w:t xml:space="preserve">. </w:t>
      </w:r>
      <w:r w:rsidR="00C7037D">
        <w:t xml:space="preserve">There </w:t>
      </w:r>
      <w:r w:rsidR="00E35B4F">
        <w:t>are</w:t>
      </w:r>
      <w:r w:rsidR="00C7037D">
        <w:t xml:space="preserve"> no International Civil Aviation Organization</w:t>
      </w:r>
      <w:r w:rsidR="00961DC0">
        <w:t xml:space="preserve"> </w:t>
      </w:r>
      <w:r w:rsidR="008639BF">
        <w:t xml:space="preserve">or Australian </w:t>
      </w:r>
      <w:r w:rsidR="00961DC0">
        <w:t>requirement</w:t>
      </w:r>
      <w:r w:rsidR="00E35B4F">
        <w:t>s</w:t>
      </w:r>
      <w:r w:rsidR="00961DC0">
        <w:t xml:space="preserve"> for retrofit of existing aircraft;</w:t>
      </w:r>
      <w:r w:rsidR="00071E45" w:rsidRPr="00F97402">
        <w:t xml:space="preserve"> aircraft built prior to 201</w:t>
      </w:r>
      <w:r w:rsidR="00CA196D">
        <w:t>9</w:t>
      </w:r>
      <w:r w:rsidR="00071E45" w:rsidRPr="00F97402">
        <w:t xml:space="preserve"> may continue to use halon for both applications, even though alternative drop-in replacements are available. Installation of </w:t>
      </w:r>
      <w:r>
        <w:t xml:space="preserve">halon </w:t>
      </w:r>
      <w:r w:rsidR="00071E45" w:rsidRPr="00F97402">
        <w:t xml:space="preserve">alternatives for these older aircraft is not mandatory </w:t>
      </w:r>
      <w:r w:rsidR="00951759">
        <w:t xml:space="preserve">in Australia </w:t>
      </w:r>
      <w:r w:rsidR="00071E45" w:rsidRPr="00F97402">
        <w:t xml:space="preserve">and the uptake of alternatives </w:t>
      </w:r>
      <w:r w:rsidR="009911CD">
        <w:t xml:space="preserve">is </w:t>
      </w:r>
      <w:r w:rsidR="00071E45" w:rsidRPr="00F97402">
        <w:t>likely to depend on economic issues.</w:t>
      </w:r>
      <w:r w:rsidR="00B91A0E">
        <w:t xml:space="preserve"> </w:t>
      </w:r>
      <w:r w:rsidR="00AF5E2D">
        <w:t xml:space="preserve">The European Union </w:t>
      </w:r>
      <w:r w:rsidR="003A437A">
        <w:t>is</w:t>
      </w:r>
      <w:r w:rsidR="00AF5E2D">
        <w:t xml:space="preserve"> </w:t>
      </w:r>
      <w:r w:rsidR="004B28E6">
        <w:t xml:space="preserve">currently </w:t>
      </w:r>
      <w:r w:rsidR="00AF5E2D">
        <w:t xml:space="preserve">the only jurisdiction </w:t>
      </w:r>
      <w:r w:rsidR="003A437A">
        <w:t xml:space="preserve">that has mandated retrofit dates for halon replacements </w:t>
      </w:r>
      <w:r w:rsidR="00914697">
        <w:t>for</w:t>
      </w:r>
      <w:r w:rsidR="003A437A">
        <w:t xml:space="preserve"> existing </w:t>
      </w:r>
      <w:r w:rsidR="00645609">
        <w:t xml:space="preserve">older </w:t>
      </w:r>
      <w:r w:rsidR="003A437A">
        <w:t>aircraft</w:t>
      </w:r>
      <w:r w:rsidR="00914697">
        <w:t xml:space="preserve"> (see section 2.3.7).</w:t>
      </w:r>
    </w:p>
    <w:p w14:paraId="0BA62C1D" w14:textId="463A2DBF" w:rsidR="00E25A04" w:rsidRPr="002518AB" w:rsidRDefault="00A81911" w:rsidP="00F97402">
      <w:pPr>
        <w:pStyle w:val="BodyText10"/>
      </w:pPr>
      <w:r w:rsidRPr="002518AB">
        <w:t>The main</w:t>
      </w:r>
      <w:r w:rsidR="00D43B8D" w:rsidRPr="002518AB">
        <w:t xml:space="preserve"> </w:t>
      </w:r>
      <w:r w:rsidR="000B64C8" w:rsidRPr="002518AB">
        <w:t>application</w:t>
      </w:r>
      <w:r w:rsidR="00D43B8D" w:rsidRPr="002518AB">
        <w:t xml:space="preserve"> </w:t>
      </w:r>
      <w:r w:rsidR="00835F17" w:rsidRPr="002518AB">
        <w:t xml:space="preserve">in </w:t>
      </w:r>
      <w:r w:rsidR="00835F17" w:rsidRPr="002518AB">
        <w:rPr>
          <w:i/>
          <w:iCs/>
        </w:rPr>
        <w:t>small aircraft</w:t>
      </w:r>
      <w:r w:rsidR="00D43B8D" w:rsidRPr="002518AB">
        <w:t xml:space="preserve"> </w:t>
      </w:r>
      <w:r w:rsidR="00AA36F1">
        <w:t xml:space="preserve">will </w:t>
      </w:r>
      <w:r w:rsidR="00BF0CFD" w:rsidRPr="002518AB">
        <w:t xml:space="preserve">continue </w:t>
      </w:r>
      <w:r w:rsidR="00AA36F1">
        <w:t>to</w:t>
      </w:r>
      <w:r w:rsidR="00BF0CFD" w:rsidRPr="002518AB">
        <w:t xml:space="preserve"> be</w:t>
      </w:r>
      <w:r w:rsidR="00835F17" w:rsidRPr="002518AB">
        <w:t xml:space="preserve"> </w:t>
      </w:r>
      <w:r w:rsidR="00E078FA">
        <w:t xml:space="preserve">legacy </w:t>
      </w:r>
      <w:r w:rsidR="00D413F4" w:rsidRPr="002518AB">
        <w:t>handheld extinguishers</w:t>
      </w:r>
      <w:r w:rsidR="00075AD0" w:rsidRPr="002518AB">
        <w:t xml:space="preserve"> </w:t>
      </w:r>
      <w:r w:rsidR="00B76EA1" w:rsidRPr="002518AB">
        <w:t>containing halon 1211</w:t>
      </w:r>
      <w:r w:rsidR="00962FB9">
        <w:t>.</w:t>
      </w:r>
      <w:r w:rsidR="00471468" w:rsidRPr="002518AB">
        <w:t xml:space="preserve"> BTP </w:t>
      </w:r>
      <w:r w:rsidR="00995A42" w:rsidRPr="002518AB">
        <w:t xml:space="preserve">(2-bromotrifluoropropene) </w:t>
      </w:r>
      <w:r w:rsidR="00471468" w:rsidRPr="002518AB">
        <w:t xml:space="preserve">is </w:t>
      </w:r>
      <w:r w:rsidR="00AF5DA7" w:rsidRPr="002518AB">
        <w:t xml:space="preserve">an </w:t>
      </w:r>
      <w:r w:rsidR="00B12D42" w:rsidRPr="002518AB">
        <w:t xml:space="preserve">available </w:t>
      </w:r>
      <w:r w:rsidR="00B12D42">
        <w:t xml:space="preserve">and economic </w:t>
      </w:r>
      <w:r w:rsidR="00AF5DA7" w:rsidRPr="002518AB">
        <w:t xml:space="preserve">alternative that meets </w:t>
      </w:r>
      <w:r w:rsidR="00B6774A">
        <w:t xml:space="preserve">the </w:t>
      </w:r>
      <w:r w:rsidR="00C67B6A" w:rsidRPr="002518AB">
        <w:t>U</w:t>
      </w:r>
      <w:r w:rsidR="00B6774A">
        <w:t xml:space="preserve">nited </w:t>
      </w:r>
      <w:r w:rsidR="00C67B6A" w:rsidRPr="002518AB">
        <w:t>S</w:t>
      </w:r>
      <w:r w:rsidR="00B6774A">
        <w:t>tates’</w:t>
      </w:r>
      <w:r w:rsidR="00C67B6A" w:rsidRPr="002518AB">
        <w:t xml:space="preserve"> Federal Aviation Administration (FAA) Minimum Performance Standards (MPS)</w:t>
      </w:r>
      <w:r w:rsidR="00962FB9">
        <w:t xml:space="preserve"> and is a</w:t>
      </w:r>
      <w:r w:rsidR="009603F7">
        <w:t xml:space="preserve">lso on </w:t>
      </w:r>
      <w:r w:rsidR="00F636E0">
        <w:t>the Civil Aviation Safety Authority</w:t>
      </w:r>
      <w:r w:rsidR="009603F7">
        <w:t xml:space="preserve"> list of </w:t>
      </w:r>
      <w:r w:rsidR="00F636E0">
        <w:t xml:space="preserve">approved halocarbon agents to replace halon </w:t>
      </w:r>
      <w:r w:rsidR="00217496">
        <w:t xml:space="preserve">1211 </w:t>
      </w:r>
      <w:r w:rsidR="00F636E0">
        <w:t xml:space="preserve">in portable fire extinguishers </w:t>
      </w:r>
      <w:r w:rsidR="00217496">
        <w:t>in Australia (see section 2.3.3)</w:t>
      </w:r>
      <w:r w:rsidR="00C67B6A" w:rsidRPr="002518AB">
        <w:t>.</w:t>
      </w:r>
      <w:r w:rsidR="00F10700">
        <w:t xml:space="preserve"> </w:t>
      </w:r>
    </w:p>
    <w:p w14:paraId="0A73F6B2" w14:textId="4CBF5C8F" w:rsidR="00E0218C" w:rsidRDefault="006F4A33" w:rsidP="003768DB">
      <w:pPr>
        <w:pStyle w:val="BodyText10"/>
      </w:pPr>
      <w:r w:rsidRPr="00F97402">
        <w:t>For the remain</w:t>
      </w:r>
      <w:r w:rsidR="00683C5D" w:rsidRPr="00F97402">
        <w:t>ing two applications, r</w:t>
      </w:r>
      <w:r w:rsidR="004E6A02" w:rsidRPr="00F97402">
        <w:t xml:space="preserve">esearch into suitable </w:t>
      </w:r>
      <w:r w:rsidR="004D72F3">
        <w:t xml:space="preserve">halon </w:t>
      </w:r>
      <w:r w:rsidR="004E6A02" w:rsidRPr="00F97402">
        <w:t xml:space="preserve">alternatives </w:t>
      </w:r>
      <w:r w:rsidR="00664574" w:rsidRPr="00F97402">
        <w:t xml:space="preserve">for </w:t>
      </w:r>
      <w:r w:rsidR="00702CB6" w:rsidRPr="00F97402">
        <w:t>engines and auxiliary power units</w:t>
      </w:r>
      <w:r w:rsidR="004E6A02" w:rsidRPr="00F97402">
        <w:t xml:space="preserve"> </w:t>
      </w:r>
      <w:r w:rsidRPr="00F97402">
        <w:t xml:space="preserve">and </w:t>
      </w:r>
      <w:r w:rsidR="00DE3B32" w:rsidRPr="00F97402">
        <w:t xml:space="preserve">cargo compartments </w:t>
      </w:r>
      <w:r w:rsidR="004E6A02" w:rsidRPr="00F97402">
        <w:t xml:space="preserve">commenced at least </w:t>
      </w:r>
      <w:r w:rsidR="00594E09" w:rsidRPr="00F97402">
        <w:t>2</w:t>
      </w:r>
      <w:r w:rsidR="00AB2FDC" w:rsidRPr="00F97402">
        <w:t>5</w:t>
      </w:r>
      <w:r w:rsidR="004E6A02" w:rsidRPr="00F97402">
        <w:t xml:space="preserve"> years ago, but </w:t>
      </w:r>
      <w:r w:rsidRPr="00F97402">
        <w:t xml:space="preserve">candidate systems </w:t>
      </w:r>
      <w:r w:rsidR="004E6A02" w:rsidRPr="00F97402">
        <w:t>have struggled to meet all civil aviation industry requirements.</w:t>
      </w:r>
      <w:r w:rsidR="009B3070">
        <w:t xml:space="preserve"> In more recent years</w:t>
      </w:r>
      <w:r w:rsidR="00AB3BE3">
        <w:t xml:space="preserve">, </w:t>
      </w:r>
      <w:r w:rsidR="002E6D6E">
        <w:t>the International Civil Aviation Organization</w:t>
      </w:r>
      <w:r w:rsidR="00AB3BE3">
        <w:t xml:space="preserve"> ha</w:t>
      </w:r>
      <w:r w:rsidR="003D3DB7">
        <w:t>s</w:t>
      </w:r>
      <w:r w:rsidR="00AB3BE3">
        <w:t xml:space="preserve"> inaugurated </w:t>
      </w:r>
      <w:r w:rsidR="00952D5E">
        <w:t xml:space="preserve">consortia dedicated to accelerating the </w:t>
      </w:r>
      <w:r w:rsidR="003C280B">
        <w:t>search for alternatives</w:t>
      </w:r>
      <w:r w:rsidR="003F6C79">
        <w:t xml:space="preserve"> to halons</w:t>
      </w:r>
      <w:r w:rsidR="00DC71F1">
        <w:t xml:space="preserve"> (see sections 2.3.4 and 2.3.5)</w:t>
      </w:r>
      <w:r w:rsidR="003C280B">
        <w:t>.</w:t>
      </w:r>
    </w:p>
    <w:p w14:paraId="6BC5CCBD" w14:textId="3CE0A0B3" w:rsidR="00C53CE5" w:rsidRPr="00096838" w:rsidRDefault="001E43E7" w:rsidP="00324056">
      <w:pPr>
        <w:pStyle w:val="Heading2"/>
        <w:rPr>
          <w:szCs w:val="20"/>
        </w:rPr>
      </w:pPr>
      <w:bookmarkStart w:id="15" w:name="_Toc24725617"/>
      <w:bookmarkStart w:id="16" w:name="_Toc38190323"/>
      <w:r>
        <w:t>Status of Halon Alternatives</w:t>
      </w:r>
      <w:r w:rsidR="00C53CE5" w:rsidRPr="00FD00F3">
        <w:t xml:space="preserve"> in </w:t>
      </w:r>
      <w:r>
        <w:t xml:space="preserve">Civil </w:t>
      </w:r>
      <w:r w:rsidR="00E105B1">
        <w:t xml:space="preserve">Aviation </w:t>
      </w:r>
      <w:r w:rsidR="00C53CE5" w:rsidRPr="00FD00F3">
        <w:t>Use</w:t>
      </w:r>
      <w:bookmarkEnd w:id="15"/>
      <w:r w:rsidR="00E105B1">
        <w:t>s</w:t>
      </w:r>
      <w:bookmarkEnd w:id="16"/>
    </w:p>
    <w:p w14:paraId="3F1EB0DE" w14:textId="4D50123B" w:rsidR="00C53CE5" w:rsidRPr="00FD00F3" w:rsidRDefault="00C53CE5" w:rsidP="00C53CE5">
      <w:pPr>
        <w:pStyle w:val="BodyText10"/>
        <w:rPr>
          <w:szCs w:val="24"/>
        </w:rPr>
      </w:pPr>
      <w:r w:rsidRPr="00FD00F3">
        <w:rPr>
          <w:szCs w:val="24"/>
        </w:rPr>
        <w:t>This section provides the current status of progress towards halon alternatives that have been identified, tested, proposed</w:t>
      </w:r>
      <w:r w:rsidR="00C02E7C">
        <w:rPr>
          <w:szCs w:val="24"/>
        </w:rPr>
        <w:t>,</w:t>
      </w:r>
      <w:r w:rsidRPr="00FD00F3">
        <w:rPr>
          <w:szCs w:val="24"/>
        </w:rPr>
        <w:t xml:space="preserve"> or introduced for civil aviation uses.</w:t>
      </w:r>
      <w:r w:rsidR="00F10700">
        <w:rPr>
          <w:szCs w:val="24"/>
        </w:rPr>
        <w:t xml:space="preserve"> </w:t>
      </w:r>
    </w:p>
    <w:p w14:paraId="58293C6E" w14:textId="1255C086" w:rsidR="00C53CE5" w:rsidRPr="00FD00F3" w:rsidRDefault="00C53CE5" w:rsidP="00C53CE5">
      <w:pPr>
        <w:pStyle w:val="BodyText10"/>
        <w:rPr>
          <w:szCs w:val="24"/>
        </w:rPr>
      </w:pPr>
      <w:r w:rsidRPr="00FD00F3">
        <w:rPr>
          <w:szCs w:val="24"/>
        </w:rPr>
        <w:t>Technically acceptable halon alternatives have been identified for two of the four civil aviation application areas, notably lavex and handheld extinguishers.</w:t>
      </w:r>
      <w:r w:rsidR="00F10700">
        <w:rPr>
          <w:szCs w:val="24"/>
        </w:rPr>
        <w:t xml:space="preserve"> </w:t>
      </w:r>
      <w:r w:rsidRPr="00FD00F3">
        <w:rPr>
          <w:szCs w:val="24"/>
        </w:rPr>
        <w:t>However, commercial development of alternative fire suppression system</w:t>
      </w:r>
      <w:r w:rsidR="00D43F78">
        <w:rPr>
          <w:szCs w:val="24"/>
        </w:rPr>
        <w:t>s</w:t>
      </w:r>
      <w:r w:rsidRPr="00FD00F3">
        <w:rPr>
          <w:szCs w:val="24"/>
        </w:rPr>
        <w:t xml:space="preserve"> for cargo compartments and engine nacelle and </w:t>
      </w:r>
      <w:r w:rsidR="00906CFB">
        <w:rPr>
          <w:szCs w:val="24"/>
        </w:rPr>
        <w:t>auxiliary power unit</w:t>
      </w:r>
      <w:r w:rsidR="00D87695">
        <w:rPr>
          <w:szCs w:val="24"/>
        </w:rPr>
        <w:t>s</w:t>
      </w:r>
      <w:r w:rsidRPr="00FD00F3">
        <w:rPr>
          <w:szCs w:val="24"/>
        </w:rPr>
        <w:t xml:space="preserve"> is still progressing slowly.</w:t>
      </w:r>
      <w:r w:rsidR="00F10700">
        <w:rPr>
          <w:szCs w:val="24"/>
        </w:rPr>
        <w:t xml:space="preserve"> </w:t>
      </w:r>
    </w:p>
    <w:p w14:paraId="3D5CC44D" w14:textId="0CD93AC8" w:rsidR="00C53CE5" w:rsidRPr="00FD00F3" w:rsidRDefault="002B3DC6" w:rsidP="00C53CE5">
      <w:pPr>
        <w:pStyle w:val="BodyText10"/>
        <w:rPr>
          <w:szCs w:val="24"/>
        </w:rPr>
      </w:pPr>
      <w:r w:rsidRPr="002B3DC6">
        <w:rPr>
          <w:szCs w:val="24"/>
        </w:rPr>
        <w:t>The International Civil Aviation Organization</w:t>
      </w:r>
      <w:r w:rsidR="00956017">
        <w:rPr>
          <w:szCs w:val="24"/>
        </w:rPr>
        <w:t xml:space="preserve"> </w:t>
      </w:r>
      <w:r w:rsidR="00C53CE5" w:rsidRPr="00FD00F3">
        <w:rPr>
          <w:szCs w:val="24"/>
        </w:rPr>
        <w:t>ha</w:t>
      </w:r>
      <w:r>
        <w:rPr>
          <w:szCs w:val="24"/>
        </w:rPr>
        <w:t>s</w:t>
      </w:r>
      <w:r w:rsidR="00C53CE5" w:rsidRPr="00FD00F3">
        <w:rPr>
          <w:szCs w:val="24"/>
        </w:rPr>
        <w:t xml:space="preserve"> declared timeframes for the implementation of alternative agent systems in newly manufactured aircraft and new airframe designs. </w:t>
      </w:r>
      <w:r w:rsidR="00F61E1B">
        <w:rPr>
          <w:szCs w:val="24"/>
        </w:rPr>
        <w:t xml:space="preserve">Regional and national aviation authorities </w:t>
      </w:r>
      <w:r w:rsidR="00173513">
        <w:rPr>
          <w:szCs w:val="24"/>
        </w:rPr>
        <w:t>are considering implementation of these</w:t>
      </w:r>
      <w:r w:rsidR="00477F1D">
        <w:rPr>
          <w:szCs w:val="24"/>
        </w:rPr>
        <w:t xml:space="preserve"> timeframes</w:t>
      </w:r>
      <w:r w:rsidR="00E728E3">
        <w:rPr>
          <w:szCs w:val="24"/>
        </w:rPr>
        <w:t xml:space="preserve"> within their jurisdictions or have already established </w:t>
      </w:r>
      <w:r w:rsidR="00C44E52">
        <w:rPr>
          <w:szCs w:val="24"/>
        </w:rPr>
        <w:t>timeframes (see sections 2.3.6, 2.3.7</w:t>
      </w:r>
      <w:r w:rsidR="00A829AA">
        <w:rPr>
          <w:szCs w:val="24"/>
        </w:rPr>
        <w:t>, 2.3.8)</w:t>
      </w:r>
      <w:r w:rsidR="00477F1D">
        <w:rPr>
          <w:szCs w:val="24"/>
        </w:rPr>
        <w:t>.</w:t>
      </w:r>
      <w:r w:rsidR="00C53CE5" w:rsidRPr="00FD00F3">
        <w:rPr>
          <w:szCs w:val="24"/>
        </w:rPr>
        <w:t xml:space="preserve"> </w:t>
      </w:r>
    </w:p>
    <w:p w14:paraId="761BF110" w14:textId="01F305B3" w:rsidR="00C53CE5" w:rsidRPr="00FD00F3" w:rsidRDefault="00C53CE5" w:rsidP="00C53CE5">
      <w:pPr>
        <w:pStyle w:val="BodyText10"/>
        <w:rPr>
          <w:szCs w:val="24"/>
        </w:rPr>
      </w:pPr>
      <w:r w:rsidRPr="00FD00F3">
        <w:rPr>
          <w:szCs w:val="24"/>
        </w:rPr>
        <w:t>In the case of handheld extinguishers and lavex</w:t>
      </w:r>
      <w:r w:rsidR="00C0774F">
        <w:rPr>
          <w:szCs w:val="24"/>
        </w:rPr>
        <w:t>,</w:t>
      </w:r>
      <w:r w:rsidRPr="00FD00F3">
        <w:rPr>
          <w:szCs w:val="24"/>
        </w:rPr>
        <w:t xml:space="preserve"> implementation of </w:t>
      </w:r>
      <w:r w:rsidR="003F6C79">
        <w:rPr>
          <w:szCs w:val="24"/>
        </w:rPr>
        <w:t xml:space="preserve">halon </w:t>
      </w:r>
      <w:r w:rsidRPr="00FD00F3">
        <w:rPr>
          <w:szCs w:val="24"/>
        </w:rPr>
        <w:t xml:space="preserve">alternatives has begun. However, for the replacement of </w:t>
      </w:r>
      <w:r w:rsidR="00C15C17">
        <w:rPr>
          <w:szCs w:val="24"/>
        </w:rPr>
        <w:t xml:space="preserve">halon in </w:t>
      </w:r>
      <w:r w:rsidRPr="00FD00F3">
        <w:rPr>
          <w:szCs w:val="24"/>
        </w:rPr>
        <w:t>cargo and engine nacelle/</w:t>
      </w:r>
      <w:r w:rsidR="00906CFB">
        <w:rPr>
          <w:szCs w:val="24"/>
        </w:rPr>
        <w:t>auxiliary power unit</w:t>
      </w:r>
      <w:r w:rsidR="00D87695">
        <w:rPr>
          <w:szCs w:val="24"/>
        </w:rPr>
        <w:t>s</w:t>
      </w:r>
      <w:r w:rsidR="00C15C17">
        <w:rPr>
          <w:szCs w:val="24"/>
        </w:rPr>
        <w:t>,</w:t>
      </w:r>
      <w:r w:rsidRPr="00FD00F3">
        <w:rPr>
          <w:szCs w:val="24"/>
        </w:rPr>
        <w:t xml:space="preserve"> there is still uncertainty about the ability to </w:t>
      </w:r>
      <w:r w:rsidR="003E658C">
        <w:rPr>
          <w:szCs w:val="24"/>
        </w:rPr>
        <w:t>overcome</w:t>
      </w:r>
      <w:r w:rsidRPr="00FD00F3">
        <w:rPr>
          <w:szCs w:val="24"/>
        </w:rPr>
        <w:t xml:space="preserve"> the technical challenges of implementing effective, efficient and safe alternatives to halon in these two areas of aviation fire </w:t>
      </w:r>
      <w:r w:rsidRPr="00FD00F3">
        <w:rPr>
          <w:szCs w:val="24"/>
        </w:rPr>
        <w:lastRenderedPageBreak/>
        <w:t>suppression.</w:t>
      </w:r>
      <w:r w:rsidR="00CA18D1">
        <w:rPr>
          <w:szCs w:val="24"/>
        </w:rPr>
        <w:t xml:space="preserve"> </w:t>
      </w:r>
      <w:r w:rsidR="006A606F">
        <w:rPr>
          <w:szCs w:val="24"/>
        </w:rPr>
        <w:t xml:space="preserve">Potential challenges for any new technology </w:t>
      </w:r>
      <w:r w:rsidR="008231D5">
        <w:rPr>
          <w:szCs w:val="24"/>
        </w:rPr>
        <w:t>to gain acceptance</w:t>
      </w:r>
      <w:r w:rsidR="006A606F">
        <w:rPr>
          <w:szCs w:val="24"/>
        </w:rPr>
        <w:t xml:space="preserve"> include </w:t>
      </w:r>
      <w:r w:rsidR="00E25649">
        <w:rPr>
          <w:szCs w:val="24"/>
        </w:rPr>
        <w:t xml:space="preserve">the ability to meet fire </w:t>
      </w:r>
      <w:r w:rsidR="00CE6546">
        <w:rPr>
          <w:szCs w:val="24"/>
        </w:rPr>
        <w:t>standards and pass prescribed extinguishant tests</w:t>
      </w:r>
      <w:r w:rsidR="004A6B4C">
        <w:rPr>
          <w:szCs w:val="24"/>
        </w:rPr>
        <w:t xml:space="preserve">, </w:t>
      </w:r>
      <w:r w:rsidR="00B02BE8">
        <w:rPr>
          <w:szCs w:val="24"/>
        </w:rPr>
        <w:t xml:space="preserve">increased </w:t>
      </w:r>
      <w:r w:rsidR="004A6B4C">
        <w:rPr>
          <w:szCs w:val="24"/>
        </w:rPr>
        <w:t xml:space="preserve">weight </w:t>
      </w:r>
      <w:r w:rsidR="004245FD">
        <w:rPr>
          <w:szCs w:val="24"/>
        </w:rPr>
        <w:t>and size considerations</w:t>
      </w:r>
      <w:r w:rsidR="00B02BE8">
        <w:rPr>
          <w:szCs w:val="24"/>
        </w:rPr>
        <w:t>,</w:t>
      </w:r>
      <w:r w:rsidR="00FE643A">
        <w:rPr>
          <w:szCs w:val="24"/>
        </w:rPr>
        <w:t xml:space="preserve"> </w:t>
      </w:r>
      <w:r w:rsidR="00F02131">
        <w:rPr>
          <w:szCs w:val="24"/>
        </w:rPr>
        <w:t>toxicity</w:t>
      </w:r>
      <w:r w:rsidR="00A43323">
        <w:rPr>
          <w:szCs w:val="24"/>
        </w:rPr>
        <w:t xml:space="preserve"> </w:t>
      </w:r>
      <w:r w:rsidR="00DF53F7">
        <w:rPr>
          <w:szCs w:val="24"/>
        </w:rPr>
        <w:t>(</w:t>
      </w:r>
      <w:r w:rsidR="005C72BE">
        <w:rPr>
          <w:szCs w:val="24"/>
        </w:rPr>
        <w:t xml:space="preserve">low toxicity </w:t>
      </w:r>
      <w:r w:rsidR="005C17F0">
        <w:rPr>
          <w:szCs w:val="24"/>
        </w:rPr>
        <w:t xml:space="preserve">at effective </w:t>
      </w:r>
      <w:r w:rsidR="00103E23">
        <w:rPr>
          <w:szCs w:val="24"/>
        </w:rPr>
        <w:t>fire suppression</w:t>
      </w:r>
      <w:r w:rsidR="008912C4">
        <w:rPr>
          <w:szCs w:val="24"/>
        </w:rPr>
        <w:t xml:space="preserve"> concentration</w:t>
      </w:r>
      <w:r w:rsidR="005C72BE">
        <w:rPr>
          <w:szCs w:val="24"/>
        </w:rPr>
        <w:t>)</w:t>
      </w:r>
      <w:r w:rsidR="00A43323">
        <w:rPr>
          <w:szCs w:val="24"/>
        </w:rPr>
        <w:t xml:space="preserve"> and safety</w:t>
      </w:r>
      <w:r w:rsidR="001D1967">
        <w:rPr>
          <w:szCs w:val="24"/>
        </w:rPr>
        <w:t xml:space="preserve"> </w:t>
      </w:r>
      <w:r w:rsidR="00BC4F61">
        <w:rPr>
          <w:szCs w:val="24"/>
        </w:rPr>
        <w:t>requirements</w:t>
      </w:r>
      <w:r w:rsidR="00E15841">
        <w:rPr>
          <w:szCs w:val="24"/>
        </w:rPr>
        <w:t xml:space="preserve"> (e.g. </w:t>
      </w:r>
      <w:r w:rsidR="00CB6171">
        <w:rPr>
          <w:szCs w:val="24"/>
        </w:rPr>
        <w:t>acceptable airframe</w:t>
      </w:r>
      <w:r w:rsidR="000871D0">
        <w:rPr>
          <w:szCs w:val="24"/>
        </w:rPr>
        <w:t xml:space="preserve"> pressure increase, </w:t>
      </w:r>
      <w:r w:rsidR="0032664F">
        <w:rPr>
          <w:szCs w:val="24"/>
        </w:rPr>
        <w:t xml:space="preserve">no decreased visibility, </w:t>
      </w:r>
      <w:r w:rsidR="006627C8">
        <w:rPr>
          <w:szCs w:val="24"/>
        </w:rPr>
        <w:t xml:space="preserve">minimal residue that </w:t>
      </w:r>
      <w:r w:rsidR="004C7929">
        <w:rPr>
          <w:szCs w:val="24"/>
        </w:rPr>
        <w:t>could lead to electrical malfunction</w:t>
      </w:r>
      <w:r w:rsidR="00001333">
        <w:rPr>
          <w:szCs w:val="24"/>
        </w:rPr>
        <w:t xml:space="preserve"> or corrosion)</w:t>
      </w:r>
      <w:r w:rsidR="00F750D6">
        <w:rPr>
          <w:szCs w:val="24"/>
        </w:rPr>
        <w:t>.</w:t>
      </w:r>
      <w:r w:rsidR="00FB3AB7">
        <w:rPr>
          <w:szCs w:val="24"/>
        </w:rPr>
        <w:t xml:space="preserve"> </w:t>
      </w:r>
      <w:r w:rsidR="00477F6C">
        <w:rPr>
          <w:szCs w:val="24"/>
        </w:rPr>
        <w:t xml:space="preserve">Some </w:t>
      </w:r>
      <w:r w:rsidR="000E4CE9">
        <w:rPr>
          <w:szCs w:val="24"/>
        </w:rPr>
        <w:t>potential</w:t>
      </w:r>
      <w:r w:rsidR="00477F6C">
        <w:rPr>
          <w:szCs w:val="24"/>
        </w:rPr>
        <w:t xml:space="preserve"> candidates</w:t>
      </w:r>
      <w:r w:rsidR="00527F3D">
        <w:rPr>
          <w:szCs w:val="24"/>
        </w:rPr>
        <w:t>,</w:t>
      </w:r>
      <w:r w:rsidR="00477F6C">
        <w:rPr>
          <w:szCs w:val="24"/>
        </w:rPr>
        <w:t xml:space="preserve"> </w:t>
      </w:r>
      <w:r w:rsidR="004C05CE">
        <w:rPr>
          <w:szCs w:val="24"/>
        </w:rPr>
        <w:t xml:space="preserve">such as </w:t>
      </w:r>
      <w:r w:rsidR="00D643C7">
        <w:rPr>
          <w:szCs w:val="24"/>
        </w:rPr>
        <w:t>HFCs</w:t>
      </w:r>
      <w:r w:rsidR="00527F3D">
        <w:rPr>
          <w:szCs w:val="24"/>
        </w:rPr>
        <w:t>,</w:t>
      </w:r>
      <w:r w:rsidR="004C05CE">
        <w:rPr>
          <w:szCs w:val="24"/>
        </w:rPr>
        <w:t xml:space="preserve"> </w:t>
      </w:r>
      <w:r w:rsidR="00477F6C">
        <w:rPr>
          <w:szCs w:val="24"/>
        </w:rPr>
        <w:t>may also be subject to phase down</w:t>
      </w:r>
      <w:r w:rsidR="00FA02D4">
        <w:rPr>
          <w:szCs w:val="24"/>
        </w:rPr>
        <w:t>.</w:t>
      </w:r>
    </w:p>
    <w:p w14:paraId="71CFEA9D" w14:textId="48DBCB66" w:rsidR="00915AF8" w:rsidRDefault="00C53CE5" w:rsidP="00C53CE5">
      <w:pPr>
        <w:pStyle w:val="BodyText10"/>
        <w:rPr>
          <w:szCs w:val="24"/>
        </w:rPr>
      </w:pPr>
      <w:r w:rsidRPr="00FD00F3">
        <w:rPr>
          <w:szCs w:val="24"/>
        </w:rPr>
        <w:t xml:space="preserve">When considering how implementation </w:t>
      </w:r>
      <w:r w:rsidR="00393773">
        <w:rPr>
          <w:szCs w:val="24"/>
        </w:rPr>
        <w:t xml:space="preserve">of halon replacements for these two applications </w:t>
      </w:r>
      <w:r w:rsidRPr="00FD00F3">
        <w:rPr>
          <w:szCs w:val="24"/>
        </w:rPr>
        <w:t xml:space="preserve">might </w:t>
      </w:r>
      <w:r w:rsidR="00A453F3">
        <w:rPr>
          <w:szCs w:val="24"/>
        </w:rPr>
        <w:t>a</w:t>
      </w:r>
      <w:r w:rsidRPr="00FD00F3">
        <w:rPr>
          <w:szCs w:val="24"/>
        </w:rPr>
        <w:t>ffect future halon use</w:t>
      </w:r>
      <w:r w:rsidR="00393773">
        <w:rPr>
          <w:szCs w:val="24"/>
        </w:rPr>
        <w:t>,</w:t>
      </w:r>
      <w:r w:rsidRPr="00FD00F3">
        <w:rPr>
          <w:szCs w:val="24"/>
        </w:rPr>
        <w:t xml:space="preserve"> it is </w:t>
      </w:r>
      <w:r w:rsidR="003E03E6">
        <w:rPr>
          <w:szCs w:val="24"/>
        </w:rPr>
        <w:t>important</w:t>
      </w:r>
      <w:r w:rsidRPr="00FD00F3">
        <w:rPr>
          <w:szCs w:val="24"/>
        </w:rPr>
        <w:t xml:space="preserve"> to </w:t>
      </w:r>
      <w:r w:rsidR="00CE1854">
        <w:rPr>
          <w:szCs w:val="24"/>
        </w:rPr>
        <w:t>note</w:t>
      </w:r>
      <w:r w:rsidRPr="00FD00F3">
        <w:rPr>
          <w:szCs w:val="24"/>
        </w:rPr>
        <w:t xml:space="preserve"> the relative size of the applications with regard to installed halon.</w:t>
      </w:r>
      <w:r w:rsidR="00F10700">
        <w:rPr>
          <w:szCs w:val="24"/>
        </w:rPr>
        <w:t xml:space="preserve"> </w:t>
      </w:r>
    </w:p>
    <w:p w14:paraId="7FCFA321" w14:textId="11F00854" w:rsidR="00C53CE5" w:rsidRPr="00460B3E" w:rsidRDefault="00F22E5B" w:rsidP="001B3A85">
      <w:pPr>
        <w:pStyle w:val="BodyText10"/>
        <w:rPr>
          <w:szCs w:val="24"/>
        </w:rPr>
      </w:pPr>
      <w:r>
        <w:rPr>
          <w:szCs w:val="24"/>
        </w:rPr>
        <w:t>H</w:t>
      </w:r>
      <w:r w:rsidR="0080446B">
        <w:rPr>
          <w:szCs w:val="24"/>
        </w:rPr>
        <w:t>andheld exti</w:t>
      </w:r>
      <w:r w:rsidR="00E77850">
        <w:rPr>
          <w:szCs w:val="24"/>
        </w:rPr>
        <w:t>nguishers</w:t>
      </w:r>
      <w:r w:rsidR="00810E6C">
        <w:rPr>
          <w:szCs w:val="24"/>
        </w:rPr>
        <w:t xml:space="preserve"> </w:t>
      </w:r>
      <w:r w:rsidR="006307BD">
        <w:rPr>
          <w:szCs w:val="24"/>
        </w:rPr>
        <w:t>may encompass</w:t>
      </w:r>
      <w:r w:rsidR="00235945">
        <w:rPr>
          <w:szCs w:val="24"/>
        </w:rPr>
        <w:t xml:space="preserve"> the majority of installed</w:t>
      </w:r>
      <w:r w:rsidR="00F4636A">
        <w:rPr>
          <w:szCs w:val="24"/>
        </w:rPr>
        <w:t xml:space="preserve"> halon</w:t>
      </w:r>
      <w:r w:rsidR="0084736B">
        <w:rPr>
          <w:szCs w:val="24"/>
        </w:rPr>
        <w:t xml:space="preserve"> </w:t>
      </w:r>
      <w:r>
        <w:rPr>
          <w:szCs w:val="24"/>
        </w:rPr>
        <w:t>in small aircraft</w:t>
      </w:r>
      <w:r w:rsidR="005C20E0">
        <w:rPr>
          <w:szCs w:val="24"/>
        </w:rPr>
        <w:t>.</w:t>
      </w:r>
      <w:r w:rsidR="00F10700">
        <w:rPr>
          <w:szCs w:val="24"/>
        </w:rPr>
        <w:t xml:space="preserve"> </w:t>
      </w:r>
      <w:r w:rsidR="005C20E0">
        <w:rPr>
          <w:szCs w:val="24"/>
        </w:rPr>
        <w:t>However, i</w:t>
      </w:r>
      <w:r w:rsidR="00C53CE5" w:rsidRPr="00FD00F3">
        <w:rPr>
          <w:szCs w:val="24"/>
        </w:rPr>
        <w:t>n narrow body mainline aircraft, cargo and engine/</w:t>
      </w:r>
      <w:r w:rsidR="00906CFB">
        <w:rPr>
          <w:szCs w:val="24"/>
        </w:rPr>
        <w:t>auxiliary power unit</w:t>
      </w:r>
      <w:r w:rsidR="00D87695">
        <w:rPr>
          <w:szCs w:val="24"/>
        </w:rPr>
        <w:t>s</w:t>
      </w:r>
      <w:r w:rsidR="00C53CE5" w:rsidRPr="00FD00F3">
        <w:rPr>
          <w:szCs w:val="24"/>
        </w:rPr>
        <w:t xml:space="preserve"> </w:t>
      </w:r>
      <w:r w:rsidR="00C02640">
        <w:rPr>
          <w:szCs w:val="24"/>
        </w:rPr>
        <w:t xml:space="preserve">combined </w:t>
      </w:r>
      <w:r w:rsidR="00C53CE5" w:rsidRPr="00FD00F3">
        <w:rPr>
          <w:szCs w:val="24"/>
        </w:rPr>
        <w:t xml:space="preserve">can require </w:t>
      </w:r>
      <w:r w:rsidR="00CC0D78">
        <w:rPr>
          <w:szCs w:val="24"/>
        </w:rPr>
        <w:t>between</w:t>
      </w:r>
      <w:r w:rsidR="00C53CE5" w:rsidRPr="00FD00F3">
        <w:rPr>
          <w:szCs w:val="24"/>
        </w:rPr>
        <w:t xml:space="preserve"> </w:t>
      </w:r>
      <w:r w:rsidR="00712D19">
        <w:rPr>
          <w:szCs w:val="24"/>
        </w:rPr>
        <w:t>4</w:t>
      </w:r>
      <w:r w:rsidR="00712D19" w:rsidRPr="00FD00F3">
        <w:rPr>
          <w:szCs w:val="24"/>
        </w:rPr>
        <w:t xml:space="preserve">0 </w:t>
      </w:r>
      <w:r w:rsidR="00CC0D78">
        <w:rPr>
          <w:szCs w:val="24"/>
        </w:rPr>
        <w:t>and</w:t>
      </w:r>
      <w:r w:rsidR="00C53CE5" w:rsidRPr="00FD00F3">
        <w:rPr>
          <w:szCs w:val="24"/>
        </w:rPr>
        <w:t xml:space="preserve"> 90 kg of halon 1301 onboard</w:t>
      </w:r>
      <w:r w:rsidR="00CC0D78">
        <w:rPr>
          <w:szCs w:val="24"/>
        </w:rPr>
        <w:t>,</w:t>
      </w:r>
      <w:r w:rsidR="00C53CE5" w:rsidRPr="00FD00F3">
        <w:rPr>
          <w:szCs w:val="24"/>
        </w:rPr>
        <w:t xml:space="preserve"> as compared to less than 0.5 kg of </w:t>
      </w:r>
      <w:r w:rsidR="00CC0D78">
        <w:rPr>
          <w:szCs w:val="24"/>
        </w:rPr>
        <w:t xml:space="preserve">halon </w:t>
      </w:r>
      <w:r w:rsidR="00C53CE5" w:rsidRPr="00FD00F3">
        <w:rPr>
          <w:szCs w:val="24"/>
        </w:rPr>
        <w:t xml:space="preserve">1301 in lavex and perhaps </w:t>
      </w:r>
      <w:r w:rsidR="00CD326F">
        <w:rPr>
          <w:szCs w:val="24"/>
        </w:rPr>
        <w:t>7.</w:t>
      </w:r>
      <w:r w:rsidR="00C53CE5" w:rsidRPr="00FD00F3">
        <w:rPr>
          <w:szCs w:val="24"/>
        </w:rPr>
        <w:t>5</w:t>
      </w:r>
      <w:r w:rsidR="001E4F2A">
        <w:rPr>
          <w:szCs w:val="24"/>
        </w:rPr>
        <w:t> </w:t>
      </w:r>
      <w:r w:rsidR="00C53CE5" w:rsidRPr="00FD00F3">
        <w:rPr>
          <w:szCs w:val="24"/>
        </w:rPr>
        <w:t xml:space="preserve">kg of </w:t>
      </w:r>
      <w:r w:rsidR="0053080A">
        <w:rPr>
          <w:szCs w:val="24"/>
        </w:rPr>
        <w:t xml:space="preserve">halon </w:t>
      </w:r>
      <w:r w:rsidR="00C53CE5" w:rsidRPr="00FD00F3">
        <w:rPr>
          <w:szCs w:val="24"/>
        </w:rPr>
        <w:t>1211 in handheld fire extinguishers. For mainline wide-bodied and long-range aircraft, cargo and engine/</w:t>
      </w:r>
      <w:r w:rsidR="00906CFB">
        <w:rPr>
          <w:szCs w:val="24"/>
        </w:rPr>
        <w:t>auxiliary power unit</w:t>
      </w:r>
      <w:r w:rsidR="00D87695">
        <w:rPr>
          <w:szCs w:val="24"/>
        </w:rPr>
        <w:t>s</w:t>
      </w:r>
      <w:r w:rsidR="00C53CE5" w:rsidRPr="00FD00F3">
        <w:rPr>
          <w:szCs w:val="24"/>
        </w:rPr>
        <w:t xml:space="preserve"> </w:t>
      </w:r>
      <w:r w:rsidR="00C02640">
        <w:rPr>
          <w:szCs w:val="24"/>
        </w:rPr>
        <w:t xml:space="preserve">combined </w:t>
      </w:r>
      <w:r w:rsidR="00C53CE5" w:rsidRPr="00FD00F3">
        <w:rPr>
          <w:szCs w:val="24"/>
        </w:rPr>
        <w:t xml:space="preserve">can require </w:t>
      </w:r>
      <w:r w:rsidR="004028DD">
        <w:rPr>
          <w:szCs w:val="24"/>
        </w:rPr>
        <w:t>more than</w:t>
      </w:r>
      <w:r w:rsidR="004028DD" w:rsidRPr="00FD00F3">
        <w:rPr>
          <w:szCs w:val="24"/>
        </w:rPr>
        <w:t xml:space="preserve"> </w:t>
      </w:r>
      <w:r w:rsidR="00C53CE5" w:rsidRPr="00FD00F3">
        <w:rPr>
          <w:szCs w:val="24"/>
        </w:rPr>
        <w:t>2</w:t>
      </w:r>
      <w:r w:rsidR="004028DD">
        <w:rPr>
          <w:szCs w:val="24"/>
        </w:rPr>
        <w:t>5</w:t>
      </w:r>
      <w:r w:rsidR="00C53CE5" w:rsidRPr="00FD00F3">
        <w:rPr>
          <w:szCs w:val="24"/>
        </w:rPr>
        <w:t xml:space="preserve">0 kg of </w:t>
      </w:r>
      <w:r w:rsidR="00C02640">
        <w:rPr>
          <w:szCs w:val="24"/>
        </w:rPr>
        <w:t xml:space="preserve">halon </w:t>
      </w:r>
      <w:r w:rsidR="00C53CE5" w:rsidRPr="00FD00F3">
        <w:rPr>
          <w:szCs w:val="24"/>
        </w:rPr>
        <w:t>1301</w:t>
      </w:r>
      <w:r w:rsidR="00C02640">
        <w:rPr>
          <w:szCs w:val="24"/>
        </w:rPr>
        <w:t>,</w:t>
      </w:r>
      <w:r w:rsidR="00C53CE5" w:rsidRPr="00FD00F3">
        <w:rPr>
          <w:szCs w:val="24"/>
        </w:rPr>
        <w:t xml:space="preserve"> while requiring less than </w:t>
      </w:r>
      <w:r w:rsidR="0055451A">
        <w:rPr>
          <w:szCs w:val="24"/>
        </w:rPr>
        <w:t>2</w:t>
      </w:r>
      <w:r w:rsidR="00C53CE5" w:rsidRPr="00FD00F3">
        <w:rPr>
          <w:szCs w:val="24"/>
        </w:rPr>
        <w:t xml:space="preserve"> kg of </w:t>
      </w:r>
      <w:r w:rsidR="005A12D8">
        <w:rPr>
          <w:szCs w:val="24"/>
        </w:rPr>
        <w:t xml:space="preserve">halon </w:t>
      </w:r>
      <w:r w:rsidR="00C53CE5" w:rsidRPr="00FD00F3">
        <w:rPr>
          <w:szCs w:val="24"/>
        </w:rPr>
        <w:t xml:space="preserve">1301 in lavex and perhaps </w:t>
      </w:r>
      <w:r w:rsidR="00563389">
        <w:rPr>
          <w:szCs w:val="24"/>
        </w:rPr>
        <w:t>1</w:t>
      </w:r>
      <w:r w:rsidR="00C53CE5" w:rsidRPr="00FD00F3">
        <w:rPr>
          <w:szCs w:val="24"/>
        </w:rPr>
        <w:t xml:space="preserve">5 kg </w:t>
      </w:r>
      <w:r w:rsidR="00563389">
        <w:rPr>
          <w:szCs w:val="24"/>
        </w:rPr>
        <w:t>to 30</w:t>
      </w:r>
      <w:r w:rsidR="00C53CE5" w:rsidRPr="00FD00F3">
        <w:rPr>
          <w:szCs w:val="24"/>
        </w:rPr>
        <w:t xml:space="preserve"> kg of </w:t>
      </w:r>
      <w:r w:rsidR="00576375">
        <w:rPr>
          <w:szCs w:val="24"/>
        </w:rPr>
        <w:t xml:space="preserve">halon </w:t>
      </w:r>
      <w:r w:rsidR="00C53CE5" w:rsidRPr="00FD00F3">
        <w:rPr>
          <w:szCs w:val="24"/>
        </w:rPr>
        <w:t xml:space="preserve">1211 in handheld fire extinguishers. </w:t>
      </w:r>
      <w:r w:rsidR="00C53CE5" w:rsidRPr="00A37F88">
        <w:rPr>
          <w:szCs w:val="24"/>
        </w:rPr>
        <w:t>So</w:t>
      </w:r>
      <w:r w:rsidR="009900E1" w:rsidRPr="00A37F88">
        <w:rPr>
          <w:szCs w:val="24"/>
        </w:rPr>
        <w:t>,</w:t>
      </w:r>
      <w:r w:rsidR="00C53CE5" w:rsidRPr="00A37F88">
        <w:rPr>
          <w:szCs w:val="24"/>
        </w:rPr>
        <w:t xml:space="preserve"> while the main application for </w:t>
      </w:r>
      <w:r w:rsidR="00576375" w:rsidRPr="00A37F88">
        <w:rPr>
          <w:szCs w:val="24"/>
        </w:rPr>
        <w:t xml:space="preserve">halon </w:t>
      </w:r>
      <w:r w:rsidR="00C53CE5" w:rsidRPr="00A37F88">
        <w:rPr>
          <w:szCs w:val="24"/>
        </w:rPr>
        <w:t xml:space="preserve">1211 has been </w:t>
      </w:r>
      <w:r w:rsidR="00F342B1" w:rsidRPr="00A37F88">
        <w:rPr>
          <w:szCs w:val="24"/>
        </w:rPr>
        <w:t>re</w:t>
      </w:r>
      <w:r w:rsidR="00C53CE5" w:rsidRPr="00A37F88">
        <w:rPr>
          <w:szCs w:val="24"/>
        </w:rPr>
        <w:t xml:space="preserve">solved, in the case of </w:t>
      </w:r>
      <w:r w:rsidR="00576375" w:rsidRPr="00A37F88">
        <w:rPr>
          <w:szCs w:val="24"/>
        </w:rPr>
        <w:t xml:space="preserve">halon </w:t>
      </w:r>
      <w:r w:rsidR="00C53CE5" w:rsidRPr="00A37F88">
        <w:rPr>
          <w:szCs w:val="24"/>
        </w:rPr>
        <w:t>1301</w:t>
      </w:r>
      <w:r w:rsidR="00576375" w:rsidRPr="00A37F88">
        <w:rPr>
          <w:szCs w:val="24"/>
        </w:rPr>
        <w:t>,</w:t>
      </w:r>
      <w:r w:rsidR="00C53CE5" w:rsidRPr="00A37F88">
        <w:rPr>
          <w:szCs w:val="24"/>
        </w:rPr>
        <w:t xml:space="preserve"> the lavex solution may account for less than 1% of a</w:t>
      </w:r>
      <w:r w:rsidR="004A467F" w:rsidRPr="00A37F88">
        <w:rPr>
          <w:szCs w:val="24"/>
        </w:rPr>
        <w:t xml:space="preserve"> mainline</w:t>
      </w:r>
      <w:r w:rsidR="00C53CE5" w:rsidRPr="00A37F88">
        <w:rPr>
          <w:szCs w:val="24"/>
        </w:rPr>
        <w:t xml:space="preserve"> aircraft’s installed </w:t>
      </w:r>
      <w:r w:rsidR="00253B20" w:rsidRPr="00A37F88">
        <w:rPr>
          <w:szCs w:val="24"/>
        </w:rPr>
        <w:t xml:space="preserve">halon </w:t>
      </w:r>
      <w:r w:rsidR="00A37F88" w:rsidRPr="00A37F88">
        <w:rPr>
          <w:szCs w:val="24"/>
        </w:rPr>
        <w:t xml:space="preserve">1301 </w:t>
      </w:r>
      <w:r w:rsidR="00C53CE5" w:rsidRPr="00A37F88">
        <w:rPr>
          <w:szCs w:val="24"/>
        </w:rPr>
        <w:t>quantity.</w:t>
      </w:r>
    </w:p>
    <w:p w14:paraId="5D86E719" w14:textId="77777777" w:rsidR="00C53CE5" w:rsidRPr="00FD00F3" w:rsidRDefault="00C53CE5" w:rsidP="00324056">
      <w:pPr>
        <w:pStyle w:val="Heading3"/>
      </w:pPr>
      <w:bookmarkStart w:id="17" w:name="_Toc38190324"/>
      <w:r w:rsidRPr="00FD00F3">
        <w:t>Benefits of Halons for Civil Aviation Applications</w:t>
      </w:r>
      <w:bookmarkEnd w:id="17"/>
    </w:p>
    <w:p w14:paraId="4C372D1D" w14:textId="7A1A91F9" w:rsidR="00C53CE5" w:rsidRPr="00FD00F3" w:rsidRDefault="00C53CE5" w:rsidP="0065477B">
      <w:pPr>
        <w:pStyle w:val="BodyText10"/>
        <w:rPr>
          <w:lang w:eastAsia="zh-CN"/>
        </w:rPr>
      </w:pPr>
      <w:r w:rsidRPr="00FD00F3">
        <w:rPr>
          <w:szCs w:val="24"/>
        </w:rPr>
        <w:t>Halon 1211 is used as a streaming agent for direct application to fires usually by handheld extinguisher</w:t>
      </w:r>
      <w:r w:rsidR="0099338A">
        <w:rPr>
          <w:szCs w:val="24"/>
        </w:rPr>
        <w:t>,</w:t>
      </w:r>
      <w:r w:rsidRPr="00FD00F3">
        <w:rPr>
          <w:szCs w:val="24"/>
        </w:rPr>
        <w:t xml:space="preserve"> while halon 1301 is often used as a total flooding agent due to its low toxicity. The relatively low toxicity of halon makes them acceptable for use in occupied spaces.</w:t>
      </w:r>
      <w:r w:rsidR="00F10700">
        <w:rPr>
          <w:szCs w:val="24"/>
        </w:rPr>
        <w:t xml:space="preserve"> </w:t>
      </w:r>
    </w:p>
    <w:p w14:paraId="7BCA9ABB" w14:textId="77777777" w:rsidR="00C53CE5" w:rsidRPr="00FD00F3" w:rsidRDefault="00C53CE5" w:rsidP="0065477B">
      <w:pPr>
        <w:pStyle w:val="BodyText10"/>
        <w:rPr>
          <w:lang w:eastAsia="zh-CN"/>
        </w:rPr>
      </w:pPr>
      <w:r w:rsidRPr="00FD00F3">
        <w:rPr>
          <w:lang w:eastAsia="zh-CN"/>
        </w:rPr>
        <w:t>There are a number of positive benefits for civil aviation applications:</w:t>
      </w:r>
    </w:p>
    <w:p w14:paraId="269EF909" w14:textId="038FC59F" w:rsidR="00C53CE5" w:rsidRPr="00FD00F3" w:rsidRDefault="00C53CE5" w:rsidP="0065477B">
      <w:pPr>
        <w:pStyle w:val="BodyText10"/>
        <w:numPr>
          <w:ilvl w:val="0"/>
          <w:numId w:val="25"/>
        </w:numPr>
        <w:rPr>
          <w:szCs w:val="24"/>
        </w:rPr>
      </w:pPr>
      <w:r w:rsidRPr="00FD00F3">
        <w:rPr>
          <w:szCs w:val="24"/>
        </w:rPr>
        <w:t>Excellent flame</w:t>
      </w:r>
      <w:r w:rsidR="00526C30">
        <w:rPr>
          <w:szCs w:val="24"/>
        </w:rPr>
        <w:t>-</w:t>
      </w:r>
      <w:r w:rsidRPr="00FD00F3">
        <w:rPr>
          <w:szCs w:val="24"/>
        </w:rPr>
        <w:t>retardant capability at relatively low concentration compared to alternatives</w:t>
      </w:r>
    </w:p>
    <w:p w14:paraId="3BC4A6E9" w14:textId="3D9D04C2" w:rsidR="00C53CE5" w:rsidRPr="00FD00F3" w:rsidRDefault="00C53CE5" w:rsidP="0065477B">
      <w:pPr>
        <w:pStyle w:val="BodyText10"/>
        <w:numPr>
          <w:ilvl w:val="0"/>
          <w:numId w:val="25"/>
        </w:numPr>
        <w:rPr>
          <w:szCs w:val="24"/>
        </w:rPr>
      </w:pPr>
      <w:r w:rsidRPr="00FD00F3">
        <w:rPr>
          <w:szCs w:val="24"/>
        </w:rPr>
        <w:t xml:space="preserve">Minimal pressure </w:t>
      </w:r>
      <w:r w:rsidR="00B1140D" w:rsidRPr="00FD00F3">
        <w:rPr>
          <w:szCs w:val="24"/>
        </w:rPr>
        <w:t>increases</w:t>
      </w:r>
      <w:r w:rsidRPr="00FD00F3">
        <w:rPr>
          <w:szCs w:val="24"/>
        </w:rPr>
        <w:t xml:space="preserve"> in airframes after release of fire suppression agent at effective concentration (as a total flooding agent halon 1301 is an effective extinguishant at a concentration less than </w:t>
      </w:r>
      <w:r w:rsidR="000A2A5E">
        <w:rPr>
          <w:szCs w:val="24"/>
        </w:rPr>
        <w:t>6.5</w:t>
      </w:r>
      <w:r w:rsidRPr="00FD00F3">
        <w:rPr>
          <w:szCs w:val="24"/>
        </w:rPr>
        <w:t>%)</w:t>
      </w:r>
    </w:p>
    <w:p w14:paraId="02440DEB" w14:textId="4BCC4F75" w:rsidR="00C53CE5" w:rsidRPr="00FD00F3" w:rsidRDefault="00C53CE5" w:rsidP="0065477B">
      <w:pPr>
        <w:pStyle w:val="BodyText10"/>
        <w:numPr>
          <w:ilvl w:val="0"/>
          <w:numId w:val="25"/>
        </w:numPr>
        <w:rPr>
          <w:szCs w:val="24"/>
        </w:rPr>
      </w:pPr>
      <w:r w:rsidRPr="00FD00F3">
        <w:rPr>
          <w:szCs w:val="24"/>
        </w:rPr>
        <w:t>Low weight/volume</w:t>
      </w:r>
    </w:p>
    <w:p w14:paraId="07D6989D" w14:textId="78111231" w:rsidR="00C53CE5" w:rsidRPr="00FD00F3" w:rsidRDefault="00C53CE5" w:rsidP="0065477B">
      <w:pPr>
        <w:pStyle w:val="BodyText10"/>
        <w:numPr>
          <w:ilvl w:val="0"/>
          <w:numId w:val="25"/>
        </w:numPr>
        <w:rPr>
          <w:szCs w:val="24"/>
        </w:rPr>
      </w:pPr>
      <w:r w:rsidRPr="00FD00F3">
        <w:rPr>
          <w:szCs w:val="24"/>
        </w:rPr>
        <w:t>“Clean”</w:t>
      </w:r>
      <w:r w:rsidR="000A2A5E">
        <w:rPr>
          <w:szCs w:val="24"/>
        </w:rPr>
        <w:t xml:space="preserve"> -</w:t>
      </w:r>
      <w:r w:rsidRPr="00FD00F3">
        <w:rPr>
          <w:szCs w:val="24"/>
        </w:rPr>
        <w:t xml:space="preserve"> halon agents leave no residue (no possibility of corrosion due to hidden residues in inaccessible areas after application)</w:t>
      </w:r>
    </w:p>
    <w:p w14:paraId="4EA960E8" w14:textId="41F3E813" w:rsidR="00C53CE5" w:rsidRPr="00FD00F3" w:rsidRDefault="00C53CE5" w:rsidP="0065477B">
      <w:pPr>
        <w:pStyle w:val="BodyText10"/>
        <w:numPr>
          <w:ilvl w:val="0"/>
          <w:numId w:val="25"/>
        </w:numPr>
        <w:rPr>
          <w:szCs w:val="24"/>
        </w:rPr>
      </w:pPr>
      <w:r w:rsidRPr="00FD00F3">
        <w:rPr>
          <w:szCs w:val="24"/>
        </w:rPr>
        <w:t>Non-conductive</w:t>
      </w:r>
    </w:p>
    <w:p w14:paraId="52F772A5" w14:textId="451AE78F" w:rsidR="00C53CE5" w:rsidRPr="00FD00F3" w:rsidRDefault="00C53CE5" w:rsidP="0065477B">
      <w:pPr>
        <w:pStyle w:val="BodyText10"/>
        <w:numPr>
          <w:ilvl w:val="0"/>
          <w:numId w:val="25"/>
        </w:numPr>
        <w:rPr>
          <w:szCs w:val="24"/>
        </w:rPr>
      </w:pPr>
      <w:r w:rsidRPr="00FD00F3">
        <w:rPr>
          <w:szCs w:val="24"/>
        </w:rPr>
        <w:lastRenderedPageBreak/>
        <w:t>Do not pose a visibility hazard</w:t>
      </w:r>
    </w:p>
    <w:p w14:paraId="79F614B5" w14:textId="0679CE0C" w:rsidR="00C53CE5" w:rsidRPr="00FD00F3" w:rsidRDefault="00C53CE5" w:rsidP="0065477B">
      <w:pPr>
        <w:pStyle w:val="BodyText10"/>
        <w:numPr>
          <w:ilvl w:val="0"/>
          <w:numId w:val="25"/>
        </w:numPr>
        <w:rPr>
          <w:szCs w:val="24"/>
        </w:rPr>
      </w:pPr>
      <w:r w:rsidRPr="00FD00F3">
        <w:rPr>
          <w:szCs w:val="24"/>
        </w:rPr>
        <w:t>Economic</w:t>
      </w:r>
    </w:p>
    <w:p w14:paraId="70854BC0" w14:textId="09E25D68" w:rsidR="00C53CE5" w:rsidRPr="00FD00F3" w:rsidRDefault="00C53CE5" w:rsidP="0065477B">
      <w:pPr>
        <w:pStyle w:val="BodyText10"/>
        <w:numPr>
          <w:ilvl w:val="0"/>
          <w:numId w:val="25"/>
        </w:numPr>
        <w:rPr>
          <w:szCs w:val="24"/>
        </w:rPr>
      </w:pPr>
      <w:r w:rsidRPr="00FD00F3">
        <w:rPr>
          <w:szCs w:val="24"/>
        </w:rPr>
        <w:t>Low toxicity at effective suppression concentrations</w:t>
      </w:r>
    </w:p>
    <w:p w14:paraId="50A9D18B" w14:textId="1ABE184E" w:rsidR="004E6A02" w:rsidRPr="00F97402" w:rsidRDefault="00A27008" w:rsidP="00324056">
      <w:pPr>
        <w:pStyle w:val="Heading3"/>
      </w:pPr>
      <w:bookmarkStart w:id="18" w:name="_Toc38190325"/>
      <w:r w:rsidRPr="00FD00F3">
        <w:t xml:space="preserve">Alternatives to Halons in </w:t>
      </w:r>
      <w:r w:rsidR="003A7045">
        <w:t>Lavatory</w:t>
      </w:r>
      <w:r w:rsidRPr="00FD00F3">
        <w:t xml:space="preserve"> Trash Receptacles/Lavex</w:t>
      </w:r>
      <w:bookmarkEnd w:id="18"/>
    </w:p>
    <w:p w14:paraId="2FB0CFEB" w14:textId="6C5AB6DA" w:rsidR="00866331" w:rsidRPr="00FD00F3" w:rsidRDefault="00866331" w:rsidP="00B1140D">
      <w:pPr>
        <w:pStyle w:val="BodyText10"/>
        <w:rPr>
          <w:szCs w:val="24"/>
          <w:highlight w:val="cyan"/>
        </w:rPr>
      </w:pPr>
      <w:r w:rsidRPr="00FD00F3">
        <w:t>Historically, mainly halon 1301</w:t>
      </w:r>
      <w:r w:rsidR="00430C00">
        <w:t>,</w:t>
      </w:r>
      <w:r w:rsidRPr="00FD00F3">
        <w:t xml:space="preserve"> but also some 1211</w:t>
      </w:r>
      <w:r w:rsidR="00430C00">
        <w:t>,</w:t>
      </w:r>
      <w:r w:rsidRPr="00FD00F3">
        <w:t xml:space="preserve"> have been used in </w:t>
      </w:r>
      <w:r w:rsidR="003A7045">
        <w:t>lavatory</w:t>
      </w:r>
      <w:r w:rsidRPr="00FD00F3">
        <w:t xml:space="preserve"> trash receptacle/lavex extinguishers. </w:t>
      </w:r>
    </w:p>
    <w:p w14:paraId="2D253BAB" w14:textId="1778113C" w:rsidR="00866331" w:rsidRPr="00FD00F3" w:rsidRDefault="00866331" w:rsidP="00B1140D">
      <w:pPr>
        <w:pStyle w:val="BodyText10"/>
      </w:pPr>
      <w:r w:rsidRPr="00FD00F3">
        <w:t>Implementation of halon</w:t>
      </w:r>
      <w:r w:rsidR="00B77FAB">
        <w:t>-</w:t>
      </w:r>
      <w:r w:rsidRPr="00FD00F3">
        <w:t xml:space="preserve">free lavatory fire protection systems has now been achieved in new type designs in accordance with </w:t>
      </w:r>
      <w:r w:rsidR="00B50598" w:rsidRPr="00B50598">
        <w:t>the Convention on International Civil Aviation</w:t>
      </w:r>
      <w:r w:rsidR="00B50598">
        <w:t>,</w:t>
      </w:r>
      <w:r w:rsidR="00B50598" w:rsidRPr="00B50598">
        <w:t xml:space="preserve"> </w:t>
      </w:r>
      <w:r w:rsidRPr="00FD00F3">
        <w:t xml:space="preserve">Annex 8 — </w:t>
      </w:r>
      <w:r w:rsidRPr="00FD00F3">
        <w:rPr>
          <w:i/>
          <w:iCs/>
        </w:rPr>
        <w:t>Airworthiness of Aircraft</w:t>
      </w:r>
      <w:r w:rsidRPr="00FD00F3">
        <w:t xml:space="preserve">. In Australia, regulations under the </w:t>
      </w:r>
      <w:r w:rsidRPr="00B50598">
        <w:rPr>
          <w:i/>
          <w:iCs/>
        </w:rPr>
        <w:t xml:space="preserve">Civil Aviation Act </w:t>
      </w:r>
      <w:r w:rsidR="00B50598" w:rsidRPr="00B50598">
        <w:rPr>
          <w:i/>
          <w:iCs/>
        </w:rPr>
        <w:t>1988</w:t>
      </w:r>
      <w:r w:rsidR="00B50598">
        <w:t xml:space="preserve"> </w:t>
      </w:r>
      <w:r w:rsidRPr="00FD00F3">
        <w:t>prohibit lavex extinguishers containing halon in aircraft manufactured after December 31</w:t>
      </w:r>
      <w:r w:rsidR="00356D7D">
        <w:t>,</w:t>
      </w:r>
      <w:r w:rsidRPr="00FD00F3">
        <w:t xml:space="preserve"> 2018.</w:t>
      </w:r>
    </w:p>
    <w:p w14:paraId="1DB8098B" w14:textId="3B86395A" w:rsidR="00866331" w:rsidRPr="00FD00F3" w:rsidRDefault="002B4780" w:rsidP="00B1140D">
      <w:pPr>
        <w:pStyle w:val="BodyText10"/>
      </w:pPr>
      <w:r w:rsidRPr="00FD00F3">
        <w:t>Both HFC-227ea (C</w:t>
      </w:r>
      <w:r w:rsidRPr="00FD00F3">
        <w:rPr>
          <w:vertAlign w:val="subscript"/>
        </w:rPr>
        <w:t>3</w:t>
      </w:r>
      <w:r w:rsidRPr="00FD00F3">
        <w:t>HF</w:t>
      </w:r>
      <w:r w:rsidRPr="00FD00F3">
        <w:rPr>
          <w:vertAlign w:val="subscript"/>
        </w:rPr>
        <w:t>7</w:t>
      </w:r>
      <w:r w:rsidRPr="00FD00F3">
        <w:t>) heptafluoropropane (Airbus A320/A321) and HFC</w:t>
      </w:r>
      <w:r>
        <w:noBreakHyphen/>
      </w:r>
      <w:r w:rsidRPr="00FD00F3">
        <w:t>236fa (</w:t>
      </w:r>
      <w:r w:rsidRPr="00FD00F3">
        <w:rPr>
          <w:rFonts w:cs="Arial"/>
        </w:rPr>
        <w:t>C</w:t>
      </w:r>
      <w:r w:rsidRPr="00FD00F3">
        <w:rPr>
          <w:rFonts w:cs="Arial"/>
          <w:vertAlign w:val="subscript"/>
        </w:rPr>
        <w:t>3</w:t>
      </w:r>
      <w:r w:rsidRPr="00FD00F3">
        <w:rPr>
          <w:rFonts w:cs="Arial"/>
        </w:rPr>
        <w:t>H</w:t>
      </w:r>
      <w:r w:rsidRPr="00FD00F3">
        <w:rPr>
          <w:rFonts w:cs="Arial"/>
          <w:vertAlign w:val="subscript"/>
        </w:rPr>
        <w:t>2</w:t>
      </w:r>
      <w:r w:rsidRPr="00FD00F3">
        <w:rPr>
          <w:rFonts w:cs="Arial"/>
        </w:rPr>
        <w:t>F</w:t>
      </w:r>
      <w:r w:rsidRPr="00FD00F3">
        <w:rPr>
          <w:rFonts w:cs="Arial"/>
          <w:vertAlign w:val="subscript"/>
        </w:rPr>
        <w:t>6</w:t>
      </w:r>
      <w:r w:rsidRPr="00FD00F3">
        <w:rPr>
          <w:rFonts w:cs="Arial"/>
        </w:rPr>
        <w:t>)</w:t>
      </w:r>
      <w:r w:rsidRPr="00FD00F3">
        <w:rPr>
          <w:rFonts w:cs="Arial"/>
          <w:vertAlign w:val="subscript"/>
        </w:rPr>
        <w:t xml:space="preserve"> </w:t>
      </w:r>
      <w:r w:rsidRPr="00FD00F3">
        <w:t>hexaflu</w:t>
      </w:r>
      <w:r>
        <w:t>o</w:t>
      </w:r>
      <w:r w:rsidRPr="00FD00F3">
        <w:t xml:space="preserve">ropropane (Boeing 787-800) are known to have been used in current aircraft to replace halon </w:t>
      </w:r>
      <w:r>
        <w:t xml:space="preserve">1301 </w:t>
      </w:r>
      <w:r w:rsidRPr="00FD00F3">
        <w:t xml:space="preserve">in lavex. Both are high </w:t>
      </w:r>
      <w:r w:rsidR="00D30A09">
        <w:t>global warming potential</w:t>
      </w:r>
      <w:r w:rsidRPr="00FD00F3">
        <w:t xml:space="preserve"> HFCs</w:t>
      </w:r>
      <w:r w:rsidR="00155494">
        <w:t xml:space="preserve"> that</w:t>
      </w:r>
      <w:r w:rsidR="00D30A09">
        <w:t xml:space="preserve"> are</w:t>
      </w:r>
      <w:r>
        <w:t xml:space="preserve"> </w:t>
      </w:r>
      <w:r w:rsidR="00C31180">
        <w:t xml:space="preserve">listed as controlled substances </w:t>
      </w:r>
      <w:r w:rsidR="000D018F">
        <w:t xml:space="preserve">and </w:t>
      </w:r>
      <w:r>
        <w:t>subject to</w:t>
      </w:r>
      <w:r w:rsidR="000D018F">
        <w:t xml:space="preserve"> HFC</w:t>
      </w:r>
      <w:r>
        <w:t xml:space="preserve"> phase-down under the Montreal Protocol</w:t>
      </w:r>
      <w:r w:rsidRPr="00FD00F3">
        <w:t>.</w:t>
      </w:r>
      <w:r w:rsidR="000D065A">
        <w:t xml:space="preserve"> </w:t>
      </w:r>
      <w:r w:rsidR="00AA1EAD">
        <w:rPr>
          <w:szCs w:val="24"/>
        </w:rPr>
        <w:t>V</w:t>
      </w:r>
      <w:r w:rsidR="00866331" w:rsidRPr="00FD00F3">
        <w:rPr>
          <w:szCs w:val="24"/>
        </w:rPr>
        <w:t xml:space="preserve">irtually all current production </w:t>
      </w:r>
      <w:r w:rsidR="00D64689">
        <w:rPr>
          <w:szCs w:val="24"/>
        </w:rPr>
        <w:t xml:space="preserve">civil </w:t>
      </w:r>
      <w:r w:rsidR="00866331" w:rsidRPr="00FD00F3">
        <w:rPr>
          <w:szCs w:val="24"/>
        </w:rPr>
        <w:t>aircraft are compliant and are now being fitted with these halon alternatives</w:t>
      </w:r>
      <w:r w:rsidR="00376B28">
        <w:rPr>
          <w:szCs w:val="24"/>
        </w:rPr>
        <w:t xml:space="preserve"> for lave</w:t>
      </w:r>
      <w:r w:rsidR="001A5099">
        <w:rPr>
          <w:szCs w:val="24"/>
        </w:rPr>
        <w:t>x applications</w:t>
      </w:r>
      <w:r w:rsidR="00866331" w:rsidRPr="00FD00F3">
        <w:rPr>
          <w:szCs w:val="24"/>
        </w:rPr>
        <w:t xml:space="preserve">. This does not necessarily extend to retrofit </w:t>
      </w:r>
      <w:r w:rsidR="0008681E">
        <w:rPr>
          <w:szCs w:val="24"/>
        </w:rPr>
        <w:t>of</w:t>
      </w:r>
      <w:r w:rsidR="0008681E" w:rsidRPr="00FD00F3">
        <w:rPr>
          <w:szCs w:val="24"/>
        </w:rPr>
        <w:t xml:space="preserve"> legacy aircraft </w:t>
      </w:r>
      <w:r w:rsidR="0008681E">
        <w:rPr>
          <w:szCs w:val="24"/>
        </w:rPr>
        <w:t>with</w:t>
      </w:r>
      <w:r w:rsidR="00866331" w:rsidRPr="00FD00F3">
        <w:rPr>
          <w:szCs w:val="24"/>
        </w:rPr>
        <w:t xml:space="preserve"> these HFCs </w:t>
      </w:r>
      <w:r w:rsidR="0008681E">
        <w:rPr>
          <w:szCs w:val="24"/>
        </w:rPr>
        <w:t>because</w:t>
      </w:r>
      <w:r w:rsidR="00866331" w:rsidRPr="00FD00F3">
        <w:rPr>
          <w:szCs w:val="24"/>
        </w:rPr>
        <w:t xml:space="preserve"> some may require Type Certification/Aircraft Manuals to be updated. Private communications with </w:t>
      </w:r>
      <w:r w:rsidR="00FF68B9">
        <w:rPr>
          <w:szCs w:val="24"/>
        </w:rPr>
        <w:t xml:space="preserve">halon special permit </w:t>
      </w:r>
      <w:r w:rsidR="00DD64D5">
        <w:rPr>
          <w:szCs w:val="24"/>
        </w:rPr>
        <w:t xml:space="preserve">holders </w:t>
      </w:r>
      <w:r w:rsidR="00866331" w:rsidRPr="00FD00F3">
        <w:rPr>
          <w:szCs w:val="24"/>
        </w:rPr>
        <w:t xml:space="preserve">indicate that retrofits are not being widely installed in the Australian civil </w:t>
      </w:r>
      <w:r w:rsidR="00CA768A">
        <w:rPr>
          <w:szCs w:val="24"/>
        </w:rPr>
        <w:t xml:space="preserve">aviation </w:t>
      </w:r>
      <w:r w:rsidR="00866331" w:rsidRPr="00FD00F3">
        <w:rPr>
          <w:szCs w:val="24"/>
        </w:rPr>
        <w:t>fleet.</w:t>
      </w:r>
      <w:r w:rsidR="008924F9">
        <w:t xml:space="preserve"> </w:t>
      </w:r>
      <w:r w:rsidR="00866331" w:rsidRPr="00FD00F3">
        <w:t xml:space="preserve">Overall, while creditable, the implementation of halon alternatives in lavex will have only a very small effect on </w:t>
      </w:r>
      <w:r w:rsidR="00F926F0">
        <w:t>overall</w:t>
      </w:r>
      <w:r w:rsidR="00866331" w:rsidRPr="00FD00F3">
        <w:t xml:space="preserve"> </w:t>
      </w:r>
      <w:r w:rsidR="007243DF">
        <w:t xml:space="preserve">aviation </w:t>
      </w:r>
      <w:r w:rsidR="00866331" w:rsidRPr="00FD00F3">
        <w:t>demand for halon 1301.</w:t>
      </w:r>
    </w:p>
    <w:p w14:paraId="5EFDCFED" w14:textId="54B9B771" w:rsidR="004E6A02" w:rsidRPr="00F97402" w:rsidRDefault="00415039" w:rsidP="00324056">
      <w:pPr>
        <w:pStyle w:val="Heading3"/>
      </w:pPr>
      <w:bookmarkStart w:id="19" w:name="_Toc38190326"/>
      <w:r w:rsidRPr="00FD00F3">
        <w:t>Alternatives to Halon 1211 in Handheld Extinguishers</w:t>
      </w:r>
      <w:bookmarkEnd w:id="19"/>
    </w:p>
    <w:p w14:paraId="1112691B" w14:textId="51568FFC" w:rsidR="001659D5" w:rsidRPr="00FD00F3" w:rsidRDefault="001659D5" w:rsidP="00B1140D">
      <w:pPr>
        <w:pStyle w:val="BodyText10"/>
        <w:rPr>
          <w:szCs w:val="24"/>
        </w:rPr>
      </w:pPr>
      <w:r w:rsidRPr="00FD00F3">
        <w:rPr>
          <w:szCs w:val="24"/>
        </w:rPr>
        <w:t>A number of halocarbon</w:t>
      </w:r>
      <w:r w:rsidR="0092080C">
        <w:rPr>
          <w:szCs w:val="24"/>
        </w:rPr>
        <w:t>s</w:t>
      </w:r>
      <w:r w:rsidRPr="00FD00F3">
        <w:rPr>
          <w:szCs w:val="24"/>
        </w:rPr>
        <w:t xml:space="preserve"> are now available </w:t>
      </w:r>
      <w:r w:rsidR="0092080C">
        <w:rPr>
          <w:szCs w:val="24"/>
        </w:rPr>
        <w:t xml:space="preserve">as </w:t>
      </w:r>
      <w:r w:rsidR="0092080C" w:rsidRPr="00FD00F3">
        <w:rPr>
          <w:szCs w:val="24"/>
        </w:rPr>
        <w:t xml:space="preserve">alternatives </w:t>
      </w:r>
      <w:r w:rsidR="00876B1A">
        <w:rPr>
          <w:szCs w:val="24"/>
        </w:rPr>
        <w:t>to</w:t>
      </w:r>
      <w:r w:rsidR="00876B1A" w:rsidRPr="00FD00F3">
        <w:rPr>
          <w:szCs w:val="24"/>
        </w:rPr>
        <w:t xml:space="preserve"> </w:t>
      </w:r>
      <w:r w:rsidRPr="00FD00F3">
        <w:rPr>
          <w:szCs w:val="24"/>
        </w:rPr>
        <w:t xml:space="preserve">halon 1211 in handheld extinguishers </w:t>
      </w:r>
      <w:r w:rsidR="00CA478E">
        <w:rPr>
          <w:szCs w:val="24"/>
        </w:rPr>
        <w:t xml:space="preserve">in </w:t>
      </w:r>
      <w:r w:rsidRPr="00FD00F3">
        <w:rPr>
          <w:szCs w:val="24"/>
        </w:rPr>
        <w:t xml:space="preserve">civil aviation. The replacements require a somewhat larger volume/weight of agent than an equivalent halon 1211 extinguisher. </w:t>
      </w:r>
      <w:r w:rsidR="007901A5">
        <w:rPr>
          <w:szCs w:val="24"/>
        </w:rPr>
        <w:t>The Australian Civil Aviation Safety Authority</w:t>
      </w:r>
      <w:r w:rsidR="007901A5" w:rsidRPr="00FD00F3">
        <w:rPr>
          <w:szCs w:val="24"/>
        </w:rPr>
        <w:t xml:space="preserve"> </w:t>
      </w:r>
      <w:r w:rsidRPr="00FD00F3">
        <w:rPr>
          <w:szCs w:val="24"/>
        </w:rPr>
        <w:t>advises that halocarbon agents may require 50 to 150% more agent by weight to achieve the same level of fire suppression as halon 1211 and notes requirements for mounting to meet added structural requirements.</w:t>
      </w:r>
    </w:p>
    <w:p w14:paraId="0A56E7F6" w14:textId="1F38F271" w:rsidR="001659D5" w:rsidRPr="00FD00F3" w:rsidRDefault="00B84507" w:rsidP="00B1140D">
      <w:pPr>
        <w:pStyle w:val="BodyText10"/>
      </w:pPr>
      <w:r>
        <w:t>Globally</w:t>
      </w:r>
      <w:r w:rsidR="001659D5" w:rsidRPr="00BB40ED">
        <w:t xml:space="preserve">, </w:t>
      </w:r>
      <w:r>
        <w:t xml:space="preserve">the </w:t>
      </w:r>
      <w:r w:rsidR="00A41F3F">
        <w:t xml:space="preserve">International </w:t>
      </w:r>
      <w:r w:rsidR="00A727C5">
        <w:t>Air Transport Association</w:t>
      </w:r>
      <w:r w:rsidR="00A41F3F">
        <w:t xml:space="preserve"> </w:t>
      </w:r>
      <w:r w:rsidR="00FE7F6C" w:rsidRPr="00BB40ED">
        <w:t xml:space="preserve">standards </w:t>
      </w:r>
      <w:r w:rsidR="001659D5" w:rsidRPr="00BB40ED">
        <w:t xml:space="preserve">and </w:t>
      </w:r>
      <w:r>
        <w:t xml:space="preserve">the United States’ </w:t>
      </w:r>
      <w:r w:rsidR="001659D5" w:rsidRPr="00BB40ED">
        <w:t>F</w:t>
      </w:r>
      <w:r>
        <w:t xml:space="preserve">ederal </w:t>
      </w:r>
      <w:r w:rsidR="001659D5" w:rsidRPr="00BB40ED">
        <w:t>A</w:t>
      </w:r>
      <w:r>
        <w:t xml:space="preserve">viation </w:t>
      </w:r>
      <w:r w:rsidR="001659D5" w:rsidRPr="00BB40ED">
        <w:t>A</w:t>
      </w:r>
      <w:r w:rsidR="00E91E0A">
        <w:t>dministration</w:t>
      </w:r>
      <w:r w:rsidR="001659D5" w:rsidRPr="00BB40ED">
        <w:t xml:space="preserve"> regulations </w:t>
      </w:r>
      <w:r w:rsidR="00FE7F6C" w:rsidRPr="00BB40ED">
        <w:t>require</w:t>
      </w:r>
      <w:r w:rsidR="001659D5" w:rsidRPr="00BB40ED">
        <w:t xml:space="preserve"> that new aircraft </w:t>
      </w:r>
      <w:r w:rsidR="001333A6" w:rsidRPr="00BB40ED">
        <w:t xml:space="preserve">manufactured </w:t>
      </w:r>
      <w:r w:rsidR="001659D5" w:rsidRPr="00BB40ED">
        <w:t>after December 2014 be fitted with handheld extinguishers containing non-halon agent.</w:t>
      </w:r>
      <w:r w:rsidR="001659D5" w:rsidRPr="00FD00F3">
        <w:t xml:space="preserve"> </w:t>
      </w:r>
    </w:p>
    <w:p w14:paraId="430D6FDB" w14:textId="233FB1E4" w:rsidR="001659D5" w:rsidRPr="00FD00F3" w:rsidRDefault="001659D5" w:rsidP="00B1140D">
      <w:pPr>
        <w:pStyle w:val="BodyText10"/>
      </w:pPr>
      <w:r w:rsidRPr="00FD00F3">
        <w:t xml:space="preserve">In Australia, regulations under the </w:t>
      </w:r>
      <w:r w:rsidRPr="00454397">
        <w:rPr>
          <w:i/>
          <w:iCs/>
        </w:rPr>
        <w:t xml:space="preserve">Civil Aviation Act </w:t>
      </w:r>
      <w:r w:rsidR="00454397" w:rsidRPr="00454397">
        <w:rPr>
          <w:i/>
          <w:iCs/>
        </w:rPr>
        <w:t>1988</w:t>
      </w:r>
      <w:r w:rsidR="00454397">
        <w:t xml:space="preserve"> </w:t>
      </w:r>
      <w:r w:rsidRPr="00FD00F3">
        <w:t xml:space="preserve">prohibit handheld </w:t>
      </w:r>
      <w:r w:rsidRPr="00FD00F3">
        <w:lastRenderedPageBreak/>
        <w:t xml:space="preserve">extinguishers containing halon </w:t>
      </w:r>
      <w:r w:rsidR="00454397">
        <w:t xml:space="preserve">1211 </w:t>
      </w:r>
      <w:r w:rsidRPr="00FD00F3">
        <w:t>in aircraft manufactured after December 31</w:t>
      </w:r>
      <w:r w:rsidR="00454397">
        <w:t>,</w:t>
      </w:r>
      <w:r w:rsidRPr="00FD00F3">
        <w:t xml:space="preserve"> 2018.</w:t>
      </w:r>
    </w:p>
    <w:p w14:paraId="7588F3D4" w14:textId="7A5EC589" w:rsidR="001659D5" w:rsidRPr="0032347B" w:rsidRDefault="00C84B93" w:rsidP="00B1140D">
      <w:pPr>
        <w:pStyle w:val="BodyText10"/>
      </w:pPr>
      <w:r>
        <w:t xml:space="preserve">The </w:t>
      </w:r>
      <w:r w:rsidR="001659D5" w:rsidRPr="00FD00F3">
        <w:t>C</w:t>
      </w:r>
      <w:r w:rsidR="001534E6">
        <w:t xml:space="preserve">ivil </w:t>
      </w:r>
      <w:r w:rsidR="001659D5" w:rsidRPr="00FD00F3">
        <w:t>A</w:t>
      </w:r>
      <w:r w:rsidR="001534E6">
        <w:t xml:space="preserve">viation </w:t>
      </w:r>
      <w:r w:rsidR="001659D5" w:rsidRPr="00FD00F3">
        <w:t>S</w:t>
      </w:r>
      <w:r w:rsidR="001534E6">
        <w:t xml:space="preserve">afety </w:t>
      </w:r>
      <w:r w:rsidR="001659D5" w:rsidRPr="00FD00F3">
        <w:t>A</w:t>
      </w:r>
      <w:r w:rsidR="001534E6">
        <w:t>uthority</w:t>
      </w:r>
      <w:r w:rsidR="001659D5" w:rsidRPr="00FD00F3">
        <w:t xml:space="preserve"> </w:t>
      </w:r>
      <w:r w:rsidR="007C01DB">
        <w:t xml:space="preserve">has </w:t>
      </w:r>
      <w:r w:rsidR="007C01DB" w:rsidRPr="00FD00F3">
        <w:t xml:space="preserve">approved </w:t>
      </w:r>
      <w:r w:rsidR="001659D5" w:rsidRPr="00FD00F3">
        <w:t>the following halocarbon agents as equivalents to halon in portable fire extinguishers</w:t>
      </w:r>
      <w:r w:rsidR="008224E7">
        <w:rPr>
          <w:rStyle w:val="FootnoteReference"/>
        </w:rPr>
        <w:footnoteReference w:id="13"/>
      </w:r>
      <w:r w:rsidR="001659D5" w:rsidRPr="00FD00F3">
        <w:t>:</w:t>
      </w:r>
    </w:p>
    <w:tbl>
      <w:tblPr>
        <w:tblStyle w:val="PlainTable1"/>
        <w:tblW w:w="8518" w:type="dxa"/>
        <w:jc w:val="center"/>
        <w:tblLook w:val="04A0" w:firstRow="1" w:lastRow="0" w:firstColumn="1" w:lastColumn="0" w:noHBand="0" w:noVBand="1"/>
      </w:tblPr>
      <w:tblGrid>
        <w:gridCol w:w="1838"/>
        <w:gridCol w:w="1664"/>
        <w:gridCol w:w="3217"/>
        <w:gridCol w:w="1799"/>
      </w:tblGrid>
      <w:tr w:rsidR="001659D5" w:rsidRPr="002F333C" w14:paraId="3A4FD7D4" w14:textId="77777777" w:rsidTr="00024B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21FF12F7" w14:textId="77777777" w:rsidR="001659D5" w:rsidRPr="002F333C" w:rsidRDefault="001659D5" w:rsidP="00B1140D">
            <w:pPr>
              <w:pStyle w:val="BodyText10"/>
              <w:spacing w:before="120" w:after="120"/>
              <w:rPr>
                <w:rFonts w:cs="Times New Roman"/>
                <w:szCs w:val="24"/>
              </w:rPr>
            </w:pPr>
            <w:r w:rsidRPr="002F333C">
              <w:rPr>
                <w:szCs w:val="24"/>
              </w:rPr>
              <w:t xml:space="preserve">Name </w:t>
            </w:r>
          </w:p>
        </w:tc>
        <w:tc>
          <w:tcPr>
            <w:tcW w:w="1664" w:type="dxa"/>
            <w:hideMark/>
          </w:tcPr>
          <w:p w14:paraId="51874673" w14:textId="0998A704" w:rsidR="001659D5" w:rsidRPr="002F333C" w:rsidRDefault="001659D5" w:rsidP="00B1140D">
            <w:pPr>
              <w:pStyle w:val="BodyText10"/>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F333C">
              <w:rPr>
                <w:szCs w:val="24"/>
              </w:rPr>
              <w:t>Trade Name</w:t>
            </w:r>
          </w:p>
        </w:tc>
        <w:tc>
          <w:tcPr>
            <w:tcW w:w="0" w:type="auto"/>
          </w:tcPr>
          <w:p w14:paraId="4DA696DF" w14:textId="77777777" w:rsidR="001659D5" w:rsidRPr="002F333C" w:rsidRDefault="001659D5" w:rsidP="00B1140D">
            <w:pPr>
              <w:pStyle w:val="BodyText10"/>
              <w:spacing w:before="120" w:after="120"/>
              <w:jc w:val="center"/>
              <w:cnfStyle w:val="100000000000" w:firstRow="1" w:lastRow="0" w:firstColumn="0" w:lastColumn="0" w:oddVBand="0" w:evenVBand="0" w:oddHBand="0" w:evenHBand="0" w:firstRowFirstColumn="0" w:firstRowLastColumn="0" w:lastRowFirstColumn="0" w:lastRowLastColumn="0"/>
              <w:rPr>
                <w:szCs w:val="24"/>
              </w:rPr>
            </w:pPr>
            <w:r w:rsidRPr="002F333C">
              <w:rPr>
                <w:szCs w:val="24"/>
              </w:rPr>
              <w:t>Chemical Name</w:t>
            </w:r>
          </w:p>
        </w:tc>
        <w:tc>
          <w:tcPr>
            <w:tcW w:w="0" w:type="auto"/>
          </w:tcPr>
          <w:p w14:paraId="0AF6D4D6" w14:textId="77777777" w:rsidR="001659D5" w:rsidRPr="002F333C" w:rsidRDefault="001659D5" w:rsidP="00B1140D">
            <w:pPr>
              <w:pStyle w:val="BodyText10"/>
              <w:spacing w:before="120" w:after="120"/>
              <w:jc w:val="center"/>
              <w:cnfStyle w:val="100000000000" w:firstRow="1" w:lastRow="0" w:firstColumn="0" w:lastColumn="0" w:oddVBand="0" w:evenVBand="0" w:oddHBand="0" w:evenHBand="0" w:firstRowFirstColumn="0" w:firstRowLastColumn="0" w:lastRowFirstColumn="0" w:lastRowLastColumn="0"/>
              <w:rPr>
                <w:szCs w:val="24"/>
              </w:rPr>
            </w:pPr>
            <w:r w:rsidRPr="002F333C">
              <w:rPr>
                <w:szCs w:val="24"/>
              </w:rPr>
              <w:t>Chemical Formula</w:t>
            </w:r>
          </w:p>
        </w:tc>
      </w:tr>
      <w:tr w:rsidR="001659D5" w:rsidRPr="002F333C" w14:paraId="12F3549B" w14:textId="77777777" w:rsidTr="00024B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2417C1CD" w14:textId="77777777" w:rsidR="001659D5" w:rsidRPr="002F333C" w:rsidRDefault="001659D5" w:rsidP="00B1140D">
            <w:pPr>
              <w:pStyle w:val="BodyText10"/>
              <w:spacing w:before="120" w:after="120"/>
              <w:rPr>
                <w:b w:val="0"/>
                <w:bCs w:val="0"/>
                <w:szCs w:val="24"/>
              </w:rPr>
            </w:pPr>
            <w:r w:rsidRPr="002F333C">
              <w:rPr>
                <w:szCs w:val="24"/>
              </w:rPr>
              <w:t xml:space="preserve">HCFC Blend B </w:t>
            </w:r>
          </w:p>
        </w:tc>
        <w:tc>
          <w:tcPr>
            <w:tcW w:w="1664" w:type="dxa"/>
            <w:hideMark/>
          </w:tcPr>
          <w:p w14:paraId="3E728A86" w14:textId="77777777" w:rsidR="001659D5" w:rsidRPr="002F333C" w:rsidRDefault="001659D5" w:rsidP="00B1140D">
            <w:pPr>
              <w:pStyle w:val="BodyText10"/>
              <w:spacing w:before="120" w:after="120"/>
              <w:cnfStyle w:val="000000100000" w:firstRow="0" w:lastRow="0" w:firstColumn="0" w:lastColumn="0" w:oddVBand="0" w:evenVBand="0" w:oddHBand="1" w:evenHBand="0" w:firstRowFirstColumn="0" w:firstRowLastColumn="0" w:lastRowFirstColumn="0" w:lastRowLastColumn="0"/>
              <w:rPr>
                <w:rFonts w:cs="Times New Roman"/>
                <w:szCs w:val="24"/>
              </w:rPr>
            </w:pPr>
            <w:r w:rsidRPr="002F333C">
              <w:rPr>
                <w:szCs w:val="24"/>
              </w:rPr>
              <w:t xml:space="preserve">Halotron 1 </w:t>
            </w:r>
          </w:p>
        </w:tc>
        <w:tc>
          <w:tcPr>
            <w:tcW w:w="0" w:type="auto"/>
          </w:tcPr>
          <w:p w14:paraId="4B39013C" w14:textId="77777777" w:rsidR="001659D5" w:rsidRPr="002F333C" w:rsidRDefault="001659D5" w:rsidP="00B1140D">
            <w:pPr>
              <w:pStyle w:val="BodyText10"/>
              <w:spacing w:before="120" w:after="120"/>
              <w:cnfStyle w:val="000000100000" w:firstRow="0" w:lastRow="0" w:firstColumn="0" w:lastColumn="0" w:oddVBand="0" w:evenVBand="0" w:oddHBand="1" w:evenHBand="0" w:firstRowFirstColumn="0" w:firstRowLastColumn="0" w:lastRowFirstColumn="0" w:lastRowLastColumn="0"/>
              <w:rPr>
                <w:szCs w:val="24"/>
              </w:rPr>
            </w:pPr>
            <w:r w:rsidRPr="002F333C">
              <w:rPr>
                <w:szCs w:val="24"/>
                <w:lang w:val="en-US" w:eastAsia="zh-CN"/>
              </w:rPr>
              <w:t>2-bromotrifluoropropane</w:t>
            </w:r>
          </w:p>
        </w:tc>
        <w:tc>
          <w:tcPr>
            <w:tcW w:w="0" w:type="auto"/>
          </w:tcPr>
          <w:p w14:paraId="64F12A5E" w14:textId="77777777" w:rsidR="001659D5" w:rsidRPr="002F333C" w:rsidRDefault="001659D5" w:rsidP="00B1140D">
            <w:pPr>
              <w:pStyle w:val="BodyText10"/>
              <w:spacing w:before="120" w:after="120"/>
              <w:cnfStyle w:val="000000100000" w:firstRow="0" w:lastRow="0" w:firstColumn="0" w:lastColumn="0" w:oddVBand="0" w:evenVBand="0" w:oddHBand="1" w:evenHBand="0" w:firstRowFirstColumn="0" w:firstRowLastColumn="0" w:lastRowFirstColumn="0" w:lastRowLastColumn="0"/>
              <w:rPr>
                <w:szCs w:val="24"/>
              </w:rPr>
            </w:pPr>
            <w:r w:rsidRPr="002F333C">
              <w:rPr>
                <w:szCs w:val="24"/>
                <w:lang w:val="en-US" w:eastAsia="zh-CN"/>
              </w:rPr>
              <w:t>C</w:t>
            </w:r>
            <w:r w:rsidRPr="002F333C">
              <w:rPr>
                <w:szCs w:val="24"/>
                <w:vertAlign w:val="subscript"/>
                <w:lang w:val="en-US" w:eastAsia="zh-CN"/>
              </w:rPr>
              <w:t>3</w:t>
            </w:r>
            <w:r w:rsidRPr="002F333C">
              <w:rPr>
                <w:szCs w:val="24"/>
                <w:lang w:val="en-US" w:eastAsia="zh-CN"/>
              </w:rPr>
              <w:t>H</w:t>
            </w:r>
            <w:r w:rsidRPr="002F333C">
              <w:rPr>
                <w:szCs w:val="24"/>
                <w:vertAlign w:val="subscript"/>
                <w:lang w:val="en-US" w:eastAsia="zh-CN"/>
              </w:rPr>
              <w:t>2</w:t>
            </w:r>
            <w:r w:rsidRPr="002F333C">
              <w:rPr>
                <w:szCs w:val="24"/>
                <w:lang w:val="en-US" w:eastAsia="zh-CN"/>
              </w:rPr>
              <w:t>BrF</w:t>
            </w:r>
            <w:r w:rsidRPr="002F333C">
              <w:rPr>
                <w:szCs w:val="24"/>
                <w:vertAlign w:val="subscript"/>
                <w:lang w:val="en-US" w:eastAsia="zh-CN"/>
              </w:rPr>
              <w:t>3</w:t>
            </w:r>
          </w:p>
        </w:tc>
      </w:tr>
      <w:tr w:rsidR="001659D5" w:rsidRPr="002F333C" w14:paraId="60B9DE01" w14:textId="77777777" w:rsidTr="00024B0F">
        <w:trPr>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1C018CD6" w14:textId="77777777" w:rsidR="001659D5" w:rsidRPr="002F333C" w:rsidRDefault="001659D5" w:rsidP="00B1140D">
            <w:pPr>
              <w:pStyle w:val="BodyText10"/>
              <w:spacing w:before="120" w:after="120"/>
              <w:rPr>
                <w:rFonts w:cs="Times New Roman"/>
                <w:szCs w:val="24"/>
              </w:rPr>
            </w:pPr>
            <w:r w:rsidRPr="002F333C">
              <w:rPr>
                <w:szCs w:val="24"/>
              </w:rPr>
              <w:t xml:space="preserve">HFC-227ea </w:t>
            </w:r>
          </w:p>
        </w:tc>
        <w:tc>
          <w:tcPr>
            <w:tcW w:w="1664" w:type="dxa"/>
            <w:hideMark/>
          </w:tcPr>
          <w:p w14:paraId="0284AF02" w14:textId="3CD744B5" w:rsidR="001659D5" w:rsidRPr="002F333C" w:rsidRDefault="001659D5" w:rsidP="00B1140D">
            <w:pPr>
              <w:pStyle w:val="BodyText10"/>
              <w:spacing w:before="120" w:after="120"/>
              <w:cnfStyle w:val="000000000000" w:firstRow="0" w:lastRow="0" w:firstColumn="0" w:lastColumn="0" w:oddVBand="0" w:evenVBand="0" w:oddHBand="0" w:evenHBand="0" w:firstRowFirstColumn="0" w:firstRowLastColumn="0" w:lastRowFirstColumn="0" w:lastRowLastColumn="0"/>
              <w:rPr>
                <w:rFonts w:cs="Times New Roman"/>
                <w:szCs w:val="24"/>
              </w:rPr>
            </w:pPr>
            <w:r w:rsidRPr="002F333C">
              <w:rPr>
                <w:szCs w:val="24"/>
              </w:rPr>
              <w:t>FM-200</w:t>
            </w:r>
            <w:r w:rsidR="00B1140D" w:rsidRPr="002F333C">
              <w:rPr>
                <w:szCs w:val="24"/>
              </w:rPr>
              <w:t>,</w:t>
            </w:r>
            <w:r w:rsidRPr="002F333C">
              <w:rPr>
                <w:szCs w:val="24"/>
              </w:rPr>
              <w:t xml:space="preserve"> or FE-227 </w:t>
            </w:r>
          </w:p>
        </w:tc>
        <w:tc>
          <w:tcPr>
            <w:tcW w:w="0" w:type="auto"/>
          </w:tcPr>
          <w:p w14:paraId="373A9B38" w14:textId="77777777" w:rsidR="001659D5" w:rsidRPr="002F333C" w:rsidRDefault="001659D5" w:rsidP="00B1140D">
            <w:pPr>
              <w:pStyle w:val="BodyText10"/>
              <w:spacing w:before="120" w:after="120"/>
              <w:cnfStyle w:val="000000000000" w:firstRow="0" w:lastRow="0" w:firstColumn="0" w:lastColumn="0" w:oddVBand="0" w:evenVBand="0" w:oddHBand="0" w:evenHBand="0" w:firstRowFirstColumn="0" w:firstRowLastColumn="0" w:lastRowFirstColumn="0" w:lastRowLastColumn="0"/>
              <w:rPr>
                <w:szCs w:val="24"/>
              </w:rPr>
            </w:pPr>
            <w:r w:rsidRPr="002F333C">
              <w:rPr>
                <w:color w:val="222222"/>
                <w:szCs w:val="24"/>
              </w:rPr>
              <w:t>1,1,1,2,3,3,3-h</w:t>
            </w:r>
            <w:r w:rsidRPr="002F333C">
              <w:rPr>
                <w:szCs w:val="24"/>
              </w:rPr>
              <w:t>eptafluoropropane</w:t>
            </w:r>
          </w:p>
        </w:tc>
        <w:tc>
          <w:tcPr>
            <w:tcW w:w="0" w:type="auto"/>
          </w:tcPr>
          <w:p w14:paraId="5E6195BA" w14:textId="77777777" w:rsidR="001659D5" w:rsidRPr="002F333C" w:rsidRDefault="001659D5" w:rsidP="00B1140D">
            <w:pPr>
              <w:pStyle w:val="BodyText10"/>
              <w:spacing w:before="120" w:after="120"/>
              <w:cnfStyle w:val="000000000000" w:firstRow="0" w:lastRow="0" w:firstColumn="0" w:lastColumn="0" w:oddVBand="0" w:evenVBand="0" w:oddHBand="0" w:evenHBand="0" w:firstRowFirstColumn="0" w:firstRowLastColumn="0" w:lastRowFirstColumn="0" w:lastRowLastColumn="0"/>
              <w:rPr>
                <w:rFonts w:cs="Times New Roman"/>
                <w:szCs w:val="24"/>
              </w:rPr>
            </w:pPr>
            <w:r w:rsidRPr="002F333C">
              <w:rPr>
                <w:color w:val="222222"/>
                <w:szCs w:val="24"/>
              </w:rPr>
              <w:t>C</w:t>
            </w:r>
            <w:r w:rsidRPr="002F333C">
              <w:rPr>
                <w:color w:val="222222"/>
                <w:szCs w:val="24"/>
                <w:vertAlign w:val="subscript"/>
              </w:rPr>
              <w:t>3</w:t>
            </w:r>
            <w:r w:rsidRPr="002F333C">
              <w:rPr>
                <w:color w:val="222222"/>
                <w:szCs w:val="24"/>
              </w:rPr>
              <w:t>HF</w:t>
            </w:r>
            <w:r w:rsidRPr="002F333C">
              <w:rPr>
                <w:color w:val="222222"/>
                <w:szCs w:val="24"/>
                <w:vertAlign w:val="subscript"/>
              </w:rPr>
              <w:t>7</w:t>
            </w:r>
          </w:p>
        </w:tc>
      </w:tr>
      <w:tr w:rsidR="001659D5" w:rsidRPr="002F333C" w14:paraId="155ACFCC" w14:textId="77777777" w:rsidTr="00024B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5586B99C" w14:textId="29F93159" w:rsidR="001659D5" w:rsidRPr="002F333C" w:rsidRDefault="001659D5" w:rsidP="00B1140D">
            <w:pPr>
              <w:pStyle w:val="BodyText10"/>
              <w:spacing w:before="120" w:after="120"/>
              <w:rPr>
                <w:b w:val="0"/>
                <w:bCs w:val="0"/>
                <w:szCs w:val="24"/>
              </w:rPr>
            </w:pPr>
            <w:r w:rsidRPr="002F333C">
              <w:rPr>
                <w:szCs w:val="24"/>
              </w:rPr>
              <w:t>HFC-236fa</w:t>
            </w:r>
            <w:r w:rsidR="00F10700">
              <w:rPr>
                <w:szCs w:val="24"/>
              </w:rPr>
              <w:t xml:space="preserve"> </w:t>
            </w:r>
          </w:p>
        </w:tc>
        <w:tc>
          <w:tcPr>
            <w:tcW w:w="1664" w:type="dxa"/>
            <w:hideMark/>
          </w:tcPr>
          <w:p w14:paraId="2C8B6912" w14:textId="77777777" w:rsidR="001659D5" w:rsidRPr="002F333C" w:rsidRDefault="001659D5" w:rsidP="00B1140D">
            <w:pPr>
              <w:pStyle w:val="BodyText10"/>
              <w:spacing w:before="120" w:after="120"/>
              <w:cnfStyle w:val="000000100000" w:firstRow="0" w:lastRow="0" w:firstColumn="0" w:lastColumn="0" w:oddVBand="0" w:evenVBand="0" w:oddHBand="1" w:evenHBand="0" w:firstRowFirstColumn="0" w:firstRowLastColumn="0" w:lastRowFirstColumn="0" w:lastRowLastColumn="0"/>
              <w:rPr>
                <w:rFonts w:cs="Times New Roman"/>
                <w:szCs w:val="24"/>
              </w:rPr>
            </w:pPr>
            <w:r w:rsidRPr="002F333C">
              <w:rPr>
                <w:szCs w:val="24"/>
              </w:rPr>
              <w:t xml:space="preserve">FE-36 </w:t>
            </w:r>
          </w:p>
        </w:tc>
        <w:tc>
          <w:tcPr>
            <w:tcW w:w="0" w:type="auto"/>
          </w:tcPr>
          <w:p w14:paraId="7B4A9161" w14:textId="77777777" w:rsidR="001659D5" w:rsidRPr="002F333C" w:rsidRDefault="001659D5" w:rsidP="00B1140D">
            <w:pPr>
              <w:pStyle w:val="BodyText10"/>
              <w:spacing w:before="120" w:after="120"/>
              <w:cnfStyle w:val="000000100000" w:firstRow="0" w:lastRow="0" w:firstColumn="0" w:lastColumn="0" w:oddVBand="0" w:evenVBand="0" w:oddHBand="1" w:evenHBand="0" w:firstRowFirstColumn="0" w:firstRowLastColumn="0" w:lastRowFirstColumn="0" w:lastRowLastColumn="0"/>
              <w:rPr>
                <w:rFonts w:cs="Times New Roman"/>
                <w:szCs w:val="24"/>
              </w:rPr>
            </w:pPr>
            <w:r w:rsidRPr="002F333C">
              <w:rPr>
                <w:color w:val="222222"/>
                <w:szCs w:val="24"/>
              </w:rPr>
              <w:t>1,1,1,3,3,3-hexafluoropropane</w:t>
            </w:r>
          </w:p>
        </w:tc>
        <w:tc>
          <w:tcPr>
            <w:tcW w:w="0" w:type="auto"/>
          </w:tcPr>
          <w:p w14:paraId="76B83F21" w14:textId="77777777" w:rsidR="001659D5" w:rsidRPr="002F333C" w:rsidRDefault="001659D5" w:rsidP="00B1140D">
            <w:pPr>
              <w:pStyle w:val="BodyText10"/>
              <w:spacing w:before="120" w:after="120"/>
              <w:cnfStyle w:val="000000100000" w:firstRow="0" w:lastRow="0" w:firstColumn="0" w:lastColumn="0" w:oddVBand="0" w:evenVBand="0" w:oddHBand="1" w:evenHBand="0" w:firstRowFirstColumn="0" w:firstRowLastColumn="0" w:lastRowFirstColumn="0" w:lastRowLastColumn="0"/>
              <w:rPr>
                <w:szCs w:val="24"/>
              </w:rPr>
            </w:pPr>
            <w:r w:rsidRPr="002F333C">
              <w:rPr>
                <w:szCs w:val="24"/>
              </w:rPr>
              <w:t>C</w:t>
            </w:r>
            <w:r w:rsidRPr="002F333C">
              <w:rPr>
                <w:szCs w:val="24"/>
                <w:vertAlign w:val="subscript"/>
              </w:rPr>
              <w:t>3</w:t>
            </w:r>
            <w:r w:rsidRPr="002F333C">
              <w:rPr>
                <w:szCs w:val="24"/>
              </w:rPr>
              <w:t>H</w:t>
            </w:r>
            <w:r w:rsidRPr="002F333C">
              <w:rPr>
                <w:szCs w:val="24"/>
                <w:vertAlign w:val="subscript"/>
              </w:rPr>
              <w:t>2</w:t>
            </w:r>
            <w:r w:rsidRPr="002F333C">
              <w:rPr>
                <w:szCs w:val="24"/>
              </w:rPr>
              <w:t>F</w:t>
            </w:r>
            <w:r w:rsidRPr="002F333C">
              <w:rPr>
                <w:szCs w:val="24"/>
                <w:vertAlign w:val="subscript"/>
              </w:rPr>
              <w:t>6</w:t>
            </w:r>
          </w:p>
        </w:tc>
      </w:tr>
      <w:tr w:rsidR="001659D5" w:rsidRPr="002F333C" w14:paraId="592F5579" w14:textId="77777777" w:rsidTr="00024B0F">
        <w:trPr>
          <w:jc w:val="center"/>
        </w:trPr>
        <w:tc>
          <w:tcPr>
            <w:cnfStyle w:val="001000000000" w:firstRow="0" w:lastRow="0" w:firstColumn="1" w:lastColumn="0" w:oddVBand="0" w:evenVBand="0" w:oddHBand="0" w:evenHBand="0" w:firstRowFirstColumn="0" w:firstRowLastColumn="0" w:lastRowFirstColumn="0" w:lastRowLastColumn="0"/>
            <w:tcW w:w="1838" w:type="dxa"/>
            <w:hideMark/>
          </w:tcPr>
          <w:p w14:paraId="57E293DC" w14:textId="77777777" w:rsidR="001659D5" w:rsidRPr="002F333C" w:rsidRDefault="001659D5" w:rsidP="00B1140D">
            <w:pPr>
              <w:pStyle w:val="BodyText10"/>
              <w:spacing w:before="120" w:after="120"/>
              <w:rPr>
                <w:rFonts w:cs="Times New Roman"/>
                <w:szCs w:val="24"/>
              </w:rPr>
            </w:pPr>
            <w:r w:rsidRPr="002F333C">
              <w:rPr>
                <w:szCs w:val="24"/>
              </w:rPr>
              <w:t xml:space="preserve">2-BTP </w:t>
            </w:r>
          </w:p>
        </w:tc>
        <w:tc>
          <w:tcPr>
            <w:tcW w:w="1664" w:type="dxa"/>
            <w:hideMark/>
          </w:tcPr>
          <w:p w14:paraId="2A4F3517" w14:textId="77777777" w:rsidR="001659D5" w:rsidRPr="002F333C" w:rsidRDefault="001659D5" w:rsidP="00B1140D">
            <w:pPr>
              <w:pStyle w:val="BodyText10"/>
              <w:spacing w:before="120" w:after="120"/>
              <w:cnfStyle w:val="000000000000" w:firstRow="0" w:lastRow="0" w:firstColumn="0" w:lastColumn="0" w:oddVBand="0" w:evenVBand="0" w:oddHBand="0" w:evenHBand="0" w:firstRowFirstColumn="0" w:firstRowLastColumn="0" w:lastRowFirstColumn="0" w:lastRowLastColumn="0"/>
              <w:rPr>
                <w:rFonts w:cs="Times New Roman"/>
                <w:szCs w:val="24"/>
              </w:rPr>
            </w:pPr>
            <w:r w:rsidRPr="002F333C">
              <w:rPr>
                <w:szCs w:val="24"/>
              </w:rPr>
              <w:t xml:space="preserve">Halotron BrX </w:t>
            </w:r>
          </w:p>
        </w:tc>
        <w:tc>
          <w:tcPr>
            <w:tcW w:w="0" w:type="auto"/>
          </w:tcPr>
          <w:p w14:paraId="3BB488D9" w14:textId="77777777" w:rsidR="001659D5" w:rsidRPr="002F333C" w:rsidRDefault="001659D5" w:rsidP="00B1140D">
            <w:pPr>
              <w:pStyle w:val="BodyText10"/>
              <w:spacing w:before="120" w:after="120"/>
              <w:cnfStyle w:val="000000000000" w:firstRow="0" w:lastRow="0" w:firstColumn="0" w:lastColumn="0" w:oddVBand="0" w:evenVBand="0" w:oddHBand="0" w:evenHBand="0" w:firstRowFirstColumn="0" w:firstRowLastColumn="0" w:lastRowFirstColumn="0" w:lastRowLastColumn="0"/>
              <w:rPr>
                <w:rFonts w:cs="Times New Roman"/>
                <w:szCs w:val="24"/>
              </w:rPr>
            </w:pPr>
            <w:r w:rsidRPr="002F333C">
              <w:rPr>
                <w:szCs w:val="24"/>
              </w:rPr>
              <w:t xml:space="preserve">2-bromo-3,3,3-trifluoropropene </w:t>
            </w:r>
          </w:p>
        </w:tc>
        <w:tc>
          <w:tcPr>
            <w:tcW w:w="0" w:type="auto"/>
          </w:tcPr>
          <w:p w14:paraId="17F2D057" w14:textId="77777777" w:rsidR="001659D5" w:rsidRPr="002F333C" w:rsidRDefault="001659D5" w:rsidP="00B1140D">
            <w:pPr>
              <w:pStyle w:val="BodyText10"/>
              <w:spacing w:before="120" w:after="120"/>
              <w:cnfStyle w:val="000000000000" w:firstRow="0" w:lastRow="0" w:firstColumn="0" w:lastColumn="0" w:oddVBand="0" w:evenVBand="0" w:oddHBand="0" w:evenHBand="0" w:firstRowFirstColumn="0" w:firstRowLastColumn="0" w:lastRowFirstColumn="0" w:lastRowLastColumn="0"/>
              <w:rPr>
                <w:szCs w:val="24"/>
              </w:rPr>
            </w:pPr>
            <w:r w:rsidRPr="002F333C">
              <w:rPr>
                <w:szCs w:val="24"/>
                <w:lang w:val="en-US" w:eastAsia="zh-CN"/>
              </w:rPr>
              <w:t>C</w:t>
            </w:r>
            <w:r w:rsidRPr="002F333C">
              <w:rPr>
                <w:szCs w:val="24"/>
                <w:vertAlign w:val="subscript"/>
                <w:lang w:val="en-US" w:eastAsia="zh-CN"/>
              </w:rPr>
              <w:t>3</w:t>
            </w:r>
            <w:r w:rsidRPr="002F333C">
              <w:rPr>
                <w:szCs w:val="24"/>
                <w:lang w:val="en-US" w:eastAsia="zh-CN"/>
              </w:rPr>
              <w:t>H</w:t>
            </w:r>
            <w:r w:rsidRPr="002F333C">
              <w:rPr>
                <w:szCs w:val="24"/>
                <w:vertAlign w:val="subscript"/>
                <w:lang w:val="en-US" w:eastAsia="zh-CN"/>
              </w:rPr>
              <w:t>2</w:t>
            </w:r>
            <w:r w:rsidRPr="002F333C">
              <w:rPr>
                <w:szCs w:val="24"/>
                <w:lang w:val="en-US" w:eastAsia="zh-CN"/>
              </w:rPr>
              <w:t>BrF</w:t>
            </w:r>
            <w:r w:rsidRPr="002F333C">
              <w:rPr>
                <w:szCs w:val="24"/>
                <w:vertAlign w:val="subscript"/>
                <w:lang w:val="en-US" w:eastAsia="zh-CN"/>
              </w:rPr>
              <w:t>3</w:t>
            </w:r>
          </w:p>
        </w:tc>
      </w:tr>
    </w:tbl>
    <w:p w14:paraId="07EEE1D2" w14:textId="77777777" w:rsidR="001659D5" w:rsidRPr="00FD00F3" w:rsidRDefault="001659D5" w:rsidP="002F333C">
      <w:pPr>
        <w:pStyle w:val="BodyText10"/>
        <w:rPr>
          <w:szCs w:val="24"/>
        </w:rPr>
      </w:pPr>
    </w:p>
    <w:p w14:paraId="7E043BB7" w14:textId="736CD7F0" w:rsidR="001659D5" w:rsidRPr="00FD00F3" w:rsidRDefault="001659D5" w:rsidP="002F333C">
      <w:pPr>
        <w:pStyle w:val="BodyText10"/>
        <w:rPr>
          <w:szCs w:val="24"/>
        </w:rPr>
      </w:pPr>
      <w:r w:rsidRPr="00FD00F3">
        <w:rPr>
          <w:szCs w:val="24"/>
        </w:rPr>
        <w:t xml:space="preserve">2-BTP appears to have become the industry preferred choice as the closest to a drop-in replacement for halon 1211 handheld extinguishers with </w:t>
      </w:r>
      <w:r w:rsidR="00616BE5">
        <w:rPr>
          <w:szCs w:val="24"/>
        </w:rPr>
        <w:t xml:space="preserve">the </w:t>
      </w:r>
      <w:r w:rsidRPr="00FD00F3">
        <w:rPr>
          <w:szCs w:val="24"/>
        </w:rPr>
        <w:t>least weight penalty.</w:t>
      </w:r>
      <w:r w:rsidR="00EC1742">
        <w:rPr>
          <w:szCs w:val="24"/>
        </w:rPr>
        <w:t xml:space="preserve"> </w:t>
      </w:r>
      <w:r w:rsidR="007C45F0" w:rsidRPr="007C45F0">
        <w:rPr>
          <w:szCs w:val="24"/>
        </w:rPr>
        <w:t>While 2-BTP contain</w:t>
      </w:r>
      <w:r w:rsidR="007C45F0">
        <w:rPr>
          <w:szCs w:val="24"/>
        </w:rPr>
        <w:t>s</w:t>
      </w:r>
      <w:r w:rsidR="007C45F0" w:rsidRPr="007C45F0">
        <w:rPr>
          <w:szCs w:val="24"/>
        </w:rPr>
        <w:t xml:space="preserve"> bromine, </w:t>
      </w:r>
      <w:r w:rsidR="007C45F0">
        <w:rPr>
          <w:szCs w:val="24"/>
        </w:rPr>
        <w:t>like</w:t>
      </w:r>
      <w:r w:rsidR="007C45F0" w:rsidRPr="007C45F0">
        <w:rPr>
          <w:szCs w:val="24"/>
        </w:rPr>
        <w:t xml:space="preserve"> halons, this chemical has a very short atmospheric lifetime (about 7 days), an </w:t>
      </w:r>
      <w:r w:rsidR="007C45F0">
        <w:rPr>
          <w:szCs w:val="24"/>
        </w:rPr>
        <w:t>ozone-depleting potential</w:t>
      </w:r>
      <w:r w:rsidR="007C45F0" w:rsidRPr="007C45F0">
        <w:rPr>
          <w:szCs w:val="24"/>
        </w:rPr>
        <w:t xml:space="preserve"> of 0.0028 and a </w:t>
      </w:r>
      <w:r w:rsidR="007C45F0">
        <w:rPr>
          <w:szCs w:val="24"/>
        </w:rPr>
        <w:t>global warming potential</w:t>
      </w:r>
      <w:r w:rsidR="007C45F0" w:rsidRPr="007C45F0">
        <w:rPr>
          <w:szCs w:val="24"/>
        </w:rPr>
        <w:t xml:space="preserve"> of 0.26. </w:t>
      </w:r>
      <w:r w:rsidR="007C45F0">
        <w:rPr>
          <w:szCs w:val="24"/>
        </w:rPr>
        <w:t>T</w:t>
      </w:r>
      <w:r w:rsidR="007C45F0" w:rsidRPr="007C45F0">
        <w:rPr>
          <w:szCs w:val="24"/>
        </w:rPr>
        <w:t>his chemical is not deemed as a potentially significant contributor to ozone depletion or global warming.</w:t>
      </w:r>
    </w:p>
    <w:p w14:paraId="0373E92D" w14:textId="1F7B9A99" w:rsidR="001659D5" w:rsidRPr="00FD00F3" w:rsidRDefault="001659D5" w:rsidP="002F333C">
      <w:pPr>
        <w:pStyle w:val="BodyText10"/>
        <w:rPr>
          <w:szCs w:val="24"/>
        </w:rPr>
      </w:pPr>
      <w:r w:rsidRPr="00FD00F3">
        <w:rPr>
          <w:szCs w:val="24"/>
        </w:rPr>
        <w:t xml:space="preserve">It can be expected that there will be reduced civil aviation demand for </w:t>
      </w:r>
      <w:r w:rsidR="0039066F">
        <w:rPr>
          <w:szCs w:val="24"/>
        </w:rPr>
        <w:t xml:space="preserve">halon </w:t>
      </w:r>
      <w:r w:rsidRPr="00FD00F3">
        <w:rPr>
          <w:szCs w:val="24"/>
        </w:rPr>
        <w:t xml:space="preserve">1211 due to mandated alternatives in new production and </w:t>
      </w:r>
      <w:r w:rsidRPr="006C3E3A">
        <w:rPr>
          <w:szCs w:val="24"/>
        </w:rPr>
        <w:t xml:space="preserve">the availability of </w:t>
      </w:r>
      <w:r w:rsidR="00B940F9" w:rsidRPr="006C3E3A">
        <w:rPr>
          <w:szCs w:val="24"/>
        </w:rPr>
        <w:t>economic</w:t>
      </w:r>
      <w:r w:rsidR="00B87D88" w:rsidRPr="006C3E3A">
        <w:rPr>
          <w:szCs w:val="24"/>
        </w:rPr>
        <w:t>ally feasible</w:t>
      </w:r>
      <w:r w:rsidR="00B940F9" w:rsidRPr="006C3E3A">
        <w:rPr>
          <w:szCs w:val="24"/>
        </w:rPr>
        <w:t xml:space="preserve"> </w:t>
      </w:r>
      <w:r w:rsidRPr="006C3E3A">
        <w:rPr>
          <w:szCs w:val="24"/>
        </w:rPr>
        <w:t>HFC</w:t>
      </w:r>
      <w:r w:rsidR="00152938" w:rsidRPr="006C3E3A">
        <w:rPr>
          <w:szCs w:val="24"/>
        </w:rPr>
        <w:t>s</w:t>
      </w:r>
      <w:r w:rsidR="00F10700">
        <w:rPr>
          <w:szCs w:val="24"/>
        </w:rPr>
        <w:t xml:space="preserve"> </w:t>
      </w:r>
      <w:r w:rsidRPr="00FD00F3">
        <w:rPr>
          <w:szCs w:val="24"/>
        </w:rPr>
        <w:t>for retrofit</w:t>
      </w:r>
      <w:r w:rsidR="009C62BA">
        <w:rPr>
          <w:szCs w:val="24"/>
        </w:rPr>
        <w:t xml:space="preserve"> as halon replacements</w:t>
      </w:r>
      <w:r w:rsidRPr="00FD00F3">
        <w:rPr>
          <w:szCs w:val="24"/>
        </w:rPr>
        <w:t>.</w:t>
      </w:r>
    </w:p>
    <w:p w14:paraId="0093BAA7" w14:textId="77777777" w:rsidR="004E6A02" w:rsidRPr="00F97402" w:rsidRDefault="004E6A02" w:rsidP="00324056">
      <w:pPr>
        <w:pStyle w:val="Heading3"/>
      </w:pPr>
      <w:bookmarkStart w:id="20" w:name="_Toc38190327"/>
      <w:r w:rsidRPr="00F97402">
        <w:t>Engine</w:t>
      </w:r>
      <w:r w:rsidR="00DB2368" w:rsidRPr="00F97402">
        <w:t xml:space="preserve"> and Auxiliary Power Unit </w:t>
      </w:r>
      <w:r w:rsidRPr="00F97402">
        <w:t xml:space="preserve">Fire </w:t>
      </w:r>
      <w:r w:rsidR="00EE4075" w:rsidRPr="00F97402">
        <w:t>Suppression Systems</w:t>
      </w:r>
      <w:bookmarkEnd w:id="20"/>
    </w:p>
    <w:p w14:paraId="56A73743" w14:textId="58E5CF62" w:rsidR="007535E3" w:rsidRPr="00FD00F3" w:rsidRDefault="0081522A" w:rsidP="002F333C">
      <w:pPr>
        <w:pStyle w:val="BodyText10"/>
      </w:pPr>
      <w:r>
        <w:t>P</w:t>
      </w:r>
      <w:r w:rsidRPr="00FD00F3">
        <w:t>repared for the 39</w:t>
      </w:r>
      <w:r w:rsidRPr="00FD00F3">
        <w:rPr>
          <w:vertAlign w:val="superscript"/>
        </w:rPr>
        <w:t>th</w:t>
      </w:r>
      <w:r w:rsidRPr="00FD00F3">
        <w:t xml:space="preserve"> </w:t>
      </w:r>
      <w:r w:rsidR="00C12E04">
        <w:t>International Civil Aviation Organization</w:t>
      </w:r>
      <w:r w:rsidRPr="00FD00F3">
        <w:t xml:space="preserve"> Triennial Assembly in 2016</w:t>
      </w:r>
      <w:r>
        <w:t>, a</w:t>
      </w:r>
      <w:r w:rsidR="007535E3" w:rsidRPr="00FD00F3">
        <w:t xml:space="preserve">n update on the </w:t>
      </w:r>
      <w:r w:rsidR="007535E3" w:rsidRPr="00B52636">
        <w:t>Development of Halon Alternatives</w:t>
      </w:r>
      <w:r w:rsidR="007535E3" w:rsidRPr="00FD00F3">
        <w:t xml:space="preserve"> identified four potential halon alternatives for use in engine nacelle/</w:t>
      </w:r>
      <w:r w:rsidR="00906CFB">
        <w:t>auxiliary power unit</w:t>
      </w:r>
      <w:r w:rsidR="007535E3" w:rsidRPr="00FD00F3">
        <w:t xml:space="preserve">s </w:t>
      </w:r>
      <w:r w:rsidR="00215FAB">
        <w:t>(</w:t>
      </w:r>
      <w:r w:rsidR="007535E3" w:rsidRPr="00FD00F3">
        <w:t>HFC-125, Novec 1230, FIC-13I1 and Powder Aerosol F</w:t>
      </w:r>
      <w:r w:rsidR="00215FAB">
        <w:t>)</w:t>
      </w:r>
      <w:r w:rsidR="007535E3" w:rsidRPr="00FD00F3">
        <w:t xml:space="preserve"> that had been tested to the draft </w:t>
      </w:r>
      <w:r w:rsidR="0032117C">
        <w:t>Minimum Performance Standards</w:t>
      </w:r>
      <w:r w:rsidR="0007376B">
        <w:t>,</w:t>
      </w:r>
      <w:r w:rsidR="007535E3" w:rsidRPr="00FD00F3">
        <w:t xml:space="preserve"> and whose halon 1301 minimum equivalent extinguishing concentrations had been determined. It was noted that further research and development was needed for both Novec 1230 and FIC-1311.</w:t>
      </w:r>
      <w:r w:rsidR="00F10700">
        <w:t xml:space="preserve"> </w:t>
      </w:r>
    </w:p>
    <w:p w14:paraId="67FFE65F" w14:textId="3E157467" w:rsidR="007535E3" w:rsidRPr="00FD00F3" w:rsidRDefault="007535E3" w:rsidP="002F333C">
      <w:pPr>
        <w:pStyle w:val="BodyText10"/>
      </w:pPr>
      <w:r w:rsidRPr="00FD00F3">
        <w:t>Novec 1230 implemented in an engine/nacelle/</w:t>
      </w:r>
      <w:r w:rsidR="009716E0">
        <w:t>auxiliary power unit</w:t>
      </w:r>
      <w:r w:rsidRPr="00FD00F3">
        <w:t xml:space="preserve"> system </w:t>
      </w:r>
      <w:r w:rsidRPr="00FD00F3">
        <w:lastRenderedPageBreak/>
        <w:t xml:space="preserve">had failed a </w:t>
      </w:r>
      <w:r w:rsidR="006D1B53">
        <w:t>United States’ Federal Aviation Administration</w:t>
      </w:r>
      <w:r w:rsidRPr="00FD00F3">
        <w:t xml:space="preserve"> live fire test under low temperature conditions. Powdered Aerosol F had failed a </w:t>
      </w:r>
      <w:r w:rsidR="00D064E0">
        <w:t>Federal Aviation Administration</w:t>
      </w:r>
      <w:r w:rsidRPr="00FD00F3">
        <w:t xml:space="preserve"> full-scale engine fire test. More research and development would be required to develop satisfactory performance systems using these agents.</w:t>
      </w:r>
    </w:p>
    <w:p w14:paraId="5F35ACF7" w14:textId="44FD4FF7" w:rsidR="007535E3" w:rsidRPr="00FD00F3" w:rsidRDefault="007535E3" w:rsidP="002F333C">
      <w:pPr>
        <w:pStyle w:val="BodyText10"/>
      </w:pPr>
      <w:r w:rsidRPr="00FD00F3">
        <w:t xml:space="preserve">It has been reported that HFC-125 has been successfully installed and used by the </w:t>
      </w:r>
      <w:r w:rsidR="00943AC9">
        <w:t>United States’</w:t>
      </w:r>
      <w:r w:rsidRPr="00FD00F3">
        <w:t xml:space="preserve"> military </w:t>
      </w:r>
      <w:r w:rsidR="00914ABF">
        <w:t xml:space="preserve">in </w:t>
      </w:r>
      <w:r w:rsidRPr="00FD00F3">
        <w:t xml:space="preserve">aircraft. HFC-125 is the only halon 1301 alternative agent available today which has passed the </w:t>
      </w:r>
      <w:r w:rsidR="00146F10">
        <w:t>Federal Aviation Administration</w:t>
      </w:r>
      <w:r w:rsidRPr="00FD00F3">
        <w:t xml:space="preserve"> </w:t>
      </w:r>
      <w:r w:rsidR="006D12A6">
        <w:t>Minimum Performance Standards</w:t>
      </w:r>
      <w:r w:rsidRPr="00FD00F3">
        <w:rPr>
          <w:position w:val="10"/>
        </w:rPr>
        <w:t xml:space="preserve"> </w:t>
      </w:r>
      <w:r w:rsidRPr="00FD00F3">
        <w:t xml:space="preserve">testing and the </w:t>
      </w:r>
      <w:r w:rsidR="00F2297D">
        <w:t>United States</w:t>
      </w:r>
      <w:r w:rsidR="008728DB">
        <w:t xml:space="preserve"> </w:t>
      </w:r>
      <w:r w:rsidRPr="00FD00F3">
        <w:t>EPA</w:t>
      </w:r>
      <w:r w:rsidR="008728DB">
        <w:t>’s</w:t>
      </w:r>
      <w:r w:rsidRPr="00FD00F3">
        <w:t xml:space="preserve"> </w:t>
      </w:r>
      <w:r w:rsidR="008728DB">
        <w:t>Significant New Alternatives (</w:t>
      </w:r>
      <w:r w:rsidRPr="00FD00F3">
        <w:t>SNAP</w:t>
      </w:r>
      <w:r w:rsidR="008728DB">
        <w:t xml:space="preserve">) </w:t>
      </w:r>
      <w:r w:rsidRPr="00FD00F3">
        <w:t xml:space="preserve">assessment. HFC-125 has a high </w:t>
      </w:r>
      <w:r w:rsidR="0035684A">
        <w:t>global warming potential (</w:t>
      </w:r>
      <w:r w:rsidRPr="00FD00F3">
        <w:t>GWP</w:t>
      </w:r>
      <w:r w:rsidR="0035684A">
        <w:t>)</w:t>
      </w:r>
      <w:r w:rsidRPr="00FD00F3">
        <w:t xml:space="preserve"> and would have increased weight and space requirements making retrofit solutions unlikely and presents challenges to installation and operational considerations in new airframe designs. Research and development </w:t>
      </w:r>
      <w:r w:rsidR="002E12AB" w:rsidRPr="00FD00F3">
        <w:t>continue</w:t>
      </w:r>
      <w:r w:rsidRPr="00FD00F3">
        <w:t xml:space="preserve">. </w:t>
      </w:r>
    </w:p>
    <w:p w14:paraId="25F0A3DB" w14:textId="34815452" w:rsidR="004E0502" w:rsidRDefault="001514F5" w:rsidP="002F333C">
      <w:pPr>
        <w:pStyle w:val="BodyText10"/>
      </w:pPr>
      <w:r>
        <w:t>I</w:t>
      </w:r>
      <w:r w:rsidRPr="00FD00F3">
        <w:t>n 2013</w:t>
      </w:r>
      <w:r>
        <w:t>,</w:t>
      </w:r>
      <w:r w:rsidRPr="00FD00F3">
        <w:t xml:space="preserve"> </w:t>
      </w:r>
      <w:r>
        <w:t>d</w:t>
      </w:r>
      <w:r w:rsidR="007535E3" w:rsidRPr="00FD00F3">
        <w:t xml:space="preserve">ue to the slow progress in </w:t>
      </w:r>
      <w:r w:rsidR="006E23A0">
        <w:t xml:space="preserve">halon </w:t>
      </w:r>
      <w:r w:rsidR="007535E3" w:rsidRPr="00FD00F3">
        <w:t>alternatives development</w:t>
      </w:r>
      <w:r w:rsidR="007D3D42">
        <w:t>,</w:t>
      </w:r>
      <w:r w:rsidR="007535E3" w:rsidRPr="00FD00F3">
        <w:t xml:space="preserve"> the Engine/</w:t>
      </w:r>
      <w:r w:rsidR="00A637BB">
        <w:t>Auxiliary Power Unit</w:t>
      </w:r>
      <w:r w:rsidR="007535E3" w:rsidRPr="00FD00F3">
        <w:t xml:space="preserve"> Halon Alternatives Research Industry Consortium (IC) was established to accelerate the search for acceptable halon 1301 alternatives. In 2015, this was renamed the Halon Alternatives for Aircraft Propulsion Systems (HAAPS) consortium. </w:t>
      </w:r>
    </w:p>
    <w:p w14:paraId="2939737F" w14:textId="0BDFE181" w:rsidR="007535E3" w:rsidRPr="00FD00F3" w:rsidRDefault="007535E3" w:rsidP="002F333C">
      <w:pPr>
        <w:pStyle w:val="BodyText10"/>
      </w:pPr>
      <w:r w:rsidRPr="00FD00F3">
        <w:t xml:space="preserve">The </w:t>
      </w:r>
      <w:r w:rsidR="00EC2637">
        <w:t>HAAPS</w:t>
      </w:r>
      <w:r w:rsidRPr="00FD00F3">
        <w:t xml:space="preserve"> consortium includes aircraft original equipment manufacturers (OEMs) Airbus, Boeing, Bombardier, Embraer, Textron, with the Ohio Aerospace Institute acting as administrator. The consortium</w:t>
      </w:r>
      <w:r w:rsidR="00643D65">
        <w:t>’s</w:t>
      </w:r>
      <w:r w:rsidRPr="00FD00F3">
        <w:t xml:space="preserve"> stated aims are to engage with </w:t>
      </w:r>
      <w:r w:rsidR="00C16713">
        <w:t>the United States’ Federal Aviation Administration</w:t>
      </w:r>
      <w:r w:rsidRPr="00FD00F3">
        <w:t xml:space="preserve"> and potential agent and equipment suppliers and collaborate on the design of selection criteria for evaluation of potential solutions with final selection of qualified agents and equipment by the end of 2022. </w:t>
      </w:r>
    </w:p>
    <w:p w14:paraId="6D9E9BD4" w14:textId="77777777" w:rsidR="00DF7949" w:rsidRDefault="00DF7949">
      <w:pPr>
        <w:rPr>
          <w:rFonts w:ascii="Book Antiqua" w:eastAsia="ヒラギノ角ゴ Pro W3" w:hAnsi="Book Antiqua"/>
          <w:b/>
          <w:bCs/>
          <w:i/>
          <w:iCs/>
          <w:color w:val="000000"/>
          <w:szCs w:val="20"/>
          <w:lang w:val="en-GB" w:eastAsia="en-US"/>
        </w:rPr>
      </w:pPr>
      <w:r>
        <w:rPr>
          <w:b/>
          <w:bCs/>
          <w:i/>
          <w:iCs/>
        </w:rPr>
        <w:br w:type="page"/>
      </w:r>
    </w:p>
    <w:p w14:paraId="1C109AF7" w14:textId="40DCB1D2" w:rsidR="007535E3" w:rsidRPr="001E4DCC" w:rsidRDefault="001E4DCC" w:rsidP="001E4DCC">
      <w:pPr>
        <w:pStyle w:val="BodyText10"/>
        <w:keepNext/>
        <w:widowControl/>
        <w:tabs>
          <w:tab w:val="left" w:pos="1418"/>
        </w:tabs>
        <w:ind w:left="1418" w:hanging="1418"/>
        <w:rPr>
          <w:b/>
          <w:bCs/>
          <w:i/>
          <w:iCs/>
        </w:rPr>
      </w:pPr>
      <w:r w:rsidRPr="001E4DCC">
        <w:rPr>
          <w:b/>
          <w:bCs/>
          <w:i/>
          <w:iCs/>
        </w:rPr>
        <w:lastRenderedPageBreak/>
        <w:t>Table 2.1</w:t>
      </w:r>
      <w:r w:rsidRPr="001E4DCC">
        <w:rPr>
          <w:b/>
          <w:bCs/>
          <w:i/>
          <w:iCs/>
        </w:rPr>
        <w:tab/>
      </w:r>
      <w:r w:rsidR="00216DA0" w:rsidRPr="001E4DCC">
        <w:rPr>
          <w:b/>
          <w:bCs/>
          <w:i/>
          <w:iCs/>
        </w:rPr>
        <w:t xml:space="preserve">Timeline of the </w:t>
      </w:r>
      <w:r w:rsidR="007535E3" w:rsidRPr="001E4DCC">
        <w:rPr>
          <w:b/>
          <w:bCs/>
          <w:i/>
          <w:iCs/>
        </w:rPr>
        <w:t>Halon Alternatives for Aircraft Propulsion Systems (HAAPS) consortium</w:t>
      </w:r>
    </w:p>
    <w:tbl>
      <w:tblPr>
        <w:tblStyle w:val="TableGrid"/>
        <w:tblW w:w="0" w:type="auto"/>
        <w:tblLook w:val="04A0" w:firstRow="1" w:lastRow="0" w:firstColumn="1" w:lastColumn="0" w:noHBand="0" w:noVBand="1"/>
      </w:tblPr>
      <w:tblGrid>
        <w:gridCol w:w="1177"/>
        <w:gridCol w:w="4078"/>
        <w:gridCol w:w="3034"/>
      </w:tblGrid>
      <w:tr w:rsidR="007535E3" w:rsidRPr="00024B0F" w14:paraId="72AD86CB" w14:textId="77777777" w:rsidTr="008E0736">
        <w:tc>
          <w:tcPr>
            <w:tcW w:w="1271" w:type="dxa"/>
          </w:tcPr>
          <w:p w14:paraId="4415C8AD" w14:textId="6D65C3C7" w:rsidR="007535E3" w:rsidRPr="00024B0F" w:rsidRDefault="00024B0F" w:rsidP="00024B0F">
            <w:pPr>
              <w:pStyle w:val="BodyText10"/>
              <w:spacing w:before="120" w:after="120"/>
              <w:jc w:val="center"/>
              <w:rPr>
                <w:b/>
                <w:bCs/>
              </w:rPr>
            </w:pPr>
            <w:r>
              <w:rPr>
                <w:b/>
                <w:bCs/>
              </w:rPr>
              <w:t>Phase</w:t>
            </w:r>
          </w:p>
        </w:tc>
        <w:tc>
          <w:tcPr>
            <w:tcW w:w="4733" w:type="dxa"/>
          </w:tcPr>
          <w:p w14:paraId="12C0719D" w14:textId="77777777" w:rsidR="007535E3" w:rsidRPr="00024B0F" w:rsidRDefault="007535E3" w:rsidP="00024B0F">
            <w:pPr>
              <w:pStyle w:val="BodyText10"/>
              <w:spacing w:before="120" w:after="120"/>
              <w:jc w:val="center"/>
              <w:rPr>
                <w:b/>
                <w:bCs/>
              </w:rPr>
            </w:pPr>
            <w:r w:rsidRPr="00024B0F">
              <w:rPr>
                <w:b/>
                <w:bCs/>
              </w:rPr>
              <w:t>Activities</w:t>
            </w:r>
          </w:p>
        </w:tc>
        <w:tc>
          <w:tcPr>
            <w:tcW w:w="3006" w:type="dxa"/>
          </w:tcPr>
          <w:p w14:paraId="7BD34290" w14:textId="77777777" w:rsidR="007535E3" w:rsidRPr="00024B0F" w:rsidRDefault="007535E3" w:rsidP="00024B0F">
            <w:pPr>
              <w:pStyle w:val="BodyText10"/>
              <w:spacing w:before="120" w:after="120"/>
              <w:jc w:val="center"/>
              <w:rPr>
                <w:b/>
                <w:bCs/>
              </w:rPr>
            </w:pPr>
            <w:r w:rsidRPr="00024B0F">
              <w:rPr>
                <w:b/>
                <w:bCs/>
              </w:rPr>
              <w:t>Implementation/Notional Completion Date</w:t>
            </w:r>
          </w:p>
        </w:tc>
      </w:tr>
      <w:tr w:rsidR="007535E3" w:rsidRPr="00FD00F3" w14:paraId="1E6F9A78" w14:textId="77777777" w:rsidTr="008E0736">
        <w:tc>
          <w:tcPr>
            <w:tcW w:w="1271" w:type="dxa"/>
          </w:tcPr>
          <w:p w14:paraId="06191CF3" w14:textId="77777777" w:rsidR="007535E3" w:rsidRPr="00FD00F3" w:rsidRDefault="007535E3" w:rsidP="00024B0F">
            <w:pPr>
              <w:pStyle w:val="BodyText10"/>
              <w:spacing w:before="120" w:after="120"/>
            </w:pPr>
            <w:r w:rsidRPr="00FD00F3">
              <w:t>Phase 1</w:t>
            </w:r>
          </w:p>
        </w:tc>
        <w:tc>
          <w:tcPr>
            <w:tcW w:w="4733" w:type="dxa"/>
          </w:tcPr>
          <w:p w14:paraId="0C784BDB" w14:textId="77777777" w:rsidR="007535E3" w:rsidRPr="00FD00F3" w:rsidRDefault="007535E3" w:rsidP="00024B0F">
            <w:pPr>
              <w:pStyle w:val="BodyText10"/>
              <w:spacing w:before="120" w:after="120"/>
            </w:pPr>
            <w:r w:rsidRPr="00FD00F3">
              <w:t xml:space="preserve">Administrative start-up </w:t>
            </w:r>
          </w:p>
          <w:p w14:paraId="4A6C8759" w14:textId="7A2E9E92" w:rsidR="007535E3" w:rsidRPr="00FD00F3" w:rsidRDefault="007535E3" w:rsidP="00024B0F">
            <w:pPr>
              <w:pStyle w:val="BodyText10"/>
              <w:spacing w:before="120" w:after="120"/>
            </w:pPr>
            <w:r w:rsidRPr="00FD00F3">
              <w:t xml:space="preserve">Signed Joint Collaboration Agreement </w:t>
            </w:r>
          </w:p>
        </w:tc>
        <w:tc>
          <w:tcPr>
            <w:tcW w:w="3006" w:type="dxa"/>
          </w:tcPr>
          <w:p w14:paraId="40913A1F" w14:textId="77777777" w:rsidR="007535E3" w:rsidRPr="00FD00F3" w:rsidRDefault="007535E3" w:rsidP="00024B0F">
            <w:pPr>
              <w:pStyle w:val="BodyText10"/>
              <w:spacing w:before="120" w:after="120"/>
            </w:pPr>
            <w:r w:rsidRPr="00FD00F3">
              <w:t>2015/October 2018</w:t>
            </w:r>
          </w:p>
        </w:tc>
      </w:tr>
      <w:tr w:rsidR="007535E3" w:rsidRPr="00FD00F3" w14:paraId="4FDE5EF8" w14:textId="77777777" w:rsidTr="008E0736">
        <w:tc>
          <w:tcPr>
            <w:tcW w:w="1271" w:type="dxa"/>
          </w:tcPr>
          <w:p w14:paraId="3A85B3F4" w14:textId="77777777" w:rsidR="007535E3" w:rsidRPr="00FD00F3" w:rsidRDefault="007535E3" w:rsidP="00024B0F">
            <w:pPr>
              <w:pStyle w:val="BodyText10"/>
              <w:spacing w:before="120" w:after="120"/>
            </w:pPr>
            <w:r w:rsidRPr="00FD00F3">
              <w:t>Phase 2</w:t>
            </w:r>
          </w:p>
        </w:tc>
        <w:tc>
          <w:tcPr>
            <w:tcW w:w="4733" w:type="dxa"/>
          </w:tcPr>
          <w:p w14:paraId="3655609F" w14:textId="26DACC02" w:rsidR="007535E3" w:rsidRPr="00FD00F3" w:rsidRDefault="00F97E4E" w:rsidP="00024B0F">
            <w:pPr>
              <w:pStyle w:val="BodyText10"/>
              <w:spacing w:before="120" w:after="120"/>
            </w:pPr>
            <w:r>
              <w:t>United States’ Federal Aviation Administration</w:t>
            </w:r>
            <w:r w:rsidR="007535E3" w:rsidRPr="00FD00F3">
              <w:t xml:space="preserve"> engagement</w:t>
            </w:r>
          </w:p>
          <w:p w14:paraId="04688A75" w14:textId="77777777" w:rsidR="007535E3" w:rsidRPr="00FD00F3" w:rsidRDefault="007535E3" w:rsidP="00024B0F">
            <w:pPr>
              <w:pStyle w:val="BodyText10"/>
              <w:spacing w:before="120" w:after="120"/>
            </w:pPr>
            <w:r w:rsidRPr="00FD00F3">
              <w:t>Issue design requirements</w:t>
            </w:r>
          </w:p>
          <w:p w14:paraId="3994640D" w14:textId="77777777" w:rsidR="007535E3" w:rsidRPr="00FD00F3" w:rsidRDefault="007535E3" w:rsidP="00024B0F">
            <w:pPr>
              <w:pStyle w:val="BodyText10"/>
              <w:spacing w:before="120" w:after="120"/>
            </w:pPr>
            <w:r w:rsidRPr="00FD00F3">
              <w:t>Engage stakeholders</w:t>
            </w:r>
          </w:p>
          <w:p w14:paraId="0CCF0D62" w14:textId="77777777" w:rsidR="007535E3" w:rsidRPr="00FD00F3" w:rsidRDefault="007535E3" w:rsidP="00024B0F">
            <w:pPr>
              <w:pStyle w:val="BodyText10"/>
              <w:spacing w:before="120" w:after="120"/>
            </w:pPr>
            <w:r w:rsidRPr="00FD00F3">
              <w:t>Engage potential solution suppliers</w:t>
            </w:r>
          </w:p>
          <w:p w14:paraId="7E412717" w14:textId="77777777" w:rsidR="007535E3" w:rsidRPr="00FD00F3" w:rsidRDefault="007535E3" w:rsidP="00024B0F">
            <w:pPr>
              <w:pStyle w:val="BodyText10"/>
              <w:spacing w:before="120" w:after="120"/>
            </w:pPr>
            <w:r w:rsidRPr="00FD00F3">
              <w:t>High level selection criteria</w:t>
            </w:r>
          </w:p>
          <w:p w14:paraId="248589EE" w14:textId="77777777" w:rsidR="007535E3" w:rsidRPr="00FD00F3" w:rsidRDefault="007535E3" w:rsidP="00024B0F">
            <w:pPr>
              <w:pStyle w:val="BodyText10"/>
              <w:spacing w:before="120" w:after="120"/>
            </w:pPr>
            <w:r w:rsidRPr="00FD00F3">
              <w:t>Design of certification paths</w:t>
            </w:r>
          </w:p>
          <w:p w14:paraId="32092A95" w14:textId="32D140C5" w:rsidR="007535E3" w:rsidRPr="00FD00F3" w:rsidRDefault="007535E3" w:rsidP="00024B0F">
            <w:pPr>
              <w:pStyle w:val="BodyText10"/>
              <w:spacing w:before="120" w:after="120"/>
            </w:pPr>
            <w:r w:rsidRPr="00FD00F3">
              <w:t xml:space="preserve">Agreement on </w:t>
            </w:r>
            <w:r w:rsidR="006D12A6">
              <w:t>Minimum Performance Standards</w:t>
            </w:r>
          </w:p>
        </w:tc>
        <w:tc>
          <w:tcPr>
            <w:tcW w:w="3006" w:type="dxa"/>
          </w:tcPr>
          <w:p w14:paraId="24B355AC" w14:textId="77777777" w:rsidR="007535E3" w:rsidRPr="00FD00F3" w:rsidRDefault="007535E3" w:rsidP="00024B0F">
            <w:pPr>
              <w:pStyle w:val="BodyText10"/>
              <w:spacing w:before="120" w:after="120"/>
            </w:pPr>
            <w:r w:rsidRPr="00FD00F3">
              <w:t>October 2018/October 2019 (notional completion)</w:t>
            </w:r>
          </w:p>
          <w:p w14:paraId="0EEA5C2A" w14:textId="77777777" w:rsidR="007535E3" w:rsidRPr="00FD00F3" w:rsidRDefault="007535E3" w:rsidP="00024B0F">
            <w:pPr>
              <w:pStyle w:val="BodyText10"/>
              <w:spacing w:before="120" w:after="120"/>
            </w:pPr>
            <w:r w:rsidRPr="00FD00F3">
              <w:t>Work remains ongoing</w:t>
            </w:r>
          </w:p>
        </w:tc>
      </w:tr>
      <w:tr w:rsidR="007535E3" w:rsidRPr="00FD00F3" w14:paraId="0D66C61D" w14:textId="77777777" w:rsidTr="008E0736">
        <w:tc>
          <w:tcPr>
            <w:tcW w:w="1271" w:type="dxa"/>
          </w:tcPr>
          <w:p w14:paraId="20EE3446" w14:textId="77777777" w:rsidR="007535E3" w:rsidRPr="00FD00F3" w:rsidRDefault="007535E3" w:rsidP="00024B0F">
            <w:pPr>
              <w:pStyle w:val="BodyText10"/>
              <w:spacing w:before="120" w:after="120"/>
            </w:pPr>
            <w:r w:rsidRPr="00FD00F3">
              <w:t>Phase 3</w:t>
            </w:r>
          </w:p>
        </w:tc>
        <w:tc>
          <w:tcPr>
            <w:tcW w:w="4733" w:type="dxa"/>
          </w:tcPr>
          <w:p w14:paraId="6D5835A6" w14:textId="77777777" w:rsidR="007535E3" w:rsidRPr="00FD00F3" w:rsidRDefault="007535E3" w:rsidP="00024B0F">
            <w:pPr>
              <w:pStyle w:val="BodyText10"/>
              <w:spacing w:before="120" w:after="120"/>
            </w:pPr>
            <w:r w:rsidRPr="00FD00F3">
              <w:t xml:space="preserve">Establish supplier agreements </w:t>
            </w:r>
          </w:p>
          <w:p w14:paraId="6C0F016F" w14:textId="77777777" w:rsidR="007535E3" w:rsidRPr="00FD00F3" w:rsidRDefault="007535E3" w:rsidP="00024B0F">
            <w:pPr>
              <w:pStyle w:val="BodyText10"/>
              <w:spacing w:before="120" w:after="120"/>
            </w:pPr>
            <w:r w:rsidRPr="00FD00F3">
              <w:t>In-depth agent evaluation and testing</w:t>
            </w:r>
          </w:p>
          <w:p w14:paraId="05BAACB1" w14:textId="1A135E85" w:rsidR="007535E3" w:rsidRPr="00FD00F3" w:rsidRDefault="007535E3" w:rsidP="00024B0F">
            <w:pPr>
              <w:pStyle w:val="BodyText10"/>
              <w:spacing w:before="120" w:after="120"/>
            </w:pPr>
            <w:r w:rsidRPr="00FD00F3">
              <w:t>Final agent(s) selection</w:t>
            </w:r>
          </w:p>
        </w:tc>
        <w:tc>
          <w:tcPr>
            <w:tcW w:w="3006" w:type="dxa"/>
          </w:tcPr>
          <w:p w14:paraId="6D149FFE" w14:textId="550EDFB3" w:rsidR="007535E3" w:rsidRPr="00FD00F3" w:rsidRDefault="007535E3" w:rsidP="00024B0F">
            <w:pPr>
              <w:pStyle w:val="BodyText10"/>
              <w:spacing w:before="120" w:after="120"/>
            </w:pPr>
            <w:r w:rsidRPr="00FD00F3">
              <w:t>October 201</w:t>
            </w:r>
            <w:r w:rsidR="00086766">
              <w:t xml:space="preserve">9 </w:t>
            </w:r>
            <w:r w:rsidRPr="00FD00F3">
              <w:t>(notional commencement)</w:t>
            </w:r>
          </w:p>
          <w:p w14:paraId="4B4ABDF9" w14:textId="7142C932" w:rsidR="007535E3" w:rsidRPr="00FD00F3" w:rsidRDefault="007535E3" w:rsidP="00086766">
            <w:pPr>
              <w:pStyle w:val="BodyText10"/>
              <w:spacing w:before="240" w:after="120"/>
            </w:pPr>
            <w:r w:rsidRPr="00FD00F3">
              <w:t>31 December 2022</w:t>
            </w:r>
            <w:r w:rsidR="00CE670C">
              <w:t xml:space="preserve"> (completion date)</w:t>
            </w:r>
          </w:p>
        </w:tc>
      </w:tr>
    </w:tbl>
    <w:p w14:paraId="3ACAF30B" w14:textId="77777777" w:rsidR="007535E3" w:rsidRPr="00FD00F3" w:rsidRDefault="007535E3" w:rsidP="007535E3">
      <w:pPr>
        <w:pStyle w:val="NormalWeb"/>
        <w:rPr>
          <w:rFonts w:ascii="Book Antiqua" w:hAnsi="Book Antiqua"/>
        </w:rPr>
      </w:pPr>
    </w:p>
    <w:p w14:paraId="4DD76E18" w14:textId="77777777" w:rsidR="004E6A02" w:rsidRPr="001B3A85" w:rsidRDefault="004E6A02" w:rsidP="00324056">
      <w:pPr>
        <w:pStyle w:val="Heading3"/>
      </w:pPr>
      <w:bookmarkStart w:id="21" w:name="_Toc38190328"/>
      <w:r w:rsidRPr="001B3A85">
        <w:t>Cargo</w:t>
      </w:r>
      <w:r w:rsidR="00DC7622" w:rsidRPr="001B3A85">
        <w:t xml:space="preserve"> Compartment</w:t>
      </w:r>
      <w:r w:rsidRPr="001B3A85">
        <w:t xml:space="preserve"> Fire Suppression</w:t>
      </w:r>
      <w:bookmarkEnd w:id="21"/>
    </w:p>
    <w:p w14:paraId="5C5A5D63" w14:textId="4642BF55" w:rsidR="00161683" w:rsidRPr="00961A08" w:rsidRDefault="00161683" w:rsidP="0065477B">
      <w:pPr>
        <w:pStyle w:val="BodyText10"/>
      </w:pPr>
      <w:r w:rsidRPr="003768DB">
        <w:t>T</w:t>
      </w:r>
      <w:r w:rsidRPr="00961A08">
        <w:t xml:space="preserve">he search for environmentally safe replacements for halon in the civil aviation sector commenced in 1993. The Cargo Compartment Halon Replacement Advisory Group (CCHRAG) was formed in 2013 to advance development of halon replacements for aircraft cargo compartment fire protection. </w:t>
      </w:r>
      <w:r w:rsidR="0046238A">
        <w:t>I</w:t>
      </w:r>
      <w:r w:rsidR="0046238A" w:rsidRPr="00961A08">
        <w:t>n 2016</w:t>
      </w:r>
      <w:r w:rsidR="0046238A">
        <w:t>, a</w:t>
      </w:r>
      <w:r w:rsidRPr="00961A08">
        <w:t xml:space="preserve">fter engaging with industry, government and regulator stakeholders and potential suppliers, and developing a list of technical requirements, </w:t>
      </w:r>
      <w:r w:rsidR="0035684A">
        <w:t>t</w:t>
      </w:r>
      <w:r w:rsidR="0035684A" w:rsidRPr="00961A08">
        <w:t>he Cargo Compartment Halon Replacement Advisory Group</w:t>
      </w:r>
      <w:r w:rsidRPr="00961A08">
        <w:t xml:space="preserve"> recommended to the 39th </w:t>
      </w:r>
      <w:r w:rsidR="00C12E04">
        <w:t>International Civil Aviation Organization</w:t>
      </w:r>
      <w:r w:rsidRPr="00961A08">
        <w:t xml:space="preserve"> General Assembly a deadline of November 30, 2024</w:t>
      </w:r>
      <w:r w:rsidR="0046238A">
        <w:t>,</w:t>
      </w:r>
      <w:r w:rsidRPr="00961A08">
        <w:t xml:space="preserve"> after which halon alternatives would be required for new type certificate aircraft. This timeline was accepted by the General Assembly and the </w:t>
      </w:r>
      <w:r w:rsidR="0035684A" w:rsidRPr="00961A08">
        <w:t>Cargo Compartment Halon Replacement Advisory Group</w:t>
      </w:r>
      <w:r w:rsidRPr="00961A08">
        <w:t xml:space="preserve"> were requested to continue work to ensure technical readiness of solutions by the deadline.</w:t>
      </w:r>
    </w:p>
    <w:p w14:paraId="11BD95CE" w14:textId="56EEE329" w:rsidR="00161683" w:rsidRPr="00961A08" w:rsidRDefault="00161683" w:rsidP="0065477B">
      <w:pPr>
        <w:pStyle w:val="BodyText10"/>
      </w:pPr>
      <w:r w:rsidRPr="00961A08">
        <w:lastRenderedPageBreak/>
        <w:t xml:space="preserve">In October 2018, the </w:t>
      </w:r>
      <w:r w:rsidR="00FD12CD">
        <w:t>United States’ Federal Aviation Administration</w:t>
      </w:r>
      <w:r w:rsidRPr="00961A08">
        <w:t xml:space="preserve"> announced that a new Cargo Fire Suppression </w:t>
      </w:r>
      <w:r w:rsidR="00ED5A60">
        <w:t>Minimum Performance Standards</w:t>
      </w:r>
      <w:r w:rsidRPr="00961A08">
        <w:t xml:space="preserve"> Task Group had been formed. This group reports quarterly and is working on improvements to </w:t>
      </w:r>
      <w:r w:rsidR="003E3E4D">
        <w:t>Minimum Performance Standards</w:t>
      </w:r>
      <w:r w:rsidRPr="00961A08">
        <w:t xml:space="preserve"> testing procedures and capabilities. As of October 2019, a full range of </w:t>
      </w:r>
      <w:r w:rsidR="007D6401">
        <w:t>Minimum Performance Standards</w:t>
      </w:r>
      <w:r w:rsidRPr="00961A08">
        <w:t xml:space="preserve"> testing procedures for halon alternatives was not yet finalised.</w:t>
      </w:r>
    </w:p>
    <w:p w14:paraId="3128B676" w14:textId="31AA1EF3" w:rsidR="00161683" w:rsidRPr="00961A08" w:rsidRDefault="00AB3F97" w:rsidP="0065477B">
      <w:pPr>
        <w:pStyle w:val="BodyText10"/>
      </w:pPr>
      <w:r>
        <w:t>I</w:t>
      </w:r>
      <w:r w:rsidRPr="00961A08">
        <w:t>n 2019</w:t>
      </w:r>
      <w:r>
        <w:t>,</w:t>
      </w:r>
      <w:r w:rsidRPr="00961A08">
        <w:t xml:space="preserve"> </w:t>
      </w:r>
      <w:r>
        <w:t>a</w:t>
      </w:r>
      <w:r w:rsidR="00161683" w:rsidRPr="00961A08">
        <w:t xml:space="preserve">t the 40th </w:t>
      </w:r>
      <w:r w:rsidR="00C12E04">
        <w:t>International Civil Aviation Organization</w:t>
      </w:r>
      <w:r w:rsidR="00161683" w:rsidRPr="00961A08">
        <w:t xml:space="preserve"> General Assembly</w:t>
      </w:r>
      <w:r>
        <w:t>,</w:t>
      </w:r>
      <w:r w:rsidR="00161683" w:rsidRPr="00961A08">
        <w:t xml:space="preserve"> </w:t>
      </w:r>
      <w:r w:rsidR="0035684A">
        <w:t>t</w:t>
      </w:r>
      <w:r w:rsidR="0035684A" w:rsidRPr="00961A08">
        <w:t>he Cargo Compartment Halon Replacement Advisory Group</w:t>
      </w:r>
      <w:r w:rsidR="00161683" w:rsidRPr="00961A08">
        <w:t xml:space="preserve"> reported that, in the previous year, eight potential solution providers had agreed to submit detailed, non-proprietary, information on nine technologies. The submitted candidate technologies include</w:t>
      </w:r>
      <w:r w:rsidR="009339DA">
        <w:t>d</w:t>
      </w:r>
      <w:r w:rsidR="00161683" w:rsidRPr="00961A08">
        <w:t xml:space="preserve"> three chemical agents, several inerting gas agents, and two combined technologies. The inerting gas agents included proposals for solid propellant, onboard gas generators and tanked gas. The combined technologies include</w:t>
      </w:r>
      <w:r w:rsidR="009339DA">
        <w:t>d</w:t>
      </w:r>
      <w:r w:rsidR="00161683" w:rsidRPr="00961A08">
        <w:t xml:space="preserve"> water/gas and foam/gas.</w:t>
      </w:r>
    </w:p>
    <w:p w14:paraId="01EC904F" w14:textId="24075DA3" w:rsidR="00161683" w:rsidRPr="00961A08" w:rsidRDefault="0035684A" w:rsidP="0065477B">
      <w:pPr>
        <w:pStyle w:val="BodyText10"/>
      </w:pPr>
      <w:r>
        <w:t>T</w:t>
      </w:r>
      <w:r w:rsidRPr="00961A08">
        <w:t>he Cargo Compartment Halon Replacement Advisory Group</w:t>
      </w:r>
      <w:r w:rsidR="00161683" w:rsidRPr="00961A08">
        <w:t xml:space="preserve"> reported that</w:t>
      </w:r>
      <w:r w:rsidR="009339DA">
        <w:t>,</w:t>
      </w:r>
      <w:r w:rsidR="00161683" w:rsidRPr="00961A08">
        <w:t xml:space="preserve"> so far</w:t>
      </w:r>
      <w:r w:rsidR="009339DA">
        <w:t>,</w:t>
      </w:r>
      <w:r w:rsidR="00161683" w:rsidRPr="00961A08">
        <w:t xml:space="preserve"> only one candidate had passed an independent laboratory supervised </w:t>
      </w:r>
      <w:r w:rsidR="00161683" w:rsidRPr="00961A08">
        <w:rPr>
          <w:color w:val="211E1E"/>
        </w:rPr>
        <w:t xml:space="preserve">ISO 14520 heptane cup burner test, while one other </w:t>
      </w:r>
      <w:r w:rsidR="005E72B1">
        <w:rPr>
          <w:color w:val="211E1E"/>
        </w:rPr>
        <w:t xml:space="preserve">candidate </w:t>
      </w:r>
      <w:r w:rsidR="00161683" w:rsidRPr="00961A08">
        <w:rPr>
          <w:color w:val="211E1E"/>
        </w:rPr>
        <w:t xml:space="preserve">had passed an in-house heptane cup burner test. </w:t>
      </w:r>
      <w:r w:rsidR="00161683" w:rsidRPr="00961A08">
        <w:t>Progress towards maturity of a solution is being reported in terms of NASA Technical Readiness Levels</w:t>
      </w:r>
      <w:r w:rsidR="00D37707">
        <w:rPr>
          <w:rStyle w:val="FootnoteReference"/>
        </w:rPr>
        <w:footnoteReference w:id="14"/>
      </w:r>
      <w:r w:rsidR="00161683" w:rsidRPr="00961A08">
        <w:t xml:space="preserve"> (TRL). One technology was said to meet TRL 4</w:t>
      </w:r>
      <w:r w:rsidR="005E72B1">
        <w:t>,</w:t>
      </w:r>
      <w:r w:rsidR="00161683" w:rsidRPr="00961A08">
        <w:t xml:space="preserve"> indicating a technology had been demonstrated in laboratory. The </w:t>
      </w:r>
      <w:r w:rsidRPr="00961A08">
        <w:t>Cargo Compartment Halon Replacement Advisory Group</w:t>
      </w:r>
      <w:r w:rsidR="00161683" w:rsidRPr="00961A08">
        <w:t xml:space="preserve"> goal is to have at least one candidate developed to TRL</w:t>
      </w:r>
      <w:r w:rsidR="00AC036E">
        <w:t xml:space="preserve"> </w:t>
      </w:r>
      <w:r w:rsidR="00161683" w:rsidRPr="00961A08">
        <w:t xml:space="preserve">7, essentially a successful </w:t>
      </w:r>
      <w:r w:rsidR="00161683" w:rsidRPr="00961A08">
        <w:rPr>
          <w:rFonts w:cs="Arial"/>
          <w:color w:val="222222"/>
          <w:shd w:val="clear" w:color="auto" w:fill="FFFFFF"/>
        </w:rPr>
        <w:t>prototype demonstration in an operational environment</w:t>
      </w:r>
      <w:r w:rsidR="00AC036E">
        <w:rPr>
          <w:rFonts w:cs="Arial"/>
          <w:color w:val="222222"/>
          <w:shd w:val="clear" w:color="auto" w:fill="FFFFFF"/>
        </w:rPr>
        <w:t>,</w:t>
      </w:r>
      <w:r w:rsidR="00161683" w:rsidRPr="00961A08">
        <w:rPr>
          <w:rFonts w:cs="Arial"/>
          <w:color w:val="222222"/>
          <w:shd w:val="clear" w:color="auto" w:fill="FFFFFF"/>
        </w:rPr>
        <w:t xml:space="preserve"> by 2021.</w:t>
      </w:r>
      <w:r w:rsidR="00161683" w:rsidRPr="00961A08">
        <w:t xml:space="preserve"> </w:t>
      </w:r>
    </w:p>
    <w:p w14:paraId="6B68C618" w14:textId="18E8C50D" w:rsidR="00161683" w:rsidRPr="00961A08" w:rsidRDefault="00161683" w:rsidP="0065477B">
      <w:pPr>
        <w:pStyle w:val="BodyText10"/>
      </w:pPr>
      <w:r w:rsidRPr="00961A08">
        <w:rPr>
          <w:color w:val="211E1E"/>
        </w:rPr>
        <w:t>Despite the slow progress so far, as noted by the Halon Technical Options Committee special report</w:t>
      </w:r>
      <w:r w:rsidR="00B02397">
        <w:rPr>
          <w:rStyle w:val="FootnoteReference"/>
          <w:color w:val="211E1E"/>
        </w:rPr>
        <w:footnoteReference w:id="15"/>
      </w:r>
      <w:r w:rsidRPr="00961A08">
        <w:rPr>
          <w:color w:val="211E1E"/>
        </w:rPr>
        <w:t xml:space="preserve">, </w:t>
      </w:r>
      <w:r w:rsidR="0035684A">
        <w:t>t</w:t>
      </w:r>
      <w:r w:rsidR="0035684A" w:rsidRPr="00961A08">
        <w:t>he Cargo Compartment Halon Replacement Advisory Group</w:t>
      </w:r>
      <w:r w:rsidRPr="00961A08">
        <w:rPr>
          <w:color w:val="211E1E"/>
        </w:rPr>
        <w:t xml:space="preserve"> reported confidence that a solution would be available to meet the 2024 deadline. However, </w:t>
      </w:r>
      <w:r w:rsidR="00065CAB">
        <w:rPr>
          <w:color w:val="211E1E"/>
        </w:rPr>
        <w:t>it</w:t>
      </w:r>
      <w:r w:rsidR="00065CAB" w:rsidRPr="00961A08">
        <w:rPr>
          <w:color w:val="211E1E"/>
        </w:rPr>
        <w:t xml:space="preserve"> </w:t>
      </w:r>
      <w:r w:rsidRPr="00961A08">
        <w:rPr>
          <w:color w:val="211E1E"/>
        </w:rPr>
        <w:t xml:space="preserve">noted that if </w:t>
      </w:r>
      <w:r w:rsidRPr="00961A08">
        <w:t>a candidate system had not been demonstrated to be TRL</w:t>
      </w:r>
      <w:r w:rsidR="00FE07EE">
        <w:t xml:space="preserve"> </w:t>
      </w:r>
      <w:r w:rsidRPr="00961A08">
        <w:t xml:space="preserve">7 “application ready” by 41st </w:t>
      </w:r>
      <w:r w:rsidR="00C55CFB">
        <w:t>International Civil Aviation Organization</w:t>
      </w:r>
      <w:r w:rsidRPr="00961A08">
        <w:t xml:space="preserve"> General Assembly</w:t>
      </w:r>
      <w:r w:rsidR="00292171">
        <w:t>,</w:t>
      </w:r>
      <w:r w:rsidRPr="00961A08">
        <w:t xml:space="preserve"> scheduled to be held before the end of </w:t>
      </w:r>
      <w:r w:rsidR="0094106B" w:rsidRPr="00961A08">
        <w:t>202</w:t>
      </w:r>
      <w:r w:rsidR="0094106B">
        <w:t>2</w:t>
      </w:r>
      <w:r w:rsidR="00292171">
        <w:t>,</w:t>
      </w:r>
      <w:r w:rsidRPr="00961A08">
        <w:t xml:space="preserve"> then reasons for failure to meet the timelines and consequences for the 2024 deadline would be submitted.</w:t>
      </w:r>
    </w:p>
    <w:p w14:paraId="6C4A12B6" w14:textId="7FE80991" w:rsidR="00C814B6" w:rsidRPr="00961A08" w:rsidRDefault="00161683" w:rsidP="0065477B">
      <w:pPr>
        <w:pStyle w:val="BodyText10"/>
      </w:pPr>
      <w:r w:rsidRPr="00961A08">
        <w:t xml:space="preserve">None of the solutions being explored by </w:t>
      </w:r>
      <w:r w:rsidR="0035684A">
        <w:t>t</w:t>
      </w:r>
      <w:r w:rsidR="0035684A" w:rsidRPr="00961A08">
        <w:t>he Cargo Compartment Halon Replacement Advisory Group</w:t>
      </w:r>
      <w:r w:rsidRPr="00961A08">
        <w:t xml:space="preserve"> would appear to meet the requirements of a drop-in replacement for halon 1301. Inerting and combination systems would need significant equipment modifications and new installations, while all chemical agents would incur weight and volume penalties which </w:t>
      </w:r>
      <w:r w:rsidR="008169EF">
        <w:t>would</w:t>
      </w:r>
      <w:r w:rsidRPr="00961A08">
        <w:t xml:space="preserve"> offer </w:t>
      </w:r>
      <w:r w:rsidRPr="00961A08">
        <w:lastRenderedPageBreak/>
        <w:t>technical</w:t>
      </w:r>
      <w:r w:rsidR="00455985">
        <w:t>,</w:t>
      </w:r>
      <w:r w:rsidRPr="00961A08">
        <w:t xml:space="preserve"> economic </w:t>
      </w:r>
      <w:r w:rsidR="00455985">
        <w:t xml:space="preserve">and environmental </w:t>
      </w:r>
      <w:r w:rsidRPr="00961A08">
        <w:t xml:space="preserve">challenges to retrofit. </w:t>
      </w:r>
    </w:p>
    <w:p w14:paraId="13DECA94" w14:textId="3144871B" w:rsidR="00C814B6" w:rsidRPr="00961A08" w:rsidRDefault="004C704A" w:rsidP="0065477B">
      <w:pPr>
        <w:pStyle w:val="BodyText10"/>
      </w:pPr>
      <w:r>
        <w:t>Based on past</w:t>
      </w:r>
      <w:r w:rsidR="00653A38">
        <w:t xml:space="preserve"> progress</w:t>
      </w:r>
      <w:r w:rsidR="00DE4DA4">
        <w:t xml:space="preserve">, the proposed </w:t>
      </w:r>
      <w:r w:rsidR="0035684A" w:rsidRPr="00961A08">
        <w:t>Cargo Compartment Halon Replacement Advisory Group</w:t>
      </w:r>
      <w:r w:rsidR="006F4A5C">
        <w:t xml:space="preserve"> </w:t>
      </w:r>
      <w:r w:rsidR="00DE4DA4">
        <w:t>2024 deadline</w:t>
      </w:r>
      <w:r>
        <w:t xml:space="preserve"> </w:t>
      </w:r>
      <w:r w:rsidR="009C2902">
        <w:t xml:space="preserve">might be considered </w:t>
      </w:r>
      <w:r w:rsidR="000F5929">
        <w:t xml:space="preserve">as optimistic. </w:t>
      </w:r>
      <w:r w:rsidR="00165C4C">
        <w:t xml:space="preserve">Even if </w:t>
      </w:r>
      <w:r w:rsidR="00D0193B">
        <w:t xml:space="preserve">the </w:t>
      </w:r>
      <w:r w:rsidR="008A1D41">
        <w:t xml:space="preserve">proposed dates for </w:t>
      </w:r>
      <w:r w:rsidR="00A02450">
        <w:t xml:space="preserve">application-ready </w:t>
      </w:r>
      <w:r w:rsidR="00422B85">
        <w:t>alternative</w:t>
      </w:r>
      <w:r w:rsidR="00BC22FF">
        <w:t>s</w:t>
      </w:r>
      <w:r w:rsidR="00A02450">
        <w:t xml:space="preserve"> are met</w:t>
      </w:r>
      <w:r w:rsidR="00BC22FF">
        <w:t xml:space="preserve">, </w:t>
      </w:r>
      <w:r w:rsidR="00FC1239">
        <w:t>w</w:t>
      </w:r>
      <w:r w:rsidR="00C814B6" w:rsidRPr="00961A08">
        <w:t xml:space="preserve">hile new </w:t>
      </w:r>
      <w:r w:rsidR="0018797A" w:rsidRPr="00961A08">
        <w:t>type certifi</w:t>
      </w:r>
      <w:r w:rsidR="00636C90">
        <w:t>c</w:t>
      </w:r>
      <w:r w:rsidR="008E43C9">
        <w:t>at</w:t>
      </w:r>
      <w:r w:rsidR="001D34ED">
        <w:t>e</w:t>
      </w:r>
      <w:r w:rsidR="001A5E9A" w:rsidRPr="00961A08">
        <w:t xml:space="preserve"> </w:t>
      </w:r>
      <w:r w:rsidR="00144FF1" w:rsidRPr="00961A08">
        <w:t xml:space="preserve">aircraft </w:t>
      </w:r>
      <w:r w:rsidR="00FB2F24">
        <w:t>after this date would</w:t>
      </w:r>
      <w:r w:rsidR="00144FF1" w:rsidRPr="00961A08">
        <w:t xml:space="preserve"> </w:t>
      </w:r>
      <w:r w:rsidR="005F5A02" w:rsidRPr="00961A08">
        <w:t xml:space="preserve">be designed and manufactured </w:t>
      </w:r>
      <w:r w:rsidR="00E54356" w:rsidRPr="00961A08">
        <w:t xml:space="preserve">with halon alternative systems, it seems quite unlikely that there </w:t>
      </w:r>
      <w:r w:rsidR="00FF1801">
        <w:t>would</w:t>
      </w:r>
      <w:r w:rsidR="00E54356" w:rsidRPr="00961A08">
        <w:t xml:space="preserve"> be </w:t>
      </w:r>
      <w:r w:rsidR="00C705EC" w:rsidRPr="00961A08">
        <w:t xml:space="preserve">a simple retrofit available for existing </w:t>
      </w:r>
      <w:r w:rsidR="00AD1E1B">
        <w:t xml:space="preserve">aircraft or </w:t>
      </w:r>
      <w:r w:rsidR="00C705EC" w:rsidRPr="00961A08">
        <w:t>airframe</w:t>
      </w:r>
      <w:r w:rsidR="005A2F30">
        <w:t xml:space="preserve"> designs submitted prior to the deadline</w:t>
      </w:r>
      <w:r w:rsidR="00FF1801">
        <w:t>. This</w:t>
      </w:r>
      <w:r w:rsidR="005A2F30">
        <w:t xml:space="preserve"> </w:t>
      </w:r>
      <w:r w:rsidR="00366F73">
        <w:t>suggest</w:t>
      </w:r>
      <w:r w:rsidR="00FF1801">
        <w:t>s</w:t>
      </w:r>
      <w:r w:rsidR="00366F73">
        <w:t xml:space="preserve"> that</w:t>
      </w:r>
      <w:r w:rsidR="00E23DEA" w:rsidRPr="00961A08">
        <w:t xml:space="preserve"> technical and economic challenges </w:t>
      </w:r>
      <w:r w:rsidR="00597AE7" w:rsidRPr="00961A08">
        <w:t xml:space="preserve">are likely to prevent </w:t>
      </w:r>
      <w:r w:rsidR="00D076D2">
        <w:t xml:space="preserve">halon </w:t>
      </w:r>
      <w:r w:rsidR="00597AE7" w:rsidRPr="00961A08">
        <w:t xml:space="preserve">replacement in </w:t>
      </w:r>
      <w:r w:rsidR="00D076D2">
        <w:t xml:space="preserve">the </w:t>
      </w:r>
      <w:r w:rsidR="00597AE7" w:rsidRPr="00961A08">
        <w:t xml:space="preserve">existing </w:t>
      </w:r>
      <w:r w:rsidR="003D1C17" w:rsidRPr="00961A08">
        <w:t>fleet before retirement</w:t>
      </w:r>
      <w:r w:rsidR="00961A08" w:rsidRPr="00961A08">
        <w:t xml:space="preserve"> or sale/transfer</w:t>
      </w:r>
      <w:r w:rsidR="00371435">
        <w:t xml:space="preserve"> of the current fleet’s aircraft</w:t>
      </w:r>
      <w:r w:rsidR="00961A08" w:rsidRPr="00961A08">
        <w:t>.</w:t>
      </w:r>
    </w:p>
    <w:p w14:paraId="160CC158" w14:textId="4B4E90E5" w:rsidR="00143A67" w:rsidRPr="00135661" w:rsidRDefault="00066065" w:rsidP="00324056">
      <w:pPr>
        <w:pStyle w:val="Heading3"/>
      </w:pPr>
      <w:bookmarkStart w:id="22" w:name="_Toc38190329"/>
      <w:r>
        <w:t xml:space="preserve">Summary of </w:t>
      </w:r>
      <w:r w:rsidR="00C55CFB">
        <w:t>International Civil Aviation Organization</w:t>
      </w:r>
      <w:r w:rsidR="00143A67" w:rsidRPr="00135661">
        <w:t xml:space="preserve"> </w:t>
      </w:r>
      <w:r w:rsidR="00CA46B1">
        <w:t>Requirements for</w:t>
      </w:r>
      <w:r w:rsidR="005C5CA7" w:rsidRPr="00135661">
        <w:t xml:space="preserve"> </w:t>
      </w:r>
      <w:r w:rsidR="004847B0" w:rsidRPr="00135661">
        <w:t>Halon Replacement</w:t>
      </w:r>
      <w:r w:rsidR="00CA46B1">
        <w:t>s</w:t>
      </w:r>
      <w:bookmarkEnd w:id="22"/>
    </w:p>
    <w:p w14:paraId="1D835E4A" w14:textId="3C3F2B01" w:rsidR="00753C6B" w:rsidRPr="00FD491F" w:rsidRDefault="00AE2B10" w:rsidP="00427034">
      <w:pPr>
        <w:pStyle w:val="BodyText10"/>
        <w:rPr>
          <w:lang w:val="en-US"/>
        </w:rPr>
      </w:pPr>
      <w:r>
        <w:t>The International Civil Aviation Organization</w:t>
      </w:r>
      <w:r w:rsidR="00753C6B" w:rsidRPr="001B3A85">
        <w:t xml:space="preserve"> has mandated </w:t>
      </w:r>
      <w:r w:rsidR="008D4647">
        <w:t xml:space="preserve">requirements for </w:t>
      </w:r>
      <w:r w:rsidR="00753C6B" w:rsidRPr="001B3A85">
        <w:t xml:space="preserve">the use of </w:t>
      </w:r>
      <w:r w:rsidR="00F4705C" w:rsidRPr="001B3A85">
        <w:t>h</w:t>
      </w:r>
      <w:r w:rsidR="00753C6B" w:rsidRPr="001B3A85">
        <w:t>alon replacements in fire extinguishers used on civil transport aircraft</w:t>
      </w:r>
      <w:r w:rsidR="006077BB">
        <w:t xml:space="preserve"> in </w:t>
      </w:r>
      <w:r w:rsidR="00580AE7">
        <w:t>International Civil Aviation Organization</w:t>
      </w:r>
      <w:r w:rsidR="006077BB">
        <w:t xml:space="preserve"> </w:t>
      </w:r>
      <w:r w:rsidR="00F36CA5">
        <w:t xml:space="preserve">safety management </w:t>
      </w:r>
      <w:r w:rsidR="006077BB">
        <w:t xml:space="preserve">Standards and </w:t>
      </w:r>
      <w:r w:rsidR="00E21969">
        <w:t>Recommended Practices (SARPs)</w:t>
      </w:r>
      <w:r w:rsidR="00772A1D">
        <w:t xml:space="preserve"> through amendments to Annexes 6 and 8 of the </w:t>
      </w:r>
      <w:r w:rsidR="00FD491F" w:rsidRPr="00FD491F">
        <w:rPr>
          <w:lang w:val="en-US"/>
        </w:rPr>
        <w:t>Convention on International Civil Aviation</w:t>
      </w:r>
      <w:r w:rsidR="00C15943">
        <w:t>.</w:t>
      </w:r>
      <w:r w:rsidR="00E21969">
        <w:t xml:space="preserve"> </w:t>
      </w:r>
      <w:r w:rsidR="00F36CA5">
        <w:t xml:space="preserve">Safety management </w:t>
      </w:r>
      <w:r w:rsidR="00693D43">
        <w:rPr>
          <w:lang w:val="en-AU"/>
        </w:rPr>
        <w:t>Standards and Recommended Practice</w:t>
      </w:r>
      <w:r w:rsidR="00E21969" w:rsidRPr="00E21969">
        <w:rPr>
          <w:lang w:val="en-AU"/>
        </w:rPr>
        <w:t xml:space="preserve">s are intended to assist </w:t>
      </w:r>
      <w:r w:rsidR="00B73787">
        <w:rPr>
          <w:lang w:val="en-AU"/>
        </w:rPr>
        <w:t xml:space="preserve">Member </w:t>
      </w:r>
      <w:r w:rsidR="00E21969" w:rsidRPr="00E21969">
        <w:rPr>
          <w:lang w:val="en-AU"/>
        </w:rPr>
        <w:t xml:space="preserve">States </w:t>
      </w:r>
      <w:r w:rsidR="00B73787">
        <w:rPr>
          <w:lang w:val="en-AU"/>
        </w:rPr>
        <w:t xml:space="preserve">to the Convention </w:t>
      </w:r>
      <w:r w:rsidR="00E21969" w:rsidRPr="00E21969">
        <w:rPr>
          <w:lang w:val="en-AU"/>
        </w:rPr>
        <w:t xml:space="preserve">in managing </w:t>
      </w:r>
      <w:r w:rsidR="00B73787">
        <w:rPr>
          <w:lang w:val="en-AU"/>
        </w:rPr>
        <w:t xml:space="preserve">their </w:t>
      </w:r>
      <w:r w:rsidR="00E21969" w:rsidRPr="00E21969">
        <w:rPr>
          <w:lang w:val="en-AU"/>
        </w:rPr>
        <w:t>aviation safety risks</w:t>
      </w:r>
      <w:r w:rsidR="00F36CA5">
        <w:rPr>
          <w:lang w:val="en-AU"/>
        </w:rPr>
        <w:t>.</w:t>
      </w:r>
    </w:p>
    <w:p w14:paraId="2BFCB6CA" w14:textId="5EBE66BF" w:rsidR="006C5D64" w:rsidRPr="001B3A85" w:rsidRDefault="005E24EC" w:rsidP="00FA437A">
      <w:pPr>
        <w:pStyle w:val="BodyText10"/>
        <w:tabs>
          <w:tab w:val="left" w:pos="1418"/>
        </w:tabs>
        <w:rPr>
          <w:b/>
          <w:bCs/>
          <w:i/>
          <w:iCs/>
          <w:lang w:val="en-US"/>
        </w:rPr>
      </w:pPr>
      <w:r w:rsidRPr="005E24EC">
        <w:rPr>
          <w:b/>
          <w:bCs/>
          <w:i/>
          <w:iCs/>
          <w:lang w:val="en-US"/>
        </w:rPr>
        <w:t>Table 2.</w:t>
      </w:r>
      <w:r w:rsidR="00FA437A">
        <w:rPr>
          <w:b/>
          <w:bCs/>
          <w:i/>
          <w:iCs/>
          <w:lang w:val="en-US"/>
        </w:rPr>
        <w:t>2</w:t>
      </w:r>
      <w:r w:rsidRPr="005E24EC">
        <w:rPr>
          <w:b/>
          <w:bCs/>
          <w:i/>
          <w:iCs/>
          <w:lang w:val="en-US"/>
        </w:rPr>
        <w:t>:</w:t>
      </w:r>
      <w:r w:rsidRPr="005E24EC">
        <w:rPr>
          <w:b/>
          <w:bCs/>
          <w:i/>
          <w:iCs/>
          <w:lang w:val="en-US"/>
        </w:rPr>
        <w:tab/>
      </w:r>
      <w:r w:rsidR="00916A5A">
        <w:rPr>
          <w:b/>
          <w:bCs/>
          <w:i/>
          <w:iCs/>
          <w:lang w:val="en-US"/>
        </w:rPr>
        <w:t>International Civil Aviation Organization</w:t>
      </w:r>
      <w:r w:rsidR="00CA46B1">
        <w:rPr>
          <w:b/>
          <w:bCs/>
          <w:i/>
          <w:iCs/>
          <w:lang w:val="en-US"/>
        </w:rPr>
        <w:t xml:space="preserve"> </w:t>
      </w:r>
      <w:r w:rsidR="00A752FF">
        <w:rPr>
          <w:b/>
          <w:bCs/>
          <w:i/>
          <w:iCs/>
          <w:lang w:val="en-US"/>
        </w:rPr>
        <w:t>Standards and Recommended Practices</w:t>
      </w:r>
      <w:r w:rsidR="001E2691">
        <w:rPr>
          <w:b/>
          <w:bCs/>
          <w:i/>
          <w:iCs/>
          <w:lang w:val="en-US"/>
        </w:rPr>
        <w:t xml:space="preserve"> </w:t>
      </w:r>
      <w:r w:rsidR="00777FD4">
        <w:rPr>
          <w:b/>
          <w:bCs/>
          <w:i/>
          <w:iCs/>
          <w:lang w:val="en-US"/>
        </w:rPr>
        <w:t xml:space="preserve">Halon </w:t>
      </w:r>
      <w:r w:rsidR="004B2ED7">
        <w:rPr>
          <w:b/>
          <w:bCs/>
          <w:i/>
          <w:iCs/>
          <w:lang w:val="en-US"/>
        </w:rPr>
        <w:t>Replacement</w:t>
      </w:r>
      <w:r w:rsidR="001E2691">
        <w:rPr>
          <w:b/>
          <w:bCs/>
          <w:i/>
          <w:iCs/>
          <w:lang w:val="en-US"/>
        </w:rPr>
        <w:t xml:space="preserve"> </w:t>
      </w:r>
      <w:r w:rsidR="00777FD4">
        <w:rPr>
          <w:b/>
          <w:bCs/>
          <w:i/>
          <w:iCs/>
          <w:lang w:val="en-US"/>
        </w:rPr>
        <w:t>Requirements</w:t>
      </w:r>
      <w:r w:rsidR="001E2691">
        <w:rPr>
          <w:b/>
          <w:bCs/>
          <w:i/>
          <w:iCs/>
          <w:lang w:val="en-US"/>
        </w:rPr>
        <w:t xml:space="preserve"> </w:t>
      </w:r>
    </w:p>
    <w:tbl>
      <w:tblPr>
        <w:tblStyle w:val="TableGrid"/>
        <w:tblW w:w="8613" w:type="dxa"/>
        <w:tblLayout w:type="fixed"/>
        <w:tblLook w:val="04A0" w:firstRow="1" w:lastRow="0" w:firstColumn="1" w:lastColumn="0" w:noHBand="0" w:noVBand="1"/>
      </w:tblPr>
      <w:tblGrid>
        <w:gridCol w:w="2943"/>
        <w:gridCol w:w="1417"/>
        <w:gridCol w:w="1418"/>
        <w:gridCol w:w="1417"/>
        <w:gridCol w:w="1418"/>
      </w:tblGrid>
      <w:tr w:rsidR="006C5D64" w:rsidRPr="00060691" w14:paraId="54759FEA" w14:textId="77777777" w:rsidTr="00BC09F9">
        <w:tc>
          <w:tcPr>
            <w:tcW w:w="2943" w:type="dxa"/>
          </w:tcPr>
          <w:p w14:paraId="0363FA21" w14:textId="7DA8076F" w:rsidR="006C5D64" w:rsidRPr="002518AB" w:rsidRDefault="006C5D64" w:rsidP="00BC09F9">
            <w:pPr>
              <w:pStyle w:val="BodyText1"/>
              <w:rPr>
                <w:b/>
                <w:sz w:val="20"/>
              </w:rPr>
            </w:pPr>
          </w:p>
        </w:tc>
        <w:tc>
          <w:tcPr>
            <w:tcW w:w="1417" w:type="dxa"/>
          </w:tcPr>
          <w:p w14:paraId="5D72EDEF" w14:textId="77777777" w:rsidR="006C5D64" w:rsidRPr="00060691" w:rsidRDefault="006C5D64" w:rsidP="001B3A85">
            <w:pPr>
              <w:pStyle w:val="BodyText1"/>
              <w:jc w:val="center"/>
              <w:rPr>
                <w:b/>
                <w:sz w:val="20"/>
              </w:rPr>
            </w:pPr>
            <w:r w:rsidRPr="00060691">
              <w:rPr>
                <w:b/>
                <w:sz w:val="20"/>
              </w:rPr>
              <w:t>Lavatory</w:t>
            </w:r>
          </w:p>
          <w:p w14:paraId="2D7F8002" w14:textId="66648D10" w:rsidR="00777FD4" w:rsidRPr="00060691" w:rsidRDefault="00777FD4" w:rsidP="001B3A85">
            <w:pPr>
              <w:pStyle w:val="BodyText1"/>
              <w:jc w:val="center"/>
              <w:rPr>
                <w:b/>
                <w:sz w:val="20"/>
              </w:rPr>
            </w:pPr>
            <w:r w:rsidRPr="00060691">
              <w:rPr>
                <w:b/>
                <w:sz w:val="20"/>
              </w:rPr>
              <w:t>Halon 1301</w:t>
            </w:r>
          </w:p>
        </w:tc>
        <w:tc>
          <w:tcPr>
            <w:tcW w:w="1418" w:type="dxa"/>
          </w:tcPr>
          <w:p w14:paraId="0A400BE0" w14:textId="77777777" w:rsidR="006C5D64" w:rsidRPr="00060691" w:rsidRDefault="006C5D64" w:rsidP="001B3A85">
            <w:pPr>
              <w:pStyle w:val="BodyText1"/>
              <w:jc w:val="center"/>
              <w:rPr>
                <w:b/>
                <w:sz w:val="20"/>
              </w:rPr>
            </w:pPr>
            <w:r w:rsidRPr="00060691">
              <w:rPr>
                <w:b/>
                <w:sz w:val="20"/>
              </w:rPr>
              <w:t>Handheld</w:t>
            </w:r>
          </w:p>
          <w:p w14:paraId="0F5E932A" w14:textId="42DB3A54" w:rsidR="00777FD4" w:rsidRPr="00060691" w:rsidRDefault="00777FD4" w:rsidP="001B3A85">
            <w:pPr>
              <w:pStyle w:val="BodyText1"/>
              <w:jc w:val="center"/>
              <w:rPr>
                <w:b/>
                <w:sz w:val="20"/>
              </w:rPr>
            </w:pPr>
            <w:r w:rsidRPr="00060691">
              <w:rPr>
                <w:b/>
                <w:sz w:val="20"/>
              </w:rPr>
              <w:t>Halon 1211</w:t>
            </w:r>
          </w:p>
        </w:tc>
        <w:tc>
          <w:tcPr>
            <w:tcW w:w="1417" w:type="dxa"/>
          </w:tcPr>
          <w:p w14:paraId="59495EF4" w14:textId="77777777" w:rsidR="006C5D64" w:rsidRPr="00060691" w:rsidRDefault="006C5D64" w:rsidP="001B3A85">
            <w:pPr>
              <w:pStyle w:val="BodyText1"/>
              <w:jc w:val="center"/>
              <w:rPr>
                <w:b/>
                <w:sz w:val="20"/>
              </w:rPr>
            </w:pPr>
            <w:r w:rsidRPr="00060691">
              <w:rPr>
                <w:b/>
                <w:sz w:val="20"/>
              </w:rPr>
              <w:t>Engine/APU</w:t>
            </w:r>
          </w:p>
          <w:p w14:paraId="3A405BD8" w14:textId="58EBBA56" w:rsidR="00777FD4" w:rsidRPr="00060691" w:rsidRDefault="00777FD4" w:rsidP="001B3A85">
            <w:pPr>
              <w:pStyle w:val="BodyText1"/>
              <w:jc w:val="center"/>
              <w:rPr>
                <w:b/>
                <w:sz w:val="20"/>
              </w:rPr>
            </w:pPr>
            <w:r w:rsidRPr="00060691">
              <w:rPr>
                <w:b/>
                <w:sz w:val="20"/>
              </w:rPr>
              <w:t>Halon 1301</w:t>
            </w:r>
          </w:p>
        </w:tc>
        <w:tc>
          <w:tcPr>
            <w:tcW w:w="1418" w:type="dxa"/>
          </w:tcPr>
          <w:p w14:paraId="69485779" w14:textId="77777777" w:rsidR="006C5D64" w:rsidRPr="00060691" w:rsidRDefault="006C5D64" w:rsidP="00777FD4">
            <w:pPr>
              <w:pStyle w:val="BodyText1"/>
              <w:jc w:val="center"/>
              <w:rPr>
                <w:b/>
                <w:sz w:val="20"/>
              </w:rPr>
            </w:pPr>
            <w:r w:rsidRPr="00060691">
              <w:rPr>
                <w:b/>
                <w:sz w:val="20"/>
              </w:rPr>
              <w:t>Cargo</w:t>
            </w:r>
          </w:p>
          <w:p w14:paraId="5210400A" w14:textId="3DE99613" w:rsidR="00777FD4" w:rsidRPr="00060691" w:rsidRDefault="00777FD4" w:rsidP="001B3A85">
            <w:pPr>
              <w:pStyle w:val="BodyText1"/>
              <w:jc w:val="center"/>
              <w:rPr>
                <w:b/>
                <w:sz w:val="20"/>
              </w:rPr>
            </w:pPr>
            <w:r w:rsidRPr="00060691">
              <w:rPr>
                <w:b/>
                <w:sz w:val="20"/>
              </w:rPr>
              <w:t>Halon 1301</w:t>
            </w:r>
          </w:p>
        </w:tc>
      </w:tr>
      <w:tr w:rsidR="006C5D64" w:rsidRPr="00060691" w14:paraId="78D6E258" w14:textId="77777777" w:rsidTr="00BC09F9">
        <w:trPr>
          <w:trHeight w:val="723"/>
        </w:trPr>
        <w:tc>
          <w:tcPr>
            <w:tcW w:w="2943" w:type="dxa"/>
            <w:vAlign w:val="center"/>
          </w:tcPr>
          <w:p w14:paraId="3FC572E8" w14:textId="77777777" w:rsidR="00B1382B" w:rsidRPr="00060691" w:rsidRDefault="006C5D64" w:rsidP="00BC09F9">
            <w:pPr>
              <w:pStyle w:val="BodyText1"/>
              <w:rPr>
                <w:sz w:val="20"/>
              </w:rPr>
            </w:pPr>
            <w:r w:rsidRPr="00060691">
              <w:rPr>
                <w:sz w:val="20"/>
              </w:rPr>
              <w:t xml:space="preserve">New </w:t>
            </w:r>
            <w:r w:rsidR="002B0F2C" w:rsidRPr="00060691">
              <w:rPr>
                <w:sz w:val="20"/>
              </w:rPr>
              <w:t>Design Aircraft</w:t>
            </w:r>
            <w:r w:rsidR="00B1382B" w:rsidRPr="00060691">
              <w:rPr>
                <w:sz w:val="20"/>
              </w:rPr>
              <w:t xml:space="preserve"> </w:t>
            </w:r>
          </w:p>
          <w:p w14:paraId="3F84BD82" w14:textId="2A5A9C7C" w:rsidR="006C5D64" w:rsidRPr="00060691" w:rsidRDefault="00B1382B" w:rsidP="00BC09F9">
            <w:pPr>
              <w:pStyle w:val="BodyText1"/>
              <w:rPr>
                <w:sz w:val="20"/>
              </w:rPr>
            </w:pPr>
            <w:r w:rsidRPr="00060691">
              <w:rPr>
                <w:sz w:val="20"/>
              </w:rPr>
              <w:t xml:space="preserve">(Deadline for Applications for New </w:t>
            </w:r>
            <w:r w:rsidR="00AE0205" w:rsidRPr="00060691">
              <w:rPr>
                <w:sz w:val="20"/>
              </w:rPr>
              <w:t xml:space="preserve">Aircraft </w:t>
            </w:r>
            <w:r w:rsidRPr="00060691">
              <w:rPr>
                <w:sz w:val="20"/>
              </w:rPr>
              <w:t>Type Certification)</w:t>
            </w:r>
          </w:p>
        </w:tc>
        <w:tc>
          <w:tcPr>
            <w:tcW w:w="1417" w:type="dxa"/>
            <w:vAlign w:val="center"/>
          </w:tcPr>
          <w:p w14:paraId="6266F479" w14:textId="7AF24F5F" w:rsidR="006C5D64" w:rsidRPr="00060691" w:rsidRDefault="006C5D64" w:rsidP="001B3A85">
            <w:pPr>
              <w:pStyle w:val="BodyText1"/>
              <w:jc w:val="center"/>
              <w:rPr>
                <w:sz w:val="20"/>
              </w:rPr>
            </w:pPr>
            <w:r w:rsidRPr="00060691">
              <w:rPr>
                <w:sz w:val="20"/>
              </w:rPr>
              <w:t>201</w:t>
            </w:r>
            <w:r w:rsidR="00060462" w:rsidRPr="00060691">
              <w:rPr>
                <w:sz w:val="20"/>
              </w:rPr>
              <w:t>1</w:t>
            </w:r>
          </w:p>
        </w:tc>
        <w:tc>
          <w:tcPr>
            <w:tcW w:w="1418" w:type="dxa"/>
            <w:vAlign w:val="center"/>
          </w:tcPr>
          <w:p w14:paraId="22BDB467" w14:textId="1415599B" w:rsidR="006C5D64" w:rsidRPr="00060691" w:rsidRDefault="00476542" w:rsidP="001B3A85">
            <w:pPr>
              <w:pStyle w:val="BodyText1"/>
              <w:jc w:val="center"/>
              <w:rPr>
                <w:sz w:val="20"/>
              </w:rPr>
            </w:pPr>
            <w:r w:rsidRPr="00060691">
              <w:rPr>
                <w:sz w:val="20"/>
              </w:rPr>
              <w:t>2018</w:t>
            </w:r>
          </w:p>
        </w:tc>
        <w:tc>
          <w:tcPr>
            <w:tcW w:w="1417" w:type="dxa"/>
            <w:vAlign w:val="center"/>
          </w:tcPr>
          <w:p w14:paraId="62BEA337" w14:textId="1BDC889E" w:rsidR="006C5D64" w:rsidRPr="00060691" w:rsidRDefault="006C5D64" w:rsidP="001B3A85">
            <w:pPr>
              <w:pStyle w:val="BodyText1"/>
              <w:jc w:val="center"/>
              <w:rPr>
                <w:sz w:val="20"/>
              </w:rPr>
            </w:pPr>
            <w:r w:rsidRPr="00060691">
              <w:rPr>
                <w:sz w:val="20"/>
              </w:rPr>
              <w:t>2014</w:t>
            </w:r>
          </w:p>
        </w:tc>
        <w:tc>
          <w:tcPr>
            <w:tcW w:w="1418" w:type="dxa"/>
            <w:vAlign w:val="center"/>
          </w:tcPr>
          <w:p w14:paraId="46885FFA" w14:textId="08CEED0C" w:rsidR="006C5D64" w:rsidRPr="00060691" w:rsidRDefault="005E24EC" w:rsidP="001B3A85">
            <w:pPr>
              <w:pStyle w:val="BodyText1"/>
              <w:jc w:val="center"/>
              <w:rPr>
                <w:sz w:val="20"/>
              </w:rPr>
            </w:pPr>
            <w:r w:rsidRPr="00060691">
              <w:rPr>
                <w:sz w:val="20"/>
              </w:rPr>
              <w:t>2024</w:t>
            </w:r>
          </w:p>
        </w:tc>
      </w:tr>
      <w:tr w:rsidR="002B0F2C" w:rsidRPr="002518AB" w14:paraId="287D1379" w14:textId="77777777" w:rsidTr="001B3A85">
        <w:trPr>
          <w:trHeight w:val="723"/>
        </w:trPr>
        <w:tc>
          <w:tcPr>
            <w:tcW w:w="2943" w:type="dxa"/>
            <w:vAlign w:val="center"/>
          </w:tcPr>
          <w:p w14:paraId="63628B82" w14:textId="5532E260" w:rsidR="002B0F2C" w:rsidRPr="00060691" w:rsidRDefault="00D67347" w:rsidP="00427034">
            <w:pPr>
              <w:pStyle w:val="BodyText1"/>
              <w:rPr>
                <w:sz w:val="20"/>
              </w:rPr>
            </w:pPr>
            <w:r w:rsidRPr="00060691">
              <w:rPr>
                <w:sz w:val="20"/>
              </w:rPr>
              <w:t>Current Production</w:t>
            </w:r>
            <w:r w:rsidR="007F3F8A" w:rsidRPr="00060691">
              <w:rPr>
                <w:sz w:val="20"/>
              </w:rPr>
              <w:t xml:space="preserve"> Aircraft</w:t>
            </w:r>
            <w:r w:rsidR="002B0F2C" w:rsidRPr="00060691">
              <w:rPr>
                <w:sz w:val="20"/>
              </w:rPr>
              <w:t xml:space="preserve"> </w:t>
            </w:r>
          </w:p>
        </w:tc>
        <w:tc>
          <w:tcPr>
            <w:tcW w:w="1417" w:type="dxa"/>
            <w:vAlign w:val="center"/>
          </w:tcPr>
          <w:p w14:paraId="568EE1DA" w14:textId="5CD42B3B" w:rsidR="002B0F2C" w:rsidRPr="00060691" w:rsidRDefault="00774DB9" w:rsidP="001B3A85">
            <w:pPr>
              <w:pStyle w:val="BodyText1"/>
              <w:jc w:val="center"/>
              <w:rPr>
                <w:sz w:val="20"/>
              </w:rPr>
            </w:pPr>
            <w:r w:rsidRPr="00060691">
              <w:rPr>
                <w:sz w:val="20"/>
              </w:rPr>
              <w:t>2011</w:t>
            </w:r>
          </w:p>
        </w:tc>
        <w:tc>
          <w:tcPr>
            <w:tcW w:w="1418" w:type="dxa"/>
            <w:vAlign w:val="center"/>
          </w:tcPr>
          <w:p w14:paraId="427B4A0D" w14:textId="3B98438D" w:rsidR="002B0F2C" w:rsidRPr="00060691" w:rsidRDefault="00774DB9" w:rsidP="001B3A85">
            <w:pPr>
              <w:pStyle w:val="BodyText1"/>
              <w:jc w:val="center"/>
              <w:rPr>
                <w:sz w:val="20"/>
              </w:rPr>
            </w:pPr>
            <w:r w:rsidRPr="00060691">
              <w:rPr>
                <w:sz w:val="20"/>
              </w:rPr>
              <w:t>2018</w:t>
            </w:r>
          </w:p>
        </w:tc>
        <w:tc>
          <w:tcPr>
            <w:tcW w:w="1417" w:type="dxa"/>
            <w:vAlign w:val="center"/>
          </w:tcPr>
          <w:p w14:paraId="0ED4B71B" w14:textId="35636A4A" w:rsidR="002B0F2C" w:rsidRPr="00060691" w:rsidRDefault="006746ED" w:rsidP="001B3A85">
            <w:pPr>
              <w:pStyle w:val="BodyText1"/>
              <w:jc w:val="center"/>
              <w:rPr>
                <w:sz w:val="20"/>
              </w:rPr>
            </w:pPr>
            <w:r w:rsidRPr="00060691">
              <w:rPr>
                <w:sz w:val="20"/>
              </w:rPr>
              <w:t>-</w:t>
            </w:r>
          </w:p>
        </w:tc>
        <w:tc>
          <w:tcPr>
            <w:tcW w:w="1418" w:type="dxa"/>
            <w:vAlign w:val="center"/>
          </w:tcPr>
          <w:p w14:paraId="11814D3F" w14:textId="41F16B27" w:rsidR="002B0F2C" w:rsidRPr="002518AB" w:rsidRDefault="006746ED" w:rsidP="001B3A85">
            <w:pPr>
              <w:pStyle w:val="BodyText1"/>
              <w:jc w:val="center"/>
              <w:rPr>
                <w:sz w:val="20"/>
              </w:rPr>
            </w:pPr>
            <w:r w:rsidRPr="00060691">
              <w:rPr>
                <w:sz w:val="20"/>
              </w:rPr>
              <w:t>-</w:t>
            </w:r>
          </w:p>
        </w:tc>
      </w:tr>
    </w:tbl>
    <w:p w14:paraId="75C489A6" w14:textId="66DE3457" w:rsidR="006C5D64" w:rsidRPr="001B3A85" w:rsidRDefault="00C72816" w:rsidP="00753C6B">
      <w:pPr>
        <w:pStyle w:val="BodyText10"/>
        <w:rPr>
          <w:sz w:val="18"/>
          <w:szCs w:val="18"/>
          <w:lang w:val="en-AU"/>
        </w:rPr>
      </w:pPr>
      <w:r w:rsidRPr="00060691">
        <w:rPr>
          <w:sz w:val="18"/>
          <w:szCs w:val="18"/>
          <w:lang w:val="en-AU"/>
        </w:rPr>
        <w:t>Note: the date is 31 December of the specified year.</w:t>
      </w:r>
    </w:p>
    <w:p w14:paraId="03DE2F7E" w14:textId="733D8CA6" w:rsidR="00ED734A" w:rsidRDefault="00AA506B" w:rsidP="00135661">
      <w:pPr>
        <w:pStyle w:val="BodyText10"/>
      </w:pPr>
      <w:r>
        <w:t xml:space="preserve">However, </w:t>
      </w:r>
      <w:r w:rsidR="007F0444">
        <w:t xml:space="preserve">Member States are not required to </w:t>
      </w:r>
      <w:r w:rsidR="00EF244D">
        <w:t>follow these requirements and can</w:t>
      </w:r>
      <w:r w:rsidR="00194429">
        <w:t xml:space="preserve"> file “differences” </w:t>
      </w:r>
      <w:r>
        <w:t xml:space="preserve">that </w:t>
      </w:r>
      <w:r w:rsidR="00194429">
        <w:t xml:space="preserve">signal an intention </w:t>
      </w:r>
      <w:r w:rsidR="00E07347">
        <w:t xml:space="preserve">not </w:t>
      </w:r>
      <w:r>
        <w:t xml:space="preserve">to </w:t>
      </w:r>
      <w:r w:rsidR="00E07347">
        <w:t xml:space="preserve">meet </w:t>
      </w:r>
      <w:r w:rsidR="00240BD4">
        <w:t xml:space="preserve">these </w:t>
      </w:r>
      <w:r w:rsidR="00E07347">
        <w:t xml:space="preserve">requirements and </w:t>
      </w:r>
      <w:r>
        <w:t xml:space="preserve">to </w:t>
      </w:r>
      <w:r w:rsidR="00E07347">
        <w:t>contin</w:t>
      </w:r>
      <w:r>
        <w:t>ue</w:t>
      </w:r>
      <w:r w:rsidR="00E07347">
        <w:t xml:space="preserve"> to use halons beyond the </w:t>
      </w:r>
      <w:r w:rsidR="006A6C91">
        <w:t>stipulated dates.</w:t>
      </w:r>
      <w:r w:rsidR="00177652">
        <w:t xml:space="preserve"> Some Member States have filed differences</w:t>
      </w:r>
      <w:r w:rsidR="00784D4E">
        <w:t xml:space="preserve"> indicating that they will continue to use halon beyond these dates</w:t>
      </w:r>
      <w:r w:rsidR="00A04537">
        <w:rPr>
          <w:rStyle w:val="FootnoteReference"/>
        </w:rPr>
        <w:footnoteReference w:id="16"/>
      </w:r>
      <w:r w:rsidR="00784D4E">
        <w:t>.</w:t>
      </w:r>
      <w:r w:rsidR="00D02AD6">
        <w:t xml:space="preserve"> </w:t>
      </w:r>
      <w:r w:rsidR="001344F0">
        <w:t xml:space="preserve">Australia has filed differences for </w:t>
      </w:r>
      <w:r w:rsidR="00A50ABA">
        <w:t xml:space="preserve">the </w:t>
      </w:r>
      <w:r w:rsidR="001344F0">
        <w:t>Annex 8</w:t>
      </w:r>
      <w:r w:rsidR="00A50ABA">
        <w:t>,</w:t>
      </w:r>
      <w:r w:rsidR="001344F0">
        <w:t xml:space="preserve"> section 1.2.6</w:t>
      </w:r>
      <w:r w:rsidR="00A50ABA" w:rsidRPr="00A50ABA">
        <w:t xml:space="preserve"> </w:t>
      </w:r>
      <w:r w:rsidR="00A50ABA">
        <w:t>design standard</w:t>
      </w:r>
      <w:r w:rsidR="001344F0">
        <w:t xml:space="preserve"> with respect to engine and auxiliary power units, and </w:t>
      </w:r>
      <w:r w:rsidR="00A50ABA">
        <w:t xml:space="preserve">the </w:t>
      </w:r>
      <w:r w:rsidR="001344F0">
        <w:t>Annex 8</w:t>
      </w:r>
      <w:r w:rsidR="00A50ABA">
        <w:t>,</w:t>
      </w:r>
      <w:r w:rsidR="001344F0">
        <w:t xml:space="preserve"> section 1.2.7 </w:t>
      </w:r>
      <w:r w:rsidR="00A50ABA">
        <w:t>design standard for</w:t>
      </w:r>
      <w:r w:rsidR="001344F0">
        <w:t xml:space="preserve"> cargo compartments. </w:t>
      </w:r>
    </w:p>
    <w:p w14:paraId="5EB51200" w14:textId="32FF0A2E" w:rsidR="00457E08" w:rsidRDefault="00947B69" w:rsidP="0089712B">
      <w:pPr>
        <w:pStyle w:val="BodyText10"/>
      </w:pPr>
      <w:r w:rsidRPr="001B3A85">
        <w:t xml:space="preserve">In July 2019, the International Coordinating Council of Aerospace Industries </w:t>
      </w:r>
      <w:r w:rsidRPr="001B3A85">
        <w:lastRenderedPageBreak/>
        <w:t>Associations (</w:t>
      </w:r>
      <w:r w:rsidR="00D02AD6" w:rsidRPr="0089712B">
        <w:t>ICCAIA</w:t>
      </w:r>
      <w:r w:rsidRPr="00457E08">
        <w:t xml:space="preserve">), an </w:t>
      </w:r>
      <w:r w:rsidR="00C363FF" w:rsidRPr="00D2740C">
        <w:t xml:space="preserve">industry body established </w:t>
      </w:r>
      <w:r w:rsidR="00C363FF" w:rsidRPr="001B3A85">
        <w:t xml:space="preserve">to provide </w:t>
      </w:r>
      <w:r w:rsidR="008260DD" w:rsidRPr="001B3A85">
        <w:t xml:space="preserve">representation by </w:t>
      </w:r>
      <w:r w:rsidR="00C363FF" w:rsidRPr="001B3A85">
        <w:t xml:space="preserve">the civil aircraft industry </w:t>
      </w:r>
      <w:r w:rsidR="008260DD" w:rsidRPr="001B3A85">
        <w:t>and</w:t>
      </w:r>
      <w:r w:rsidR="00C363FF" w:rsidRPr="001B3A85">
        <w:t xml:space="preserve"> observer status in the deliberations of </w:t>
      </w:r>
      <w:r w:rsidR="00FB4DEE">
        <w:t>the International Civil Aviation Organization</w:t>
      </w:r>
      <w:r w:rsidR="009803E8" w:rsidRPr="001B3A85">
        <w:t xml:space="preserve">, </w:t>
      </w:r>
      <w:r w:rsidR="00D02AD6" w:rsidRPr="0089712B">
        <w:t xml:space="preserve">indicated </w:t>
      </w:r>
      <w:r w:rsidR="00F513DA" w:rsidRPr="00457E08">
        <w:t>(</w:t>
      </w:r>
      <w:r w:rsidR="000048B4" w:rsidRPr="00457E08">
        <w:t>in a wor</w:t>
      </w:r>
      <w:r w:rsidR="000048B4" w:rsidRPr="00D2740C">
        <w:t xml:space="preserve">king paper prepared for the 40th Session of the </w:t>
      </w:r>
      <w:r w:rsidR="005C0FFA">
        <w:t>International Civil Aviation Organization</w:t>
      </w:r>
      <w:r w:rsidR="00A053E1" w:rsidRPr="00D2740C">
        <w:t xml:space="preserve"> </w:t>
      </w:r>
      <w:r w:rsidR="00E46984" w:rsidRPr="00D2740C">
        <w:t xml:space="preserve">Assembly </w:t>
      </w:r>
      <w:r w:rsidR="00F513DA" w:rsidRPr="00D2740C">
        <w:t>for</w:t>
      </w:r>
      <w:r w:rsidR="00E46984" w:rsidRPr="00D2740C">
        <w:t xml:space="preserve"> the </w:t>
      </w:r>
      <w:r w:rsidR="00A053E1" w:rsidRPr="00D2740C">
        <w:t>Technical Commission</w:t>
      </w:r>
      <w:r w:rsidR="000048B4" w:rsidRPr="00A669ED">
        <w:rPr>
          <w:rStyle w:val="FootnoteReference"/>
        </w:rPr>
        <w:footnoteReference w:id="17"/>
      </w:r>
      <w:r w:rsidR="00F513DA" w:rsidRPr="0089712B">
        <w:t>)</w:t>
      </w:r>
      <w:r w:rsidR="000048B4" w:rsidRPr="00457E08">
        <w:t xml:space="preserve"> that</w:t>
      </w:r>
      <w:r w:rsidR="00457E08">
        <w:t>:</w:t>
      </w:r>
      <w:r w:rsidR="000048B4" w:rsidRPr="00457E08">
        <w:t xml:space="preserve"> </w:t>
      </w:r>
    </w:p>
    <w:p w14:paraId="3057C665" w14:textId="26F5577F" w:rsidR="00457E08" w:rsidRPr="001B3A85" w:rsidRDefault="001062B2" w:rsidP="001B3A85">
      <w:pPr>
        <w:pStyle w:val="BodyText10"/>
        <w:numPr>
          <w:ilvl w:val="0"/>
          <w:numId w:val="17"/>
        </w:numPr>
        <w:rPr>
          <w:lang w:val="en-US"/>
        </w:rPr>
      </w:pPr>
      <w:r w:rsidRPr="001B3A85">
        <w:rPr>
          <w:i/>
          <w:iCs/>
        </w:rPr>
        <w:t>Engine/</w:t>
      </w:r>
      <w:r w:rsidR="00D14789">
        <w:rPr>
          <w:i/>
          <w:iCs/>
        </w:rPr>
        <w:t>Auxiliary Power Unit</w:t>
      </w:r>
      <w:r w:rsidR="002479AF">
        <w:rPr>
          <w:i/>
          <w:iCs/>
        </w:rPr>
        <w:t>s</w:t>
      </w:r>
      <w:r>
        <w:t>—</w:t>
      </w:r>
      <w:r w:rsidR="002872D5">
        <w:t xml:space="preserve">an industry consortium </w:t>
      </w:r>
      <w:r w:rsidR="00265FFF">
        <w:t xml:space="preserve">(the </w:t>
      </w:r>
      <w:r w:rsidR="00265FFF" w:rsidRPr="00265FFF">
        <w:rPr>
          <w:lang w:val="en-US"/>
        </w:rPr>
        <w:t>Engine/</w:t>
      </w:r>
      <w:r w:rsidR="004435C1">
        <w:rPr>
          <w:lang w:val="en-US"/>
        </w:rPr>
        <w:t>Auxiliary Power Unit</w:t>
      </w:r>
      <w:r w:rsidR="00265FFF" w:rsidRPr="00265FFF">
        <w:rPr>
          <w:lang w:val="en-US"/>
        </w:rPr>
        <w:t xml:space="preserve"> Halon Alternatives Research Industry Consortium) </w:t>
      </w:r>
      <w:r w:rsidR="006678E9">
        <w:t>has been</w:t>
      </w:r>
      <w:r w:rsidR="002872D5">
        <w:t xml:space="preserve"> formed </w:t>
      </w:r>
      <w:r w:rsidR="00486E0A">
        <w:t>and is implementing a phased plan</w:t>
      </w:r>
      <w:r w:rsidR="006678E9">
        <w:t xml:space="preserve"> to progress the development of </w:t>
      </w:r>
      <w:r w:rsidR="00ED0195">
        <w:t xml:space="preserve">halon </w:t>
      </w:r>
      <w:r w:rsidR="006678E9">
        <w:t>alternatives</w:t>
      </w:r>
      <w:r w:rsidR="00FD3B6F">
        <w:t xml:space="preserve">, scheduled for completion </w:t>
      </w:r>
      <w:r w:rsidR="00D03307">
        <w:t>by the end of 2022</w:t>
      </w:r>
      <w:r w:rsidR="006678E9">
        <w:t xml:space="preserve">. </w:t>
      </w:r>
    </w:p>
    <w:p w14:paraId="3D4E300E" w14:textId="46A03281" w:rsidR="0089712B" w:rsidRDefault="00D2740C" w:rsidP="004465AD">
      <w:pPr>
        <w:pStyle w:val="BodyText10"/>
        <w:numPr>
          <w:ilvl w:val="0"/>
          <w:numId w:val="17"/>
        </w:numPr>
      </w:pPr>
      <w:r w:rsidRPr="001B3A85">
        <w:rPr>
          <w:i/>
          <w:iCs/>
        </w:rPr>
        <w:t>Cargo</w:t>
      </w:r>
      <w:r w:rsidR="005A4C71">
        <w:rPr>
          <w:i/>
          <w:iCs/>
        </w:rPr>
        <w:t xml:space="preserve"> compartment systems</w:t>
      </w:r>
      <w:r>
        <w:t>— t</w:t>
      </w:r>
      <w:r w:rsidR="0089712B" w:rsidRPr="001B3A85">
        <w:t xml:space="preserve">he industry is committed to supporting the 2024 deadline for halon replacement in cargo compartments of new type certificated aircraft with applications submitted after November 2024. </w:t>
      </w:r>
    </w:p>
    <w:p w14:paraId="2E2CE927" w14:textId="01942FF3" w:rsidR="00AF3C42" w:rsidRPr="001B3A85" w:rsidRDefault="00AF3C42" w:rsidP="001B3A85">
      <w:pPr>
        <w:pStyle w:val="BodyText10"/>
        <w:numPr>
          <w:ilvl w:val="0"/>
          <w:numId w:val="17"/>
        </w:numPr>
      </w:pPr>
      <w:r>
        <w:t>If a</w:t>
      </w:r>
      <w:r w:rsidR="00F86211">
        <w:t xml:space="preserve"> </w:t>
      </w:r>
      <w:r w:rsidR="005A4C71">
        <w:t xml:space="preserve">halon replacement </w:t>
      </w:r>
      <w:r w:rsidR="00F86211">
        <w:t xml:space="preserve">candidate </w:t>
      </w:r>
      <w:r w:rsidR="005A4C71">
        <w:t xml:space="preserve">for </w:t>
      </w:r>
      <w:r w:rsidR="005A4C71" w:rsidRPr="001B3A85">
        <w:rPr>
          <w:i/>
          <w:iCs/>
        </w:rPr>
        <w:t>cargo compartment systems</w:t>
      </w:r>
      <w:r w:rsidR="005A4C71">
        <w:t xml:space="preserve"> </w:t>
      </w:r>
      <w:r w:rsidR="00F86211">
        <w:t>has not been demonstrated to be application ready by the 41</w:t>
      </w:r>
      <w:r w:rsidR="00F86211" w:rsidRPr="001B3A85">
        <w:rPr>
          <w:vertAlign w:val="superscript"/>
        </w:rPr>
        <w:t>st</w:t>
      </w:r>
      <w:r w:rsidR="00F86211">
        <w:t xml:space="preserve"> Session of the </w:t>
      </w:r>
      <w:r w:rsidR="00274BD5">
        <w:t>International Civil Aviation Organization</w:t>
      </w:r>
      <w:r w:rsidR="00F86211">
        <w:t xml:space="preserve"> Assembly</w:t>
      </w:r>
      <w:r w:rsidR="0015428E">
        <w:t xml:space="preserve"> </w:t>
      </w:r>
      <w:r w:rsidR="009B559C">
        <w:t>which must be held before the end of 2022</w:t>
      </w:r>
      <w:r w:rsidR="004574F0">
        <w:t xml:space="preserve">, </w:t>
      </w:r>
      <w:r w:rsidR="0035684A">
        <w:t xml:space="preserve">the </w:t>
      </w:r>
      <w:r w:rsidR="0035684A" w:rsidRPr="001B3A85">
        <w:t>International Coordinating Council of Aerospace Industries Associations</w:t>
      </w:r>
      <w:r w:rsidR="00265FFF">
        <w:t xml:space="preserve"> will identify </w:t>
      </w:r>
      <w:r w:rsidR="004574F0">
        <w:t>the reasons for no</w:t>
      </w:r>
      <w:r w:rsidR="005A4C71">
        <w:t>t</w:t>
      </w:r>
      <w:r w:rsidR="004574F0">
        <w:t xml:space="preserve"> adhering to the timeline </w:t>
      </w:r>
      <w:r w:rsidR="00265FFF">
        <w:t>and</w:t>
      </w:r>
      <w:r w:rsidR="004574F0">
        <w:t xml:space="preserve"> </w:t>
      </w:r>
      <w:r w:rsidR="005A4C71">
        <w:t>indicate the implications for meeting the 2024 deadline.</w:t>
      </w:r>
    </w:p>
    <w:p w14:paraId="431AF84B" w14:textId="314C71ED" w:rsidR="000979F2" w:rsidRPr="0089712B" w:rsidRDefault="0035684A" w:rsidP="0089712B">
      <w:pPr>
        <w:pStyle w:val="BodyText10"/>
      </w:pPr>
      <w:r>
        <w:t xml:space="preserve">The </w:t>
      </w:r>
      <w:r w:rsidRPr="001B3A85">
        <w:t>International Coordinating Council of Aerospace Industries Associations</w:t>
      </w:r>
      <w:r w:rsidR="00305A4E">
        <w:t xml:space="preserve"> outlined the risks </w:t>
      </w:r>
      <w:r w:rsidR="003B420C">
        <w:t xml:space="preserve">of delays in meeting the </w:t>
      </w:r>
      <w:r w:rsidR="003038FC">
        <w:t>International Civil Aviation Organization</w:t>
      </w:r>
      <w:r w:rsidR="003B420C">
        <w:t xml:space="preserve"> </w:t>
      </w:r>
      <w:r w:rsidR="00A752FF">
        <w:t>Standards and Recommended Practice</w:t>
      </w:r>
      <w:r w:rsidR="003C1E8F">
        <w:t xml:space="preserve">s that are </w:t>
      </w:r>
      <w:r w:rsidR="00305A4E">
        <w:t xml:space="preserve">associated with </w:t>
      </w:r>
      <w:r w:rsidR="0006601A">
        <w:t xml:space="preserve">the </w:t>
      </w:r>
      <w:r w:rsidR="003C1E8F">
        <w:t xml:space="preserve">uncertainties </w:t>
      </w:r>
      <w:r w:rsidR="0006601A">
        <w:t>in</w:t>
      </w:r>
      <w:r w:rsidR="003C1E8F">
        <w:t xml:space="preserve"> </w:t>
      </w:r>
      <w:r w:rsidR="00ED0195">
        <w:t xml:space="preserve">halon </w:t>
      </w:r>
      <w:r w:rsidR="00305A4E">
        <w:t>alternative</w:t>
      </w:r>
      <w:r w:rsidR="0022234C">
        <w:t>s</w:t>
      </w:r>
      <w:r w:rsidR="00305A4E">
        <w:t xml:space="preserve"> development</w:t>
      </w:r>
      <w:r w:rsidR="0022234C">
        <w:t xml:space="preserve">, </w:t>
      </w:r>
      <w:r w:rsidR="00305A4E">
        <w:t xml:space="preserve">testing and </w:t>
      </w:r>
      <w:r w:rsidR="003B420C">
        <w:t>certification</w:t>
      </w:r>
      <w:r w:rsidR="0022234C">
        <w:t>s</w:t>
      </w:r>
      <w:r w:rsidR="003B420C">
        <w:t xml:space="preserve"> by regulatory authorit</w:t>
      </w:r>
      <w:r w:rsidR="003C1E8F">
        <w:t>i</w:t>
      </w:r>
      <w:r w:rsidR="003B420C">
        <w:t>es</w:t>
      </w:r>
      <w:r w:rsidR="0006601A">
        <w:t>.</w:t>
      </w:r>
    </w:p>
    <w:p w14:paraId="7CD1234C" w14:textId="59B4BE93" w:rsidR="0066581C" w:rsidRDefault="0066581C" w:rsidP="00324056">
      <w:pPr>
        <w:pStyle w:val="Heading3"/>
      </w:pPr>
      <w:bookmarkStart w:id="23" w:name="_Toc38190330"/>
      <w:r w:rsidRPr="00135661">
        <w:t xml:space="preserve">European Union </w:t>
      </w:r>
      <w:r w:rsidR="00CA46B1">
        <w:t xml:space="preserve">Requirements for </w:t>
      </w:r>
      <w:r w:rsidR="004847B0" w:rsidRPr="00135661">
        <w:t>Halon Replacement</w:t>
      </w:r>
      <w:r w:rsidR="00CA46B1">
        <w:t>s</w:t>
      </w:r>
      <w:bookmarkEnd w:id="23"/>
      <w:r w:rsidR="004847B0" w:rsidRPr="00135661">
        <w:t xml:space="preserve"> </w:t>
      </w:r>
    </w:p>
    <w:p w14:paraId="70D6EF31" w14:textId="2380D9DF" w:rsidR="00F579E3" w:rsidRDefault="00F579E3" w:rsidP="002A5D0C">
      <w:pPr>
        <w:pStyle w:val="BodyText10"/>
      </w:pPr>
      <w:r w:rsidRPr="001B3A85">
        <w:t xml:space="preserve">The European Union (EU) banned all non-critical uses of halons </w:t>
      </w:r>
      <w:r w:rsidR="009C157D">
        <w:t xml:space="preserve">in aircraft </w:t>
      </w:r>
      <w:r w:rsidRPr="001B3A85">
        <w:t xml:space="preserve">in 2003. Critical uses </w:t>
      </w:r>
      <w:r w:rsidR="00147AE6" w:rsidRPr="001B3A85">
        <w:t xml:space="preserve">of halon </w:t>
      </w:r>
      <w:r w:rsidR="009C157D">
        <w:t xml:space="preserve">in aircraft </w:t>
      </w:r>
      <w:r w:rsidR="00147AE6" w:rsidRPr="001B3A85">
        <w:t>are listed in Annex VI to Regulation (EC) No. 1005/2009</w:t>
      </w:r>
      <w:r w:rsidR="00414F3B" w:rsidRPr="001B3A85">
        <w:t xml:space="preserve">, which </w:t>
      </w:r>
      <w:r w:rsidRPr="001B3A85">
        <w:t>include</w:t>
      </w:r>
      <w:r w:rsidR="00414F3B" w:rsidRPr="001B3A85">
        <w:t>s</w:t>
      </w:r>
      <w:r w:rsidRPr="001B3A85">
        <w:t xml:space="preserve"> </w:t>
      </w:r>
      <w:r w:rsidR="00414F3B" w:rsidRPr="001B3A85">
        <w:t>the</w:t>
      </w:r>
      <w:r w:rsidRPr="001B3A85">
        <w:t xml:space="preserve"> </w:t>
      </w:r>
      <w:r w:rsidR="00414F3B" w:rsidRPr="001B3A85">
        <w:t xml:space="preserve">permitted </w:t>
      </w:r>
      <w:r w:rsidRPr="001B3A85">
        <w:t>on-board uses of halons in aviation</w:t>
      </w:r>
      <w:r w:rsidR="009D4174">
        <w:t xml:space="preserve">. </w:t>
      </w:r>
      <w:r w:rsidR="002A5D0C" w:rsidRPr="001B3A85">
        <w:t>Regulation (E</w:t>
      </w:r>
      <w:r w:rsidR="00D55D09">
        <w:t>U</w:t>
      </w:r>
      <w:r w:rsidR="002A5D0C" w:rsidRPr="001B3A85">
        <w:t>) No</w:t>
      </w:r>
      <w:r w:rsidR="002A5D0C">
        <w:t>.</w:t>
      </w:r>
      <w:r w:rsidR="002A5D0C" w:rsidRPr="001B3A85">
        <w:t xml:space="preserve"> 744/2010 </w:t>
      </w:r>
      <w:r w:rsidR="009D4174">
        <w:t>amended Regulation (EC) No. 1005/2009 and</w:t>
      </w:r>
      <w:r w:rsidR="00385920" w:rsidRPr="00CE3C36">
        <w:t xml:space="preserve"> Annex VI </w:t>
      </w:r>
      <w:r w:rsidR="00385920">
        <w:t>to</w:t>
      </w:r>
      <w:r w:rsidR="00385920" w:rsidRPr="00CE3C36">
        <w:t xml:space="preserve"> </w:t>
      </w:r>
      <w:r w:rsidR="00964821">
        <w:t>include</w:t>
      </w:r>
      <w:r w:rsidRPr="001B3A85">
        <w:t xml:space="preserve"> “cut-off dates”</w:t>
      </w:r>
      <w:r w:rsidR="00C921DC">
        <w:t xml:space="preserve">, </w:t>
      </w:r>
      <w:r w:rsidR="002563F1">
        <w:t>after which halons cannot be used for fire extinguishers or fire</w:t>
      </w:r>
      <w:r w:rsidR="001160AB">
        <w:t xml:space="preserve"> </w:t>
      </w:r>
      <w:r w:rsidR="002563F1">
        <w:t xml:space="preserve">protection systems for new equipment </w:t>
      </w:r>
      <w:r w:rsidR="00C921DC">
        <w:t>(</w:t>
      </w:r>
      <w:r w:rsidR="001B40E7">
        <w:t xml:space="preserve">e.g., </w:t>
      </w:r>
      <w:r w:rsidRPr="001B3A85">
        <w:t xml:space="preserve">new </w:t>
      </w:r>
      <w:r w:rsidR="00CB3D86">
        <w:t>design aircraft</w:t>
      </w:r>
      <w:r w:rsidR="00C921DC">
        <w:t>)</w:t>
      </w:r>
      <w:r w:rsidRPr="001B3A85">
        <w:t>, and “end dates”</w:t>
      </w:r>
      <w:r w:rsidR="00C921DC">
        <w:t>,</w:t>
      </w:r>
      <w:r w:rsidRPr="001B3A85">
        <w:t xml:space="preserve"> </w:t>
      </w:r>
      <w:r w:rsidR="00C921DC">
        <w:t>after which</w:t>
      </w:r>
      <w:r w:rsidRPr="001B3A85">
        <w:t xml:space="preserve"> </w:t>
      </w:r>
      <w:r w:rsidR="00DB0E02">
        <w:t xml:space="preserve">halon cannot be used for the application and </w:t>
      </w:r>
      <w:r w:rsidR="001160AB">
        <w:t>when</w:t>
      </w:r>
      <w:r w:rsidR="00DB0E02">
        <w:t xml:space="preserve"> </w:t>
      </w:r>
      <w:r w:rsidRPr="001B3A85">
        <w:t xml:space="preserve">halon </w:t>
      </w:r>
      <w:r w:rsidR="00DB0E02" w:rsidRPr="00152E95">
        <w:t>extinguishers</w:t>
      </w:r>
      <w:r w:rsidR="00DB0E02" w:rsidRPr="00DB0E02">
        <w:t xml:space="preserve"> </w:t>
      </w:r>
      <w:r w:rsidR="00DB0E02">
        <w:t xml:space="preserve">and fire protection systems </w:t>
      </w:r>
      <w:r w:rsidRPr="001B3A85">
        <w:lastRenderedPageBreak/>
        <w:t xml:space="preserve">must be decommissioned. </w:t>
      </w:r>
    </w:p>
    <w:p w14:paraId="09956B61" w14:textId="108671AD" w:rsidR="00F31F8D" w:rsidRDefault="00E77414" w:rsidP="001B3A85">
      <w:pPr>
        <w:pStyle w:val="BodyText10"/>
      </w:pPr>
      <w:r w:rsidRPr="00E77414">
        <w:rPr>
          <w:lang w:val="en-AU"/>
        </w:rPr>
        <w:t>Commission Regulation (EU) 2015/64011</w:t>
      </w:r>
      <w:r w:rsidR="002C3314">
        <w:rPr>
          <w:lang w:val="en-AU"/>
        </w:rPr>
        <w:t>,</w:t>
      </w:r>
      <w:r w:rsidRPr="00E77414">
        <w:rPr>
          <w:lang w:val="en-AU"/>
        </w:rPr>
        <w:t xml:space="preserve"> </w:t>
      </w:r>
      <w:r w:rsidR="005F685D">
        <w:rPr>
          <w:lang w:val="en-AU"/>
        </w:rPr>
        <w:t>as amended by (EU) 2019/133</w:t>
      </w:r>
      <w:r w:rsidR="002C3314">
        <w:rPr>
          <w:lang w:val="en-AU"/>
        </w:rPr>
        <w:t>,</w:t>
      </w:r>
      <w:r w:rsidR="005F685D">
        <w:rPr>
          <w:lang w:val="en-AU"/>
        </w:rPr>
        <w:t xml:space="preserve"> </w:t>
      </w:r>
      <w:r w:rsidRPr="00E77414">
        <w:rPr>
          <w:lang w:val="en-AU"/>
        </w:rPr>
        <w:t>provides for the replacement of halon in lavatories (from 18 May 2019) and handheld fire extinguishers (from 18 February 2020) on newly produced aircraft (i.e. ‘forward fit’) based on existing aircraft type certificates.</w:t>
      </w:r>
      <w:r w:rsidR="000E1713">
        <w:rPr>
          <w:rStyle w:val="FootnoteReference"/>
          <w:lang w:val="en-AU"/>
        </w:rPr>
        <w:footnoteReference w:id="18"/>
      </w:r>
      <w:r w:rsidR="00FE0A4F">
        <w:rPr>
          <w:lang w:val="en-AU"/>
        </w:rPr>
        <w:t xml:space="preserve"> These </w:t>
      </w:r>
      <w:r w:rsidR="00582BC0">
        <w:rPr>
          <w:lang w:val="en-AU"/>
        </w:rPr>
        <w:t>European Union</w:t>
      </w:r>
      <w:r w:rsidR="00325553">
        <w:rPr>
          <w:lang w:val="en-AU"/>
        </w:rPr>
        <w:t xml:space="preserve"> </w:t>
      </w:r>
      <w:r w:rsidR="00FE0A4F">
        <w:rPr>
          <w:lang w:val="en-AU"/>
        </w:rPr>
        <w:t xml:space="preserve">requirements differ from </w:t>
      </w:r>
      <w:r w:rsidR="00325553">
        <w:rPr>
          <w:lang w:val="en-AU"/>
        </w:rPr>
        <w:t xml:space="preserve">those of </w:t>
      </w:r>
      <w:r w:rsidR="003038FC">
        <w:rPr>
          <w:lang w:val="en-AU"/>
        </w:rPr>
        <w:t>the International Civil Aviation Organization</w:t>
      </w:r>
      <w:r w:rsidR="00325553">
        <w:rPr>
          <w:lang w:val="en-AU"/>
        </w:rPr>
        <w:t>.</w:t>
      </w:r>
    </w:p>
    <w:p w14:paraId="66791E56" w14:textId="60A99945" w:rsidR="008B77C9" w:rsidRPr="001B3A85" w:rsidRDefault="008B77C9" w:rsidP="00FA437A">
      <w:pPr>
        <w:pStyle w:val="BodyText10"/>
        <w:tabs>
          <w:tab w:val="left" w:pos="1418"/>
        </w:tabs>
        <w:rPr>
          <w:b/>
          <w:bCs/>
          <w:i/>
          <w:iCs/>
        </w:rPr>
      </w:pPr>
      <w:r w:rsidRPr="001B3A85">
        <w:rPr>
          <w:b/>
          <w:bCs/>
          <w:i/>
          <w:iCs/>
        </w:rPr>
        <w:t>Table 2.</w:t>
      </w:r>
      <w:r w:rsidR="00FA437A">
        <w:rPr>
          <w:b/>
          <w:bCs/>
          <w:i/>
          <w:iCs/>
        </w:rPr>
        <w:t>3</w:t>
      </w:r>
      <w:r w:rsidRPr="001B3A85">
        <w:rPr>
          <w:b/>
          <w:bCs/>
          <w:i/>
          <w:iCs/>
        </w:rPr>
        <w:t>:</w:t>
      </w:r>
      <w:r w:rsidR="00C24F0C">
        <w:rPr>
          <w:b/>
          <w:bCs/>
          <w:i/>
          <w:iCs/>
        </w:rPr>
        <w:tab/>
      </w:r>
      <w:r w:rsidRPr="001B3A85">
        <w:rPr>
          <w:b/>
          <w:bCs/>
          <w:i/>
          <w:iCs/>
        </w:rPr>
        <w:t xml:space="preserve">European Union Halon Replacement </w:t>
      </w:r>
      <w:r w:rsidR="00C24F0C" w:rsidRPr="001B3A85">
        <w:rPr>
          <w:b/>
          <w:bCs/>
          <w:i/>
          <w:iCs/>
        </w:rPr>
        <w:t>Requirements</w:t>
      </w:r>
    </w:p>
    <w:tbl>
      <w:tblPr>
        <w:tblStyle w:val="TableGrid"/>
        <w:tblW w:w="8613" w:type="dxa"/>
        <w:tblLayout w:type="fixed"/>
        <w:tblLook w:val="04A0" w:firstRow="1" w:lastRow="0" w:firstColumn="1" w:lastColumn="0" w:noHBand="0" w:noVBand="1"/>
      </w:tblPr>
      <w:tblGrid>
        <w:gridCol w:w="2943"/>
        <w:gridCol w:w="1417"/>
        <w:gridCol w:w="1418"/>
        <w:gridCol w:w="1417"/>
        <w:gridCol w:w="1418"/>
      </w:tblGrid>
      <w:tr w:rsidR="00766664" w:rsidRPr="002518AB" w14:paraId="45EBD5D6" w14:textId="77777777" w:rsidTr="001B3A85">
        <w:tc>
          <w:tcPr>
            <w:tcW w:w="2943" w:type="dxa"/>
          </w:tcPr>
          <w:p w14:paraId="492DBB60" w14:textId="77777777" w:rsidR="00766664" w:rsidRPr="002518AB" w:rsidRDefault="00766664" w:rsidP="00BD75CA">
            <w:pPr>
              <w:pStyle w:val="BodyText1"/>
              <w:rPr>
                <w:b/>
                <w:sz w:val="20"/>
              </w:rPr>
            </w:pPr>
          </w:p>
        </w:tc>
        <w:tc>
          <w:tcPr>
            <w:tcW w:w="1417" w:type="dxa"/>
            <w:vAlign w:val="center"/>
          </w:tcPr>
          <w:p w14:paraId="7A7A3A3F" w14:textId="77777777" w:rsidR="00766664" w:rsidRPr="002518AB" w:rsidRDefault="00766664" w:rsidP="001B3A85">
            <w:pPr>
              <w:pStyle w:val="BodyText1"/>
              <w:jc w:val="center"/>
              <w:rPr>
                <w:b/>
                <w:sz w:val="20"/>
              </w:rPr>
            </w:pPr>
            <w:r w:rsidRPr="002518AB">
              <w:rPr>
                <w:b/>
                <w:sz w:val="20"/>
              </w:rPr>
              <w:t>Lavatory</w:t>
            </w:r>
          </w:p>
        </w:tc>
        <w:tc>
          <w:tcPr>
            <w:tcW w:w="1418" w:type="dxa"/>
            <w:vAlign w:val="center"/>
          </w:tcPr>
          <w:p w14:paraId="3E198410" w14:textId="77777777" w:rsidR="00766664" w:rsidRPr="002518AB" w:rsidRDefault="00766664" w:rsidP="001B3A85">
            <w:pPr>
              <w:pStyle w:val="BodyText1"/>
              <w:jc w:val="center"/>
              <w:rPr>
                <w:b/>
                <w:sz w:val="20"/>
              </w:rPr>
            </w:pPr>
            <w:r w:rsidRPr="002518AB">
              <w:rPr>
                <w:b/>
                <w:sz w:val="20"/>
              </w:rPr>
              <w:t>Handheld</w:t>
            </w:r>
          </w:p>
        </w:tc>
        <w:tc>
          <w:tcPr>
            <w:tcW w:w="1417" w:type="dxa"/>
            <w:vAlign w:val="center"/>
          </w:tcPr>
          <w:p w14:paraId="73EC3958" w14:textId="77777777" w:rsidR="00766664" w:rsidRPr="002518AB" w:rsidRDefault="00766664" w:rsidP="001B3A85">
            <w:pPr>
              <w:pStyle w:val="BodyText1"/>
              <w:jc w:val="center"/>
              <w:rPr>
                <w:b/>
                <w:sz w:val="20"/>
              </w:rPr>
            </w:pPr>
            <w:r w:rsidRPr="002518AB">
              <w:rPr>
                <w:b/>
                <w:sz w:val="20"/>
              </w:rPr>
              <w:t>Engine/APU</w:t>
            </w:r>
          </w:p>
        </w:tc>
        <w:tc>
          <w:tcPr>
            <w:tcW w:w="1418" w:type="dxa"/>
            <w:vAlign w:val="center"/>
          </w:tcPr>
          <w:p w14:paraId="4860D583" w14:textId="77777777" w:rsidR="00766664" w:rsidRPr="002518AB" w:rsidRDefault="00766664" w:rsidP="001B3A85">
            <w:pPr>
              <w:pStyle w:val="BodyText1"/>
              <w:jc w:val="center"/>
              <w:rPr>
                <w:b/>
                <w:sz w:val="20"/>
              </w:rPr>
            </w:pPr>
            <w:r w:rsidRPr="002518AB">
              <w:rPr>
                <w:b/>
                <w:sz w:val="20"/>
              </w:rPr>
              <w:t>Cargo</w:t>
            </w:r>
          </w:p>
        </w:tc>
      </w:tr>
      <w:tr w:rsidR="00766664" w:rsidRPr="002518AB" w14:paraId="00F8E166" w14:textId="77777777" w:rsidTr="001B3A85">
        <w:trPr>
          <w:trHeight w:val="723"/>
        </w:trPr>
        <w:tc>
          <w:tcPr>
            <w:tcW w:w="2943" w:type="dxa"/>
            <w:vAlign w:val="center"/>
          </w:tcPr>
          <w:p w14:paraId="72C01665" w14:textId="77777777" w:rsidR="00B1382B" w:rsidRDefault="003C162B" w:rsidP="00BD75CA">
            <w:pPr>
              <w:pStyle w:val="BodyText1"/>
              <w:rPr>
                <w:sz w:val="20"/>
              </w:rPr>
            </w:pPr>
            <w:r>
              <w:rPr>
                <w:sz w:val="20"/>
              </w:rPr>
              <w:t xml:space="preserve">New Design Aircraft </w:t>
            </w:r>
          </w:p>
          <w:p w14:paraId="03774504" w14:textId="48C5F153" w:rsidR="00766664" w:rsidRPr="002518AB" w:rsidRDefault="003C162B" w:rsidP="00BD75CA">
            <w:pPr>
              <w:pStyle w:val="BodyText1"/>
              <w:rPr>
                <w:sz w:val="20"/>
              </w:rPr>
            </w:pPr>
            <w:r>
              <w:rPr>
                <w:sz w:val="20"/>
              </w:rPr>
              <w:t>(</w:t>
            </w:r>
            <w:r w:rsidR="00CF41FD" w:rsidRPr="002518AB">
              <w:rPr>
                <w:sz w:val="20"/>
              </w:rPr>
              <w:t xml:space="preserve">Cut-off Dates for </w:t>
            </w:r>
            <w:r w:rsidR="00D87FC2" w:rsidRPr="002518AB">
              <w:rPr>
                <w:sz w:val="20"/>
              </w:rPr>
              <w:t>Applications</w:t>
            </w:r>
            <w:r w:rsidR="00D87FC2">
              <w:rPr>
                <w:sz w:val="20"/>
              </w:rPr>
              <w:t xml:space="preserve"> for </w:t>
            </w:r>
            <w:r w:rsidR="00766664" w:rsidRPr="002518AB">
              <w:rPr>
                <w:sz w:val="20"/>
              </w:rPr>
              <w:t xml:space="preserve">New </w:t>
            </w:r>
            <w:r w:rsidR="00F77DC4">
              <w:rPr>
                <w:sz w:val="20"/>
              </w:rPr>
              <w:t xml:space="preserve">Aircraft </w:t>
            </w:r>
            <w:r w:rsidR="00766664" w:rsidRPr="002518AB">
              <w:rPr>
                <w:sz w:val="20"/>
              </w:rPr>
              <w:t>Type Certification</w:t>
            </w:r>
            <w:r w:rsidR="005F0E99">
              <w:rPr>
                <w:sz w:val="20"/>
              </w:rPr>
              <w:t>)</w:t>
            </w:r>
          </w:p>
        </w:tc>
        <w:tc>
          <w:tcPr>
            <w:tcW w:w="1417" w:type="dxa"/>
            <w:vAlign w:val="center"/>
          </w:tcPr>
          <w:p w14:paraId="119F6EDE" w14:textId="77777777" w:rsidR="00766664" w:rsidRPr="002518AB" w:rsidRDefault="00766664" w:rsidP="001B3A85">
            <w:pPr>
              <w:pStyle w:val="BodyText1"/>
              <w:jc w:val="center"/>
              <w:rPr>
                <w:sz w:val="20"/>
              </w:rPr>
            </w:pPr>
            <w:r w:rsidRPr="002518AB">
              <w:rPr>
                <w:sz w:val="20"/>
              </w:rPr>
              <w:t>2011</w:t>
            </w:r>
          </w:p>
        </w:tc>
        <w:tc>
          <w:tcPr>
            <w:tcW w:w="1418" w:type="dxa"/>
            <w:vAlign w:val="center"/>
          </w:tcPr>
          <w:p w14:paraId="2C6CE7E8" w14:textId="77777777" w:rsidR="00766664" w:rsidRPr="002518AB" w:rsidRDefault="00766664" w:rsidP="001B3A85">
            <w:pPr>
              <w:pStyle w:val="BodyText1"/>
              <w:jc w:val="center"/>
              <w:rPr>
                <w:sz w:val="20"/>
              </w:rPr>
            </w:pPr>
            <w:r w:rsidRPr="002518AB">
              <w:rPr>
                <w:sz w:val="20"/>
              </w:rPr>
              <w:t>2014</w:t>
            </w:r>
          </w:p>
        </w:tc>
        <w:tc>
          <w:tcPr>
            <w:tcW w:w="1417" w:type="dxa"/>
            <w:vAlign w:val="center"/>
          </w:tcPr>
          <w:p w14:paraId="69097E07" w14:textId="77777777" w:rsidR="00766664" w:rsidRPr="002518AB" w:rsidRDefault="00766664" w:rsidP="001B3A85">
            <w:pPr>
              <w:pStyle w:val="BodyText1"/>
              <w:jc w:val="center"/>
              <w:rPr>
                <w:sz w:val="20"/>
              </w:rPr>
            </w:pPr>
            <w:r w:rsidRPr="002518AB">
              <w:rPr>
                <w:sz w:val="20"/>
              </w:rPr>
              <w:t>2014</w:t>
            </w:r>
          </w:p>
        </w:tc>
        <w:tc>
          <w:tcPr>
            <w:tcW w:w="1418" w:type="dxa"/>
            <w:vAlign w:val="center"/>
          </w:tcPr>
          <w:p w14:paraId="2C34CF13" w14:textId="77777777" w:rsidR="00766664" w:rsidRPr="002518AB" w:rsidRDefault="00766664" w:rsidP="001B3A85">
            <w:pPr>
              <w:pStyle w:val="BodyText1"/>
              <w:jc w:val="center"/>
              <w:rPr>
                <w:sz w:val="20"/>
              </w:rPr>
            </w:pPr>
            <w:r w:rsidRPr="002518AB">
              <w:rPr>
                <w:sz w:val="20"/>
              </w:rPr>
              <w:t>2018</w:t>
            </w:r>
          </w:p>
        </w:tc>
      </w:tr>
      <w:tr w:rsidR="00244C55" w:rsidRPr="002518AB" w14:paraId="7123B1FC" w14:textId="77777777" w:rsidTr="001B3A85">
        <w:trPr>
          <w:trHeight w:val="723"/>
        </w:trPr>
        <w:tc>
          <w:tcPr>
            <w:tcW w:w="2943" w:type="dxa"/>
            <w:vAlign w:val="center"/>
          </w:tcPr>
          <w:p w14:paraId="0DED95C8" w14:textId="3E52B327" w:rsidR="00244C55" w:rsidRPr="002518AB" w:rsidRDefault="00D67347" w:rsidP="00BD75CA">
            <w:pPr>
              <w:pStyle w:val="BodyText1"/>
              <w:rPr>
                <w:sz w:val="20"/>
              </w:rPr>
            </w:pPr>
            <w:r>
              <w:rPr>
                <w:sz w:val="20"/>
              </w:rPr>
              <w:t>Current Production</w:t>
            </w:r>
            <w:r w:rsidR="0013511E">
              <w:rPr>
                <w:sz w:val="20"/>
              </w:rPr>
              <w:t xml:space="preserve"> Aircraft</w:t>
            </w:r>
          </w:p>
        </w:tc>
        <w:tc>
          <w:tcPr>
            <w:tcW w:w="1417" w:type="dxa"/>
            <w:vAlign w:val="center"/>
          </w:tcPr>
          <w:p w14:paraId="6E97C077" w14:textId="3384FECB" w:rsidR="00244C55" w:rsidRPr="002518AB" w:rsidRDefault="00F21A57" w:rsidP="001B3A85">
            <w:pPr>
              <w:pStyle w:val="BodyText1"/>
              <w:jc w:val="center"/>
              <w:rPr>
                <w:sz w:val="20"/>
              </w:rPr>
            </w:pPr>
            <w:r>
              <w:rPr>
                <w:sz w:val="20"/>
              </w:rPr>
              <w:t>Feb</w:t>
            </w:r>
            <w:r w:rsidR="00250D08">
              <w:rPr>
                <w:sz w:val="20"/>
              </w:rPr>
              <w:t>.</w:t>
            </w:r>
            <w:r>
              <w:rPr>
                <w:sz w:val="20"/>
              </w:rPr>
              <w:t xml:space="preserve"> </w:t>
            </w:r>
            <w:r w:rsidR="00250D08">
              <w:rPr>
                <w:sz w:val="20"/>
              </w:rPr>
              <w:t xml:space="preserve">18, </w:t>
            </w:r>
            <w:r>
              <w:rPr>
                <w:sz w:val="20"/>
              </w:rPr>
              <w:t>2020</w:t>
            </w:r>
          </w:p>
        </w:tc>
        <w:tc>
          <w:tcPr>
            <w:tcW w:w="1418" w:type="dxa"/>
            <w:vAlign w:val="center"/>
          </w:tcPr>
          <w:p w14:paraId="4EBF98E1" w14:textId="7F4D43BE" w:rsidR="00244C55" w:rsidRPr="002518AB" w:rsidRDefault="00F21A57" w:rsidP="001B3A85">
            <w:pPr>
              <w:pStyle w:val="BodyText1"/>
              <w:jc w:val="center"/>
              <w:rPr>
                <w:sz w:val="20"/>
              </w:rPr>
            </w:pPr>
            <w:r>
              <w:rPr>
                <w:sz w:val="20"/>
              </w:rPr>
              <w:t xml:space="preserve">May </w:t>
            </w:r>
            <w:r w:rsidR="00250D08">
              <w:rPr>
                <w:sz w:val="20"/>
              </w:rPr>
              <w:t xml:space="preserve">18, </w:t>
            </w:r>
            <w:r>
              <w:rPr>
                <w:sz w:val="20"/>
              </w:rPr>
              <w:t>2019</w:t>
            </w:r>
          </w:p>
        </w:tc>
        <w:tc>
          <w:tcPr>
            <w:tcW w:w="1417" w:type="dxa"/>
            <w:vAlign w:val="center"/>
          </w:tcPr>
          <w:p w14:paraId="2758CF20" w14:textId="45FD8590" w:rsidR="00244C55" w:rsidRPr="002518AB" w:rsidRDefault="003763CF" w:rsidP="001B3A85">
            <w:pPr>
              <w:pStyle w:val="BodyText1"/>
              <w:jc w:val="center"/>
              <w:rPr>
                <w:sz w:val="20"/>
              </w:rPr>
            </w:pPr>
            <w:r>
              <w:rPr>
                <w:sz w:val="20"/>
              </w:rPr>
              <w:t>-</w:t>
            </w:r>
          </w:p>
        </w:tc>
        <w:tc>
          <w:tcPr>
            <w:tcW w:w="1418" w:type="dxa"/>
            <w:vAlign w:val="center"/>
          </w:tcPr>
          <w:p w14:paraId="150EBADF" w14:textId="29F9CDB0" w:rsidR="00244C55" w:rsidRPr="002518AB" w:rsidRDefault="003763CF" w:rsidP="001B3A85">
            <w:pPr>
              <w:pStyle w:val="BodyText1"/>
              <w:jc w:val="center"/>
              <w:rPr>
                <w:sz w:val="20"/>
              </w:rPr>
            </w:pPr>
            <w:r>
              <w:rPr>
                <w:sz w:val="20"/>
              </w:rPr>
              <w:t>-</w:t>
            </w:r>
          </w:p>
        </w:tc>
      </w:tr>
      <w:tr w:rsidR="00766664" w:rsidRPr="002518AB" w14:paraId="46B0A7E8" w14:textId="77777777" w:rsidTr="001B3A85">
        <w:trPr>
          <w:trHeight w:val="723"/>
        </w:trPr>
        <w:tc>
          <w:tcPr>
            <w:tcW w:w="2943" w:type="dxa"/>
            <w:vAlign w:val="center"/>
          </w:tcPr>
          <w:p w14:paraId="66EBC332" w14:textId="48FA26AC" w:rsidR="00766664" w:rsidRPr="002518AB" w:rsidRDefault="001076E8" w:rsidP="00BD75CA">
            <w:pPr>
              <w:pStyle w:val="BodyText1"/>
              <w:rPr>
                <w:sz w:val="20"/>
              </w:rPr>
            </w:pPr>
            <w:r>
              <w:rPr>
                <w:sz w:val="20"/>
              </w:rPr>
              <w:t>Retrofit (</w:t>
            </w:r>
            <w:r w:rsidR="00831CA3" w:rsidRPr="002518AB">
              <w:rPr>
                <w:sz w:val="20"/>
              </w:rPr>
              <w:t>End-Use Dates</w:t>
            </w:r>
            <w:r>
              <w:rPr>
                <w:sz w:val="20"/>
              </w:rPr>
              <w:t>)</w:t>
            </w:r>
            <w:r w:rsidR="00831CA3" w:rsidRPr="002518AB">
              <w:rPr>
                <w:sz w:val="20"/>
              </w:rPr>
              <w:t xml:space="preserve"> </w:t>
            </w:r>
          </w:p>
        </w:tc>
        <w:tc>
          <w:tcPr>
            <w:tcW w:w="1417" w:type="dxa"/>
            <w:vAlign w:val="center"/>
          </w:tcPr>
          <w:p w14:paraId="7DAC3765" w14:textId="77777777" w:rsidR="00766664" w:rsidRPr="002518AB" w:rsidRDefault="00766664" w:rsidP="001B3A85">
            <w:pPr>
              <w:pStyle w:val="BodyText1"/>
              <w:jc w:val="center"/>
              <w:rPr>
                <w:sz w:val="20"/>
              </w:rPr>
            </w:pPr>
            <w:r w:rsidRPr="002518AB">
              <w:rPr>
                <w:sz w:val="20"/>
              </w:rPr>
              <w:t>2020</w:t>
            </w:r>
          </w:p>
        </w:tc>
        <w:tc>
          <w:tcPr>
            <w:tcW w:w="1418" w:type="dxa"/>
            <w:vAlign w:val="center"/>
          </w:tcPr>
          <w:p w14:paraId="52D60804" w14:textId="77777777" w:rsidR="00766664" w:rsidRPr="002518AB" w:rsidRDefault="00766664" w:rsidP="001B3A85">
            <w:pPr>
              <w:pStyle w:val="BodyText1"/>
              <w:jc w:val="center"/>
              <w:rPr>
                <w:sz w:val="20"/>
              </w:rPr>
            </w:pPr>
            <w:r w:rsidRPr="002518AB">
              <w:rPr>
                <w:sz w:val="20"/>
              </w:rPr>
              <w:t>2025</w:t>
            </w:r>
          </w:p>
        </w:tc>
        <w:tc>
          <w:tcPr>
            <w:tcW w:w="1417" w:type="dxa"/>
            <w:vAlign w:val="center"/>
          </w:tcPr>
          <w:p w14:paraId="77FE51B3" w14:textId="77777777" w:rsidR="00766664" w:rsidRPr="002518AB" w:rsidRDefault="00766664" w:rsidP="001B3A85">
            <w:pPr>
              <w:pStyle w:val="BodyText1"/>
              <w:jc w:val="center"/>
              <w:rPr>
                <w:sz w:val="20"/>
              </w:rPr>
            </w:pPr>
            <w:r w:rsidRPr="002518AB">
              <w:rPr>
                <w:sz w:val="20"/>
              </w:rPr>
              <w:t>2040</w:t>
            </w:r>
          </w:p>
        </w:tc>
        <w:tc>
          <w:tcPr>
            <w:tcW w:w="1418" w:type="dxa"/>
            <w:vAlign w:val="center"/>
          </w:tcPr>
          <w:p w14:paraId="72912E78" w14:textId="77777777" w:rsidR="00766664" w:rsidRPr="002518AB" w:rsidRDefault="00766664" w:rsidP="001B3A85">
            <w:pPr>
              <w:pStyle w:val="BodyText1"/>
              <w:jc w:val="center"/>
              <w:rPr>
                <w:sz w:val="20"/>
              </w:rPr>
            </w:pPr>
            <w:r w:rsidRPr="002518AB">
              <w:rPr>
                <w:sz w:val="20"/>
              </w:rPr>
              <w:t>2040</w:t>
            </w:r>
          </w:p>
        </w:tc>
      </w:tr>
    </w:tbl>
    <w:p w14:paraId="33482F7A" w14:textId="30D545D2" w:rsidR="008B77C9" w:rsidRPr="001B3A85" w:rsidRDefault="002B4444" w:rsidP="00135661">
      <w:pPr>
        <w:pStyle w:val="BodyText10"/>
        <w:rPr>
          <w:sz w:val="18"/>
          <w:szCs w:val="18"/>
        </w:rPr>
      </w:pPr>
      <w:r w:rsidRPr="001B3A85">
        <w:rPr>
          <w:sz w:val="18"/>
          <w:szCs w:val="18"/>
        </w:rPr>
        <w:t xml:space="preserve">Note: </w:t>
      </w:r>
      <w:r>
        <w:rPr>
          <w:sz w:val="18"/>
          <w:szCs w:val="18"/>
        </w:rPr>
        <w:t>I</w:t>
      </w:r>
      <w:r w:rsidRPr="001B3A85">
        <w:rPr>
          <w:sz w:val="18"/>
          <w:szCs w:val="18"/>
        </w:rPr>
        <w:t>f not otherwise</w:t>
      </w:r>
      <w:r w:rsidRPr="002B4444">
        <w:rPr>
          <w:sz w:val="18"/>
          <w:szCs w:val="18"/>
        </w:rPr>
        <w:t xml:space="preserve"> </w:t>
      </w:r>
      <w:r w:rsidRPr="001043E8">
        <w:rPr>
          <w:sz w:val="18"/>
          <w:szCs w:val="18"/>
        </w:rPr>
        <w:t>specified</w:t>
      </w:r>
      <w:r w:rsidRPr="001B3A85">
        <w:rPr>
          <w:sz w:val="18"/>
          <w:szCs w:val="18"/>
        </w:rPr>
        <w:t xml:space="preserve">, the date is 31 December of the </w:t>
      </w:r>
      <w:r>
        <w:rPr>
          <w:sz w:val="18"/>
          <w:szCs w:val="18"/>
        </w:rPr>
        <w:t xml:space="preserve">specified </w:t>
      </w:r>
      <w:r w:rsidRPr="001B3A85">
        <w:rPr>
          <w:sz w:val="18"/>
          <w:szCs w:val="18"/>
        </w:rPr>
        <w:t>year</w:t>
      </w:r>
      <w:r>
        <w:rPr>
          <w:sz w:val="18"/>
          <w:szCs w:val="18"/>
        </w:rPr>
        <w:t>.</w:t>
      </w:r>
    </w:p>
    <w:p w14:paraId="100AA8B0" w14:textId="67505FC9" w:rsidR="00920661" w:rsidRDefault="00920661" w:rsidP="00135661">
      <w:pPr>
        <w:pStyle w:val="BodyText10"/>
      </w:pPr>
      <w:r w:rsidRPr="00920661">
        <w:t xml:space="preserve">The </w:t>
      </w:r>
      <w:r w:rsidR="00FA5DAF">
        <w:t>European Union</w:t>
      </w:r>
      <w:r w:rsidRPr="00920661">
        <w:t xml:space="preserve"> rules cover non-</w:t>
      </w:r>
      <w:r w:rsidR="00FA5DAF">
        <w:t>European Union</w:t>
      </w:r>
      <w:r w:rsidRPr="00920661">
        <w:t xml:space="preserve"> aircraft types registered in a </w:t>
      </w:r>
      <w:r w:rsidR="00405A7D">
        <w:t>European Union</w:t>
      </w:r>
      <w:r w:rsidR="009A2F98">
        <w:t xml:space="preserve"> </w:t>
      </w:r>
      <w:r w:rsidRPr="00920661">
        <w:t>Member State</w:t>
      </w:r>
      <w:r w:rsidR="00686554">
        <w:t>.</w:t>
      </w:r>
      <w:r w:rsidR="00831C6C">
        <w:t xml:space="preserve"> </w:t>
      </w:r>
    </w:p>
    <w:p w14:paraId="2A598555" w14:textId="067A1500" w:rsidR="0020507F" w:rsidRDefault="0020507F" w:rsidP="00135661">
      <w:pPr>
        <w:pStyle w:val="BodyText10"/>
      </w:pPr>
      <w:r>
        <w:t>D</w:t>
      </w:r>
      <w:r w:rsidRPr="0020507F">
        <w:t xml:space="preserve">erogations from cut-off and end dates </w:t>
      </w:r>
      <w:r>
        <w:t>can</w:t>
      </w:r>
      <w:r w:rsidRPr="0020507F">
        <w:t xml:space="preserve"> be granted </w:t>
      </w:r>
      <w:r w:rsidR="00F02598">
        <w:t xml:space="preserve">by the European Commission </w:t>
      </w:r>
      <w:r w:rsidRPr="0020507F">
        <w:t xml:space="preserve">in specific cases where it is demonstrated that no technically and economically feasible alternative is available. </w:t>
      </w:r>
    </w:p>
    <w:p w14:paraId="415E9180" w14:textId="41CAABFE" w:rsidR="00A829AA" w:rsidRDefault="00886AE5" w:rsidP="00324056">
      <w:pPr>
        <w:pStyle w:val="Heading3"/>
      </w:pPr>
      <w:bookmarkStart w:id="24" w:name="_Toc38190331"/>
      <w:r>
        <w:t>The United States</w:t>
      </w:r>
      <w:bookmarkEnd w:id="24"/>
    </w:p>
    <w:p w14:paraId="0178D092" w14:textId="4665E27D" w:rsidR="00A829AA" w:rsidRPr="00886AE5" w:rsidRDefault="00886AE5" w:rsidP="000D0DC0">
      <w:pPr>
        <w:pStyle w:val="BodyText10"/>
      </w:pPr>
      <w:r>
        <w:t>For</w:t>
      </w:r>
      <w:r w:rsidR="00A829AA" w:rsidRPr="00A829AA">
        <w:t xml:space="preserve"> the U</w:t>
      </w:r>
      <w:r>
        <w:t xml:space="preserve">nited </w:t>
      </w:r>
      <w:r w:rsidR="00A829AA" w:rsidRPr="00A829AA">
        <w:t>S</w:t>
      </w:r>
      <w:r>
        <w:t>tates</w:t>
      </w:r>
      <w:r w:rsidR="00A829AA" w:rsidRPr="00A829AA">
        <w:t xml:space="preserve">, </w:t>
      </w:r>
      <w:r w:rsidR="00A829AA" w:rsidRPr="000D0DC0">
        <w:rPr>
          <w:i/>
          <w:iCs/>
        </w:rPr>
        <w:t>Clean Air Act Amendments</w:t>
      </w:r>
      <w:r w:rsidR="00A829AA" w:rsidRPr="00A829AA">
        <w:t xml:space="preserve"> </w:t>
      </w:r>
      <w:r>
        <w:t>(</w:t>
      </w:r>
      <w:r w:rsidR="00A829AA" w:rsidRPr="00A829AA">
        <w:t>1990</w:t>
      </w:r>
      <w:r>
        <w:t>)</w:t>
      </w:r>
      <w:r w:rsidR="00A829AA" w:rsidRPr="00A829AA">
        <w:t xml:space="preserve"> provided the </w:t>
      </w:r>
      <w:r>
        <w:t>United States</w:t>
      </w:r>
      <w:r w:rsidR="00D70C9B">
        <w:t>’</w:t>
      </w:r>
      <w:r>
        <w:t xml:space="preserve"> </w:t>
      </w:r>
      <w:r w:rsidR="00A829AA" w:rsidRPr="00A829AA">
        <w:t>Environmental Protection Agency with the authority to regulate the production and consumption of halons consistent with the Montreal Protocol</w:t>
      </w:r>
      <w:r w:rsidR="00D70C9B">
        <w:t xml:space="preserve">, but not </w:t>
      </w:r>
      <w:r w:rsidR="00D73C3F">
        <w:t xml:space="preserve">with </w:t>
      </w:r>
      <w:r w:rsidR="00A829AA" w:rsidRPr="00A829AA">
        <w:t xml:space="preserve">the authority to regulate </w:t>
      </w:r>
      <w:r w:rsidR="00D73C3F">
        <w:t xml:space="preserve">halon </w:t>
      </w:r>
      <w:r w:rsidR="00A829AA" w:rsidRPr="00A829AA">
        <w:t xml:space="preserve">uses. </w:t>
      </w:r>
      <w:r w:rsidR="00D73C3F">
        <w:t>T</w:t>
      </w:r>
      <w:r w:rsidR="00A829AA" w:rsidRPr="00A829AA">
        <w:t>he U</w:t>
      </w:r>
      <w:r w:rsidR="00D70C9B">
        <w:t xml:space="preserve">nited </w:t>
      </w:r>
      <w:r w:rsidR="00A829AA" w:rsidRPr="00A829AA">
        <w:t>S</w:t>
      </w:r>
      <w:r w:rsidR="00D70C9B">
        <w:t>tates’</w:t>
      </w:r>
      <w:r w:rsidR="00A829AA" w:rsidRPr="00A829AA">
        <w:t xml:space="preserve"> F</w:t>
      </w:r>
      <w:r w:rsidR="00D70C9B">
        <w:t xml:space="preserve">ederal </w:t>
      </w:r>
      <w:r w:rsidR="00A829AA" w:rsidRPr="00A829AA">
        <w:t>A</w:t>
      </w:r>
      <w:r w:rsidR="00D70C9B">
        <w:t xml:space="preserve">viation </w:t>
      </w:r>
      <w:r w:rsidR="00E91E0A">
        <w:t>Administration</w:t>
      </w:r>
      <w:r w:rsidR="00A829AA" w:rsidRPr="00A829AA">
        <w:t xml:space="preserve"> has included provisions for the use of alternative fire-extinguishing and suppression agents as part of the airworthiness standards for the issue of type certificates (i.e., 14 Code of Federal Regulation (CFR) Part 25 - </w:t>
      </w:r>
      <w:r w:rsidR="00D70C9B" w:rsidRPr="00A829AA">
        <w:t>Airworthiness Standards</w:t>
      </w:r>
      <w:r w:rsidR="00A829AA" w:rsidRPr="00A829AA">
        <w:t>)</w:t>
      </w:r>
      <w:r w:rsidR="00D73C3F">
        <w:t>. However,</w:t>
      </w:r>
      <w:r w:rsidR="00A829AA" w:rsidRPr="00A829AA">
        <w:t xml:space="preserve"> </w:t>
      </w:r>
      <w:r w:rsidR="00BF066D">
        <w:t>no schedule</w:t>
      </w:r>
      <w:r w:rsidR="00A829AA" w:rsidRPr="00A829AA">
        <w:t xml:space="preserve"> </w:t>
      </w:r>
      <w:r w:rsidR="00D73C3F" w:rsidRPr="00A829AA">
        <w:t xml:space="preserve">currently </w:t>
      </w:r>
      <w:r w:rsidR="00A829AA" w:rsidRPr="00A829AA">
        <w:t>exist</w:t>
      </w:r>
      <w:r w:rsidR="00BF066D">
        <w:t>s</w:t>
      </w:r>
      <w:r w:rsidR="00A829AA" w:rsidRPr="00A829AA">
        <w:t xml:space="preserve"> for </w:t>
      </w:r>
      <w:r w:rsidR="00BF69FD">
        <w:t xml:space="preserve">the </w:t>
      </w:r>
      <w:r w:rsidR="00BF69FD" w:rsidRPr="00A829AA">
        <w:t xml:space="preserve">replacement </w:t>
      </w:r>
      <w:r w:rsidR="00BF69FD">
        <w:t xml:space="preserve">of </w:t>
      </w:r>
      <w:r w:rsidR="00A829AA" w:rsidRPr="00A829AA">
        <w:t>halon</w:t>
      </w:r>
      <w:r w:rsidR="00D73C3F" w:rsidRPr="00D73C3F">
        <w:t xml:space="preserve"> </w:t>
      </w:r>
      <w:r w:rsidR="00D73C3F">
        <w:t xml:space="preserve">by the Federal Aviation </w:t>
      </w:r>
      <w:r w:rsidR="00E91E0A">
        <w:t>Administration</w:t>
      </w:r>
      <w:r w:rsidR="00A829AA" w:rsidRPr="00A829AA">
        <w:t>.</w:t>
      </w:r>
    </w:p>
    <w:p w14:paraId="6DF2CB1E" w14:textId="68AFF533" w:rsidR="00296FE8" w:rsidRDefault="00992057" w:rsidP="00324056">
      <w:pPr>
        <w:pStyle w:val="Heading3"/>
      </w:pPr>
      <w:bookmarkStart w:id="25" w:name="_Toc38190332"/>
      <w:r>
        <w:lastRenderedPageBreak/>
        <w:t xml:space="preserve">Australian </w:t>
      </w:r>
      <w:r w:rsidR="00323D8F">
        <w:t>Requirements</w:t>
      </w:r>
      <w:r w:rsidR="00BD55E1">
        <w:t xml:space="preserve"> for Fire Extinguishing Agents</w:t>
      </w:r>
      <w:r w:rsidR="00AA096F">
        <w:t xml:space="preserve"> under the Civil Aviation Act </w:t>
      </w:r>
      <w:r w:rsidR="007871DC">
        <w:t>1988</w:t>
      </w:r>
      <w:bookmarkEnd w:id="25"/>
    </w:p>
    <w:p w14:paraId="707C6A3A" w14:textId="2D069666" w:rsidR="00A522EA" w:rsidRDefault="00650A84" w:rsidP="00DC3EC8">
      <w:pPr>
        <w:pStyle w:val="BodyText10"/>
        <w:rPr>
          <w:lang w:val="en-AU"/>
        </w:rPr>
      </w:pPr>
      <w:r>
        <w:t>R</w:t>
      </w:r>
      <w:r w:rsidR="00A522EA">
        <w:t xml:space="preserve">equirements for </w:t>
      </w:r>
      <w:r>
        <w:t xml:space="preserve">civil aviation </w:t>
      </w:r>
      <w:r w:rsidR="00A522EA">
        <w:t xml:space="preserve">fire extinguishing agents </w:t>
      </w:r>
      <w:r>
        <w:t xml:space="preserve">are established in Australia </w:t>
      </w:r>
      <w:r w:rsidR="00A522EA">
        <w:t xml:space="preserve">through the </w:t>
      </w:r>
      <w:r w:rsidR="00A522EA" w:rsidRPr="00065FEB">
        <w:rPr>
          <w:i/>
          <w:iCs/>
        </w:rPr>
        <w:t>Civil Aviation Act 1988</w:t>
      </w:r>
      <w:r w:rsidR="004F4E56">
        <w:rPr>
          <w:i/>
          <w:iCs/>
        </w:rPr>
        <w:t xml:space="preserve"> </w:t>
      </w:r>
      <w:r w:rsidR="004F4E56" w:rsidRPr="004F4E56">
        <w:t>and</w:t>
      </w:r>
      <w:r w:rsidR="004F4E56">
        <w:rPr>
          <w:i/>
          <w:iCs/>
        </w:rPr>
        <w:t xml:space="preserve"> </w:t>
      </w:r>
      <w:r w:rsidR="00A522EA">
        <w:t xml:space="preserve">its </w:t>
      </w:r>
      <w:r w:rsidR="00A16E5B" w:rsidRPr="003417D2">
        <w:rPr>
          <w:i/>
          <w:iCs/>
          <w:lang w:val="en-AU"/>
        </w:rPr>
        <w:t>Civil Aviation Safety Regulations 1998</w:t>
      </w:r>
      <w:r w:rsidR="00A16E5B">
        <w:rPr>
          <w:lang w:val="en-AU"/>
        </w:rPr>
        <w:t xml:space="preserve"> (</w:t>
      </w:r>
      <w:r w:rsidR="00A16E5B" w:rsidRPr="00F07122">
        <w:rPr>
          <w:lang w:val="en-AU"/>
        </w:rPr>
        <w:t>CASR 199</w:t>
      </w:r>
      <w:r w:rsidR="00A16E5B">
        <w:rPr>
          <w:lang w:val="en-AU"/>
        </w:rPr>
        <w:t>8)</w:t>
      </w:r>
      <w:r w:rsidR="00E13AAC">
        <w:rPr>
          <w:lang w:val="en-AU"/>
        </w:rPr>
        <w:t xml:space="preserve">, and the </w:t>
      </w:r>
      <w:r w:rsidR="00E13AAC">
        <w:t>Part 90 Manual of Standards made under regulation 90.020 of CASR 1998</w:t>
      </w:r>
      <w:r w:rsidR="00A16E5B">
        <w:rPr>
          <w:lang w:val="en-AU"/>
        </w:rPr>
        <w:t>.</w:t>
      </w:r>
    </w:p>
    <w:p w14:paraId="383856FF" w14:textId="76461837" w:rsidR="00DC3EC8" w:rsidRPr="00E2798E" w:rsidRDefault="00DC3EC8" w:rsidP="00DC3EC8">
      <w:pPr>
        <w:pStyle w:val="BodyText10"/>
        <w:rPr>
          <w:lang w:val="en-AU"/>
        </w:rPr>
      </w:pPr>
      <w:r>
        <w:rPr>
          <w:lang w:val="en-AU"/>
        </w:rPr>
        <w:t xml:space="preserve">Airworthiness Directive </w:t>
      </w:r>
      <w:r w:rsidRPr="00E2798E">
        <w:rPr>
          <w:lang w:val="en-AU"/>
        </w:rPr>
        <w:t>AD/GENERAL/65</w:t>
      </w:r>
      <w:r>
        <w:rPr>
          <w:lang w:val="en-AU"/>
        </w:rPr>
        <w:t xml:space="preserve">, Amendment 5 (2008), made under </w:t>
      </w:r>
      <w:r w:rsidRPr="00F07122">
        <w:rPr>
          <w:lang w:val="en-AU"/>
        </w:rPr>
        <w:t>CASR 199</w:t>
      </w:r>
      <w:r>
        <w:rPr>
          <w:lang w:val="en-AU"/>
        </w:rPr>
        <w:t>8</w:t>
      </w:r>
      <w:r w:rsidR="00416738">
        <w:rPr>
          <w:lang w:val="en-AU"/>
        </w:rPr>
        <w:t>,</w:t>
      </w:r>
      <w:r w:rsidRPr="00F07122">
        <w:rPr>
          <w:lang w:val="en-AU"/>
        </w:rPr>
        <w:t xml:space="preserve"> </w:t>
      </w:r>
      <w:r w:rsidR="00E63C8C">
        <w:rPr>
          <w:lang w:val="en-AU"/>
        </w:rPr>
        <w:t>establishe</w:t>
      </w:r>
      <w:r w:rsidR="00D07A0C">
        <w:rPr>
          <w:lang w:val="en-AU"/>
        </w:rPr>
        <w:t>s</w:t>
      </w:r>
      <w:r w:rsidR="00E63C8C">
        <w:rPr>
          <w:lang w:val="en-AU"/>
        </w:rPr>
        <w:t xml:space="preserve"> the number </w:t>
      </w:r>
      <w:r w:rsidR="00DB726B">
        <w:rPr>
          <w:lang w:val="en-AU"/>
        </w:rPr>
        <w:t>of hand</w:t>
      </w:r>
      <w:r w:rsidR="00690AFB">
        <w:rPr>
          <w:lang w:val="en-AU"/>
        </w:rPr>
        <w:t>-</w:t>
      </w:r>
      <w:r w:rsidR="00DB726B">
        <w:rPr>
          <w:lang w:val="en-AU"/>
        </w:rPr>
        <w:t xml:space="preserve">held fire extinguishers </w:t>
      </w:r>
      <w:r w:rsidR="0084155A">
        <w:rPr>
          <w:lang w:val="en-AU"/>
        </w:rPr>
        <w:t>required in the passenger compartment according to passenge</w:t>
      </w:r>
      <w:r w:rsidR="009945D3">
        <w:rPr>
          <w:lang w:val="en-AU"/>
        </w:rPr>
        <w:t>r seating capacities</w:t>
      </w:r>
      <w:r w:rsidR="00E545C1">
        <w:rPr>
          <w:rStyle w:val="FootnoteReference"/>
          <w:lang w:val="en-AU"/>
        </w:rPr>
        <w:footnoteReference w:id="19"/>
      </w:r>
      <w:r w:rsidR="00690AFB">
        <w:rPr>
          <w:lang w:val="en-AU"/>
        </w:rPr>
        <w:t xml:space="preserve">, and </w:t>
      </w:r>
      <w:r w:rsidRPr="00E2798E">
        <w:rPr>
          <w:lang w:val="en-AU"/>
        </w:rPr>
        <w:t>require</w:t>
      </w:r>
      <w:r w:rsidR="00D07A0C">
        <w:rPr>
          <w:lang w:val="en-AU"/>
        </w:rPr>
        <w:t>d</w:t>
      </w:r>
      <w:r w:rsidRPr="00E2798E">
        <w:rPr>
          <w:lang w:val="en-AU"/>
        </w:rPr>
        <w:t xml:space="preserve"> that </w:t>
      </w:r>
      <w:r w:rsidR="00B63227" w:rsidRPr="000302F9">
        <w:rPr>
          <w:lang w:val="en-AU"/>
        </w:rPr>
        <w:t xml:space="preserve">for aircraft needing 2 or more fire extinguishers in the </w:t>
      </w:r>
      <w:r w:rsidR="00B63227">
        <w:rPr>
          <w:lang w:val="en-AU"/>
        </w:rPr>
        <w:t xml:space="preserve">passenger compartment that </w:t>
      </w:r>
      <w:r w:rsidRPr="00E2798E">
        <w:rPr>
          <w:lang w:val="en-AU"/>
        </w:rPr>
        <w:t xml:space="preserve">at least 2 shall contain </w:t>
      </w:r>
      <w:r w:rsidR="00B63227">
        <w:rPr>
          <w:lang w:val="en-AU"/>
        </w:rPr>
        <w:t>h</w:t>
      </w:r>
      <w:r w:rsidRPr="00E2798E">
        <w:rPr>
          <w:lang w:val="en-AU"/>
        </w:rPr>
        <w:t>alon 1211 or a</w:t>
      </w:r>
      <w:r w:rsidR="00065FEB">
        <w:rPr>
          <w:lang w:val="en-AU"/>
        </w:rPr>
        <w:t>n</w:t>
      </w:r>
      <w:r w:rsidRPr="00E2798E">
        <w:rPr>
          <w:lang w:val="en-AU"/>
        </w:rPr>
        <w:t xml:space="preserve"> </w:t>
      </w:r>
      <w:r w:rsidR="00065FEB" w:rsidRPr="00E2798E">
        <w:rPr>
          <w:lang w:val="en-AU"/>
        </w:rPr>
        <w:t>equivalent</w:t>
      </w:r>
      <w:r w:rsidR="00065FEB" w:rsidRPr="00065FEB">
        <w:t xml:space="preserve"> </w:t>
      </w:r>
      <w:r w:rsidRPr="00E2798E">
        <w:rPr>
          <w:lang w:val="en-AU"/>
        </w:rPr>
        <w:t xml:space="preserve">approved </w:t>
      </w:r>
      <w:r w:rsidR="00065FEB">
        <w:rPr>
          <w:lang w:val="en-AU"/>
        </w:rPr>
        <w:t xml:space="preserve">by the </w:t>
      </w:r>
      <w:r w:rsidR="00065FEB">
        <w:t>Civil Aviation Safety Authority</w:t>
      </w:r>
      <w:r w:rsidR="00416738">
        <w:rPr>
          <w:lang w:val="en-AU"/>
        </w:rPr>
        <w:t>.</w:t>
      </w:r>
      <w:r w:rsidR="00F10700">
        <w:rPr>
          <w:lang w:val="en-AU"/>
        </w:rPr>
        <w:t xml:space="preserve"> </w:t>
      </w:r>
    </w:p>
    <w:p w14:paraId="1FF91B8F" w14:textId="1BBAC349" w:rsidR="00AD5455" w:rsidRDefault="005F13C2" w:rsidP="005509CA">
      <w:pPr>
        <w:pStyle w:val="BodyText10"/>
        <w:rPr>
          <w:lang w:val="en-AU"/>
        </w:rPr>
      </w:pPr>
      <w:r>
        <w:rPr>
          <w:lang w:val="en-AU"/>
        </w:rPr>
        <w:t xml:space="preserve">As a result of resolutions, </w:t>
      </w:r>
      <w:r w:rsidR="009B2375">
        <w:rPr>
          <w:lang w:val="en-AU"/>
        </w:rPr>
        <w:t>the International Civil Aviation Organization</w:t>
      </w:r>
      <w:r w:rsidR="00CF5F02">
        <w:rPr>
          <w:lang w:val="en-AU"/>
        </w:rPr>
        <w:t xml:space="preserve"> </w:t>
      </w:r>
      <w:r>
        <w:rPr>
          <w:lang w:val="en-AU"/>
        </w:rPr>
        <w:t>support</w:t>
      </w:r>
      <w:r w:rsidR="00090C9E">
        <w:rPr>
          <w:lang w:val="en-AU"/>
        </w:rPr>
        <w:t>s</w:t>
      </w:r>
      <w:r w:rsidR="001D0412" w:rsidRPr="001D0412">
        <w:rPr>
          <w:lang w:val="en-AU"/>
        </w:rPr>
        <w:t xml:space="preserve"> </w:t>
      </w:r>
      <w:r>
        <w:rPr>
          <w:lang w:val="en-AU"/>
        </w:rPr>
        <w:t xml:space="preserve">the </w:t>
      </w:r>
      <w:r w:rsidR="001D0412">
        <w:rPr>
          <w:lang w:val="en-AU"/>
        </w:rPr>
        <w:t>adoption of h</w:t>
      </w:r>
      <w:r w:rsidR="001D0412" w:rsidRPr="001D0412">
        <w:rPr>
          <w:lang w:val="en-AU"/>
        </w:rPr>
        <w:t xml:space="preserve">alon alternatives in engines and auxiliary power units, </w:t>
      </w:r>
      <w:r w:rsidR="005A5B4B" w:rsidRPr="001D0412">
        <w:rPr>
          <w:lang w:val="en-AU"/>
        </w:rPr>
        <w:t>handheld extinguishers and lavatories</w:t>
      </w:r>
      <w:r w:rsidR="000302F9" w:rsidRPr="000302F9">
        <w:rPr>
          <w:lang w:val="en-AU"/>
        </w:rPr>
        <w:t xml:space="preserve">, </w:t>
      </w:r>
      <w:r w:rsidR="008107FF">
        <w:rPr>
          <w:lang w:val="en-AU"/>
        </w:rPr>
        <w:t xml:space="preserve">and </w:t>
      </w:r>
      <w:r w:rsidR="00F55A60">
        <w:rPr>
          <w:lang w:val="en-AU"/>
        </w:rPr>
        <w:t xml:space="preserve">has established </w:t>
      </w:r>
      <w:r w:rsidR="00BC558F">
        <w:rPr>
          <w:lang w:val="en-AU"/>
        </w:rPr>
        <w:t xml:space="preserve">the </w:t>
      </w:r>
      <w:r w:rsidR="008107FF">
        <w:rPr>
          <w:lang w:val="en-AU"/>
        </w:rPr>
        <w:t xml:space="preserve">associated </w:t>
      </w:r>
      <w:r w:rsidR="006E641E">
        <w:rPr>
          <w:lang w:val="en-AU"/>
        </w:rPr>
        <w:t>International Civil Aviation Organization</w:t>
      </w:r>
      <w:r w:rsidR="008107FF" w:rsidRPr="00090C9E">
        <w:rPr>
          <w:lang w:val="en-AU"/>
        </w:rPr>
        <w:t xml:space="preserve"> </w:t>
      </w:r>
      <w:r w:rsidR="00EC2D79">
        <w:rPr>
          <w:lang w:val="en-AU"/>
        </w:rPr>
        <w:t>Standards and Recommended Practice</w:t>
      </w:r>
      <w:r w:rsidR="00BC558F" w:rsidRPr="00090C9E">
        <w:rPr>
          <w:lang w:val="en-AU"/>
        </w:rPr>
        <w:t>s</w:t>
      </w:r>
      <w:r w:rsidR="00790E1C" w:rsidRPr="00090C9E">
        <w:rPr>
          <w:lang w:val="en-AU"/>
        </w:rPr>
        <w:t>,</w:t>
      </w:r>
      <w:r w:rsidR="00BC558F" w:rsidRPr="00090C9E">
        <w:rPr>
          <w:lang w:val="en-AU"/>
        </w:rPr>
        <w:t xml:space="preserve"> </w:t>
      </w:r>
      <w:r w:rsidR="00790E1C" w:rsidRPr="00090C9E">
        <w:rPr>
          <w:lang w:val="en-AU"/>
        </w:rPr>
        <w:t xml:space="preserve">as </w:t>
      </w:r>
      <w:r w:rsidR="008107FF" w:rsidRPr="00090C9E">
        <w:rPr>
          <w:lang w:val="en-AU"/>
        </w:rPr>
        <w:t>noted above</w:t>
      </w:r>
      <w:r w:rsidR="00F55A60">
        <w:rPr>
          <w:lang w:val="en-AU"/>
        </w:rPr>
        <w:t xml:space="preserve">. In response, </w:t>
      </w:r>
      <w:r w:rsidR="00090923">
        <w:rPr>
          <w:lang w:val="en-AU"/>
        </w:rPr>
        <w:t>the Civil Aviation Safety Authority</w:t>
      </w:r>
      <w:r w:rsidR="00017EFE">
        <w:rPr>
          <w:lang w:val="en-AU"/>
        </w:rPr>
        <w:t xml:space="preserve"> has adopted </w:t>
      </w:r>
      <w:r w:rsidR="0049722D">
        <w:rPr>
          <w:lang w:val="en-AU"/>
        </w:rPr>
        <w:t xml:space="preserve">some </w:t>
      </w:r>
      <w:r w:rsidR="00017EFE">
        <w:rPr>
          <w:lang w:val="en-AU"/>
        </w:rPr>
        <w:t xml:space="preserve">complimentary regulations. </w:t>
      </w:r>
      <w:r w:rsidR="003F485C" w:rsidRPr="000302F9">
        <w:rPr>
          <w:lang w:val="en-AU"/>
        </w:rPr>
        <w:t xml:space="preserve">CASR </w:t>
      </w:r>
      <w:r w:rsidR="00D1170F">
        <w:rPr>
          <w:lang w:val="en-AU"/>
        </w:rPr>
        <w:t xml:space="preserve">1998, regulation </w:t>
      </w:r>
      <w:r w:rsidR="003F485C" w:rsidRPr="000302F9">
        <w:rPr>
          <w:lang w:val="en-AU"/>
        </w:rPr>
        <w:t>90.150</w:t>
      </w:r>
      <w:r w:rsidR="00D1170F">
        <w:rPr>
          <w:lang w:val="en-AU"/>
        </w:rPr>
        <w:t>,</w:t>
      </w:r>
      <w:r w:rsidR="003F485C" w:rsidRPr="000302F9">
        <w:rPr>
          <w:lang w:val="en-AU"/>
        </w:rPr>
        <w:t xml:space="preserve"> and </w:t>
      </w:r>
      <w:r w:rsidR="00D1170F">
        <w:rPr>
          <w:lang w:val="en-AU"/>
        </w:rPr>
        <w:t xml:space="preserve">the </w:t>
      </w:r>
      <w:r w:rsidR="006668B9">
        <w:rPr>
          <w:lang w:val="en-AU"/>
        </w:rPr>
        <w:t xml:space="preserve">Part 90 </w:t>
      </w:r>
      <w:r w:rsidR="003F485C" w:rsidRPr="000302F9">
        <w:rPr>
          <w:lang w:val="en-AU"/>
        </w:rPr>
        <w:t>Manual of Standards</w:t>
      </w:r>
      <w:r w:rsidR="00ED0A42">
        <w:rPr>
          <w:lang w:val="en-AU"/>
        </w:rPr>
        <w:t>,</w:t>
      </w:r>
      <w:r w:rsidR="003F485C" w:rsidRPr="000302F9">
        <w:rPr>
          <w:lang w:val="en-AU"/>
        </w:rPr>
        <w:t xml:space="preserve"> </w:t>
      </w:r>
      <w:r w:rsidR="00D07A0C">
        <w:rPr>
          <w:lang w:val="en-AU"/>
        </w:rPr>
        <w:t xml:space="preserve">now </w:t>
      </w:r>
      <w:r w:rsidR="003F485C">
        <w:rPr>
          <w:lang w:val="en-AU"/>
        </w:rPr>
        <w:t>requires that</w:t>
      </w:r>
      <w:r w:rsidR="00AD5455">
        <w:rPr>
          <w:lang w:val="en-AU"/>
        </w:rPr>
        <w:t xml:space="preserve">, </w:t>
      </w:r>
      <w:r w:rsidR="000302F9" w:rsidRPr="000302F9">
        <w:rPr>
          <w:lang w:val="en-AU"/>
        </w:rPr>
        <w:t xml:space="preserve">for all aircraft manufactured </w:t>
      </w:r>
      <w:r w:rsidR="002B45A1">
        <w:rPr>
          <w:lang w:val="en-AU"/>
        </w:rPr>
        <w:t xml:space="preserve">on or </w:t>
      </w:r>
      <w:r w:rsidR="000302F9" w:rsidRPr="000302F9">
        <w:rPr>
          <w:lang w:val="en-AU"/>
        </w:rPr>
        <w:t xml:space="preserve">after the 31st December 2018, </w:t>
      </w:r>
      <w:r w:rsidR="000709B6">
        <w:rPr>
          <w:lang w:val="en-AU"/>
        </w:rPr>
        <w:t>h</w:t>
      </w:r>
      <w:r w:rsidR="000302F9" w:rsidRPr="000302F9">
        <w:rPr>
          <w:lang w:val="en-AU"/>
        </w:rPr>
        <w:t xml:space="preserve">alon is a prohibited fire extinguishing agent in </w:t>
      </w:r>
      <w:r w:rsidR="004A3DBB">
        <w:rPr>
          <w:lang w:val="en-AU"/>
        </w:rPr>
        <w:t xml:space="preserve">any </w:t>
      </w:r>
      <w:r w:rsidR="000302F9" w:rsidRPr="000302F9">
        <w:rPr>
          <w:lang w:val="en-AU"/>
        </w:rPr>
        <w:t>hand</w:t>
      </w:r>
      <w:r w:rsidR="00DA26F4">
        <w:rPr>
          <w:lang w:val="en-AU"/>
        </w:rPr>
        <w:t>-</w:t>
      </w:r>
      <w:r w:rsidR="000302F9" w:rsidRPr="000302F9">
        <w:rPr>
          <w:lang w:val="en-AU"/>
        </w:rPr>
        <w:t>held fire extinguishers</w:t>
      </w:r>
      <w:r w:rsidR="00AD5455">
        <w:rPr>
          <w:lang w:val="en-AU"/>
        </w:rPr>
        <w:t xml:space="preserve"> and </w:t>
      </w:r>
      <w:r w:rsidR="004A3DBB">
        <w:rPr>
          <w:lang w:val="en-AU"/>
        </w:rPr>
        <w:t xml:space="preserve">any </w:t>
      </w:r>
      <w:r w:rsidR="004A3DBB" w:rsidRPr="004A3DBB">
        <w:rPr>
          <w:lang w:val="en-AU"/>
        </w:rPr>
        <w:t>fire extinguisher fitted for a lavatory disposal receptacle for towels, paper or waste</w:t>
      </w:r>
      <w:r w:rsidR="000302F9" w:rsidRPr="000302F9">
        <w:rPr>
          <w:lang w:val="en-AU"/>
        </w:rPr>
        <w:t xml:space="preserve">. </w:t>
      </w:r>
    </w:p>
    <w:p w14:paraId="00570C3D" w14:textId="2FC2B287" w:rsidR="005509CA" w:rsidRPr="005509CA" w:rsidRDefault="000302F9" w:rsidP="005509CA">
      <w:pPr>
        <w:pStyle w:val="BodyText10"/>
        <w:rPr>
          <w:lang w:val="en-AU"/>
        </w:rPr>
      </w:pPr>
      <w:r w:rsidRPr="000302F9">
        <w:rPr>
          <w:lang w:val="en-AU"/>
        </w:rPr>
        <w:t>Therefore</w:t>
      </w:r>
      <w:r w:rsidR="004A3DBB">
        <w:rPr>
          <w:lang w:val="en-AU"/>
        </w:rPr>
        <w:t>,</w:t>
      </w:r>
      <w:r w:rsidRPr="000302F9">
        <w:rPr>
          <w:lang w:val="en-AU"/>
        </w:rPr>
        <w:t xml:space="preserve"> for new aircraft </w:t>
      </w:r>
      <w:r w:rsidR="00FA204A">
        <w:rPr>
          <w:lang w:val="en-AU"/>
        </w:rPr>
        <w:t xml:space="preserve">manufactured </w:t>
      </w:r>
      <w:r w:rsidRPr="000302F9">
        <w:rPr>
          <w:lang w:val="en-AU"/>
        </w:rPr>
        <w:t>after 2018 requir</w:t>
      </w:r>
      <w:r w:rsidR="004A3DBB">
        <w:rPr>
          <w:lang w:val="en-AU"/>
        </w:rPr>
        <w:t>ing</w:t>
      </w:r>
      <w:r w:rsidRPr="000302F9">
        <w:rPr>
          <w:lang w:val="en-AU"/>
        </w:rPr>
        <w:t xml:space="preserve"> more than one fire extinguisher in the cabin, an approved </w:t>
      </w:r>
      <w:r w:rsidR="00E13939">
        <w:rPr>
          <w:lang w:val="en-AU"/>
        </w:rPr>
        <w:t>h</w:t>
      </w:r>
      <w:r w:rsidR="00E13939" w:rsidRPr="000302F9">
        <w:rPr>
          <w:lang w:val="en-AU"/>
        </w:rPr>
        <w:t>alon</w:t>
      </w:r>
      <w:r w:rsidR="00D656A5">
        <w:rPr>
          <w:lang w:val="en-AU"/>
        </w:rPr>
        <w:t>-</w:t>
      </w:r>
      <w:r w:rsidRPr="000302F9">
        <w:rPr>
          <w:lang w:val="en-AU"/>
        </w:rPr>
        <w:t xml:space="preserve">replacement </w:t>
      </w:r>
      <w:r w:rsidR="00E13939" w:rsidRPr="000302F9">
        <w:rPr>
          <w:lang w:val="en-AU"/>
        </w:rPr>
        <w:t xml:space="preserve">fire extinguisher </w:t>
      </w:r>
      <w:r w:rsidRPr="000302F9">
        <w:rPr>
          <w:lang w:val="en-AU"/>
        </w:rPr>
        <w:t xml:space="preserve">is the only option. </w:t>
      </w:r>
      <w:r w:rsidR="005509CA" w:rsidRPr="005509CA">
        <w:rPr>
          <w:lang w:val="en-AU"/>
        </w:rPr>
        <w:t>For an aircraft manufactured after 2018 requir</w:t>
      </w:r>
      <w:r w:rsidR="00E13939">
        <w:rPr>
          <w:lang w:val="en-AU"/>
        </w:rPr>
        <w:t>ing only</w:t>
      </w:r>
      <w:r w:rsidR="005509CA" w:rsidRPr="005509CA">
        <w:rPr>
          <w:lang w:val="en-AU"/>
        </w:rPr>
        <w:t xml:space="preserve"> one fire extinguisher</w:t>
      </w:r>
      <w:r w:rsidR="00E13939">
        <w:rPr>
          <w:lang w:val="en-AU"/>
        </w:rPr>
        <w:t>,</w:t>
      </w:r>
      <w:r w:rsidR="005509CA" w:rsidRPr="005509CA">
        <w:rPr>
          <w:lang w:val="en-AU"/>
        </w:rPr>
        <w:t xml:space="preserve"> that extinguisher must </w:t>
      </w:r>
      <w:r w:rsidR="009E15E7">
        <w:rPr>
          <w:lang w:val="en-AU"/>
        </w:rPr>
        <w:t xml:space="preserve">also </w:t>
      </w:r>
      <w:r w:rsidR="005509CA" w:rsidRPr="005509CA">
        <w:rPr>
          <w:lang w:val="en-AU"/>
        </w:rPr>
        <w:t xml:space="preserve">not contain </w:t>
      </w:r>
      <w:r w:rsidR="00E13939">
        <w:rPr>
          <w:lang w:val="en-AU"/>
        </w:rPr>
        <w:t>h</w:t>
      </w:r>
      <w:r w:rsidR="005509CA" w:rsidRPr="005509CA">
        <w:rPr>
          <w:lang w:val="en-AU"/>
        </w:rPr>
        <w:t xml:space="preserve">alon but </w:t>
      </w:r>
      <w:r w:rsidR="00E13939">
        <w:rPr>
          <w:lang w:val="en-AU"/>
        </w:rPr>
        <w:t>can</w:t>
      </w:r>
      <w:r w:rsidR="005509CA" w:rsidRPr="005509CA">
        <w:rPr>
          <w:lang w:val="en-AU"/>
        </w:rPr>
        <w:t xml:space="preserve"> be any other agent appropriate for the location in which it will be used. </w:t>
      </w:r>
      <w:r w:rsidR="003C59F4">
        <w:rPr>
          <w:lang w:val="en-AU"/>
        </w:rPr>
        <w:t xml:space="preserve">For lavex, halon is also prohibited </w:t>
      </w:r>
      <w:r w:rsidR="003F68FA">
        <w:rPr>
          <w:lang w:val="en-AU"/>
        </w:rPr>
        <w:t>for aircraft manufactured after 2018.</w:t>
      </w:r>
    </w:p>
    <w:p w14:paraId="482B1535" w14:textId="034E1FAF" w:rsidR="0081316E" w:rsidRPr="00E60568" w:rsidRDefault="00C474BE" w:rsidP="00067A3A">
      <w:pPr>
        <w:pStyle w:val="BodyText10"/>
        <w:rPr>
          <w:lang w:val="en-AU"/>
        </w:rPr>
      </w:pPr>
      <w:r>
        <w:rPr>
          <w:lang w:val="en-AU"/>
        </w:rPr>
        <w:t>T</w:t>
      </w:r>
      <w:r w:rsidR="00D06A65">
        <w:rPr>
          <w:lang w:val="en-AU"/>
        </w:rPr>
        <w:t>he Civil Aviation Safety Authority</w:t>
      </w:r>
      <w:r w:rsidR="00E60568">
        <w:rPr>
          <w:lang w:val="en-AU"/>
        </w:rPr>
        <w:t xml:space="preserve"> has </w:t>
      </w:r>
      <w:r w:rsidR="00D25A8B" w:rsidRPr="00D25A8B">
        <w:rPr>
          <w:lang w:val="en-AU"/>
        </w:rPr>
        <w:t xml:space="preserve">approved </w:t>
      </w:r>
      <w:r w:rsidR="00E60568">
        <w:rPr>
          <w:lang w:val="en-AU"/>
        </w:rPr>
        <w:t>a range</w:t>
      </w:r>
      <w:r w:rsidR="00145AB3" w:rsidRPr="00D25A8B">
        <w:rPr>
          <w:lang w:val="en-AU"/>
        </w:rPr>
        <w:t xml:space="preserve"> </w:t>
      </w:r>
      <w:r w:rsidR="00E60568">
        <w:rPr>
          <w:lang w:val="en-AU"/>
        </w:rPr>
        <w:t xml:space="preserve">of </w:t>
      </w:r>
      <w:r w:rsidR="00EE592A">
        <w:rPr>
          <w:lang w:val="en-AU"/>
        </w:rPr>
        <w:t xml:space="preserve">halon-free </w:t>
      </w:r>
      <w:r w:rsidR="00145AB3" w:rsidRPr="00D25A8B">
        <w:rPr>
          <w:lang w:val="en-AU"/>
        </w:rPr>
        <w:t xml:space="preserve">fire extinguishing agents </w:t>
      </w:r>
      <w:r w:rsidR="00E60568">
        <w:rPr>
          <w:lang w:val="en-AU"/>
        </w:rPr>
        <w:t>as</w:t>
      </w:r>
      <w:r w:rsidR="00145AB3" w:rsidRPr="00D25A8B">
        <w:rPr>
          <w:lang w:val="en-AU"/>
        </w:rPr>
        <w:t xml:space="preserve"> </w:t>
      </w:r>
      <w:r w:rsidR="00D25A8B" w:rsidRPr="00D25A8B">
        <w:rPr>
          <w:lang w:val="en-AU"/>
        </w:rPr>
        <w:t xml:space="preserve">equivalents </w:t>
      </w:r>
      <w:r w:rsidR="00D25A8B">
        <w:rPr>
          <w:lang w:val="en-AU"/>
        </w:rPr>
        <w:t>for halon 1211</w:t>
      </w:r>
      <w:r w:rsidR="00D25A8B" w:rsidRPr="00D25A8B">
        <w:rPr>
          <w:lang w:val="en-AU"/>
        </w:rPr>
        <w:t xml:space="preserve"> in </w:t>
      </w:r>
      <w:r w:rsidR="00D25A8B">
        <w:rPr>
          <w:lang w:val="en-AU"/>
        </w:rPr>
        <w:t>hand-held</w:t>
      </w:r>
      <w:r w:rsidR="00D25A8B" w:rsidRPr="00D25A8B">
        <w:rPr>
          <w:lang w:val="en-AU"/>
        </w:rPr>
        <w:t xml:space="preserve"> fire </w:t>
      </w:r>
      <w:r w:rsidR="00D25A8B">
        <w:rPr>
          <w:lang w:val="en-AU"/>
        </w:rPr>
        <w:t>e</w:t>
      </w:r>
      <w:r w:rsidR="00D25A8B" w:rsidRPr="00D25A8B">
        <w:rPr>
          <w:lang w:val="en-AU"/>
        </w:rPr>
        <w:t>xtinguishers</w:t>
      </w:r>
      <w:r w:rsidR="00E60568">
        <w:rPr>
          <w:lang w:val="en-AU"/>
        </w:rPr>
        <w:t xml:space="preserve">. </w:t>
      </w:r>
      <w:r w:rsidR="0081316E">
        <w:t xml:space="preserve">Major Australian airlines are already using </w:t>
      </w:r>
      <w:r w:rsidR="00B519B6">
        <w:t xml:space="preserve">halon </w:t>
      </w:r>
      <w:r w:rsidR="00ED3447">
        <w:t>alternatives</w:t>
      </w:r>
      <w:r w:rsidR="008529CA">
        <w:t xml:space="preserve"> (HFC-227ea and </w:t>
      </w:r>
      <w:r w:rsidR="00ED3447">
        <w:t>HFC-236a</w:t>
      </w:r>
      <w:r w:rsidR="008529CA">
        <w:t>)</w:t>
      </w:r>
      <w:r w:rsidR="00ED3447">
        <w:t xml:space="preserve"> </w:t>
      </w:r>
      <w:r w:rsidR="006F4A7E">
        <w:t>for</w:t>
      </w:r>
      <w:r w:rsidR="00ED3447">
        <w:t xml:space="preserve"> lavex fire extinguishing applications in </w:t>
      </w:r>
      <w:r w:rsidR="00B37F7D">
        <w:t xml:space="preserve">some </w:t>
      </w:r>
      <w:r w:rsidR="00ED3447">
        <w:t>aircraft.</w:t>
      </w:r>
    </w:p>
    <w:p w14:paraId="45FBE4BE" w14:textId="67222E1A" w:rsidR="00AF2C3F" w:rsidRPr="00081AC2" w:rsidRDefault="006D205B" w:rsidP="00324056">
      <w:pPr>
        <w:pStyle w:val="Heading2"/>
      </w:pPr>
      <w:bookmarkStart w:id="26" w:name="_Toc38190333"/>
      <w:r>
        <w:t>Non-Defence</w:t>
      </w:r>
      <w:r w:rsidR="00AF2C3F" w:rsidRPr="00081AC2">
        <w:t xml:space="preserve"> Maritime Uses</w:t>
      </w:r>
      <w:bookmarkEnd w:id="26"/>
    </w:p>
    <w:p w14:paraId="66D6BC9B" w14:textId="37B485E8" w:rsidR="00DF2FCC" w:rsidRPr="00081AC2" w:rsidRDefault="001667C9" w:rsidP="00081AC2">
      <w:pPr>
        <w:pStyle w:val="BodyText10"/>
      </w:pPr>
      <w:r w:rsidRPr="00081AC2">
        <w:t>The installed base of h</w:t>
      </w:r>
      <w:r w:rsidR="00364635" w:rsidRPr="00081AC2">
        <w:t xml:space="preserve">alon used in Australian-flagged </w:t>
      </w:r>
      <w:r w:rsidR="00D86911" w:rsidRPr="00081AC2">
        <w:t xml:space="preserve">vessels </w:t>
      </w:r>
      <w:r w:rsidR="00364635" w:rsidRPr="00081AC2">
        <w:t xml:space="preserve">and </w:t>
      </w:r>
      <w:r w:rsidR="00364635" w:rsidRPr="00081AC2">
        <w:lastRenderedPageBreak/>
        <w:t xml:space="preserve">international </w:t>
      </w:r>
      <w:r w:rsidR="005976D4" w:rsidRPr="00081AC2">
        <w:t xml:space="preserve">vessels </w:t>
      </w:r>
      <w:r w:rsidR="00D86911" w:rsidRPr="00081AC2">
        <w:t xml:space="preserve">is </w:t>
      </w:r>
      <w:r w:rsidR="005976D4" w:rsidRPr="00081AC2">
        <w:t>expected</w:t>
      </w:r>
      <w:r w:rsidR="00364635" w:rsidRPr="00081AC2">
        <w:t xml:space="preserve"> to be </w:t>
      </w:r>
      <w:r w:rsidR="00B16DC5" w:rsidRPr="00081AC2">
        <w:t>insignificant</w:t>
      </w:r>
      <w:r w:rsidR="005976D4" w:rsidRPr="00081AC2">
        <w:t xml:space="preserve"> in </w:t>
      </w:r>
      <w:r w:rsidR="001E54BB" w:rsidRPr="00081AC2">
        <w:t>it</w:t>
      </w:r>
      <w:r w:rsidR="00A70361" w:rsidRPr="00081AC2">
        <w:t xml:space="preserve">s effect on </w:t>
      </w:r>
      <w:r w:rsidR="003337D8">
        <w:t>NHB</w:t>
      </w:r>
      <w:r w:rsidR="00F47385" w:rsidRPr="00081AC2">
        <w:t xml:space="preserve"> stocks.</w:t>
      </w:r>
      <w:r w:rsidR="00364635" w:rsidRPr="00081AC2">
        <w:t xml:space="preserve"> </w:t>
      </w:r>
      <w:r w:rsidR="00BA7577" w:rsidRPr="00081AC2">
        <w:t xml:space="preserve">The International Maritime Organisation </w:t>
      </w:r>
      <w:r w:rsidR="00C51722" w:rsidRPr="00081AC2">
        <w:t xml:space="preserve">(IMO) </w:t>
      </w:r>
      <w:r w:rsidR="0088297B" w:rsidRPr="00081AC2">
        <w:t>prohibited</w:t>
      </w:r>
      <w:r w:rsidR="00C51722" w:rsidRPr="00081AC2">
        <w:t xml:space="preserve"> new </w:t>
      </w:r>
      <w:r w:rsidR="0088297B" w:rsidRPr="00081AC2">
        <w:t xml:space="preserve">installations of </w:t>
      </w:r>
      <w:r w:rsidR="00866E2A" w:rsidRPr="00081AC2">
        <w:t>halon containing</w:t>
      </w:r>
      <w:r w:rsidR="00317566" w:rsidRPr="00081AC2">
        <w:t xml:space="preserve"> fire-extinguishing systems</w:t>
      </w:r>
      <w:r w:rsidR="00E538D3" w:rsidRPr="00081AC2">
        <w:t xml:space="preserve"> from </w:t>
      </w:r>
      <w:r w:rsidR="009662DC" w:rsidRPr="00081AC2">
        <w:t>October</w:t>
      </w:r>
      <w:r w:rsidR="00607E45">
        <w:t xml:space="preserve"> 1,</w:t>
      </w:r>
      <w:r w:rsidR="00864283" w:rsidRPr="00081AC2">
        <w:t xml:space="preserve"> 1994</w:t>
      </w:r>
      <w:r w:rsidR="009662DC" w:rsidRPr="00081AC2">
        <w:t>.</w:t>
      </w:r>
      <w:r w:rsidR="00915D98" w:rsidRPr="00081AC2">
        <w:t xml:space="preserve"> </w:t>
      </w:r>
      <w:r w:rsidR="00CE3803" w:rsidRPr="00081AC2">
        <w:t>E</w:t>
      </w:r>
      <w:r w:rsidR="00F94D56" w:rsidRPr="00081AC2">
        <w:t xml:space="preserve">xtant </w:t>
      </w:r>
      <w:r w:rsidR="00CE3803" w:rsidRPr="00081AC2">
        <w:t xml:space="preserve">halon </w:t>
      </w:r>
      <w:r w:rsidR="00F94D56" w:rsidRPr="00081AC2">
        <w:t xml:space="preserve">systems </w:t>
      </w:r>
      <w:r w:rsidR="00CE3803" w:rsidRPr="00081AC2">
        <w:t>prior to 1994 were not required to be replaced by alternatives. Nonetheless</w:t>
      </w:r>
      <w:r w:rsidR="003337D8">
        <w:t>,</w:t>
      </w:r>
      <w:r w:rsidR="00CE3803" w:rsidRPr="00081AC2">
        <w:t xml:space="preserve"> natural attrition</w:t>
      </w:r>
      <w:r w:rsidR="001E2E41" w:rsidRPr="00081AC2">
        <w:t xml:space="preserve"> </w:t>
      </w:r>
      <w:r w:rsidR="004E5376" w:rsidRPr="00081AC2">
        <w:t xml:space="preserve">with age </w:t>
      </w:r>
      <w:r w:rsidR="001E2E41" w:rsidRPr="00081AC2">
        <w:t>has meant</w:t>
      </w:r>
      <w:r w:rsidR="003A75C3" w:rsidRPr="00081AC2">
        <w:t xml:space="preserve"> </w:t>
      </w:r>
      <w:r w:rsidR="005629EE" w:rsidRPr="00081AC2">
        <w:t>the number of</w:t>
      </w:r>
      <w:r w:rsidR="002478F1" w:rsidRPr="00081AC2">
        <w:t xml:space="preserve"> </w:t>
      </w:r>
      <w:r w:rsidR="009B2688" w:rsidRPr="00081AC2">
        <w:t xml:space="preserve">vessels </w:t>
      </w:r>
      <w:r w:rsidR="005629EE" w:rsidRPr="00081AC2">
        <w:t xml:space="preserve">using halon </w:t>
      </w:r>
      <w:r w:rsidR="00B837EF" w:rsidRPr="00081AC2">
        <w:t xml:space="preserve">is expected to be </w:t>
      </w:r>
      <w:r w:rsidR="00473C91" w:rsidRPr="00081AC2">
        <w:t>small and diminishing.</w:t>
      </w:r>
    </w:p>
    <w:p w14:paraId="039182CC" w14:textId="77777777" w:rsidR="00364635" w:rsidRPr="00081AC2" w:rsidRDefault="00364635" w:rsidP="00324056">
      <w:pPr>
        <w:pStyle w:val="Heading3"/>
      </w:pPr>
      <w:bookmarkStart w:id="27" w:name="_Toc38190334"/>
      <w:r w:rsidRPr="00081AC2">
        <w:t>Australian Flagged Vessels</w:t>
      </w:r>
      <w:bookmarkEnd w:id="27"/>
    </w:p>
    <w:p w14:paraId="4F174969" w14:textId="448111B5" w:rsidR="004C7E17" w:rsidRDefault="00D23CC6" w:rsidP="00081AC2">
      <w:pPr>
        <w:pStyle w:val="BodyText10"/>
      </w:pPr>
      <w:r>
        <w:t>The</w:t>
      </w:r>
      <w:r w:rsidR="00EE4E20">
        <w:t xml:space="preserve"> 2012 </w:t>
      </w:r>
      <w:r>
        <w:t>Halon Review</w:t>
      </w:r>
      <w:r w:rsidR="00EE4E20">
        <w:t xml:space="preserve"> reported</w:t>
      </w:r>
      <w:r w:rsidR="0072208D">
        <w:t xml:space="preserve"> that</w:t>
      </w:r>
      <w:r w:rsidR="00C720F3">
        <w:t xml:space="preserve"> </w:t>
      </w:r>
      <w:r w:rsidR="00766577" w:rsidRPr="00081AC2">
        <w:t xml:space="preserve">there </w:t>
      </w:r>
      <w:r w:rsidR="00965594">
        <w:t>wa</w:t>
      </w:r>
      <w:r w:rsidR="00766577" w:rsidRPr="00081AC2">
        <w:t xml:space="preserve">s no longer any significant call </w:t>
      </w:r>
      <w:r w:rsidR="00B50CD9" w:rsidRPr="00081AC2">
        <w:t xml:space="preserve">on NHB stocks </w:t>
      </w:r>
      <w:r w:rsidR="00B50CD9">
        <w:t>by</w:t>
      </w:r>
      <w:r w:rsidR="00766577" w:rsidRPr="00081AC2">
        <w:t xml:space="preserve"> Australian </w:t>
      </w:r>
      <w:r w:rsidR="003337D8">
        <w:t>f</w:t>
      </w:r>
      <w:r w:rsidR="00766577" w:rsidRPr="00081AC2">
        <w:t xml:space="preserve">lagged </w:t>
      </w:r>
      <w:r w:rsidR="003337D8">
        <w:t>v</w:t>
      </w:r>
      <w:r w:rsidR="00766577" w:rsidRPr="00081AC2">
        <w:t>essels</w:t>
      </w:r>
      <w:r w:rsidR="007C328C" w:rsidRPr="00081AC2">
        <w:t>.</w:t>
      </w:r>
      <w:r w:rsidR="00F10700">
        <w:t xml:space="preserve"> </w:t>
      </w:r>
    </w:p>
    <w:p w14:paraId="5650E576" w14:textId="776BEC1E" w:rsidR="008155B7" w:rsidRPr="008155B7" w:rsidRDefault="007E6659" w:rsidP="008155B7">
      <w:pPr>
        <w:pStyle w:val="BodyText10"/>
      </w:pPr>
      <w:r>
        <w:t xml:space="preserve">One </w:t>
      </w:r>
      <w:r w:rsidR="00C1665E">
        <w:t xml:space="preserve">maritime </w:t>
      </w:r>
      <w:r>
        <w:t>fire service</w:t>
      </w:r>
      <w:r w:rsidR="00C1665E">
        <w:t>s</w:t>
      </w:r>
      <w:r>
        <w:t xml:space="preserve"> provider </w:t>
      </w:r>
      <w:r w:rsidR="005261C0">
        <w:t>has</w:t>
      </w:r>
      <w:r w:rsidR="00C67C7C">
        <w:t xml:space="preserve"> </w:t>
      </w:r>
      <w:r w:rsidR="005261C0">
        <w:t>provided us with</w:t>
      </w:r>
      <w:r w:rsidR="00041344">
        <w:t xml:space="preserve"> </w:t>
      </w:r>
      <w:r w:rsidR="00C72981">
        <w:t>c</w:t>
      </w:r>
      <w:r w:rsidR="000D6B3C">
        <w:t xml:space="preserve">urrent </w:t>
      </w:r>
      <w:r w:rsidR="00041344">
        <w:t>information that there is one</w:t>
      </w:r>
      <w:r w:rsidR="00393A72">
        <w:t xml:space="preserve"> registered commercial vessel </w:t>
      </w:r>
      <w:r w:rsidR="006B2151">
        <w:t xml:space="preserve">in South Australia </w:t>
      </w:r>
      <w:r w:rsidR="00393A72">
        <w:t xml:space="preserve">that still has a halon </w:t>
      </w:r>
      <w:r w:rsidR="006B2151">
        <w:t>fire suppression system</w:t>
      </w:r>
      <w:r w:rsidR="00A254F1">
        <w:t>,</w:t>
      </w:r>
      <w:r w:rsidR="006B2151">
        <w:t xml:space="preserve"> containing a nominal </w:t>
      </w:r>
      <w:r w:rsidR="00A87224">
        <w:t>600</w:t>
      </w:r>
      <w:r w:rsidR="00863036">
        <w:t xml:space="preserve"> </w:t>
      </w:r>
      <w:r w:rsidR="00A87224">
        <w:t>kg of halon 1301.</w:t>
      </w:r>
    </w:p>
    <w:p w14:paraId="7427E3FC" w14:textId="1DEAB064" w:rsidR="003A4FE7" w:rsidRPr="003A4FE7" w:rsidRDefault="00D540E2" w:rsidP="003A4FE7">
      <w:pPr>
        <w:pStyle w:val="BodyText10"/>
      </w:pPr>
      <w:r>
        <w:t xml:space="preserve">Additionally, </w:t>
      </w:r>
      <w:r w:rsidR="00D95A41">
        <w:t xml:space="preserve">it was reported that </w:t>
      </w:r>
      <w:r>
        <w:t>a</w:t>
      </w:r>
      <w:r w:rsidR="00D95A41">
        <w:t xml:space="preserve"> former </w:t>
      </w:r>
      <w:r w:rsidR="006110C5">
        <w:t>New Zealand</w:t>
      </w:r>
      <w:r w:rsidR="00D95A41">
        <w:t xml:space="preserve"> Defence</w:t>
      </w:r>
      <w:r w:rsidR="004C5A5D">
        <w:t xml:space="preserve"> vessel</w:t>
      </w:r>
      <w:r w:rsidR="00354B21">
        <w:t xml:space="preserve"> </w:t>
      </w:r>
      <w:r w:rsidR="00B41CC8">
        <w:t>(</w:t>
      </w:r>
      <w:r w:rsidR="00354B21">
        <w:t>believe</w:t>
      </w:r>
      <w:r w:rsidR="00B41CC8">
        <w:t>d</w:t>
      </w:r>
      <w:r w:rsidR="00354B21">
        <w:t xml:space="preserve"> to be </w:t>
      </w:r>
      <w:r w:rsidR="00B41CC8">
        <w:t>ex-HMNZS</w:t>
      </w:r>
      <w:r w:rsidR="00991D2B">
        <w:t xml:space="preserve"> Manaw</w:t>
      </w:r>
      <w:r w:rsidR="003B64C1">
        <w:t>an</w:t>
      </w:r>
      <w:r w:rsidR="00991D2B">
        <w:t>ui)</w:t>
      </w:r>
      <w:r w:rsidR="004C5A5D">
        <w:t xml:space="preserve"> had</w:t>
      </w:r>
      <w:r w:rsidR="00396941">
        <w:t xml:space="preserve"> been imported </w:t>
      </w:r>
      <w:r w:rsidR="00A254F1">
        <w:t xml:space="preserve">during 2018-2019 </w:t>
      </w:r>
      <w:r w:rsidR="00396941">
        <w:t>in</w:t>
      </w:r>
      <w:r w:rsidR="00337036">
        <w:t>to Australia with a halon 1301 fire suppression system</w:t>
      </w:r>
      <w:r w:rsidR="009F3634">
        <w:t xml:space="preserve"> and renamed as the MV Ocean Recovery</w:t>
      </w:r>
      <w:r w:rsidR="00AB55D1">
        <w:t xml:space="preserve"> out of Newcastle</w:t>
      </w:r>
      <w:r w:rsidR="00A12CB6">
        <w:t>.</w:t>
      </w:r>
    </w:p>
    <w:p w14:paraId="36C1F48B" w14:textId="4C25A2AF" w:rsidR="00A12CB6" w:rsidRPr="002518AB" w:rsidRDefault="00C94A98" w:rsidP="00081AC2">
      <w:pPr>
        <w:pStyle w:val="BodyText10"/>
      </w:pPr>
      <w:r>
        <w:t>For</w:t>
      </w:r>
      <w:r w:rsidR="00A12CB6">
        <w:t xml:space="preserve"> both </w:t>
      </w:r>
      <w:r>
        <w:t>vessels</w:t>
      </w:r>
      <w:r w:rsidR="002D3681">
        <w:t>,</w:t>
      </w:r>
      <w:r w:rsidR="00A12CB6">
        <w:t xml:space="preserve"> </w:t>
      </w:r>
      <w:r w:rsidR="00AC3D9E">
        <w:t xml:space="preserve">it </w:t>
      </w:r>
      <w:r w:rsidR="00F308D6">
        <w:t xml:space="preserve">has been </w:t>
      </w:r>
      <w:r w:rsidR="0012352A">
        <w:t xml:space="preserve">suggested that if </w:t>
      </w:r>
      <w:r w:rsidR="0040169E">
        <w:t xml:space="preserve">the </w:t>
      </w:r>
      <w:r w:rsidR="004B7347">
        <w:t>fire suppression systems were ever used</w:t>
      </w:r>
      <w:r w:rsidR="00C02F54">
        <w:t xml:space="preserve"> that the</w:t>
      </w:r>
      <w:r w:rsidR="0017048D">
        <w:t>y</w:t>
      </w:r>
      <w:r w:rsidR="006A6ED5">
        <w:t xml:space="preserve"> would be refilled </w:t>
      </w:r>
      <w:r w:rsidR="009567B3">
        <w:t xml:space="preserve">economically </w:t>
      </w:r>
      <w:r w:rsidR="006A6ED5">
        <w:t>with a halon alternative</w:t>
      </w:r>
      <w:r w:rsidR="009567B3">
        <w:t xml:space="preserve"> drop-in replacement</w:t>
      </w:r>
      <w:r w:rsidR="00A333DC">
        <w:t>.</w:t>
      </w:r>
      <w:r w:rsidR="00973DF9">
        <w:t xml:space="preserve"> </w:t>
      </w:r>
      <w:r w:rsidR="00A333DC">
        <w:t>This</w:t>
      </w:r>
      <w:r w:rsidR="00973DF9">
        <w:t xml:space="preserve"> </w:t>
      </w:r>
      <w:r w:rsidR="00C977E1">
        <w:t>suggests that</w:t>
      </w:r>
      <w:r w:rsidR="00973DF9">
        <w:t xml:space="preserve"> </w:t>
      </w:r>
      <w:r w:rsidR="00F35F74">
        <w:t>these vessels</w:t>
      </w:r>
      <w:r w:rsidR="00973DF9">
        <w:t xml:space="preserve"> </w:t>
      </w:r>
      <w:r w:rsidR="000B32B0">
        <w:t>are unlikely to</w:t>
      </w:r>
      <w:r w:rsidR="00F35F74">
        <w:t xml:space="preserve"> </w:t>
      </w:r>
      <w:r w:rsidR="00973DF9">
        <w:t>mak</w:t>
      </w:r>
      <w:r w:rsidR="00F35F74">
        <w:t>e</w:t>
      </w:r>
      <w:r w:rsidR="00973DF9">
        <w:t xml:space="preserve"> any </w:t>
      </w:r>
      <w:r w:rsidR="000B32B0">
        <w:t xml:space="preserve">future </w:t>
      </w:r>
      <w:r w:rsidR="00973DF9">
        <w:t>call on NHB stocks.</w:t>
      </w:r>
    </w:p>
    <w:p w14:paraId="57BC1E26" w14:textId="77777777" w:rsidR="00364635" w:rsidRPr="00081AC2" w:rsidRDefault="00364635" w:rsidP="00324056">
      <w:pPr>
        <w:pStyle w:val="Heading3"/>
      </w:pPr>
      <w:bookmarkStart w:id="28" w:name="_Toc38190335"/>
      <w:r w:rsidRPr="00081AC2">
        <w:t>Foreign Flagged Vessels</w:t>
      </w:r>
      <w:bookmarkEnd w:id="28"/>
    </w:p>
    <w:p w14:paraId="590A10DA" w14:textId="4CDA5DF0" w:rsidR="000821F1" w:rsidRPr="00081AC2" w:rsidRDefault="0027408F" w:rsidP="00081AC2">
      <w:pPr>
        <w:pStyle w:val="BodyText10"/>
      </w:pPr>
      <w:r w:rsidRPr="00081AC2">
        <w:t xml:space="preserve">Australia is </w:t>
      </w:r>
      <w:r w:rsidR="000033C9" w:rsidRPr="00081AC2">
        <w:t xml:space="preserve">one of </w:t>
      </w:r>
      <w:r w:rsidRPr="00081AC2">
        <w:t>the largest global shipping nation</w:t>
      </w:r>
      <w:r w:rsidR="009003C3" w:rsidRPr="00081AC2">
        <w:t>s</w:t>
      </w:r>
      <w:r w:rsidRPr="00081AC2">
        <w:t xml:space="preserve"> in terms of tonnes of cargo shipped and kilometres travelled</w:t>
      </w:r>
      <w:r w:rsidR="008B7DB4" w:rsidRPr="00081AC2">
        <w:t>.</w:t>
      </w:r>
      <w:r w:rsidRPr="00081AC2">
        <w:t xml:space="preserve"> </w:t>
      </w:r>
      <w:r w:rsidR="0047245D" w:rsidRPr="00081AC2">
        <w:t>A large</w:t>
      </w:r>
      <w:r w:rsidRPr="00081AC2">
        <w:t xml:space="preserve"> </w:t>
      </w:r>
      <w:r w:rsidR="00811895" w:rsidRPr="00081AC2">
        <w:t xml:space="preserve">number </w:t>
      </w:r>
      <w:r w:rsidR="00342879" w:rsidRPr="00081AC2">
        <w:t xml:space="preserve">of </w:t>
      </w:r>
      <w:r w:rsidRPr="00081AC2">
        <w:t>foreign flagged bulk and containerised commercial shipping</w:t>
      </w:r>
      <w:r w:rsidR="0021584F">
        <w:t>,</w:t>
      </w:r>
      <w:r w:rsidRPr="00081AC2">
        <w:t xml:space="preserve"> </w:t>
      </w:r>
      <w:r w:rsidR="0047245D" w:rsidRPr="00081AC2">
        <w:t xml:space="preserve">and </w:t>
      </w:r>
      <w:r w:rsidR="00870363" w:rsidRPr="00081AC2">
        <w:t>an increasing number of cruise ships</w:t>
      </w:r>
      <w:r w:rsidR="0021584F">
        <w:t>,</w:t>
      </w:r>
      <w:r w:rsidR="00870363" w:rsidRPr="00081AC2">
        <w:t xml:space="preserve"> visit </w:t>
      </w:r>
      <w:r w:rsidRPr="00081AC2">
        <w:t>each year.</w:t>
      </w:r>
      <w:r w:rsidR="00F10700">
        <w:t xml:space="preserve"> </w:t>
      </w:r>
    </w:p>
    <w:p w14:paraId="55F3398B" w14:textId="1ED7D7E6" w:rsidR="00342879" w:rsidRPr="00081AC2" w:rsidRDefault="009B5AA8" w:rsidP="00081AC2">
      <w:pPr>
        <w:pStyle w:val="BodyText10"/>
      </w:pPr>
      <w:r w:rsidRPr="00081AC2">
        <w:t>Most c</w:t>
      </w:r>
      <w:r w:rsidR="00342879" w:rsidRPr="00081AC2">
        <w:t>ruis</w:t>
      </w:r>
      <w:r w:rsidR="007823AB" w:rsidRPr="00081AC2">
        <w:t xml:space="preserve">e vessels are expected </w:t>
      </w:r>
      <w:r w:rsidRPr="00081AC2">
        <w:t>to have been built</w:t>
      </w:r>
      <w:r w:rsidR="007823AB" w:rsidRPr="00081AC2">
        <w:t xml:space="preserve"> </w:t>
      </w:r>
      <w:r w:rsidR="00073756" w:rsidRPr="00081AC2">
        <w:t xml:space="preserve">post-1994 </w:t>
      </w:r>
      <w:r w:rsidR="00592E29" w:rsidRPr="00081AC2">
        <w:t xml:space="preserve">and </w:t>
      </w:r>
      <w:r w:rsidR="007823AB" w:rsidRPr="00081AC2">
        <w:t>to have complied with</w:t>
      </w:r>
      <w:r w:rsidR="008D1E79" w:rsidRPr="00081AC2">
        <w:t xml:space="preserve"> IMO</w:t>
      </w:r>
      <w:r w:rsidR="00760DC8" w:rsidRPr="00081AC2">
        <w:t xml:space="preserve"> </w:t>
      </w:r>
      <w:r w:rsidR="00781E1D" w:rsidRPr="00081AC2">
        <w:t>resolutions</w:t>
      </w:r>
      <w:r w:rsidR="00661BAB" w:rsidRPr="00081AC2">
        <w:t xml:space="preserve"> banning halon on new </w:t>
      </w:r>
      <w:r w:rsidR="00857910" w:rsidRPr="00081AC2">
        <w:t>vessels.</w:t>
      </w:r>
    </w:p>
    <w:p w14:paraId="062B27FE" w14:textId="4A7A4D09" w:rsidR="0027408F" w:rsidRPr="00081AC2" w:rsidRDefault="002C64DC" w:rsidP="00081AC2">
      <w:pPr>
        <w:pStyle w:val="BodyText10"/>
      </w:pPr>
      <w:r w:rsidRPr="00081AC2">
        <w:t xml:space="preserve">Visiting foreign flagged vessels requiring halon while in Australian ports can access halon through Australian fire protection companies with the necessary halon special permits required under the Act. </w:t>
      </w:r>
      <w:r w:rsidR="0027408F" w:rsidRPr="00081AC2">
        <w:t xml:space="preserve">Requests for supply of halons from the </w:t>
      </w:r>
      <w:r w:rsidR="00816301">
        <w:t>NHB</w:t>
      </w:r>
      <w:r w:rsidR="0027408F" w:rsidRPr="00081AC2">
        <w:t xml:space="preserve"> are administered in accordance with the criteria established </w:t>
      </w:r>
      <w:r w:rsidR="00F8223E" w:rsidRPr="00081AC2">
        <w:t>under</w:t>
      </w:r>
      <w:r w:rsidR="0027408F" w:rsidRPr="00081AC2">
        <w:t xml:space="preserve"> the </w:t>
      </w:r>
      <w:r w:rsidR="00F8223E" w:rsidRPr="00081AC2">
        <w:t>Act</w:t>
      </w:r>
      <w:r w:rsidR="0027408F" w:rsidRPr="00081AC2">
        <w:t xml:space="preserve">. </w:t>
      </w:r>
      <w:r w:rsidR="004A6100" w:rsidRPr="00081AC2">
        <w:t>H</w:t>
      </w:r>
      <w:r w:rsidR="0027408F" w:rsidRPr="00081AC2">
        <w:t xml:space="preserve">alons </w:t>
      </w:r>
      <w:r w:rsidR="00EA3A3A">
        <w:t>are permitted to</w:t>
      </w:r>
      <w:r w:rsidR="00F8223E" w:rsidRPr="00081AC2">
        <w:t xml:space="preserve"> be</w:t>
      </w:r>
      <w:r w:rsidR="0027408F" w:rsidRPr="00081AC2">
        <w:t xml:space="preserve"> provided for fire protection systems in maritime applications where halon is still required</w:t>
      </w:r>
      <w:r w:rsidR="003337D8">
        <w:t>,</w:t>
      </w:r>
      <w:r w:rsidR="0027408F" w:rsidRPr="00081AC2">
        <w:t xml:space="preserve"> and no practical alternatives exist.</w:t>
      </w:r>
      <w:r w:rsidR="004A6100" w:rsidRPr="00081AC2">
        <w:t xml:space="preserve"> </w:t>
      </w:r>
    </w:p>
    <w:p w14:paraId="6D5FA7BE" w14:textId="37F6F80E" w:rsidR="00DF7949" w:rsidRDefault="0019714F" w:rsidP="00324056">
      <w:pPr>
        <w:pStyle w:val="BodyText10"/>
        <w:rPr>
          <w:b/>
          <w:i/>
          <w:snapToGrid w:val="0"/>
          <w:lang w:val="en-US"/>
        </w:rPr>
      </w:pPr>
      <w:r w:rsidRPr="00081AC2">
        <w:t>T</w:t>
      </w:r>
      <w:r w:rsidR="00364635" w:rsidRPr="00081AC2">
        <w:t xml:space="preserve">he major uncertainty in estimating future halon </w:t>
      </w:r>
      <w:r w:rsidR="007D5918" w:rsidRPr="00081AC2">
        <w:t>requirements</w:t>
      </w:r>
      <w:r w:rsidR="00364635" w:rsidRPr="00081AC2">
        <w:t xml:space="preserve"> for </w:t>
      </w:r>
      <w:r w:rsidR="00AA33BB" w:rsidRPr="00081AC2">
        <w:t xml:space="preserve">the </w:t>
      </w:r>
      <w:r w:rsidR="00362099">
        <w:t>non-defence</w:t>
      </w:r>
      <w:r w:rsidR="00364635" w:rsidRPr="00081AC2">
        <w:t xml:space="preserve"> maritime sector </w:t>
      </w:r>
      <w:r w:rsidRPr="00081AC2">
        <w:t>is expected to</w:t>
      </w:r>
      <w:r w:rsidR="00364635" w:rsidRPr="00081AC2">
        <w:t xml:space="preserve"> be foreign flagged vessels that have a discharge incident </w:t>
      </w:r>
      <w:r w:rsidR="003337D8">
        <w:t>o</w:t>
      </w:r>
      <w:r w:rsidR="00364635" w:rsidRPr="00081AC2">
        <w:t>n</w:t>
      </w:r>
      <w:r w:rsidR="00AA33BB" w:rsidRPr="00081AC2">
        <w:t xml:space="preserve"> </w:t>
      </w:r>
      <w:r w:rsidR="00364635" w:rsidRPr="00081AC2">
        <w:t xml:space="preserve">route to Australia or while serving Australian coastal </w:t>
      </w:r>
      <w:r w:rsidR="00364635" w:rsidRPr="00081AC2">
        <w:lastRenderedPageBreak/>
        <w:t xml:space="preserve">routes. </w:t>
      </w:r>
      <w:r w:rsidR="009D7DB5">
        <w:t>It</w:t>
      </w:r>
      <w:r w:rsidR="00364635" w:rsidRPr="00081AC2">
        <w:t xml:space="preserve"> is not considere</w:t>
      </w:r>
      <w:r w:rsidR="00AA33BB" w:rsidRPr="00081AC2">
        <w:t xml:space="preserve">d likely that </w:t>
      </w:r>
      <w:r w:rsidR="00CC47AE" w:rsidRPr="00081AC2">
        <w:t>foreign flagged vessels</w:t>
      </w:r>
      <w:r w:rsidR="00AA33BB" w:rsidRPr="00081AC2">
        <w:t xml:space="preserve"> would pose </w:t>
      </w:r>
      <w:r w:rsidR="00364635" w:rsidRPr="00081AC2">
        <w:t xml:space="preserve">significant </w:t>
      </w:r>
      <w:r w:rsidR="00AA33BB" w:rsidRPr="00081AC2">
        <w:t xml:space="preserve">risks to </w:t>
      </w:r>
      <w:r w:rsidR="00364635" w:rsidRPr="00081AC2">
        <w:t xml:space="preserve">Australia’s </w:t>
      </w:r>
      <w:r w:rsidR="001117DE" w:rsidRPr="00081AC2">
        <w:t>halon stocks.</w:t>
      </w:r>
      <w:r w:rsidR="00364635" w:rsidRPr="00081AC2">
        <w:t xml:space="preserve"> </w:t>
      </w:r>
    </w:p>
    <w:p w14:paraId="2ACB1CBA" w14:textId="77777777" w:rsidR="00B10DAE" w:rsidRDefault="00B10DAE">
      <w:pPr>
        <w:rPr>
          <w:b/>
          <w:i/>
          <w:snapToGrid w:val="0"/>
          <w:lang w:val="en-US"/>
        </w:rPr>
      </w:pPr>
      <w:r>
        <w:br w:type="page"/>
      </w:r>
    </w:p>
    <w:p w14:paraId="4B45EE95" w14:textId="76DD81D7" w:rsidR="00364635" w:rsidRPr="00081AC2" w:rsidRDefault="00364635" w:rsidP="00324056">
      <w:pPr>
        <w:pStyle w:val="Heading3"/>
      </w:pPr>
      <w:bookmarkStart w:id="29" w:name="_Toc38190336"/>
      <w:r w:rsidRPr="00081AC2">
        <w:lastRenderedPageBreak/>
        <w:t xml:space="preserve">Halon </w:t>
      </w:r>
      <w:r w:rsidR="00A32290" w:rsidRPr="00081AC2">
        <w:t>Alternatives</w:t>
      </w:r>
      <w:bookmarkEnd w:id="29"/>
    </w:p>
    <w:p w14:paraId="764407DD" w14:textId="1AF58E92" w:rsidR="00364635" w:rsidRPr="00081AC2" w:rsidRDefault="00364635" w:rsidP="00081AC2">
      <w:pPr>
        <w:pStyle w:val="BodyText10"/>
      </w:pPr>
      <w:r w:rsidRPr="002518AB">
        <w:t>Numerous alternatives are available to replace halon fire protection systems in maritime use. These include</w:t>
      </w:r>
      <w:r w:rsidR="001F7675" w:rsidRPr="002518AB">
        <w:t>,</w:t>
      </w:r>
      <w:r w:rsidRPr="002518AB">
        <w:t xml:space="preserve"> </w:t>
      </w:r>
      <w:r w:rsidR="005154F9" w:rsidRPr="002518AB">
        <w:t>but are not limited to</w:t>
      </w:r>
      <w:r w:rsidR="001F7675" w:rsidRPr="002518AB">
        <w:t>,</w:t>
      </w:r>
      <w:r w:rsidR="005154F9" w:rsidRPr="002518AB">
        <w:t xml:space="preserve"> </w:t>
      </w:r>
      <w:r w:rsidRPr="002518AB">
        <w:t>CO</w:t>
      </w:r>
      <w:r w:rsidRPr="002518AB">
        <w:rPr>
          <w:vertAlign w:val="subscript"/>
        </w:rPr>
        <w:t>2</w:t>
      </w:r>
      <w:r w:rsidRPr="002518AB">
        <w:t xml:space="preserve">, water mist, </w:t>
      </w:r>
      <w:r w:rsidR="005154F9" w:rsidRPr="002518AB">
        <w:t>foam, FM</w:t>
      </w:r>
      <w:r w:rsidR="006E20C4" w:rsidRPr="002518AB">
        <w:t>-</w:t>
      </w:r>
      <w:r w:rsidR="005154F9" w:rsidRPr="002518AB">
        <w:t xml:space="preserve">200 </w:t>
      </w:r>
      <w:r w:rsidRPr="002518AB">
        <w:t>and dry powder extinguishers. These</w:t>
      </w:r>
      <w:r w:rsidR="00104A07">
        <w:t>,</w:t>
      </w:r>
      <w:r w:rsidR="005154F9" w:rsidRPr="002518AB">
        <w:t xml:space="preserve"> and other</w:t>
      </w:r>
      <w:r w:rsidRPr="002518AB">
        <w:t xml:space="preserve"> technologies</w:t>
      </w:r>
      <w:r w:rsidR="00104A07">
        <w:t>,</w:t>
      </w:r>
      <w:r w:rsidRPr="002518AB">
        <w:t xml:space="preserve"> have replaced halon use in new </w:t>
      </w:r>
      <w:r w:rsidR="001117DE" w:rsidRPr="002518AB">
        <w:t>vessels</w:t>
      </w:r>
      <w:r w:rsidRPr="002518AB">
        <w:t xml:space="preserve"> since 1994.</w:t>
      </w:r>
      <w:r w:rsidR="00A645A9">
        <w:t xml:space="preserve"> </w:t>
      </w:r>
      <w:r w:rsidR="00D03937">
        <w:t xml:space="preserve">For </w:t>
      </w:r>
      <w:r w:rsidR="009F6973">
        <w:t xml:space="preserve">existing </w:t>
      </w:r>
      <w:r w:rsidR="006A1580">
        <w:t xml:space="preserve">vessels </w:t>
      </w:r>
      <w:r w:rsidR="00CF56E6">
        <w:t>with legacy halon systems</w:t>
      </w:r>
      <w:r w:rsidR="00185A42">
        <w:t>,</w:t>
      </w:r>
      <w:r w:rsidR="00CF56E6">
        <w:t xml:space="preserve"> it has been</w:t>
      </w:r>
      <w:r w:rsidR="0016697A">
        <w:t xml:space="preserve"> report</w:t>
      </w:r>
      <w:r w:rsidR="00CF56E6">
        <w:t>ed</w:t>
      </w:r>
      <w:r w:rsidR="0016697A">
        <w:t xml:space="preserve"> that </w:t>
      </w:r>
      <w:r w:rsidR="00F47428">
        <w:t>after a</w:t>
      </w:r>
      <w:r w:rsidR="00E2269A">
        <w:t>n on-board</w:t>
      </w:r>
      <w:r w:rsidR="00F47428">
        <w:t xml:space="preserve"> </w:t>
      </w:r>
      <w:r w:rsidR="00E2269A">
        <w:t>halon release event</w:t>
      </w:r>
      <w:r w:rsidR="00F47428">
        <w:t xml:space="preserve"> </w:t>
      </w:r>
      <w:r w:rsidR="00D03937">
        <w:t xml:space="preserve">it </w:t>
      </w:r>
      <w:r w:rsidR="00E2269A">
        <w:t>would be</w:t>
      </w:r>
      <w:r w:rsidR="00D03937">
        <w:t xml:space="preserve"> more cost-effective to retrofit a halon-alternative chemical agent </w:t>
      </w:r>
      <w:r w:rsidR="00CF56E6">
        <w:t>than to refill with halon.</w:t>
      </w:r>
    </w:p>
    <w:p w14:paraId="2AEEAF7C" w14:textId="26BC38D4" w:rsidR="00AF2C3F" w:rsidRPr="00081AC2" w:rsidRDefault="00AF2C3F" w:rsidP="00324056">
      <w:pPr>
        <w:pStyle w:val="Heading2"/>
      </w:pPr>
      <w:bookmarkStart w:id="30" w:name="_Toc38190337"/>
      <w:r w:rsidRPr="00081AC2">
        <w:t xml:space="preserve">Defence </w:t>
      </w:r>
      <w:r w:rsidR="00A32290" w:rsidRPr="00081AC2">
        <w:t>Uses</w:t>
      </w:r>
      <w:bookmarkEnd w:id="30"/>
    </w:p>
    <w:p w14:paraId="06DB3441" w14:textId="48065D27" w:rsidR="00101FEE" w:rsidRPr="001B3A85" w:rsidRDefault="00E757C2" w:rsidP="00081AC2">
      <w:pPr>
        <w:pStyle w:val="BodyText10"/>
        <w:rPr>
          <w:lang w:val="en-AU"/>
        </w:rPr>
      </w:pPr>
      <w:r>
        <w:t xml:space="preserve">The </w:t>
      </w:r>
      <w:r w:rsidR="00E12D8B">
        <w:t>2020 Halon Review</w:t>
      </w:r>
      <w:r w:rsidR="00E36A53" w:rsidRPr="00081AC2">
        <w:t xml:space="preserve"> investigates </w:t>
      </w:r>
      <w:r w:rsidR="00362099">
        <w:t>non-defence</w:t>
      </w:r>
      <w:r w:rsidR="00E36A53" w:rsidRPr="00081AC2">
        <w:t xml:space="preserve"> halon uses and considers requirements for the strategic </w:t>
      </w:r>
      <w:r w:rsidR="00362099">
        <w:t>non-defence</w:t>
      </w:r>
      <w:r w:rsidR="00531632">
        <w:t xml:space="preserve"> </w:t>
      </w:r>
      <w:r w:rsidR="00E36A53" w:rsidRPr="00081AC2">
        <w:t xml:space="preserve">stockpile of halon </w:t>
      </w:r>
      <w:r w:rsidR="00531632">
        <w:t xml:space="preserve">at the NHB </w:t>
      </w:r>
      <w:r w:rsidR="00E36A53" w:rsidRPr="00081AC2">
        <w:t xml:space="preserve">to meet those needs. </w:t>
      </w:r>
      <w:r w:rsidR="00A316B2" w:rsidRPr="000D0DC0">
        <w:t xml:space="preserve">Defence </w:t>
      </w:r>
      <w:r w:rsidR="00095240" w:rsidRPr="000D0DC0">
        <w:t xml:space="preserve">halon usage and </w:t>
      </w:r>
      <w:r w:rsidR="00A316B2" w:rsidRPr="000D0DC0">
        <w:t>future halon requirements have been addressed separately.</w:t>
      </w:r>
      <w:r w:rsidR="00E36A53" w:rsidRPr="00081AC2">
        <w:t xml:space="preserve"> </w:t>
      </w:r>
    </w:p>
    <w:p w14:paraId="022CBAD9" w14:textId="77777777" w:rsidR="00081AC2" w:rsidRDefault="00081AC2">
      <w:pPr>
        <w:rPr>
          <w:b/>
          <w:sz w:val="28"/>
        </w:rPr>
      </w:pPr>
      <w:r>
        <w:br w:type="page"/>
      </w:r>
    </w:p>
    <w:p w14:paraId="178B3AE3" w14:textId="1CFF870A" w:rsidR="00E51F07" w:rsidRPr="008D3E80" w:rsidRDefault="002849A7" w:rsidP="00842135">
      <w:pPr>
        <w:pStyle w:val="Heading1"/>
      </w:pPr>
      <w:bookmarkStart w:id="31" w:name="_Toc38190338"/>
      <w:r w:rsidRPr="008D3E80">
        <w:lastRenderedPageBreak/>
        <w:t xml:space="preserve">Future </w:t>
      </w:r>
      <w:r w:rsidR="00A32290" w:rsidRPr="008D3E80">
        <w:t xml:space="preserve">Trends in Halon </w:t>
      </w:r>
      <w:r w:rsidR="00194E07">
        <w:t>Consumption</w:t>
      </w:r>
      <w:bookmarkEnd w:id="31"/>
    </w:p>
    <w:p w14:paraId="7AB76334" w14:textId="640C5DDA" w:rsidR="00F40619" w:rsidRPr="00081AC2" w:rsidRDefault="00880F9D" w:rsidP="00081AC2">
      <w:pPr>
        <w:pStyle w:val="BodyText10"/>
      </w:pPr>
      <w:r>
        <w:t>The status of a</w:t>
      </w:r>
      <w:r w:rsidR="000926A1" w:rsidRPr="000926A1">
        <w:t xml:space="preserve">lternatives to halon use in civil aviation and maritime uses </w:t>
      </w:r>
      <w:r>
        <w:t>has</w:t>
      </w:r>
      <w:r w:rsidRPr="000926A1">
        <w:t xml:space="preserve"> </w:t>
      </w:r>
      <w:r w:rsidR="000926A1" w:rsidRPr="000926A1">
        <w:t xml:space="preserve">been described </w:t>
      </w:r>
      <w:r w:rsidR="001F065E">
        <w:t>in the previous section</w:t>
      </w:r>
      <w:r w:rsidR="000926A1" w:rsidRPr="000926A1">
        <w:t xml:space="preserve">. </w:t>
      </w:r>
      <w:r w:rsidR="00F40619" w:rsidRPr="002518AB">
        <w:t>This section describe</w:t>
      </w:r>
      <w:r w:rsidR="00551CB5">
        <w:t>s</w:t>
      </w:r>
      <w:r w:rsidR="00F40619" w:rsidRPr="002518AB">
        <w:t xml:space="preserve"> possible </w:t>
      </w:r>
      <w:r w:rsidR="00551CB5" w:rsidRPr="002518AB">
        <w:t xml:space="preserve">future </w:t>
      </w:r>
      <w:r w:rsidR="00F40619" w:rsidRPr="002518AB">
        <w:t xml:space="preserve">trends in </w:t>
      </w:r>
      <w:r w:rsidR="00551CB5">
        <w:t xml:space="preserve">the consumption of halon for </w:t>
      </w:r>
      <w:r w:rsidR="00F40619" w:rsidRPr="002518AB">
        <w:t>remaining uses</w:t>
      </w:r>
      <w:r w:rsidR="00120A64">
        <w:t xml:space="preserve">, taking into account </w:t>
      </w:r>
      <w:r w:rsidR="0054404F">
        <w:t xml:space="preserve">the status of alternatives, </w:t>
      </w:r>
      <w:r w:rsidR="00340174">
        <w:t>current directions</w:t>
      </w:r>
      <w:r w:rsidR="00120A64">
        <w:t xml:space="preserve"> </w:t>
      </w:r>
      <w:r w:rsidR="00892C78">
        <w:t xml:space="preserve">and possible outcomes </w:t>
      </w:r>
      <w:r w:rsidR="00120A64">
        <w:t xml:space="preserve">in the </w:t>
      </w:r>
      <w:r w:rsidR="00473BBB">
        <w:t xml:space="preserve">international and national </w:t>
      </w:r>
      <w:r w:rsidR="00120A64">
        <w:t>civil aviation sector</w:t>
      </w:r>
      <w:r w:rsidR="00647A4C">
        <w:t xml:space="preserve"> and</w:t>
      </w:r>
      <w:r w:rsidR="002A0137">
        <w:t xml:space="preserve"> the </w:t>
      </w:r>
      <w:r w:rsidR="00C62A5C">
        <w:t>non-defence maritime sector</w:t>
      </w:r>
      <w:r w:rsidR="00F40619" w:rsidRPr="002518AB">
        <w:t>.</w:t>
      </w:r>
    </w:p>
    <w:p w14:paraId="24693228" w14:textId="5BEC5610" w:rsidR="00F40619" w:rsidRPr="00081AC2" w:rsidRDefault="003242CD" w:rsidP="00324056">
      <w:pPr>
        <w:pStyle w:val="Heading2"/>
      </w:pPr>
      <w:bookmarkStart w:id="32" w:name="_Toc38190339"/>
      <w:r>
        <w:t>Civil</w:t>
      </w:r>
      <w:r w:rsidR="00F40619" w:rsidRPr="00081AC2">
        <w:t xml:space="preserve"> </w:t>
      </w:r>
      <w:r w:rsidR="00A32290" w:rsidRPr="00081AC2">
        <w:t>Aviation Uses</w:t>
      </w:r>
      <w:bookmarkEnd w:id="32"/>
    </w:p>
    <w:p w14:paraId="72B5FC4C" w14:textId="4C86BAC1" w:rsidR="00D673C0" w:rsidRDefault="00596D03" w:rsidP="00081AC2">
      <w:pPr>
        <w:pStyle w:val="BodyText10"/>
      </w:pPr>
      <w:r w:rsidRPr="00081AC2">
        <w:t>T</w:t>
      </w:r>
      <w:r w:rsidR="00D673C0" w:rsidRPr="00081AC2">
        <w:t xml:space="preserve">echnically acceptable alternatives </w:t>
      </w:r>
      <w:r w:rsidR="00896429">
        <w:t xml:space="preserve">to halons </w:t>
      </w:r>
      <w:r w:rsidR="00D673C0" w:rsidRPr="00081AC2">
        <w:t xml:space="preserve">have been identified for </w:t>
      </w:r>
      <w:r w:rsidRPr="00081AC2">
        <w:t>two</w:t>
      </w:r>
      <w:r w:rsidR="00D673C0" w:rsidRPr="00081AC2">
        <w:t xml:space="preserve"> of the four civil aviation application areas, notably lavex</w:t>
      </w:r>
      <w:r w:rsidRPr="00081AC2">
        <w:t xml:space="preserve"> and</w:t>
      </w:r>
      <w:r w:rsidR="00D673C0" w:rsidRPr="00081AC2">
        <w:t xml:space="preserve"> handheld extinguishers. </w:t>
      </w:r>
      <w:r w:rsidR="0052055D">
        <w:t xml:space="preserve">The </w:t>
      </w:r>
      <w:r w:rsidR="0052055D" w:rsidRPr="001B3A85">
        <w:rPr>
          <w:i/>
          <w:iCs/>
        </w:rPr>
        <w:t>Civil Aviation Act 1988</w:t>
      </w:r>
      <w:r w:rsidR="00E6423A">
        <w:t xml:space="preserve"> </w:t>
      </w:r>
      <w:r w:rsidR="00954DC1">
        <w:t xml:space="preserve">has </w:t>
      </w:r>
      <w:r w:rsidR="00E6423A">
        <w:t xml:space="preserve">established </w:t>
      </w:r>
      <w:r w:rsidR="00065353">
        <w:t xml:space="preserve">prohibitions on halon 1211 in handheld extinguishers </w:t>
      </w:r>
      <w:r w:rsidR="00FD4F0E">
        <w:t xml:space="preserve">and halon 1301 in lavex systems </w:t>
      </w:r>
      <w:r w:rsidR="00065353">
        <w:t>in aircraft manufactured after 2018</w:t>
      </w:r>
      <w:r w:rsidR="00FD4F0E">
        <w:t xml:space="preserve">. </w:t>
      </w:r>
      <w:r w:rsidR="00D673C0" w:rsidRPr="00081AC2">
        <w:t xml:space="preserve">However, commercial development of an alternative fire suppression system for cargo compartments </w:t>
      </w:r>
      <w:r w:rsidR="008C03BE" w:rsidRPr="00081AC2">
        <w:t>and engine</w:t>
      </w:r>
      <w:r w:rsidR="00E6423A">
        <w:t>/</w:t>
      </w:r>
      <w:r w:rsidR="004435C1">
        <w:t>auxiliary power unit</w:t>
      </w:r>
      <w:r w:rsidR="004E64E4">
        <w:t>s</w:t>
      </w:r>
      <w:r w:rsidR="008C03BE" w:rsidRPr="00081AC2">
        <w:t xml:space="preserve"> </w:t>
      </w:r>
      <w:r w:rsidR="00D673C0" w:rsidRPr="00081AC2">
        <w:t xml:space="preserve">is still </w:t>
      </w:r>
      <w:r w:rsidR="001E46CF" w:rsidRPr="00081AC2">
        <w:t>progressing</w:t>
      </w:r>
      <w:r w:rsidR="002A3F10" w:rsidRPr="00081AC2">
        <w:t xml:space="preserve"> slowly</w:t>
      </w:r>
      <w:r w:rsidR="00D673C0" w:rsidRPr="00081AC2">
        <w:t>.</w:t>
      </w:r>
      <w:r w:rsidR="00F10700">
        <w:t xml:space="preserve"> </w:t>
      </w:r>
    </w:p>
    <w:p w14:paraId="765D99F9" w14:textId="0AEE1F28" w:rsidR="003E48D9" w:rsidRDefault="00DD116F" w:rsidP="00081AC2">
      <w:pPr>
        <w:pStyle w:val="BodyText10"/>
      </w:pPr>
      <w:r>
        <w:t>Australia</w:t>
      </w:r>
      <w:r w:rsidR="00A65719">
        <w:t xml:space="preserve">n </w:t>
      </w:r>
      <w:r w:rsidR="007D35B4">
        <w:t>civil</w:t>
      </w:r>
      <w:r w:rsidR="00A65719">
        <w:t xml:space="preserve"> aviation</w:t>
      </w:r>
      <w:r>
        <w:t xml:space="preserve"> is dependent on </w:t>
      </w:r>
      <w:r w:rsidR="00A65719">
        <w:t xml:space="preserve">international aircraft manufacturers to </w:t>
      </w:r>
      <w:r w:rsidR="00126775">
        <w:t xml:space="preserve">identify, develop, certify, and </w:t>
      </w:r>
      <w:r w:rsidR="00A65719">
        <w:t xml:space="preserve">implement the </w:t>
      </w:r>
      <w:r w:rsidR="00C267DC">
        <w:t xml:space="preserve">alternatives to halon 1301 in </w:t>
      </w:r>
      <w:r w:rsidR="00F87148">
        <w:t>engine/</w:t>
      </w:r>
      <w:r w:rsidR="004435C1">
        <w:t>auxiliary power unit</w:t>
      </w:r>
      <w:r w:rsidR="004E64E4">
        <w:t>s</w:t>
      </w:r>
      <w:r w:rsidR="00F87148">
        <w:t xml:space="preserve"> and </w:t>
      </w:r>
      <w:r w:rsidR="00E6423A">
        <w:t>cargo compartments</w:t>
      </w:r>
      <w:r w:rsidR="00A65719">
        <w:t xml:space="preserve">. </w:t>
      </w:r>
      <w:r w:rsidR="00126775">
        <w:t>For large, integrated systems like engine/</w:t>
      </w:r>
      <w:r w:rsidR="00F06630">
        <w:t>auxiliary power unit</w:t>
      </w:r>
      <w:r w:rsidR="004E64E4">
        <w:t>s</w:t>
      </w:r>
      <w:r w:rsidR="00126775">
        <w:t xml:space="preserve"> and cargo compartments, </w:t>
      </w:r>
      <w:r w:rsidR="008A21E3">
        <w:t xml:space="preserve">this </w:t>
      </w:r>
      <w:r w:rsidR="00F6635C">
        <w:t>might</w:t>
      </w:r>
      <w:r w:rsidR="008A21E3">
        <w:t xml:space="preserve"> </w:t>
      </w:r>
      <w:r w:rsidR="000C3203">
        <w:t xml:space="preserve">more likely </w:t>
      </w:r>
      <w:r w:rsidR="008A21E3">
        <w:t xml:space="preserve">occur through </w:t>
      </w:r>
      <w:r w:rsidR="00C3442D">
        <w:t xml:space="preserve">type certifications </w:t>
      </w:r>
      <w:r w:rsidR="000F35D6">
        <w:t>for</w:t>
      </w:r>
      <w:r w:rsidR="00C3442D">
        <w:t xml:space="preserve"> new design aircraft</w:t>
      </w:r>
      <w:r w:rsidR="00167925">
        <w:t xml:space="preserve"> than through retrofit</w:t>
      </w:r>
      <w:r w:rsidR="0087160B">
        <w:t xml:space="preserve">. Nevertheless, </w:t>
      </w:r>
      <w:r w:rsidR="00C3442D">
        <w:t xml:space="preserve">the European </w:t>
      </w:r>
      <w:r w:rsidR="0084691F">
        <w:t>“end</w:t>
      </w:r>
      <w:r w:rsidR="00F10700">
        <w:t>-</w:t>
      </w:r>
      <w:r w:rsidR="0084691F">
        <w:t>use” date requirements for retrofit</w:t>
      </w:r>
      <w:r w:rsidR="0087160B">
        <w:t xml:space="preserve"> </w:t>
      </w:r>
      <w:r w:rsidR="003E48D9">
        <w:t>for</w:t>
      </w:r>
      <w:r w:rsidR="008E2546">
        <w:t xml:space="preserve"> all halon aviation applications, including</w:t>
      </w:r>
      <w:r w:rsidR="003E48D9">
        <w:t xml:space="preserve"> engine/</w:t>
      </w:r>
      <w:r w:rsidR="00A62055">
        <w:t>auxiliary power unit</w:t>
      </w:r>
      <w:r w:rsidR="004E64E4">
        <w:t>s</w:t>
      </w:r>
      <w:r w:rsidR="008E2546">
        <w:t xml:space="preserve"> and cargo compartments, </w:t>
      </w:r>
      <w:r w:rsidR="0087160B">
        <w:t xml:space="preserve">may </w:t>
      </w:r>
      <w:r w:rsidR="003E48D9">
        <w:t>facili</w:t>
      </w:r>
      <w:r w:rsidR="008E2546">
        <w:t>t</w:t>
      </w:r>
      <w:r w:rsidR="003E48D9">
        <w:t>ate</w:t>
      </w:r>
      <w:r w:rsidR="00A413B2">
        <w:t xml:space="preserve"> the search for </w:t>
      </w:r>
      <w:r w:rsidR="003E48D9">
        <w:t>retrofit options</w:t>
      </w:r>
      <w:r w:rsidR="004732C2">
        <w:t xml:space="preserve"> for existing halon equipment and systems</w:t>
      </w:r>
      <w:r w:rsidR="0084691F">
        <w:t>.</w:t>
      </w:r>
      <w:r w:rsidR="00C3442D">
        <w:t xml:space="preserve"> </w:t>
      </w:r>
    </w:p>
    <w:p w14:paraId="0B19C8FE" w14:textId="2BE65F25" w:rsidR="00595628" w:rsidRDefault="00120F04" w:rsidP="005B1399">
      <w:pPr>
        <w:pStyle w:val="BodyText10"/>
      </w:pPr>
      <w:r>
        <w:t xml:space="preserve">Once a type certification is approved </w:t>
      </w:r>
      <w:r w:rsidR="00046091">
        <w:t xml:space="preserve">for new design aircraft, </w:t>
      </w:r>
      <w:r w:rsidR="00F16472">
        <w:t xml:space="preserve">there is a </w:t>
      </w:r>
      <w:r w:rsidR="005368C9">
        <w:t xml:space="preserve">delay </w:t>
      </w:r>
      <w:r w:rsidR="0024158B">
        <w:t>until</w:t>
      </w:r>
      <w:r w:rsidR="00531C4C">
        <w:t xml:space="preserve"> </w:t>
      </w:r>
      <w:r w:rsidR="00046091">
        <w:t xml:space="preserve">production of </w:t>
      </w:r>
      <w:r w:rsidR="00356A73">
        <w:t>the</w:t>
      </w:r>
      <w:r w:rsidR="00046091">
        <w:t xml:space="preserve"> new design </w:t>
      </w:r>
      <w:r w:rsidR="00356A73">
        <w:t xml:space="preserve">aircraft. Based on </w:t>
      </w:r>
      <w:r w:rsidR="00F7629C">
        <w:t>international expert opinion</w:t>
      </w:r>
      <w:r w:rsidR="0068423C">
        <w:rPr>
          <w:rStyle w:val="FootnoteReference"/>
        </w:rPr>
        <w:footnoteReference w:id="20"/>
      </w:r>
      <w:r w:rsidR="0039759F">
        <w:t xml:space="preserve">, the average </w:t>
      </w:r>
      <w:r w:rsidR="002D771F">
        <w:t>delay</w:t>
      </w:r>
      <w:r w:rsidR="0039759F">
        <w:t xml:space="preserve"> </w:t>
      </w:r>
      <w:r w:rsidR="006F553E">
        <w:t xml:space="preserve">between </w:t>
      </w:r>
      <w:r w:rsidR="00A55302">
        <w:t>type certification of new design aircraft and that aircraft going into production is about 10 years.</w:t>
      </w:r>
      <w:r w:rsidR="00A31EDC">
        <w:t xml:space="preserve"> </w:t>
      </w:r>
      <w:r w:rsidR="007F3B1D">
        <w:t xml:space="preserve">This delay </w:t>
      </w:r>
      <w:r w:rsidR="00D84518">
        <w:t xml:space="preserve">means that </w:t>
      </w:r>
      <w:r w:rsidR="007F3B1D">
        <w:t>halon consumption</w:t>
      </w:r>
      <w:r w:rsidR="00D84518">
        <w:t xml:space="preserve"> </w:t>
      </w:r>
      <w:r w:rsidR="0041412D">
        <w:t xml:space="preserve">would </w:t>
      </w:r>
      <w:r w:rsidR="00D84518">
        <w:t>continue</w:t>
      </w:r>
      <w:r w:rsidR="0041412D">
        <w:t xml:space="preserve"> </w:t>
      </w:r>
      <w:r w:rsidR="000F7667">
        <w:t xml:space="preserve">after </w:t>
      </w:r>
      <w:r w:rsidR="00365A8B">
        <w:t xml:space="preserve">an approved type certification </w:t>
      </w:r>
      <w:r w:rsidR="00F55C98">
        <w:t xml:space="preserve">that </w:t>
      </w:r>
      <w:r w:rsidR="00365A8B">
        <w:t>include</w:t>
      </w:r>
      <w:r w:rsidR="00F55C98">
        <w:t>s</w:t>
      </w:r>
      <w:r w:rsidR="00365A8B">
        <w:t xml:space="preserve"> halon alternatives</w:t>
      </w:r>
      <w:r w:rsidR="00C47BC5">
        <w:t xml:space="preserve"> until th</w:t>
      </w:r>
      <w:r w:rsidR="00FF7B6B">
        <w:t>at new design</w:t>
      </w:r>
      <w:r w:rsidR="00C47BC5">
        <w:t xml:space="preserve"> aircraft goe</w:t>
      </w:r>
      <w:r w:rsidR="0028439A">
        <w:t>s into production</w:t>
      </w:r>
      <w:r w:rsidR="00931915">
        <w:t>. Even</w:t>
      </w:r>
      <w:r w:rsidR="00587127">
        <w:t xml:space="preserve"> then</w:t>
      </w:r>
      <w:r w:rsidR="00931915">
        <w:t>,</w:t>
      </w:r>
      <w:r w:rsidR="00587127">
        <w:t xml:space="preserve"> </w:t>
      </w:r>
      <w:r w:rsidR="0028277D">
        <w:t xml:space="preserve">the newly produced aircraft would only gradually </w:t>
      </w:r>
      <w:r w:rsidR="00CC4BEE">
        <w:t xml:space="preserve">add to the aircraft fleet or </w:t>
      </w:r>
      <w:r w:rsidR="0028277D">
        <w:t xml:space="preserve">replace </w:t>
      </w:r>
      <w:r w:rsidR="00CC4BEE">
        <w:t xml:space="preserve">retired </w:t>
      </w:r>
      <w:r w:rsidR="0028277D">
        <w:t>existing aircraft with halon</w:t>
      </w:r>
      <w:r w:rsidR="00164937">
        <w:t xml:space="preserve"> fire protection</w:t>
      </w:r>
      <w:r w:rsidR="00931915">
        <w:t xml:space="preserve"> </w:t>
      </w:r>
      <w:r w:rsidR="006C61DE">
        <w:t>and thereby</w:t>
      </w:r>
      <w:r w:rsidR="00931915">
        <w:t xml:space="preserve"> reduce halon consumption</w:t>
      </w:r>
      <w:r w:rsidR="00FF7B6B">
        <w:t>.</w:t>
      </w:r>
      <w:r w:rsidR="004F5167">
        <w:t xml:space="preserve"> </w:t>
      </w:r>
    </w:p>
    <w:p w14:paraId="364B2243" w14:textId="3ACF5761" w:rsidR="00CC0248" w:rsidRDefault="002E35CB" w:rsidP="005B1399">
      <w:pPr>
        <w:pStyle w:val="BodyText10"/>
      </w:pPr>
      <w:r w:rsidRPr="002E35CB">
        <w:t xml:space="preserve">Unless there is a drop-in alternative that meets </w:t>
      </w:r>
      <w:r w:rsidR="00763ABB">
        <w:t>Minimum Performance Standards</w:t>
      </w:r>
      <w:r w:rsidRPr="002E35CB">
        <w:t xml:space="preserve"> (e.g. </w:t>
      </w:r>
      <w:r w:rsidR="00A52D4E">
        <w:t xml:space="preserve">as for </w:t>
      </w:r>
      <w:r w:rsidRPr="002E35CB">
        <w:t>lavex systems), there is generally no simple way to retrofit halon alternatives into existing aircraft.</w:t>
      </w:r>
      <w:r w:rsidR="00F10700">
        <w:t xml:space="preserve"> </w:t>
      </w:r>
      <w:r w:rsidR="00CC0248" w:rsidRPr="00CC0248">
        <w:t xml:space="preserve">Some retrofit of existing halon 1301 lavex systems has occurred </w:t>
      </w:r>
      <w:r w:rsidR="00D437AA" w:rsidRPr="00CC0248">
        <w:t xml:space="preserve">with an alternative </w:t>
      </w:r>
      <w:r w:rsidR="00D437AA">
        <w:t xml:space="preserve">that is an </w:t>
      </w:r>
      <w:r w:rsidR="00D437AA" w:rsidRPr="00CC0248">
        <w:t xml:space="preserve">HFC </w:t>
      </w:r>
      <w:r w:rsidR="00CC0248" w:rsidRPr="00CC0248">
        <w:t xml:space="preserve">during scheduled maintenance (e.g. Lufthansa) but most halon alternatives in </w:t>
      </w:r>
      <w:r w:rsidR="00CC0248" w:rsidRPr="00CC0248">
        <w:lastRenderedPageBreak/>
        <w:t xml:space="preserve">aviation will most likely be introduced in new production aircraft. </w:t>
      </w:r>
      <w:r w:rsidR="00BC62A5">
        <w:t>Based on</w:t>
      </w:r>
      <w:r w:rsidR="00BC62A5" w:rsidRPr="0091065A">
        <w:t xml:space="preserve"> Australian experience</w:t>
      </w:r>
      <w:r w:rsidR="00BC62A5">
        <w:t xml:space="preserve">, </w:t>
      </w:r>
      <w:r w:rsidR="00BC62A5" w:rsidRPr="0091065A">
        <w:t>even when a near drop-in replacement is available (e.g. FM-200 handheld extinguishers) there is unlikely to be voluntary replacement because of added weight, cost, and risk of future restrictions due to the replacement’s high GWP.</w:t>
      </w:r>
      <w:r w:rsidR="00BC62A5">
        <w:t xml:space="preserve"> </w:t>
      </w:r>
      <w:r w:rsidR="00CC0248" w:rsidRPr="00CC0248">
        <w:t xml:space="preserve">Due to the requirements for type certificates and maintaining individual aircraft certificates for </w:t>
      </w:r>
      <w:r w:rsidR="008D10B8" w:rsidRPr="00CC0248">
        <w:t>airworthiness</w:t>
      </w:r>
      <w:r w:rsidR="00CC0248" w:rsidRPr="00CC0248">
        <w:t>, and probably also due to cost, weight and size implications, little retrofit is anticipated unless regulatory measures are introduced.</w:t>
      </w:r>
      <w:r w:rsidR="00DF2BC2">
        <w:t xml:space="preserve"> </w:t>
      </w:r>
    </w:p>
    <w:p w14:paraId="685574B5" w14:textId="6E11A216" w:rsidR="005B1399" w:rsidRPr="00081AC2" w:rsidRDefault="004F4D13" w:rsidP="005B1399">
      <w:pPr>
        <w:pStyle w:val="BodyText10"/>
      </w:pPr>
      <w:r>
        <w:t>W</w:t>
      </w:r>
      <w:r w:rsidRPr="00081AC2">
        <w:t xml:space="preserve">ith no current </w:t>
      </w:r>
      <w:r w:rsidR="00241CA0">
        <w:t xml:space="preserve">halon </w:t>
      </w:r>
      <w:r w:rsidR="00780024">
        <w:t>alternatives</w:t>
      </w:r>
      <w:r w:rsidR="00241CA0">
        <w:t>,</w:t>
      </w:r>
      <w:r w:rsidRPr="00081AC2">
        <w:t xml:space="preserve"> and slow progress on future alternatives</w:t>
      </w:r>
      <w:r w:rsidR="00241CA0">
        <w:t>,</w:t>
      </w:r>
      <w:r w:rsidRPr="00081AC2">
        <w:t xml:space="preserve"> for cargo compartments and engine</w:t>
      </w:r>
      <w:r>
        <w:t>/</w:t>
      </w:r>
      <w:r w:rsidR="00A62055">
        <w:t>auxiliary power unit</w:t>
      </w:r>
      <w:r w:rsidR="004E64E4">
        <w:t>s</w:t>
      </w:r>
      <w:r>
        <w:t xml:space="preserve">, and </w:t>
      </w:r>
      <w:r w:rsidR="00A077E4">
        <w:t>these</w:t>
      </w:r>
      <w:r w:rsidR="00595628">
        <w:t xml:space="preserve"> built-in </w:t>
      </w:r>
      <w:r w:rsidR="00E7599A">
        <w:t xml:space="preserve">transition </w:t>
      </w:r>
      <w:r w:rsidR="00595628">
        <w:t>delays,</w:t>
      </w:r>
      <w:r>
        <w:t xml:space="preserve"> </w:t>
      </w:r>
      <w:r w:rsidR="00595628">
        <w:t>h</w:t>
      </w:r>
      <w:r w:rsidR="005B1399" w:rsidRPr="00081AC2">
        <w:t xml:space="preserve">alon 1301 is still likely to be installed in new production aircraft </w:t>
      </w:r>
      <w:r w:rsidR="00AD6DFA">
        <w:t>for</w:t>
      </w:r>
      <w:r w:rsidR="005B1399" w:rsidRPr="00081AC2">
        <w:t xml:space="preserve"> the next 20-</w:t>
      </w:r>
      <w:r w:rsidR="008E2B4C">
        <w:t>3</w:t>
      </w:r>
      <w:r w:rsidR="005B1399" w:rsidRPr="00081AC2">
        <w:t>0 years</w:t>
      </w:r>
      <w:r w:rsidR="003C663C">
        <w:t xml:space="preserve"> or more</w:t>
      </w:r>
      <w:r w:rsidR="002120DC">
        <w:t xml:space="preserve"> (</w:t>
      </w:r>
      <w:r w:rsidR="00F10700">
        <w:t xml:space="preserve">the Montreal Protocol’s </w:t>
      </w:r>
      <w:r w:rsidR="000D0778">
        <w:t>H</w:t>
      </w:r>
      <w:r w:rsidR="00F10700">
        <w:t xml:space="preserve">alons </w:t>
      </w:r>
      <w:r w:rsidR="000D0778">
        <w:t>T</w:t>
      </w:r>
      <w:r w:rsidR="00F10700">
        <w:t xml:space="preserve">echnical </w:t>
      </w:r>
      <w:r w:rsidR="000D0778">
        <w:t>O</w:t>
      </w:r>
      <w:r w:rsidR="00F10700">
        <w:t xml:space="preserve">ptions </w:t>
      </w:r>
      <w:r w:rsidR="000D0778">
        <w:t>C</w:t>
      </w:r>
      <w:r w:rsidR="00F10700">
        <w:t>ommittee, HTOC,</w:t>
      </w:r>
      <w:r w:rsidR="00E17531">
        <w:t xml:space="preserve"> has indicated 20-40 years</w:t>
      </w:r>
      <w:r w:rsidR="004E55E0">
        <w:rPr>
          <w:rStyle w:val="FootnoteReference"/>
        </w:rPr>
        <w:footnoteReference w:id="21"/>
      </w:r>
      <w:r w:rsidR="00E17531">
        <w:t>)</w:t>
      </w:r>
      <w:r w:rsidR="005B1399" w:rsidRPr="00081AC2">
        <w:t>.</w:t>
      </w:r>
      <w:r w:rsidR="0075447D">
        <w:t xml:space="preserve"> </w:t>
      </w:r>
      <w:r w:rsidR="00331D84">
        <w:t>For example, t</w:t>
      </w:r>
      <w:r w:rsidR="002D24FD">
        <w:t xml:space="preserve">he </w:t>
      </w:r>
      <w:r w:rsidR="0032712F">
        <w:t>International Civil Aviation Organization</w:t>
      </w:r>
      <w:r w:rsidR="002D24FD">
        <w:t xml:space="preserve"> cargo compartment requirement for new design aircraft is currently 2024. </w:t>
      </w:r>
      <w:r w:rsidR="00331D84">
        <w:t>Even i</w:t>
      </w:r>
      <w:r w:rsidR="002D24FD">
        <w:t xml:space="preserve">f this date is achieved, it would be around 2035 onwards that newly produced aircraft installed with alternatives become available in the international aircraft fleet. </w:t>
      </w:r>
      <w:r w:rsidR="005B1399" w:rsidRPr="00081AC2">
        <w:t>Therefore</w:t>
      </w:r>
      <w:r w:rsidR="005B1399">
        <w:t>,</w:t>
      </w:r>
      <w:r w:rsidR="005B1399" w:rsidRPr="00081AC2">
        <w:t xml:space="preserve"> halon 1301 use is likely to increase over at least the next decade</w:t>
      </w:r>
      <w:r w:rsidR="006A24E4">
        <w:t xml:space="preserve"> with aircraft numbers</w:t>
      </w:r>
      <w:r w:rsidR="005B1399">
        <w:t>;</w:t>
      </w:r>
      <w:r w:rsidR="005B1399" w:rsidRPr="00081AC2">
        <w:t xml:space="preserve"> it may plateau if alternatives become available</w:t>
      </w:r>
      <w:r w:rsidR="00432DAD">
        <w:t>,</w:t>
      </w:r>
      <w:r w:rsidR="005B1399" w:rsidRPr="00081AC2">
        <w:t xml:space="preserve"> but </w:t>
      </w:r>
      <w:r w:rsidR="00432DAD">
        <w:t xml:space="preserve">it </w:t>
      </w:r>
      <w:r w:rsidR="005B1399" w:rsidRPr="00081AC2">
        <w:t>will not reduce for some time. International expert opinion</w:t>
      </w:r>
      <w:r w:rsidR="005B1399" w:rsidRPr="00081AC2">
        <w:rPr>
          <w:rStyle w:val="FootnoteReference"/>
        </w:rPr>
        <w:footnoteReference w:id="22"/>
      </w:r>
      <w:r w:rsidR="005B1399" w:rsidRPr="00081AC2">
        <w:rPr>
          <w:vertAlign w:val="superscript"/>
        </w:rPr>
        <w:t>,</w:t>
      </w:r>
      <w:r w:rsidR="005B1399" w:rsidRPr="00081AC2">
        <w:rPr>
          <w:rStyle w:val="FootnoteReference"/>
        </w:rPr>
        <w:footnoteReference w:id="23"/>
      </w:r>
      <w:r w:rsidR="005B1399" w:rsidRPr="00081AC2">
        <w:t xml:space="preserve"> has not changed substantially since the 2012 Halon Review</w:t>
      </w:r>
      <w:r w:rsidR="00037A39">
        <w:t>,</w:t>
      </w:r>
      <w:r w:rsidR="005B1399" w:rsidRPr="00081AC2">
        <w:t xml:space="preserve"> suggest</w:t>
      </w:r>
      <w:r w:rsidR="00037A39">
        <w:t>ing</w:t>
      </w:r>
      <w:r w:rsidR="005B1399" w:rsidRPr="00081AC2">
        <w:t xml:space="preserve"> that it may be at least 2050 before halon 1301 use decreases</w:t>
      </w:r>
      <w:r w:rsidR="00442518">
        <w:t xml:space="preserve"> globally</w:t>
      </w:r>
      <w:r w:rsidR="005B1399">
        <w:t>,</w:t>
      </w:r>
      <w:r w:rsidR="005B1399" w:rsidRPr="00081AC2">
        <w:t xml:space="preserve"> and</w:t>
      </w:r>
      <w:r w:rsidR="005B1399">
        <w:t>,</w:t>
      </w:r>
      <w:r w:rsidR="005B1399" w:rsidRPr="00081AC2">
        <w:t xml:space="preserve"> even then</w:t>
      </w:r>
      <w:r w:rsidR="005B1399">
        <w:t>,</w:t>
      </w:r>
      <w:r w:rsidR="005B1399" w:rsidRPr="00081AC2">
        <w:t xml:space="preserve"> cargo bay use may still remain.</w:t>
      </w:r>
    </w:p>
    <w:p w14:paraId="6F13C777" w14:textId="1765127E" w:rsidR="00F867E0" w:rsidRPr="00081AC2" w:rsidRDefault="00876A85" w:rsidP="00F867E0">
      <w:pPr>
        <w:pStyle w:val="BodyText10"/>
      </w:pPr>
      <w:r>
        <w:t>Given the</w:t>
      </w:r>
      <w:r w:rsidR="0070709B">
        <w:t xml:space="preserve"> prohibition in the</w:t>
      </w:r>
      <w:r>
        <w:t xml:space="preserve"> </w:t>
      </w:r>
      <w:r w:rsidR="0070709B" w:rsidRPr="00741AB1">
        <w:rPr>
          <w:i/>
          <w:iCs/>
        </w:rPr>
        <w:t>Civil Aviation Act 1988</w:t>
      </w:r>
      <w:r w:rsidR="0070709B">
        <w:t xml:space="preserve"> </w:t>
      </w:r>
      <w:r w:rsidR="00130936">
        <w:t>for</w:t>
      </w:r>
      <w:r w:rsidR="0070709B">
        <w:t xml:space="preserve"> </w:t>
      </w:r>
      <w:r w:rsidR="00E878C9">
        <w:t xml:space="preserve">halon 1301 </w:t>
      </w:r>
      <w:r w:rsidR="0070709B">
        <w:t xml:space="preserve">lavex applications in </w:t>
      </w:r>
      <w:r w:rsidR="006C7566">
        <w:t xml:space="preserve">aircraft manufactured after 2018, </w:t>
      </w:r>
      <w:r w:rsidR="00275063">
        <w:t xml:space="preserve">demand for </w:t>
      </w:r>
      <w:r w:rsidR="0042780E">
        <w:t xml:space="preserve">halon 1301 </w:t>
      </w:r>
      <w:r w:rsidR="00FA5CC8">
        <w:t xml:space="preserve">in lavex applications </w:t>
      </w:r>
      <w:r w:rsidR="0042780E">
        <w:t xml:space="preserve">is expected to slowly decline </w:t>
      </w:r>
      <w:r w:rsidR="00E86D57">
        <w:t xml:space="preserve">in line with attrition of aircraft at end-of-life and </w:t>
      </w:r>
      <w:r w:rsidR="00130936" w:rsidRPr="00081AC2">
        <w:t>installation of alternatives in new</w:t>
      </w:r>
      <w:r w:rsidR="00130936">
        <w:t>ly manufactured</w:t>
      </w:r>
      <w:r w:rsidR="00130936" w:rsidRPr="00081AC2">
        <w:t xml:space="preserve"> aircraft</w:t>
      </w:r>
      <w:r w:rsidR="00130936">
        <w:t xml:space="preserve">. </w:t>
      </w:r>
      <w:r w:rsidR="00EE134D">
        <w:t xml:space="preserve">While retrofits </w:t>
      </w:r>
      <w:r w:rsidR="008559FA">
        <w:t xml:space="preserve">are not required in Australia, </w:t>
      </w:r>
      <w:r w:rsidR="00203573">
        <w:t xml:space="preserve">drop-in </w:t>
      </w:r>
      <w:r w:rsidR="008559FA">
        <w:t>alternatives are available</w:t>
      </w:r>
      <w:r w:rsidR="00745788">
        <w:t>.</w:t>
      </w:r>
      <w:r w:rsidR="008559FA">
        <w:t xml:space="preserve"> </w:t>
      </w:r>
      <w:r w:rsidR="005B1399" w:rsidRPr="00081AC2">
        <w:t xml:space="preserve">Despite the availability of drop-in alternatives for lavex applications, </w:t>
      </w:r>
      <w:r w:rsidR="00A132FC">
        <w:t xml:space="preserve">with </w:t>
      </w:r>
      <w:r w:rsidR="00883BF0">
        <w:t xml:space="preserve">cost implications for those retrofits, and </w:t>
      </w:r>
      <w:r w:rsidR="005B1399" w:rsidRPr="00081AC2">
        <w:t>with 20</w:t>
      </w:r>
      <w:r w:rsidR="005B1399">
        <w:t xml:space="preserve"> to </w:t>
      </w:r>
      <w:r w:rsidR="005B1399" w:rsidRPr="00081AC2">
        <w:t>30</w:t>
      </w:r>
      <w:r w:rsidR="005B1399">
        <w:t>-</w:t>
      </w:r>
      <w:r w:rsidR="005B1399" w:rsidRPr="00081AC2">
        <w:t xml:space="preserve">year aircraft lifetimes, </w:t>
      </w:r>
      <w:r w:rsidR="00C963E9" w:rsidRPr="00081AC2">
        <w:t xml:space="preserve">demand for halon 1301 </w:t>
      </w:r>
      <w:r w:rsidR="00C963E9">
        <w:t xml:space="preserve">is </w:t>
      </w:r>
      <w:r w:rsidR="005B1399" w:rsidRPr="00081AC2">
        <w:t>expect</w:t>
      </w:r>
      <w:r w:rsidR="00C963E9">
        <w:t>ed to</w:t>
      </w:r>
      <w:r w:rsidR="005B1399" w:rsidRPr="00081AC2">
        <w:t xml:space="preserve"> continu</w:t>
      </w:r>
      <w:r w:rsidR="00C963E9">
        <w:t xml:space="preserve">e </w:t>
      </w:r>
      <w:r w:rsidR="00963716">
        <w:t xml:space="preserve">to service </w:t>
      </w:r>
      <w:r w:rsidR="0009122E">
        <w:t xml:space="preserve">existing </w:t>
      </w:r>
      <w:r w:rsidR="00963716">
        <w:t>systems</w:t>
      </w:r>
      <w:r w:rsidR="00DA16F3">
        <w:t xml:space="preserve"> </w:t>
      </w:r>
      <w:r w:rsidR="0009122E">
        <w:t xml:space="preserve">in aircraft manufactured </w:t>
      </w:r>
      <w:r w:rsidR="00DA16F3">
        <w:t>before 20</w:t>
      </w:r>
      <w:r w:rsidR="00067880">
        <w:t>19</w:t>
      </w:r>
      <w:r w:rsidR="004F6F9F">
        <w:t>,</w:t>
      </w:r>
      <w:r w:rsidR="004F6F9F" w:rsidRPr="004F6F9F">
        <w:t xml:space="preserve"> </w:t>
      </w:r>
      <w:r w:rsidR="004F6F9F">
        <w:t>and gradually decline</w:t>
      </w:r>
      <w:r w:rsidR="005B1399" w:rsidRPr="00081AC2">
        <w:t xml:space="preserve">. </w:t>
      </w:r>
      <w:r w:rsidR="00A66CDA">
        <w:t>V</w:t>
      </w:r>
      <w:r w:rsidR="00F867E0" w:rsidRPr="001B3A85">
        <w:t xml:space="preserve">irtually all current production aircraft </w:t>
      </w:r>
      <w:r w:rsidR="00A66CDA">
        <w:t xml:space="preserve">lavex systems </w:t>
      </w:r>
      <w:r w:rsidR="00F867E0" w:rsidRPr="001B3A85">
        <w:t xml:space="preserve">are now being fitted with </w:t>
      </w:r>
      <w:r w:rsidR="00A66CDA" w:rsidRPr="001B3A85">
        <w:t xml:space="preserve">HFC-227ea and HFC-236fa </w:t>
      </w:r>
      <w:r w:rsidR="004F3C1E">
        <w:t xml:space="preserve">(see section </w:t>
      </w:r>
      <w:r w:rsidR="00574D4B">
        <w:t>2.3.2)</w:t>
      </w:r>
      <w:r w:rsidR="00F867E0" w:rsidRPr="001B3A85">
        <w:t xml:space="preserve">. This does not necessarily extend to retrofit of these HFCs to legacy aircraft as some may require Type Certification/Aircraft Manuals to be updated. </w:t>
      </w:r>
      <w:r w:rsidR="00F867E0" w:rsidRPr="00E1017A">
        <w:t xml:space="preserve">Australian industry </w:t>
      </w:r>
      <w:r w:rsidR="00E1017A" w:rsidRPr="00E1017A">
        <w:t>sources</w:t>
      </w:r>
      <w:r w:rsidR="00F867E0" w:rsidRPr="00E1017A">
        <w:t xml:space="preserve"> </w:t>
      </w:r>
      <w:r w:rsidR="00E1017A" w:rsidRPr="00E1017A">
        <w:t>suggest that</w:t>
      </w:r>
      <w:r w:rsidR="00F867E0" w:rsidRPr="00E1017A">
        <w:t xml:space="preserve"> retrofits are </w:t>
      </w:r>
      <w:r w:rsidR="00E1017A" w:rsidRPr="00E1017A">
        <w:t xml:space="preserve">not </w:t>
      </w:r>
      <w:r w:rsidR="00F867E0" w:rsidRPr="00E1017A">
        <w:t xml:space="preserve">being </w:t>
      </w:r>
      <w:r w:rsidR="00E1017A" w:rsidRPr="00E1017A">
        <w:t xml:space="preserve">widely </w:t>
      </w:r>
      <w:r w:rsidR="00F867E0" w:rsidRPr="00E1017A">
        <w:t xml:space="preserve">installed in the Australian civil </w:t>
      </w:r>
      <w:r w:rsidR="00D94959" w:rsidRPr="00E1017A">
        <w:t xml:space="preserve">aviation </w:t>
      </w:r>
      <w:r w:rsidR="00F867E0" w:rsidRPr="00E1017A">
        <w:t>fleet.</w:t>
      </w:r>
    </w:p>
    <w:p w14:paraId="1BFD2885" w14:textId="63776D8D" w:rsidR="005B1399" w:rsidRPr="00081AC2" w:rsidRDefault="00EC7BE1" w:rsidP="005B1399">
      <w:pPr>
        <w:pStyle w:val="BodyText10"/>
      </w:pPr>
      <w:r>
        <w:lastRenderedPageBreak/>
        <w:t xml:space="preserve">Given the prohibition in the </w:t>
      </w:r>
      <w:r w:rsidRPr="00741AB1">
        <w:rPr>
          <w:i/>
          <w:iCs/>
        </w:rPr>
        <w:t>Civil Aviation Act 1988</w:t>
      </w:r>
      <w:r>
        <w:t xml:space="preserve"> for </w:t>
      </w:r>
      <w:r w:rsidR="00536650">
        <w:t xml:space="preserve">halon 1211 </w:t>
      </w:r>
      <w:r w:rsidR="00130936">
        <w:t>handheld ext</w:t>
      </w:r>
      <w:r w:rsidR="009F56E7">
        <w:t>inguisher</w:t>
      </w:r>
      <w:r>
        <w:t>s</w:t>
      </w:r>
      <w:r w:rsidR="00130936">
        <w:t xml:space="preserve"> in aircraft manufactured after 2018, </w:t>
      </w:r>
      <w:r>
        <w:t xml:space="preserve">demand for </w:t>
      </w:r>
      <w:r w:rsidR="00130936">
        <w:t xml:space="preserve">halon </w:t>
      </w:r>
      <w:r w:rsidR="009F56E7">
        <w:t>1211</w:t>
      </w:r>
      <w:r w:rsidR="00130936">
        <w:t xml:space="preserve"> is expected to slowly decline in line with attrition of aircraft at end-of-life and </w:t>
      </w:r>
      <w:r w:rsidR="00130936" w:rsidRPr="00081AC2">
        <w:t>installation of alternatives in new</w:t>
      </w:r>
      <w:r w:rsidR="00130936">
        <w:t>ly manufactured</w:t>
      </w:r>
      <w:r w:rsidR="00130936" w:rsidRPr="00081AC2">
        <w:t xml:space="preserve"> aircraft</w:t>
      </w:r>
      <w:r w:rsidR="009F56E7">
        <w:t xml:space="preserve">. </w:t>
      </w:r>
      <w:r w:rsidR="000F689E">
        <w:t>While retrofits are not required</w:t>
      </w:r>
      <w:r w:rsidR="00711B56">
        <w:t xml:space="preserve"> in Australia</w:t>
      </w:r>
      <w:r w:rsidR="000F689E">
        <w:t xml:space="preserve">, </w:t>
      </w:r>
      <w:r w:rsidR="00203573">
        <w:t xml:space="preserve">drop-in </w:t>
      </w:r>
      <w:r w:rsidR="00711B56">
        <w:t>alternatives</w:t>
      </w:r>
      <w:r w:rsidR="000F689E">
        <w:t xml:space="preserve"> are available</w:t>
      </w:r>
      <w:r w:rsidR="00F95A2C">
        <w:t xml:space="preserve">; </w:t>
      </w:r>
      <w:r w:rsidR="001604EB">
        <w:t xml:space="preserve">these </w:t>
      </w:r>
      <w:r w:rsidR="009D77C9">
        <w:t>may</w:t>
      </w:r>
      <w:r w:rsidR="00711B56">
        <w:t xml:space="preserve"> necessitate </w:t>
      </w:r>
      <w:r w:rsidR="00C26E74">
        <w:t xml:space="preserve">structural </w:t>
      </w:r>
      <w:r w:rsidR="00711B56">
        <w:t xml:space="preserve">and weight adjustments. </w:t>
      </w:r>
      <w:r w:rsidR="001604EB">
        <w:t>Nevertheless</w:t>
      </w:r>
      <w:r w:rsidR="009E4274">
        <w:t>, d</w:t>
      </w:r>
      <w:r w:rsidR="0075758E" w:rsidRPr="00081AC2">
        <w:t xml:space="preserve">emand for </w:t>
      </w:r>
      <w:r w:rsidR="0075758E">
        <w:t xml:space="preserve">halon </w:t>
      </w:r>
      <w:r w:rsidR="0075758E" w:rsidRPr="00081AC2">
        <w:t xml:space="preserve">1211 </w:t>
      </w:r>
      <w:r w:rsidR="0075758E">
        <w:t>is</w:t>
      </w:r>
      <w:r w:rsidR="005B1399" w:rsidRPr="00081AC2">
        <w:t xml:space="preserve"> expect</w:t>
      </w:r>
      <w:r w:rsidR="0075758E">
        <w:t>ed to</w:t>
      </w:r>
      <w:r w:rsidR="005B1399" w:rsidRPr="00081AC2">
        <w:t xml:space="preserve"> </w:t>
      </w:r>
      <w:r w:rsidR="00E9783F">
        <w:t xml:space="preserve">continue to service existing </w:t>
      </w:r>
      <w:r w:rsidR="007718CD">
        <w:t>systems in aircraft manufactured before 2019, and</w:t>
      </w:r>
      <w:r w:rsidR="00E9783F">
        <w:t xml:space="preserve"> </w:t>
      </w:r>
      <w:r w:rsidR="001604EB">
        <w:t xml:space="preserve">slowly </w:t>
      </w:r>
      <w:r>
        <w:t>decline</w:t>
      </w:r>
      <w:r w:rsidR="005B1399" w:rsidRPr="00081AC2">
        <w:t>.</w:t>
      </w:r>
      <w:r w:rsidR="0091065A">
        <w:t xml:space="preserve"> </w:t>
      </w:r>
    </w:p>
    <w:p w14:paraId="2098CA54" w14:textId="6AAC5BE8" w:rsidR="00FE7486" w:rsidRDefault="00535322" w:rsidP="00324056">
      <w:pPr>
        <w:pStyle w:val="Heading3"/>
      </w:pPr>
      <w:bookmarkStart w:id="33" w:name="_Toc38190340"/>
      <w:r>
        <w:t>Australian Aircraft</w:t>
      </w:r>
      <w:r w:rsidR="00C9254C">
        <w:t xml:space="preserve"> Fleet</w:t>
      </w:r>
      <w:r w:rsidR="00CA44FA">
        <w:t xml:space="preserve"> Growth</w:t>
      </w:r>
      <w:bookmarkEnd w:id="33"/>
    </w:p>
    <w:p w14:paraId="3348D12D" w14:textId="4FD0A858" w:rsidR="007B20AE" w:rsidRDefault="008055D3" w:rsidP="00081AC2">
      <w:pPr>
        <w:pStyle w:val="BodyText10"/>
      </w:pPr>
      <w:r>
        <w:t>Global and Australian market dynamics</w:t>
      </w:r>
      <w:r w:rsidR="0076641C">
        <w:t>,</w:t>
      </w:r>
      <w:r>
        <w:t xml:space="preserve"> relating to industry trends and forecasts in the aircraft fleet</w:t>
      </w:r>
      <w:r w:rsidR="0076641C">
        <w:t>,</w:t>
      </w:r>
      <w:r>
        <w:t xml:space="preserve"> have been </w:t>
      </w:r>
      <w:r w:rsidR="00905B55">
        <w:t>considered</w:t>
      </w:r>
      <w:r w:rsidR="00AC3BFF">
        <w:t xml:space="preserve"> t</w:t>
      </w:r>
      <w:r w:rsidR="007B20AE">
        <w:t xml:space="preserve">o establish </w:t>
      </w:r>
      <w:r w:rsidR="00224D3C">
        <w:t>plausible</w:t>
      </w:r>
      <w:r w:rsidR="001F6405">
        <w:t xml:space="preserve"> assumptions </w:t>
      </w:r>
      <w:r w:rsidR="00115A2A">
        <w:t>for</w:t>
      </w:r>
      <w:r w:rsidR="00F266F0">
        <w:t xml:space="preserve"> </w:t>
      </w:r>
      <w:r w:rsidR="00905B55">
        <w:t>estimat</w:t>
      </w:r>
      <w:r w:rsidR="00115A2A">
        <w:t>ing</w:t>
      </w:r>
      <w:r w:rsidR="00905B55">
        <w:t xml:space="preserve"> halon requirements </w:t>
      </w:r>
      <w:r w:rsidR="00F266F0">
        <w:t>and</w:t>
      </w:r>
      <w:r w:rsidR="001F6405">
        <w:t xml:space="preserve"> the future phase-out of halon in Australian aviation</w:t>
      </w:r>
      <w:r w:rsidR="006E3713">
        <w:t>.</w:t>
      </w:r>
    </w:p>
    <w:p w14:paraId="0A6B0B97" w14:textId="51862CF1" w:rsidR="00ED7242" w:rsidRDefault="00275274" w:rsidP="00081AC2">
      <w:pPr>
        <w:pStyle w:val="BodyText10"/>
      </w:pPr>
      <w:r>
        <w:t xml:space="preserve">Based on </w:t>
      </w:r>
      <w:r w:rsidR="0012474F">
        <w:t xml:space="preserve">superseded requirements in the </w:t>
      </w:r>
      <w:r w:rsidR="0012474F" w:rsidRPr="001B3A85">
        <w:rPr>
          <w:i/>
          <w:iCs/>
        </w:rPr>
        <w:t>Civil Aviation Act 1988</w:t>
      </w:r>
      <w:r w:rsidR="0012474F">
        <w:t xml:space="preserve">, </w:t>
      </w:r>
      <w:r w:rsidR="00782D78">
        <w:t xml:space="preserve">halon 1211 extinguishers are installed </w:t>
      </w:r>
      <w:r w:rsidR="00A32EA2">
        <w:t>in the categor</w:t>
      </w:r>
      <w:r w:rsidR="00B16DE5">
        <w:t>ies</w:t>
      </w:r>
      <w:r w:rsidR="00A32EA2">
        <w:t xml:space="preserve"> </w:t>
      </w:r>
      <w:r>
        <w:t xml:space="preserve">of </w:t>
      </w:r>
      <w:r w:rsidR="00637ED0">
        <w:t xml:space="preserve">pre-2019 </w:t>
      </w:r>
      <w:r w:rsidR="00ED3BEB">
        <w:t xml:space="preserve">aircraft </w:t>
      </w:r>
      <w:r w:rsidR="00B32073">
        <w:t xml:space="preserve">with seating capacities </w:t>
      </w:r>
      <w:r w:rsidR="00A32EA2">
        <w:t>over 30 passengers.</w:t>
      </w:r>
      <w:r w:rsidR="0045692E">
        <w:t xml:space="preserve"> These </w:t>
      </w:r>
      <w:r w:rsidR="00767004">
        <w:t>include</w:t>
      </w:r>
      <w:r w:rsidR="0045692E">
        <w:t xml:space="preserve"> the </w:t>
      </w:r>
      <w:r w:rsidR="0045692E" w:rsidRPr="00833E55">
        <w:t>regional</w:t>
      </w:r>
      <w:r w:rsidR="0045692E">
        <w:t xml:space="preserve"> </w:t>
      </w:r>
      <w:r w:rsidR="009C6571">
        <w:t>and</w:t>
      </w:r>
      <w:r w:rsidR="0045692E">
        <w:t xml:space="preserve"> </w:t>
      </w:r>
      <w:r w:rsidR="0045692E" w:rsidRPr="00833E55">
        <w:t>mainline</w:t>
      </w:r>
      <w:r w:rsidR="00B90B64">
        <w:t xml:space="preserve"> </w:t>
      </w:r>
      <w:r w:rsidR="0045692E">
        <w:t xml:space="preserve">categories of aircraft, where </w:t>
      </w:r>
      <w:r w:rsidR="0045692E" w:rsidRPr="00833E55">
        <w:t>regional</w:t>
      </w:r>
      <w:r w:rsidR="0045692E">
        <w:t xml:space="preserve"> aircraft are those </w:t>
      </w:r>
      <w:r w:rsidR="00B90B64">
        <w:t>with seating capacities</w:t>
      </w:r>
      <w:r w:rsidR="00767004">
        <w:t xml:space="preserve"> </w:t>
      </w:r>
      <w:r w:rsidR="0031272C" w:rsidRPr="0031272C">
        <w:t>between 70-100 passengers (</w:t>
      </w:r>
      <w:r w:rsidR="00722605">
        <w:t>e.g.,</w:t>
      </w:r>
      <w:r w:rsidR="0031272C" w:rsidRPr="0031272C">
        <w:t xml:space="preserve"> Bombardier Dash 8</w:t>
      </w:r>
      <w:r w:rsidR="006F0BDC">
        <w:t>, Q200, Q300</w:t>
      </w:r>
      <w:r w:rsidR="0031272C" w:rsidRPr="0031272C">
        <w:t>, British Aerospace 146, and Embraer 170/190)</w:t>
      </w:r>
      <w:r w:rsidR="00F37F5C">
        <w:t xml:space="preserve"> and </w:t>
      </w:r>
      <w:r w:rsidR="00F37F5C" w:rsidRPr="00833E55">
        <w:t>mainline</w:t>
      </w:r>
      <w:r w:rsidR="00F37F5C">
        <w:t xml:space="preserve"> aircraft are those </w:t>
      </w:r>
      <w:r w:rsidR="009C6571">
        <w:t xml:space="preserve">with seating capacities </w:t>
      </w:r>
      <w:r w:rsidR="009C6571" w:rsidRPr="009C6571">
        <w:t xml:space="preserve">over about 100 passengers </w:t>
      </w:r>
      <w:r w:rsidR="009C6571">
        <w:t>(e.g.,</w:t>
      </w:r>
      <w:r w:rsidR="009C6571" w:rsidRPr="009C6571">
        <w:t xml:space="preserve"> Airbus A320, A321, A330, A380</w:t>
      </w:r>
      <w:r w:rsidR="009C6571">
        <w:t xml:space="preserve">, </w:t>
      </w:r>
      <w:r w:rsidR="009C6571" w:rsidRPr="009C6571">
        <w:t>Boeing 717, 737, 747, 767, 777</w:t>
      </w:r>
      <w:r w:rsidR="00F6613E">
        <w:t>, 787</w:t>
      </w:r>
      <w:r w:rsidR="009C6571">
        <w:t>)</w:t>
      </w:r>
      <w:r w:rsidR="00767004">
        <w:t>, or smaller</w:t>
      </w:r>
      <w:r w:rsidR="007A0FDD">
        <w:t xml:space="preserve"> </w:t>
      </w:r>
      <w:r w:rsidR="009C6571">
        <w:t xml:space="preserve">aircraft </w:t>
      </w:r>
      <w:r w:rsidR="007A0FDD">
        <w:t xml:space="preserve">(e.g., Embraer ERJ </w:t>
      </w:r>
      <w:r w:rsidR="00722605">
        <w:t>series</w:t>
      </w:r>
      <w:r w:rsidR="009C6571">
        <w:t xml:space="preserve"> with seating capacities </w:t>
      </w:r>
      <w:r w:rsidR="00B32073">
        <w:t>of 37-50</w:t>
      </w:r>
      <w:r w:rsidR="00722605">
        <w:t>)</w:t>
      </w:r>
      <w:r w:rsidR="00767004">
        <w:t>.</w:t>
      </w:r>
    </w:p>
    <w:p w14:paraId="5F3A3030" w14:textId="12BF8FFE" w:rsidR="00782D78" w:rsidRDefault="00867C7A" w:rsidP="00081AC2">
      <w:pPr>
        <w:pStyle w:val="BodyText10"/>
      </w:pPr>
      <w:r>
        <w:t xml:space="preserve">Halon 1301 </w:t>
      </w:r>
      <w:r w:rsidR="00252529">
        <w:t>in lavex systems, engine/</w:t>
      </w:r>
      <w:r w:rsidR="00A62055">
        <w:t>auxiliary power unit</w:t>
      </w:r>
      <w:r w:rsidR="004E64E4">
        <w:t>s</w:t>
      </w:r>
      <w:r w:rsidR="00252529">
        <w:t xml:space="preserve"> and cargo compartments</w:t>
      </w:r>
      <w:r w:rsidR="002C099D">
        <w:t xml:space="preserve"> are installed </w:t>
      </w:r>
      <w:r w:rsidR="000F6F0F">
        <w:t xml:space="preserve">across </w:t>
      </w:r>
      <w:r w:rsidR="00F66F5C">
        <w:t xml:space="preserve">a range of </w:t>
      </w:r>
      <w:r w:rsidR="00B16DE5">
        <w:t xml:space="preserve">categories of </w:t>
      </w:r>
      <w:r w:rsidR="000F6F0F">
        <w:t xml:space="preserve">smaller seating capacity, </w:t>
      </w:r>
      <w:r w:rsidR="003B079A">
        <w:t>regional</w:t>
      </w:r>
      <w:r w:rsidR="000F6F0F">
        <w:t>,</w:t>
      </w:r>
      <w:r w:rsidR="003B079A">
        <w:t xml:space="preserve"> and mainline </w:t>
      </w:r>
      <w:r w:rsidR="00B16DE5">
        <w:t>aircraft</w:t>
      </w:r>
      <w:r w:rsidR="003B079A">
        <w:t>. Engine/</w:t>
      </w:r>
      <w:r w:rsidR="00673E24">
        <w:t>auxiliary power unit</w:t>
      </w:r>
      <w:r w:rsidR="004E64E4">
        <w:t xml:space="preserve"> halon systems </w:t>
      </w:r>
      <w:r w:rsidR="003B079A">
        <w:t xml:space="preserve">are </w:t>
      </w:r>
      <w:r w:rsidR="00186034">
        <w:t>not installed in piston engine aircraft</w:t>
      </w:r>
      <w:r w:rsidR="00F66F5C">
        <w:t xml:space="preserve">, e.g., </w:t>
      </w:r>
      <w:r w:rsidR="00262601">
        <w:t>Cessna 404, Piper Navajo</w:t>
      </w:r>
      <w:r w:rsidR="00955C2C">
        <w:t>, Rockwell Aero Commander</w:t>
      </w:r>
      <w:r w:rsidR="0052314E">
        <w:t>.</w:t>
      </w:r>
      <w:r w:rsidR="000B29D3">
        <w:t xml:space="preserve"> </w:t>
      </w:r>
      <w:r w:rsidR="0052314E">
        <w:t xml:space="preserve">Instead, </w:t>
      </w:r>
      <w:r w:rsidR="000B29D3">
        <w:t xml:space="preserve">they are installed in </w:t>
      </w:r>
      <w:r w:rsidR="0094114C">
        <w:t>multi-engine</w:t>
      </w:r>
      <w:r w:rsidR="00F71833">
        <w:t xml:space="preserve"> turbo</w:t>
      </w:r>
      <w:r w:rsidR="00246AAA">
        <w:t>prop and turbofan</w:t>
      </w:r>
      <w:r w:rsidR="00E61B45">
        <w:t xml:space="preserve"> aircraft</w:t>
      </w:r>
      <w:r w:rsidR="00963BF2">
        <w:t xml:space="preserve">, ranging from </w:t>
      </w:r>
      <w:r w:rsidR="000F6F0F">
        <w:t xml:space="preserve">the smaller </w:t>
      </w:r>
      <w:r w:rsidR="00376502">
        <w:t>multi-engine</w:t>
      </w:r>
      <w:r w:rsidR="00906DBB">
        <w:t xml:space="preserve"> turbofan aircraft, </w:t>
      </w:r>
      <w:r w:rsidR="00DC183E">
        <w:t>e.g.,</w:t>
      </w:r>
      <w:r w:rsidR="00906DBB">
        <w:t xml:space="preserve"> Cessna Citation (</w:t>
      </w:r>
      <w:r w:rsidR="00E632A8">
        <w:t>7-10 passenger)</w:t>
      </w:r>
      <w:r w:rsidR="00DC183E">
        <w:t>, Bombardier Challenger</w:t>
      </w:r>
      <w:r w:rsidR="00160AAB">
        <w:t xml:space="preserve"> (19 passengers)</w:t>
      </w:r>
      <w:r w:rsidR="003353C8">
        <w:t xml:space="preserve">, to </w:t>
      </w:r>
      <w:r w:rsidR="009435D4">
        <w:t>the larger multi-engine turbofan</w:t>
      </w:r>
      <w:r w:rsidR="009F4599">
        <w:t xml:space="preserve"> aircraft</w:t>
      </w:r>
      <w:r w:rsidR="00BC4021">
        <w:t xml:space="preserve">, e.g., </w:t>
      </w:r>
      <w:r w:rsidR="00AF4A98">
        <w:t>Airbus A330 and Boeing 747.</w:t>
      </w:r>
    </w:p>
    <w:p w14:paraId="0327EA14" w14:textId="5CAA1DDD" w:rsidR="00A30854" w:rsidRDefault="00B8433D" w:rsidP="00081AC2">
      <w:pPr>
        <w:pStyle w:val="BodyText10"/>
      </w:pPr>
      <w:r>
        <w:t>R</w:t>
      </w:r>
      <w:r w:rsidR="00ED3BA3">
        <w:t xml:space="preserve">ecent </w:t>
      </w:r>
      <w:r w:rsidR="009F3601">
        <w:t>analysis</w:t>
      </w:r>
      <w:r w:rsidR="00C27858">
        <w:t xml:space="preserve"> </w:t>
      </w:r>
      <w:r w:rsidR="009F3601">
        <w:t xml:space="preserve">developed </w:t>
      </w:r>
      <w:r w:rsidR="00032913">
        <w:t>by ICF</w:t>
      </w:r>
      <w:r w:rsidR="00F468D7">
        <w:rPr>
          <w:rStyle w:val="FootnoteReference"/>
        </w:rPr>
        <w:footnoteReference w:id="24"/>
      </w:r>
      <w:r>
        <w:t xml:space="preserve"> </w:t>
      </w:r>
      <w:r w:rsidR="00171239">
        <w:t>for the global aircraft fleet</w:t>
      </w:r>
      <w:r w:rsidR="00164B79">
        <w:t xml:space="preserve"> </w:t>
      </w:r>
      <w:r w:rsidR="00954A57">
        <w:t>conclude</w:t>
      </w:r>
      <w:r w:rsidR="009F3601">
        <w:t>s assumptions</w:t>
      </w:r>
      <w:r w:rsidR="00921B80">
        <w:t xml:space="preserve"> that </w:t>
      </w:r>
      <w:r w:rsidR="00844529">
        <w:t xml:space="preserve">very large </w:t>
      </w:r>
      <w:r w:rsidR="00D012B2">
        <w:t>aircraft</w:t>
      </w:r>
      <w:r w:rsidR="00F71AAF">
        <w:t xml:space="preserve"> </w:t>
      </w:r>
      <w:r w:rsidR="00350F2C">
        <w:t xml:space="preserve">have the largest total </w:t>
      </w:r>
      <w:r w:rsidR="001A39E1">
        <w:t xml:space="preserve">installed halon 1301 </w:t>
      </w:r>
      <w:r w:rsidR="00290BA8">
        <w:t>quantity</w:t>
      </w:r>
      <w:r w:rsidR="00D012B2">
        <w:t xml:space="preserve">, </w:t>
      </w:r>
      <w:r w:rsidR="006F6AC7">
        <w:t xml:space="preserve">with the largest </w:t>
      </w:r>
      <w:r w:rsidR="00DE2A30">
        <w:t>component</w:t>
      </w:r>
      <w:r w:rsidR="000E4233">
        <w:t>s</w:t>
      </w:r>
      <w:r w:rsidR="006F6AC7">
        <w:t xml:space="preserve"> </w:t>
      </w:r>
      <w:r w:rsidR="00DE2A30">
        <w:t>for</w:t>
      </w:r>
      <w:r w:rsidR="00F37D42">
        <w:t xml:space="preserve"> </w:t>
      </w:r>
      <w:r w:rsidR="00FD03FE">
        <w:t xml:space="preserve">cargo </w:t>
      </w:r>
      <w:r w:rsidR="006D4CE5">
        <w:t>applications</w:t>
      </w:r>
      <w:r w:rsidR="000D1334">
        <w:t xml:space="preserve"> (average</w:t>
      </w:r>
      <w:r w:rsidR="001961C8">
        <w:t xml:space="preserve"> </w:t>
      </w:r>
      <w:r w:rsidR="007F3B03">
        <w:t>157 kg</w:t>
      </w:r>
      <w:r w:rsidR="00E24D74">
        <w:t xml:space="preserve"> per aircraft</w:t>
      </w:r>
      <w:r w:rsidR="00781D39">
        <w:t>)</w:t>
      </w:r>
      <w:r w:rsidR="000E4233">
        <w:t xml:space="preserve"> </w:t>
      </w:r>
      <w:r w:rsidR="00D012B2">
        <w:t>and</w:t>
      </w:r>
      <w:r w:rsidR="00590A80">
        <w:t xml:space="preserve"> </w:t>
      </w:r>
      <w:r w:rsidR="000D1334">
        <w:t>engine applications</w:t>
      </w:r>
      <w:r w:rsidR="00D012B2">
        <w:t xml:space="preserve"> (average </w:t>
      </w:r>
      <w:r w:rsidR="00C82B9C">
        <w:t>80 kg</w:t>
      </w:r>
      <w:r w:rsidR="00E24D74">
        <w:t xml:space="preserve"> per aircraft</w:t>
      </w:r>
      <w:r w:rsidR="00C82B9C">
        <w:t>)</w:t>
      </w:r>
      <w:r w:rsidR="006D4CE5">
        <w:t>.</w:t>
      </w:r>
      <w:r w:rsidR="007C55E4">
        <w:t xml:space="preserve"> I</w:t>
      </w:r>
      <w:r w:rsidR="00386D93">
        <w:t>n</w:t>
      </w:r>
      <w:r w:rsidR="007C55E4">
        <w:t xml:space="preserve">termediate </w:t>
      </w:r>
      <w:r w:rsidR="007C55E4">
        <w:lastRenderedPageBreak/>
        <w:t>twin</w:t>
      </w:r>
      <w:r w:rsidR="00386D93">
        <w:t xml:space="preserve"> engine</w:t>
      </w:r>
      <w:r w:rsidR="00325235">
        <w:t xml:space="preserve"> aircraft have </w:t>
      </w:r>
      <w:r w:rsidR="00A157DC">
        <w:t xml:space="preserve">slightly </w:t>
      </w:r>
      <w:r w:rsidR="00C1668D">
        <w:t>less for cargo</w:t>
      </w:r>
      <w:r w:rsidR="00657BF8">
        <w:t xml:space="preserve"> (average </w:t>
      </w:r>
      <w:r w:rsidR="0089170E">
        <w:t>122 kg</w:t>
      </w:r>
      <w:r w:rsidR="00E24D74">
        <w:t xml:space="preserve"> per aircraft</w:t>
      </w:r>
      <w:r w:rsidR="0089170E">
        <w:t>)</w:t>
      </w:r>
      <w:r w:rsidR="003B378C">
        <w:t>,</w:t>
      </w:r>
      <w:r w:rsidR="0089170E">
        <w:t xml:space="preserve"> and relatively </w:t>
      </w:r>
      <w:r w:rsidR="003B378C">
        <w:t xml:space="preserve">considerably </w:t>
      </w:r>
      <w:r w:rsidR="0089170E">
        <w:t xml:space="preserve">less for engine applications (average </w:t>
      </w:r>
      <w:r w:rsidR="003D7330">
        <w:t>28 kg</w:t>
      </w:r>
      <w:r w:rsidR="00E24D74">
        <w:t xml:space="preserve"> per aircraft</w:t>
      </w:r>
      <w:r w:rsidR="003D7330">
        <w:t>)</w:t>
      </w:r>
      <w:r w:rsidR="00E24D74">
        <w:t>.</w:t>
      </w:r>
    </w:p>
    <w:p w14:paraId="4177149A" w14:textId="78C6E06A" w:rsidR="0093561C" w:rsidRDefault="0093561C" w:rsidP="00081AC2">
      <w:pPr>
        <w:pStyle w:val="BodyText10"/>
      </w:pPr>
      <w:r>
        <w:t>Taking</w:t>
      </w:r>
      <w:r w:rsidR="00046202">
        <w:t xml:space="preserve"> all of</w:t>
      </w:r>
      <w:r>
        <w:t xml:space="preserve"> the above into consideration, </w:t>
      </w:r>
      <w:r w:rsidR="008C3718">
        <w:t xml:space="preserve">this study has focused its </w:t>
      </w:r>
      <w:r w:rsidR="00046202">
        <w:t>global and Australian market analysis towards</w:t>
      </w:r>
      <w:r w:rsidR="00414EFE">
        <w:t xml:space="preserve"> </w:t>
      </w:r>
      <w:r w:rsidR="00276B62">
        <w:t>the trends</w:t>
      </w:r>
      <w:r w:rsidR="005C1C75">
        <w:t xml:space="preserve"> in </w:t>
      </w:r>
      <w:r w:rsidR="000E5D63">
        <w:t xml:space="preserve">aircraft with </w:t>
      </w:r>
      <w:r w:rsidR="009A68C6">
        <w:t>larger seating capacities</w:t>
      </w:r>
      <w:r w:rsidR="000B07B2">
        <w:t xml:space="preserve"> as surrogates for the entire fleet</w:t>
      </w:r>
      <w:r w:rsidR="007704CE">
        <w:t xml:space="preserve"> in estimating </w:t>
      </w:r>
      <w:r w:rsidR="003E50C6">
        <w:t xml:space="preserve">projections for </w:t>
      </w:r>
      <w:r w:rsidR="007704CE">
        <w:t>future halon requirements</w:t>
      </w:r>
      <w:r w:rsidR="007F5D2C">
        <w:t>.</w:t>
      </w:r>
      <w:r w:rsidR="009A68C6">
        <w:t xml:space="preserve"> </w:t>
      </w:r>
      <w:r w:rsidR="00416A09">
        <w:t>The trends analysis</w:t>
      </w:r>
      <w:r w:rsidR="00005244">
        <w:t xml:space="preserve"> </w:t>
      </w:r>
      <w:r w:rsidR="00416A09">
        <w:t xml:space="preserve">is </w:t>
      </w:r>
      <w:r w:rsidR="00005244">
        <w:t xml:space="preserve">based on </w:t>
      </w:r>
      <w:r w:rsidR="002E6D8D">
        <w:t xml:space="preserve">recently available </w:t>
      </w:r>
      <w:r w:rsidR="00C90022">
        <w:t xml:space="preserve">aviation industry </w:t>
      </w:r>
      <w:r w:rsidR="005F4A9D">
        <w:t>market data</w:t>
      </w:r>
      <w:r w:rsidR="002E6D8D">
        <w:t xml:space="preserve"> and projections </w:t>
      </w:r>
      <w:r w:rsidR="006C68EB">
        <w:t>and</w:t>
      </w:r>
      <w:r w:rsidR="002E6D8D">
        <w:t xml:space="preserve"> </w:t>
      </w:r>
      <w:r w:rsidR="005F4A9D">
        <w:t xml:space="preserve">do not </w:t>
      </w:r>
      <w:r w:rsidR="002E6D8D">
        <w:t>take into account potential</w:t>
      </w:r>
      <w:r w:rsidR="005F4A9D">
        <w:t xml:space="preserve"> </w:t>
      </w:r>
      <w:r w:rsidR="002E6D8D">
        <w:t xml:space="preserve">unexpected </w:t>
      </w:r>
      <w:r w:rsidR="00C90022">
        <w:t>market</w:t>
      </w:r>
      <w:r w:rsidR="00915F30">
        <w:t xml:space="preserve"> an</w:t>
      </w:r>
      <w:r w:rsidR="00010D81">
        <w:t>omalies</w:t>
      </w:r>
      <w:r w:rsidR="002E6D8D">
        <w:t xml:space="preserve">, such as the COVID-19 </w:t>
      </w:r>
      <w:r w:rsidR="006C68EB">
        <w:t xml:space="preserve">global </w:t>
      </w:r>
      <w:r w:rsidR="002E6D8D">
        <w:t>pandemic in 2020.</w:t>
      </w:r>
    </w:p>
    <w:p w14:paraId="2D05BFCA" w14:textId="19EE3775" w:rsidR="007958C9" w:rsidRDefault="006B59D6" w:rsidP="00081AC2">
      <w:pPr>
        <w:pStyle w:val="BodyText10"/>
      </w:pPr>
      <w:r>
        <w:t xml:space="preserve">Globally, </w:t>
      </w:r>
      <w:r w:rsidR="00992AB6">
        <w:t xml:space="preserve">low airfares, </w:t>
      </w:r>
      <w:r w:rsidR="00CF6603">
        <w:t xml:space="preserve">growth in tourism and travel, </w:t>
      </w:r>
      <w:r w:rsidR="00992AB6">
        <w:t>higher living standard</w:t>
      </w:r>
      <w:r w:rsidR="00CF6603">
        <w:t>s and</w:t>
      </w:r>
      <w:r w:rsidR="005B5638">
        <w:t xml:space="preserve"> a growing middle class</w:t>
      </w:r>
      <w:r w:rsidR="002C0BF9">
        <w:t xml:space="preserve"> in emerging markets</w:t>
      </w:r>
      <w:r w:rsidR="00CB432B">
        <w:t xml:space="preserve">, </w:t>
      </w:r>
      <w:r w:rsidR="00BE25AF">
        <w:t xml:space="preserve">and new economies within </w:t>
      </w:r>
      <w:r w:rsidR="000B5583">
        <w:t xml:space="preserve">the airline business, are driving air travel growth </w:t>
      </w:r>
      <w:r w:rsidR="0021104E">
        <w:t xml:space="preserve">at </w:t>
      </w:r>
      <w:r w:rsidR="007E6BE9">
        <w:t>6.7</w:t>
      </w:r>
      <w:r w:rsidR="007C7F5B">
        <w:t>%</w:t>
      </w:r>
      <w:r w:rsidR="007E6BE9">
        <w:t xml:space="preserve"> </w:t>
      </w:r>
      <w:r w:rsidR="00BD40BC">
        <w:t>year-on-</w:t>
      </w:r>
      <w:r w:rsidR="00913702">
        <w:t>year</w:t>
      </w:r>
      <w:r w:rsidR="00E35466">
        <w:t xml:space="preserve"> during the last five years</w:t>
      </w:r>
      <w:r w:rsidR="00913702">
        <w:t xml:space="preserve">, </w:t>
      </w:r>
      <w:r w:rsidR="00E35466">
        <w:t xml:space="preserve">which is </w:t>
      </w:r>
      <w:r w:rsidR="0021104E">
        <w:t xml:space="preserve">higher than the </w:t>
      </w:r>
      <w:r w:rsidR="007E6BE9">
        <w:t>l</w:t>
      </w:r>
      <w:r w:rsidR="00913702">
        <w:t>ong-term</w:t>
      </w:r>
      <w:r w:rsidR="005B7499">
        <w:t xml:space="preserve"> average of 5</w:t>
      </w:r>
      <w:r w:rsidR="007C7F5B">
        <w:t>%</w:t>
      </w:r>
      <w:r w:rsidR="00E35466">
        <w:rPr>
          <w:rStyle w:val="FootnoteReference"/>
        </w:rPr>
        <w:footnoteReference w:id="25"/>
      </w:r>
      <w:r w:rsidR="000B5583">
        <w:t>.</w:t>
      </w:r>
      <w:r w:rsidR="00DF2541">
        <w:t xml:space="preserve"> In turn, this is driving fleet growth for aircraft with passenger seating capacities over 100</w:t>
      </w:r>
      <w:r w:rsidR="004C1D94">
        <w:t>. Boeing estimates th</w:t>
      </w:r>
      <w:r w:rsidR="0063164A">
        <w:t xml:space="preserve">e </w:t>
      </w:r>
      <w:r w:rsidR="00296585">
        <w:t xml:space="preserve">global </w:t>
      </w:r>
      <w:r w:rsidR="0063164A">
        <w:t>mainline fleet to increase from 25,</w:t>
      </w:r>
      <w:r w:rsidR="00196FE0">
        <w:t>830 aircraft in 2018 to 50,660 aircraft in 2038, corresponding to a</w:t>
      </w:r>
      <w:r w:rsidR="00320B0B">
        <w:t>verage annual</w:t>
      </w:r>
      <w:r w:rsidR="00296585">
        <w:t xml:space="preserve"> growth of 4.8%. Airbus</w:t>
      </w:r>
      <w:r w:rsidR="004A5FE0">
        <w:rPr>
          <w:rStyle w:val="FootnoteReference"/>
        </w:rPr>
        <w:footnoteReference w:id="26"/>
      </w:r>
      <w:r w:rsidR="00296585">
        <w:t xml:space="preserve"> estimates </w:t>
      </w:r>
      <w:r w:rsidR="00513137">
        <w:t xml:space="preserve">the global mainline fleet to increase from 20,870 </w:t>
      </w:r>
      <w:r w:rsidR="00BE0204">
        <w:t xml:space="preserve">aircraft </w:t>
      </w:r>
      <w:r w:rsidR="00513137">
        <w:t xml:space="preserve">in 2019 to </w:t>
      </w:r>
      <w:r w:rsidR="005F52C8">
        <w:t>44,860</w:t>
      </w:r>
      <w:r w:rsidR="00BE0204">
        <w:t xml:space="preserve"> aircraft in </w:t>
      </w:r>
      <w:r w:rsidR="00015068">
        <w:t xml:space="preserve">2038, corresponding to average annual growth of </w:t>
      </w:r>
      <w:r w:rsidR="00F86F67">
        <w:t>6%</w:t>
      </w:r>
      <w:r w:rsidR="00AA1A64">
        <w:t>.</w:t>
      </w:r>
      <w:r w:rsidR="00697FC1">
        <w:t xml:space="preserve"> </w:t>
      </w:r>
      <w:r w:rsidR="003F4896">
        <w:t xml:space="preserve">While the </w:t>
      </w:r>
      <w:r w:rsidR="00402C4B">
        <w:t>proportion</w:t>
      </w:r>
      <w:r w:rsidR="003F4896">
        <w:t xml:space="preserve"> of new </w:t>
      </w:r>
      <w:r w:rsidR="00FE658F">
        <w:t xml:space="preserve">aircraft </w:t>
      </w:r>
      <w:r w:rsidR="003F4896">
        <w:t xml:space="preserve">deliveries </w:t>
      </w:r>
      <w:r w:rsidR="00FE658F">
        <w:t xml:space="preserve">for </w:t>
      </w:r>
      <w:r w:rsidR="00402C4B">
        <w:t xml:space="preserve">replacement versus new aircraft deliveries for growth varies widely from year to year, </w:t>
      </w:r>
      <w:r w:rsidR="00FD5995">
        <w:t>generally</w:t>
      </w:r>
      <w:r w:rsidR="00402C4B">
        <w:t xml:space="preserve">, </w:t>
      </w:r>
      <w:r w:rsidR="00FD5995">
        <w:t xml:space="preserve">new aircraft deliveries </w:t>
      </w:r>
      <w:r w:rsidR="00EF7715">
        <w:t xml:space="preserve">for growth </w:t>
      </w:r>
      <w:r w:rsidR="00FD5995">
        <w:t xml:space="preserve">outpace </w:t>
      </w:r>
      <w:r w:rsidR="00A16453">
        <w:t xml:space="preserve">new aircraft </w:t>
      </w:r>
      <w:r w:rsidR="00FD5995">
        <w:t>deliveries for replacement</w:t>
      </w:r>
      <w:r w:rsidR="00A16453">
        <w:t xml:space="preserve">, </w:t>
      </w:r>
      <w:r w:rsidR="00EF7715">
        <w:t>with</w:t>
      </w:r>
      <w:r w:rsidR="00A16453">
        <w:t xml:space="preserve"> this trend expected </w:t>
      </w:r>
      <w:r w:rsidR="00EF7715">
        <w:t xml:space="preserve">for the period 2018-2038 </w:t>
      </w:r>
      <w:r w:rsidR="00D16A29">
        <w:t xml:space="preserve">at </w:t>
      </w:r>
      <w:r w:rsidR="00EF7715">
        <w:t>the</w:t>
      </w:r>
      <w:r w:rsidR="00D16A29">
        <w:t xml:space="preserve"> ratio of 56:</w:t>
      </w:r>
      <w:r w:rsidR="00EF7715">
        <w:t>44</w:t>
      </w:r>
      <w:r w:rsidR="00F41119">
        <w:rPr>
          <w:rStyle w:val="FootnoteReference"/>
        </w:rPr>
        <w:footnoteReference w:id="27"/>
      </w:r>
      <w:r w:rsidR="00D13ADA">
        <w:t>.</w:t>
      </w:r>
      <w:r w:rsidR="009938E4">
        <w:t xml:space="preserve"> </w:t>
      </w:r>
      <w:r w:rsidR="001C4F74">
        <w:t xml:space="preserve">Long-term </w:t>
      </w:r>
      <w:r w:rsidR="00B000DD">
        <w:t xml:space="preserve">global </w:t>
      </w:r>
      <w:r w:rsidR="001C4F74">
        <w:t xml:space="preserve">retirement </w:t>
      </w:r>
      <w:r w:rsidR="00B000DD">
        <w:t xml:space="preserve">rates are expected to </w:t>
      </w:r>
      <w:r w:rsidR="00E46644">
        <w:t>remain steady</w:t>
      </w:r>
      <w:r w:rsidR="000D2E94">
        <w:t>,</w:t>
      </w:r>
      <w:r w:rsidR="00E46644">
        <w:t xml:space="preserve"> at </w:t>
      </w:r>
      <w:r w:rsidR="00A61132">
        <w:t>3% of the fleet per annum</w:t>
      </w:r>
      <w:r w:rsidR="000D2E94">
        <w:t>, for the period 2018-2038.</w:t>
      </w:r>
    </w:p>
    <w:p w14:paraId="1118DD19" w14:textId="5A4A83A5" w:rsidR="00D13ADA" w:rsidRDefault="00785706" w:rsidP="00081AC2">
      <w:pPr>
        <w:pStyle w:val="BodyText10"/>
      </w:pPr>
      <w:r>
        <w:t xml:space="preserve">Regionally, the Asia-Pacific region is </w:t>
      </w:r>
      <w:r w:rsidR="0048536A">
        <w:t>expected to domina</w:t>
      </w:r>
      <w:r w:rsidR="0046289D">
        <w:t>te</w:t>
      </w:r>
      <w:r w:rsidR="0048536A">
        <w:t xml:space="preserve"> </w:t>
      </w:r>
      <w:r w:rsidR="002C37CC">
        <w:t xml:space="preserve">global </w:t>
      </w:r>
      <w:r w:rsidR="00F100BE">
        <w:t xml:space="preserve">growth in </w:t>
      </w:r>
      <w:r w:rsidR="0048536A">
        <w:t>travel and aircraft dem</w:t>
      </w:r>
      <w:r w:rsidR="00F100BE">
        <w:t>a</w:t>
      </w:r>
      <w:r w:rsidR="0048536A">
        <w:t>nd</w:t>
      </w:r>
      <w:r w:rsidR="00F100BE">
        <w:t xml:space="preserve">, due primarily to the China market. </w:t>
      </w:r>
      <w:r w:rsidR="008C7CC4">
        <w:t>Airbus estimates that the Asia-Pacific</w:t>
      </w:r>
      <w:r w:rsidR="00245282">
        <w:t xml:space="preserve"> mainline fleet </w:t>
      </w:r>
      <w:r w:rsidR="00EB6A9E">
        <w:t xml:space="preserve">will </w:t>
      </w:r>
      <w:r w:rsidR="00245282">
        <w:t xml:space="preserve">increase from </w:t>
      </w:r>
      <w:r w:rsidR="00C0626A">
        <w:t>7,105 aircraft in 2019 to 19,225 aircraft in 2038, corresponding to average annual growth of 9%.</w:t>
      </w:r>
    </w:p>
    <w:p w14:paraId="05BD10A1" w14:textId="604CC01D" w:rsidR="00C0626A" w:rsidRDefault="008F1E11" w:rsidP="00B66E8F">
      <w:pPr>
        <w:pStyle w:val="BodyText10"/>
      </w:pPr>
      <w:r>
        <w:t xml:space="preserve">In Australia, the </w:t>
      </w:r>
      <w:r w:rsidR="003F08FC" w:rsidRPr="003F08FC">
        <w:t>Bureau of Infrastructure, Transport and Regional Economics</w:t>
      </w:r>
      <w:r w:rsidR="003F08FC">
        <w:t xml:space="preserve"> (BITRE)</w:t>
      </w:r>
      <w:r w:rsidR="00F203F5">
        <w:t xml:space="preserve"> provides </w:t>
      </w:r>
      <w:r w:rsidR="00B66E8F">
        <w:t xml:space="preserve">data </w:t>
      </w:r>
      <w:r w:rsidR="00F203F5">
        <w:t xml:space="preserve">analysis of transport </w:t>
      </w:r>
      <w:r w:rsidR="00B66E8F">
        <w:t xml:space="preserve">issues, </w:t>
      </w:r>
      <w:r w:rsidR="00361C54">
        <w:t xml:space="preserve">including aviation. </w:t>
      </w:r>
      <w:r w:rsidR="00165FE9">
        <w:t>An</w:t>
      </w:r>
      <w:r w:rsidR="006A4D7A">
        <w:t xml:space="preserve"> </w:t>
      </w:r>
      <w:r w:rsidR="00165FE9">
        <w:lastRenderedPageBreak/>
        <w:t>analysis of aircraft data for 2014</w:t>
      </w:r>
      <w:r w:rsidR="005949EB">
        <w:rPr>
          <w:rStyle w:val="FootnoteReference"/>
        </w:rPr>
        <w:footnoteReference w:id="28"/>
      </w:r>
      <w:r w:rsidR="00165FE9">
        <w:t>, 2016</w:t>
      </w:r>
      <w:r w:rsidR="00160DFC">
        <w:rPr>
          <w:rStyle w:val="FootnoteReference"/>
        </w:rPr>
        <w:footnoteReference w:id="29"/>
      </w:r>
      <w:r w:rsidR="00165FE9">
        <w:t xml:space="preserve"> and 2018</w:t>
      </w:r>
      <w:r w:rsidR="00956E1D">
        <w:rPr>
          <w:rStyle w:val="FootnoteReference"/>
        </w:rPr>
        <w:footnoteReference w:id="30"/>
      </w:r>
      <w:r w:rsidR="00165FE9">
        <w:t xml:space="preserve"> indicate</w:t>
      </w:r>
      <w:r w:rsidR="00081A11">
        <w:t>s</w:t>
      </w:r>
      <w:r w:rsidR="00165FE9">
        <w:t xml:space="preserve"> </w:t>
      </w:r>
      <w:r w:rsidR="00081A11">
        <w:t xml:space="preserve">average annual growth in </w:t>
      </w:r>
      <w:r w:rsidR="008B1E93">
        <w:t xml:space="preserve">the number of </w:t>
      </w:r>
      <w:r w:rsidR="00DA55A7">
        <w:t xml:space="preserve">large </w:t>
      </w:r>
      <w:r w:rsidR="00081A11">
        <w:t>multi-engine turbofan aircraft of bet</w:t>
      </w:r>
      <w:r w:rsidR="00930F91">
        <w:t xml:space="preserve">ween 3% (for 2014-2018) </w:t>
      </w:r>
      <w:r w:rsidR="008B1E93">
        <w:t>to 4% (for 2016-2018).</w:t>
      </w:r>
      <w:r w:rsidR="00DA55A7">
        <w:t xml:space="preserve"> </w:t>
      </w:r>
      <w:r w:rsidR="00D37CDF">
        <w:t>S</w:t>
      </w:r>
      <w:r w:rsidR="00DA55A7">
        <w:t xml:space="preserve">maller </w:t>
      </w:r>
      <w:r w:rsidR="00D37CDF">
        <w:t>fixed-wing multi-engine aircraft (e.g., Bombardier</w:t>
      </w:r>
      <w:r w:rsidR="004E5EB3">
        <w:t>, Beechcraft</w:t>
      </w:r>
      <w:r w:rsidR="00EF6BC2">
        <w:t xml:space="preserve">, Fairchild, Fokker) </w:t>
      </w:r>
      <w:r w:rsidR="00D37CDF">
        <w:t>show lower average annual growth.</w:t>
      </w:r>
      <w:r w:rsidR="00AB4D92">
        <w:t xml:space="preserve"> A report by </w:t>
      </w:r>
      <w:r w:rsidR="00F67B09">
        <w:t>the International Air Transport Association for Air Services Australia</w:t>
      </w:r>
      <w:r w:rsidR="007F1908">
        <w:rPr>
          <w:rStyle w:val="FootnoteReference"/>
        </w:rPr>
        <w:footnoteReference w:id="31"/>
      </w:r>
      <w:r w:rsidR="00494C66">
        <w:t xml:space="preserve"> </w:t>
      </w:r>
      <w:r w:rsidR="00622D5A">
        <w:t>forecast</w:t>
      </w:r>
      <w:r w:rsidR="00E96BB7">
        <w:t xml:space="preserve"> </w:t>
      </w:r>
      <w:r w:rsidR="00622D5A">
        <w:t xml:space="preserve">aircraft numbers for </w:t>
      </w:r>
      <w:r w:rsidR="000042C9">
        <w:t xml:space="preserve">major Australian airlines between 2014 and 2021, </w:t>
      </w:r>
      <w:r w:rsidR="005E2085">
        <w:t>correspond</w:t>
      </w:r>
      <w:r w:rsidR="006D3FE0">
        <w:t>ing</w:t>
      </w:r>
      <w:r w:rsidR="005E2085">
        <w:t xml:space="preserve"> to</w:t>
      </w:r>
      <w:r w:rsidR="000042C9">
        <w:t xml:space="preserve"> </w:t>
      </w:r>
      <w:r w:rsidR="005E2085">
        <w:t xml:space="preserve">average overall annual growth in aircraft </w:t>
      </w:r>
      <w:r w:rsidR="00A41CB2">
        <w:t xml:space="preserve">among those major airlines </w:t>
      </w:r>
      <w:r w:rsidR="006D3FE0">
        <w:t xml:space="preserve">of </w:t>
      </w:r>
      <w:r w:rsidR="005A7D6D">
        <w:t>3%.</w:t>
      </w:r>
    </w:p>
    <w:p w14:paraId="6FCBC3F1" w14:textId="60879EA4" w:rsidR="0068604C" w:rsidRDefault="005A008A" w:rsidP="00B66E8F">
      <w:pPr>
        <w:pStyle w:val="BodyText10"/>
      </w:pPr>
      <w:r>
        <w:t xml:space="preserve">Based on </w:t>
      </w:r>
      <w:r w:rsidR="00597C08">
        <w:t>these considerations</w:t>
      </w:r>
      <w:r w:rsidR="000D2E94">
        <w:t>, f</w:t>
      </w:r>
      <w:r w:rsidR="0068604C">
        <w:t>or the purpose</w:t>
      </w:r>
      <w:r w:rsidR="003D3E0A">
        <w:t>s</w:t>
      </w:r>
      <w:r w:rsidR="0068604C">
        <w:t xml:space="preserve"> of </w:t>
      </w:r>
      <w:r w:rsidR="00A06455">
        <w:t xml:space="preserve">assumptions used in </w:t>
      </w:r>
      <w:r w:rsidR="0068604C">
        <w:t xml:space="preserve">this </w:t>
      </w:r>
      <w:r w:rsidR="0071579A">
        <w:t>report</w:t>
      </w:r>
      <w:r w:rsidR="0068604C">
        <w:t xml:space="preserve">, </w:t>
      </w:r>
      <w:r>
        <w:t xml:space="preserve">the Australian aircraft </w:t>
      </w:r>
      <w:r w:rsidR="001F5133">
        <w:t xml:space="preserve">fleet </w:t>
      </w:r>
      <w:r w:rsidR="003D3E0A">
        <w:t xml:space="preserve">is </w:t>
      </w:r>
      <w:r w:rsidR="00870646">
        <w:t xml:space="preserve">forecast to </w:t>
      </w:r>
      <w:r w:rsidR="00574FAD">
        <w:t xml:space="preserve">grow </w:t>
      </w:r>
      <w:r w:rsidR="004F44EB">
        <w:t>annually</w:t>
      </w:r>
      <w:r w:rsidR="00574FAD">
        <w:t xml:space="preserve"> </w:t>
      </w:r>
      <w:r w:rsidR="00686DB8">
        <w:t xml:space="preserve">between </w:t>
      </w:r>
      <w:r w:rsidR="00574FAD">
        <w:t>4</w:t>
      </w:r>
      <w:r w:rsidR="00C6655A">
        <w:t>-6</w:t>
      </w:r>
      <w:r w:rsidR="00A06455">
        <w:t>%</w:t>
      </w:r>
      <w:r w:rsidR="004F44EB" w:rsidRPr="004F44EB">
        <w:t xml:space="preserve"> </w:t>
      </w:r>
      <w:r w:rsidR="004F44EB">
        <w:t>on average</w:t>
      </w:r>
      <w:r w:rsidR="00ED2E7B">
        <w:t xml:space="preserve">, which </w:t>
      </w:r>
      <w:r w:rsidR="00686DB8">
        <w:t xml:space="preserve">lies between </w:t>
      </w:r>
      <w:r w:rsidR="0071579A">
        <w:t xml:space="preserve">the </w:t>
      </w:r>
      <w:r w:rsidR="008B6987">
        <w:t xml:space="preserve">short-term local and </w:t>
      </w:r>
      <w:r w:rsidR="0071579A">
        <w:t xml:space="preserve">the </w:t>
      </w:r>
      <w:r w:rsidR="008B6987">
        <w:t>long-term global estimates of average annual growth, respectively</w:t>
      </w:r>
      <w:r w:rsidR="00410DDA">
        <w:t>.</w:t>
      </w:r>
      <w:r w:rsidR="00530188">
        <w:t xml:space="preserve"> The 6% </w:t>
      </w:r>
      <w:r w:rsidR="000A6E83">
        <w:t xml:space="preserve">global </w:t>
      </w:r>
      <w:r w:rsidR="00307717">
        <w:t xml:space="preserve">growth rate is </w:t>
      </w:r>
      <w:r w:rsidR="00EB6CDB">
        <w:t>included</w:t>
      </w:r>
      <w:r w:rsidR="003F406E">
        <w:t xml:space="preserve"> as a</w:t>
      </w:r>
      <w:r w:rsidR="00EB6CDB">
        <w:t>n upper bound</w:t>
      </w:r>
      <w:r w:rsidR="003F406E">
        <w:t xml:space="preserve"> </w:t>
      </w:r>
      <w:r w:rsidR="00005E44">
        <w:t xml:space="preserve">assumption </w:t>
      </w:r>
      <w:r w:rsidR="000A6E83">
        <w:t xml:space="preserve">for </w:t>
      </w:r>
      <w:r w:rsidR="00704165">
        <w:t xml:space="preserve">annual </w:t>
      </w:r>
      <w:r w:rsidR="000A6E83">
        <w:t xml:space="preserve">Australian </w:t>
      </w:r>
      <w:r w:rsidR="00704165">
        <w:t xml:space="preserve">aircraft fleet </w:t>
      </w:r>
      <w:r w:rsidR="000A6E83">
        <w:t xml:space="preserve">growth </w:t>
      </w:r>
      <w:r w:rsidR="00005E44">
        <w:t xml:space="preserve">and as a </w:t>
      </w:r>
      <w:r w:rsidR="00CE5D3C">
        <w:t xml:space="preserve">conservative </w:t>
      </w:r>
      <w:r w:rsidR="003F406E">
        <w:t xml:space="preserve">concession to the </w:t>
      </w:r>
      <w:r w:rsidR="00005E44">
        <w:t xml:space="preserve">expected </w:t>
      </w:r>
      <w:r w:rsidR="000A6E83">
        <w:t>relative</w:t>
      </w:r>
      <w:r w:rsidR="00704165">
        <w:t>ly</w:t>
      </w:r>
      <w:r w:rsidR="000A6E83">
        <w:t xml:space="preserve"> </w:t>
      </w:r>
      <w:r w:rsidR="00005E44">
        <w:t>higher growth in</w:t>
      </w:r>
      <w:r w:rsidR="003F406E">
        <w:t xml:space="preserve"> </w:t>
      </w:r>
      <w:r w:rsidR="00530188">
        <w:t xml:space="preserve">Asia-Pacific </w:t>
      </w:r>
      <w:r w:rsidR="003F406E">
        <w:t>region</w:t>
      </w:r>
      <w:r w:rsidR="00BE60F8">
        <w:t xml:space="preserve"> (9%)</w:t>
      </w:r>
      <w:r w:rsidR="00005E44">
        <w:t xml:space="preserve">, </w:t>
      </w:r>
      <w:r w:rsidR="00825AC2">
        <w:t>which</w:t>
      </w:r>
      <w:r w:rsidR="00BE60F8">
        <w:t>, however,</w:t>
      </w:r>
      <w:r w:rsidR="00825AC2">
        <w:t xml:space="preserve"> may not be realistic for Australia</w:t>
      </w:r>
      <w:r w:rsidR="003D6DA0">
        <w:t>.</w:t>
      </w:r>
    </w:p>
    <w:p w14:paraId="7314E744" w14:textId="7B2D3E1B" w:rsidR="00CA44FA" w:rsidRPr="0044465C" w:rsidRDefault="00D84D93" w:rsidP="00324056">
      <w:pPr>
        <w:pStyle w:val="Heading3"/>
      </w:pPr>
      <w:bookmarkStart w:id="34" w:name="_Toc38190341"/>
      <w:r w:rsidRPr="0044465C">
        <w:t>Aircraft Lifetime</w:t>
      </w:r>
      <w:r>
        <w:t xml:space="preserve"> and</w:t>
      </w:r>
      <w:r w:rsidRPr="00115A2A">
        <w:t xml:space="preserve"> </w:t>
      </w:r>
      <w:r w:rsidR="00CA44FA" w:rsidRPr="00115A2A">
        <w:t>Australian Airc</w:t>
      </w:r>
      <w:r w:rsidR="00CA44FA" w:rsidRPr="0044465C">
        <w:t>raft Fleet Age</w:t>
      </w:r>
      <w:bookmarkEnd w:id="34"/>
      <w:r w:rsidR="000A6E83" w:rsidRPr="0044465C">
        <w:t xml:space="preserve"> </w:t>
      </w:r>
    </w:p>
    <w:p w14:paraId="03D3E9E7" w14:textId="7AC73701" w:rsidR="001F4C11" w:rsidRDefault="00D84D93" w:rsidP="00081AC2">
      <w:pPr>
        <w:pStyle w:val="BodyText10"/>
      </w:pPr>
      <w:r>
        <w:t>Aircraft lifetimes</w:t>
      </w:r>
      <w:r w:rsidR="001F4C11">
        <w:t>,</w:t>
      </w:r>
      <w:r>
        <w:t xml:space="preserve"> and </w:t>
      </w:r>
      <w:r w:rsidR="008855E3">
        <w:t xml:space="preserve">the </w:t>
      </w:r>
      <w:r>
        <w:t xml:space="preserve">aging </w:t>
      </w:r>
      <w:r w:rsidR="008855E3">
        <w:t xml:space="preserve">profile </w:t>
      </w:r>
      <w:r>
        <w:t>of the Australian aircraft fleet</w:t>
      </w:r>
      <w:r w:rsidR="001F4C11">
        <w:t>,</w:t>
      </w:r>
      <w:r>
        <w:t xml:space="preserve"> are </w:t>
      </w:r>
      <w:r w:rsidR="00570CB8">
        <w:t xml:space="preserve">relevant to the analysis of future halon requirements in aviation due to the </w:t>
      </w:r>
      <w:r w:rsidR="001F4C11">
        <w:t>process of attrition of older aircraft through retirement and the introduction of newly manufactured aircraft with installed halon alternatives.</w:t>
      </w:r>
      <w:r w:rsidR="00E46068">
        <w:t xml:space="preserve"> </w:t>
      </w:r>
      <w:r w:rsidR="00300F07">
        <w:t xml:space="preserve">Global aircraft manufacturers design aircraft for </w:t>
      </w:r>
      <w:r w:rsidR="00E46068">
        <w:t>a minimum lifetime of 20 years</w:t>
      </w:r>
      <w:r w:rsidR="003D7897">
        <w:t>,</w:t>
      </w:r>
      <w:r w:rsidR="000076A4" w:rsidRPr="000076A4">
        <w:t xml:space="preserve"> with a specified number of flight hours and flight cycles</w:t>
      </w:r>
      <w:r w:rsidR="000076A4">
        <w:rPr>
          <w:rStyle w:val="FootnoteReference"/>
        </w:rPr>
        <w:footnoteReference w:id="32"/>
      </w:r>
      <w:r w:rsidR="00E46068">
        <w:t>.</w:t>
      </w:r>
      <w:r w:rsidR="00B0338F">
        <w:t xml:space="preserve"> </w:t>
      </w:r>
      <w:r w:rsidR="00C62F5B">
        <w:t xml:space="preserve">Generally speaking, </w:t>
      </w:r>
      <w:r w:rsidR="00B0338F">
        <w:t xml:space="preserve">in practice, </w:t>
      </w:r>
      <w:r w:rsidR="00C62F5B">
        <w:t>aircraft are durable assets</w:t>
      </w:r>
      <w:r w:rsidR="00C0442B">
        <w:t xml:space="preserve"> that typically remain in service for 20-30 years, and </w:t>
      </w:r>
      <w:r w:rsidR="00A56489">
        <w:t>often</w:t>
      </w:r>
      <w:r w:rsidR="00C0442B">
        <w:t xml:space="preserve"> longer</w:t>
      </w:r>
      <w:r w:rsidR="00657884">
        <w:rPr>
          <w:rStyle w:val="FootnoteReference"/>
        </w:rPr>
        <w:footnoteReference w:id="33"/>
      </w:r>
      <w:r w:rsidR="00C0442B">
        <w:t>.</w:t>
      </w:r>
      <w:r w:rsidR="00F549D0">
        <w:t xml:space="preserve"> </w:t>
      </w:r>
      <w:r w:rsidR="004563C9" w:rsidRPr="004563C9">
        <w:t xml:space="preserve">Aircraft age is </w:t>
      </w:r>
      <w:r w:rsidR="00747B3B">
        <w:t xml:space="preserve">determined </w:t>
      </w:r>
      <w:r w:rsidR="004563C9" w:rsidRPr="004563C9">
        <w:t xml:space="preserve">not only </w:t>
      </w:r>
      <w:r w:rsidR="00747B3B">
        <w:t>by</w:t>
      </w:r>
      <w:r w:rsidR="00B61C69">
        <w:t xml:space="preserve"> age </w:t>
      </w:r>
      <w:r w:rsidR="004563C9" w:rsidRPr="004563C9">
        <w:t xml:space="preserve">in years but also </w:t>
      </w:r>
      <w:r w:rsidR="00B61C69">
        <w:t>by the number of</w:t>
      </w:r>
      <w:r w:rsidR="004563C9" w:rsidRPr="004563C9">
        <w:t xml:space="preserve"> pressurization cycles caus</w:t>
      </w:r>
      <w:r w:rsidR="00AE7A55">
        <w:t>ing</w:t>
      </w:r>
      <w:r w:rsidR="004563C9" w:rsidRPr="004563C9">
        <w:t xml:space="preserve"> stress on the </w:t>
      </w:r>
      <w:r w:rsidR="00747B3B">
        <w:t>aircraft</w:t>
      </w:r>
      <w:r w:rsidR="004563C9" w:rsidRPr="004563C9">
        <w:t xml:space="preserve">. </w:t>
      </w:r>
      <w:r w:rsidR="00EB57BE">
        <w:t xml:space="preserve">Aircraft are </w:t>
      </w:r>
      <w:r w:rsidR="00AE7A55">
        <w:t xml:space="preserve">generally </w:t>
      </w:r>
      <w:r w:rsidR="00EB57BE">
        <w:t xml:space="preserve">retired when </w:t>
      </w:r>
      <w:r w:rsidR="002163D4">
        <w:t xml:space="preserve">the cost to </w:t>
      </w:r>
      <w:r w:rsidR="00692F86">
        <w:t>maintain</w:t>
      </w:r>
      <w:r w:rsidR="00453936">
        <w:t xml:space="preserve"> and operate them exceeds their generated revenue.</w:t>
      </w:r>
      <w:r w:rsidR="00D47F4D">
        <w:t xml:space="preserve"> </w:t>
      </w:r>
    </w:p>
    <w:p w14:paraId="6E415DDF" w14:textId="479624CA" w:rsidR="00597C08" w:rsidRDefault="009402C1" w:rsidP="00081AC2">
      <w:pPr>
        <w:pStyle w:val="BodyText10"/>
      </w:pPr>
      <w:r>
        <w:t xml:space="preserve">Based on </w:t>
      </w:r>
      <w:r w:rsidR="00266ECF">
        <w:t>the Bureau of Infrastructure, Transport and Regional Economics</w:t>
      </w:r>
      <w:r>
        <w:t xml:space="preserve"> data for 2018</w:t>
      </w:r>
      <w:r w:rsidR="00A42898">
        <w:t xml:space="preserve">, </w:t>
      </w:r>
      <w:r w:rsidR="00DD0EE7">
        <w:t xml:space="preserve">the </w:t>
      </w:r>
      <w:r w:rsidR="00553560">
        <w:t xml:space="preserve">Australian fleet </w:t>
      </w:r>
      <w:r w:rsidR="00DD0EE7">
        <w:t xml:space="preserve">Airbus and Boeing categories of fixed wing, </w:t>
      </w:r>
      <w:r w:rsidR="00DD0EE7">
        <w:lastRenderedPageBreak/>
        <w:t xml:space="preserve">multi-engine aircraft </w:t>
      </w:r>
      <w:r w:rsidR="00553560">
        <w:t xml:space="preserve">have an average age of </w:t>
      </w:r>
      <w:r w:rsidR="00653906">
        <w:t xml:space="preserve">10 years. </w:t>
      </w:r>
      <w:r w:rsidR="007D4607">
        <w:t xml:space="preserve">The average age of other multi-engine aircraft </w:t>
      </w:r>
      <w:r w:rsidR="004010C3">
        <w:t>tends to be higher</w:t>
      </w:r>
      <w:r w:rsidR="00984546">
        <w:t xml:space="preserve">, e.g., </w:t>
      </w:r>
      <w:r w:rsidR="00DE0E9B">
        <w:t xml:space="preserve">the Fokker category is </w:t>
      </w:r>
      <w:r w:rsidR="00CA0085">
        <w:t>26 years</w:t>
      </w:r>
      <w:r w:rsidR="00C60F65">
        <w:t xml:space="preserve"> on average</w:t>
      </w:r>
      <w:r w:rsidR="00CA0085">
        <w:t>.</w:t>
      </w:r>
      <w:r w:rsidR="00AC38B4">
        <w:t xml:space="preserve"> </w:t>
      </w:r>
      <w:r w:rsidR="00C60F65">
        <w:t xml:space="preserve">Based on </w:t>
      </w:r>
      <w:r w:rsidR="002967C1">
        <w:t>a</w:t>
      </w:r>
      <w:r w:rsidR="00C60F65">
        <w:t xml:space="preserve"> report by the Australian Transport Safety Bureau </w:t>
      </w:r>
      <w:r w:rsidR="00B73E50">
        <w:t>using data for</w:t>
      </w:r>
      <w:r w:rsidR="00BF6C90">
        <w:t xml:space="preserve"> the Australian aircraft fleet </w:t>
      </w:r>
      <w:r w:rsidR="00B73E50">
        <w:t>in</w:t>
      </w:r>
      <w:r w:rsidR="00BF6C90">
        <w:t xml:space="preserve"> 2005</w:t>
      </w:r>
      <w:r w:rsidR="00353C17">
        <w:rPr>
          <w:rStyle w:val="FootnoteReference"/>
        </w:rPr>
        <w:footnoteReference w:id="34"/>
      </w:r>
      <w:r w:rsidR="00BF6C90">
        <w:t xml:space="preserve">, </w:t>
      </w:r>
      <w:r w:rsidR="003C204B">
        <w:t xml:space="preserve">generally, </w:t>
      </w:r>
      <w:r w:rsidR="007D59D7">
        <w:t>small</w:t>
      </w:r>
      <w:r w:rsidR="00677F33">
        <w:t>er</w:t>
      </w:r>
      <w:r w:rsidR="007D59D7">
        <w:t xml:space="preserve"> multi-engine</w:t>
      </w:r>
      <w:r w:rsidR="00677F33">
        <w:t xml:space="preserve"> turbofan aircraft</w:t>
      </w:r>
      <w:r w:rsidR="00024F9D">
        <w:t xml:space="preserve"> have higher average age, and a wider spread </w:t>
      </w:r>
      <w:r w:rsidR="009F750A">
        <w:t>of aircraft age</w:t>
      </w:r>
      <w:r w:rsidR="006739DB">
        <w:t xml:space="preserve">. In 2005, </w:t>
      </w:r>
      <w:r w:rsidR="00335455">
        <w:t>34% of this</w:t>
      </w:r>
      <w:r w:rsidR="006739DB">
        <w:t xml:space="preserve"> </w:t>
      </w:r>
      <w:r w:rsidR="00E166AA">
        <w:t xml:space="preserve">small-sized </w:t>
      </w:r>
      <w:r w:rsidR="009679A1">
        <w:t xml:space="preserve">aircraft </w:t>
      </w:r>
      <w:r w:rsidR="006739DB">
        <w:t xml:space="preserve">category </w:t>
      </w:r>
      <w:r w:rsidR="00C45332">
        <w:t>was aged over 20 years.</w:t>
      </w:r>
      <w:r w:rsidR="00736AFD">
        <w:t xml:space="preserve"> </w:t>
      </w:r>
      <w:r w:rsidR="00402ECA">
        <w:t>For medium-sized multi-engine turbofan aircraft</w:t>
      </w:r>
      <w:r w:rsidR="00DE1708">
        <w:t xml:space="preserve">, </w:t>
      </w:r>
      <w:r w:rsidR="00CA4292">
        <w:t>5</w:t>
      </w:r>
      <w:r w:rsidR="00FB2639">
        <w:t>% were aged over 20 years. For large multi-engine turbofan aircraft</w:t>
      </w:r>
      <w:r w:rsidR="00857143">
        <w:t>, 3% were aged over 20 years</w:t>
      </w:r>
      <w:r w:rsidR="00B73E50">
        <w:t xml:space="preserve"> in 2005.</w:t>
      </w:r>
      <w:r w:rsidR="00597C08">
        <w:t xml:space="preserve"> </w:t>
      </w:r>
    </w:p>
    <w:p w14:paraId="2F588089" w14:textId="71B1E57E" w:rsidR="00A56BEF" w:rsidRDefault="00597C08" w:rsidP="00081AC2">
      <w:pPr>
        <w:pStyle w:val="BodyText10"/>
      </w:pPr>
      <w:r>
        <w:t xml:space="preserve">Based on these considerations, for the purposes of assumptions used in this report, Australian aircraft </w:t>
      </w:r>
      <w:r w:rsidR="00261E6C">
        <w:t>are</w:t>
      </w:r>
      <w:r>
        <w:t xml:space="preserve"> assumed to</w:t>
      </w:r>
      <w:r w:rsidR="00E6046B">
        <w:t xml:space="preserve"> reach </w:t>
      </w:r>
      <w:r w:rsidR="00261E6C">
        <w:t>their</w:t>
      </w:r>
      <w:r w:rsidR="00E6046B">
        <w:t xml:space="preserve"> end</w:t>
      </w:r>
      <w:r w:rsidR="00335D85">
        <w:t>-</w:t>
      </w:r>
      <w:r w:rsidR="00E6046B">
        <w:t>of</w:t>
      </w:r>
      <w:r w:rsidR="00335D85">
        <w:t>-</w:t>
      </w:r>
      <w:r w:rsidR="00E6046B">
        <w:t xml:space="preserve">life </w:t>
      </w:r>
      <w:r w:rsidR="00261E6C">
        <w:t xml:space="preserve">in service in Australia </w:t>
      </w:r>
      <w:r w:rsidR="00E6046B">
        <w:t xml:space="preserve">at 30 years. </w:t>
      </w:r>
      <w:r w:rsidR="00E55A96">
        <w:t>A</w:t>
      </w:r>
      <w:r w:rsidR="00423E75">
        <w:t xml:space="preserve"> lower bound </w:t>
      </w:r>
      <w:r w:rsidR="00E55A96">
        <w:t xml:space="preserve">aircraft lifetime of 20 years has also been </w:t>
      </w:r>
      <w:r w:rsidR="000702B1">
        <w:t>included as a variable assumption</w:t>
      </w:r>
      <w:r w:rsidR="00E55A96">
        <w:t>.</w:t>
      </w:r>
    </w:p>
    <w:p w14:paraId="042B8E19" w14:textId="2A8161A8" w:rsidR="007C7167" w:rsidRPr="00081AC2" w:rsidRDefault="007C7167" w:rsidP="00324056">
      <w:pPr>
        <w:pStyle w:val="Heading3"/>
      </w:pPr>
      <w:bookmarkStart w:id="35" w:name="_Toc38190342"/>
      <w:r w:rsidRPr="00081AC2">
        <w:t>Acquisition of New Aircraft and Disposal of Old Aircraft by Major Airlines</w:t>
      </w:r>
      <w:bookmarkEnd w:id="35"/>
    </w:p>
    <w:p w14:paraId="1A4DF120" w14:textId="33EB3222" w:rsidR="007C7167" w:rsidRPr="00081AC2" w:rsidRDefault="00A1758E" w:rsidP="00CE5D3C">
      <w:pPr>
        <w:pStyle w:val="BodyText10"/>
      </w:pPr>
      <w:r>
        <w:t xml:space="preserve">Information was solicited from the major airline carriers regarding the </w:t>
      </w:r>
      <w:r w:rsidR="00D558B0">
        <w:t xml:space="preserve">current </w:t>
      </w:r>
      <w:r w:rsidR="005355FD">
        <w:t xml:space="preserve">source of halon in new aircraft and </w:t>
      </w:r>
      <w:r>
        <w:t xml:space="preserve">the </w:t>
      </w:r>
      <w:r w:rsidR="00D558B0">
        <w:t xml:space="preserve">current </w:t>
      </w:r>
      <w:r>
        <w:t xml:space="preserve">fate of </w:t>
      </w:r>
      <w:r w:rsidR="005355FD">
        <w:t>halon from retired aircraft.</w:t>
      </w:r>
      <w:r w:rsidR="00BB08A6">
        <w:t xml:space="preserve"> </w:t>
      </w:r>
      <w:r w:rsidR="005355FD">
        <w:t xml:space="preserve">The </w:t>
      </w:r>
      <w:r w:rsidR="003F09BE">
        <w:t xml:space="preserve">commencement of operations by </w:t>
      </w:r>
      <w:r w:rsidR="00F07536">
        <w:t xml:space="preserve">Asia </w:t>
      </w:r>
      <w:r w:rsidR="00FD646E">
        <w:t>Pacific Aircraft Storage</w:t>
      </w:r>
      <w:r w:rsidR="00555639">
        <w:t xml:space="preserve"> (APAS) in June 2014</w:t>
      </w:r>
      <w:r w:rsidR="007123D5">
        <w:t xml:space="preserve"> has provided the possibility </w:t>
      </w:r>
      <w:r w:rsidR="001477AA">
        <w:t xml:space="preserve">for </w:t>
      </w:r>
      <w:r w:rsidR="00002CC1">
        <w:t xml:space="preserve">storage of </w:t>
      </w:r>
      <w:r w:rsidR="001477AA">
        <w:t>aircraft and</w:t>
      </w:r>
      <w:r w:rsidR="00002CC1">
        <w:t xml:space="preserve"> </w:t>
      </w:r>
      <w:r w:rsidR="007123D5">
        <w:t xml:space="preserve">retired aircraft being broken down in Australia and </w:t>
      </w:r>
      <w:r w:rsidR="00FC5291">
        <w:t>the installed halon recovered to Australian stock</w:t>
      </w:r>
      <w:r w:rsidR="00450BCF" w:rsidRPr="00081AC2">
        <w:t>.</w:t>
      </w:r>
      <w:r w:rsidR="00286BE9">
        <w:t xml:space="preserve"> </w:t>
      </w:r>
      <w:r w:rsidR="00F07536">
        <w:t>Asia</w:t>
      </w:r>
      <w:r w:rsidR="00AF0DBF">
        <w:t xml:space="preserve"> Pacific Aircraft Storage</w:t>
      </w:r>
      <w:r w:rsidR="00286BE9">
        <w:t xml:space="preserve"> offer services to</w:t>
      </w:r>
      <w:r w:rsidR="00FC038C">
        <w:t xml:space="preserve"> Australian and international carriers</w:t>
      </w:r>
      <w:r w:rsidR="00981F9B">
        <w:t>.</w:t>
      </w:r>
      <w:r w:rsidR="00EA0441">
        <w:t xml:space="preserve"> </w:t>
      </w:r>
    </w:p>
    <w:p w14:paraId="408ECD71" w14:textId="20E8394E" w:rsidR="007C7167" w:rsidRPr="008D3E80" w:rsidRDefault="007C7167" w:rsidP="00324056">
      <w:pPr>
        <w:pStyle w:val="Heading4"/>
      </w:pPr>
      <w:bookmarkStart w:id="36" w:name="_Toc38190343"/>
      <w:r w:rsidRPr="008D3E80">
        <w:t>Large Passenger Aircraft Entering the Australian Major Airline Fleet</w:t>
      </w:r>
      <w:bookmarkEnd w:id="36"/>
    </w:p>
    <w:p w14:paraId="3DB93926" w14:textId="3384886B" w:rsidR="005C5983" w:rsidRDefault="00D645CD" w:rsidP="008D3E80">
      <w:pPr>
        <w:pStyle w:val="BodyText10"/>
      </w:pPr>
      <w:r>
        <w:t xml:space="preserve">New aircraft must fly with fire suppression systems fully installed to meet airworthiness requirements. </w:t>
      </w:r>
      <w:r w:rsidR="005C5983">
        <w:t xml:space="preserve">Industry sources indicate that large passenger aircraft entering the Australian fleet, either due to </w:t>
      </w:r>
      <w:r w:rsidR="00247ACC">
        <w:t xml:space="preserve">international </w:t>
      </w:r>
      <w:r w:rsidR="005C5983">
        <w:t>purchase or lease</w:t>
      </w:r>
      <w:r w:rsidR="00957312">
        <w:t xml:space="preserve">, come supplied with halon </w:t>
      </w:r>
      <w:r>
        <w:t xml:space="preserve">1301 </w:t>
      </w:r>
      <w:r w:rsidR="0053193C">
        <w:t>and so are a net increase in Australian installed base of halon</w:t>
      </w:r>
      <w:r w:rsidR="00606FF6">
        <w:t>.</w:t>
      </w:r>
      <w:r w:rsidR="00F10700">
        <w:t xml:space="preserve"> </w:t>
      </w:r>
      <w:r>
        <w:t xml:space="preserve">Handheld extinguishers may be specified as “buyer furnished equipment” in which case the buyer must furnish the equipment and deliver to the manufacturer for fitting to the aircraft prior to delivery. This would mean that new aircraft purchased </w:t>
      </w:r>
      <w:r w:rsidR="00097440">
        <w:t>have</w:t>
      </w:r>
      <w:r>
        <w:t xml:space="preserve"> require</w:t>
      </w:r>
      <w:r w:rsidR="00097440">
        <w:t>d</w:t>
      </w:r>
      <w:r>
        <w:t xml:space="preserve"> halon 1211 handheld extinguishers drawn from Australia’s stock of halon 1211. So, while new aircraft purchases will </w:t>
      </w:r>
      <w:r w:rsidR="002632F8">
        <w:t xml:space="preserve">have </w:t>
      </w:r>
      <w:r>
        <w:t>draw</w:t>
      </w:r>
      <w:r w:rsidR="00CD5B88">
        <w:t>n</w:t>
      </w:r>
      <w:r>
        <w:t xml:space="preserve"> on Australia’s halon 1211, aircraft retired or on-sold overseas will </w:t>
      </w:r>
      <w:r w:rsidR="002632F8">
        <w:t xml:space="preserve">have </w:t>
      </w:r>
      <w:r>
        <w:t>be</w:t>
      </w:r>
      <w:r w:rsidR="002632F8">
        <w:t>en</w:t>
      </w:r>
      <w:r>
        <w:t xml:space="preserve"> lost from Australia’s halon 1211 stocks.</w:t>
      </w:r>
      <w:r w:rsidR="00606FF6" w:rsidDel="00067F23">
        <w:t xml:space="preserve"> </w:t>
      </w:r>
      <w:r w:rsidR="00687EF7">
        <w:t xml:space="preserve">Now that </w:t>
      </w:r>
      <w:r w:rsidR="00DF2CAC">
        <w:t>replacements for halon</w:t>
      </w:r>
      <w:r w:rsidR="00687EF7">
        <w:t xml:space="preserve"> </w:t>
      </w:r>
      <w:r w:rsidR="001D2B50">
        <w:t xml:space="preserve">1211 </w:t>
      </w:r>
      <w:r w:rsidR="00244600">
        <w:t>have been</w:t>
      </w:r>
      <w:r w:rsidR="00687EF7">
        <w:t xml:space="preserve"> ma</w:t>
      </w:r>
      <w:r w:rsidR="00A46F2E">
        <w:t xml:space="preserve">ndated for handheld extinguishers </w:t>
      </w:r>
      <w:r w:rsidR="00160D8A">
        <w:t>in new aircraft</w:t>
      </w:r>
      <w:r w:rsidR="00A46F2E">
        <w:t xml:space="preserve"> the </w:t>
      </w:r>
      <w:r w:rsidR="00705900">
        <w:t>“buyer furnished</w:t>
      </w:r>
      <w:r w:rsidR="006F7792">
        <w:t xml:space="preserve"> </w:t>
      </w:r>
      <w:r w:rsidR="005240F0">
        <w:t xml:space="preserve">equipment” </w:t>
      </w:r>
      <w:r w:rsidR="007033A2">
        <w:t>clause</w:t>
      </w:r>
      <w:r w:rsidR="005240F0">
        <w:t xml:space="preserve"> leading to </w:t>
      </w:r>
      <w:r w:rsidR="007033A2">
        <w:t>temporary</w:t>
      </w:r>
      <w:r w:rsidR="005240F0">
        <w:t xml:space="preserve"> export</w:t>
      </w:r>
      <w:r w:rsidR="002F46D8">
        <w:t>, fitting to aircraft</w:t>
      </w:r>
      <w:r w:rsidR="005240F0">
        <w:t xml:space="preserve"> and reimport</w:t>
      </w:r>
      <w:r w:rsidR="006F7792">
        <w:t xml:space="preserve"> </w:t>
      </w:r>
      <w:r w:rsidR="002F46D8">
        <w:t xml:space="preserve">in aircraft of </w:t>
      </w:r>
      <w:r w:rsidR="006F7792">
        <w:t xml:space="preserve">halon 1211 </w:t>
      </w:r>
      <w:r w:rsidR="00155D5A">
        <w:t>w</w:t>
      </w:r>
      <w:r w:rsidR="002F46D8">
        <w:t xml:space="preserve">ould no longer </w:t>
      </w:r>
      <w:r w:rsidR="00155D5A">
        <w:t xml:space="preserve">be </w:t>
      </w:r>
      <w:r w:rsidR="002F46D8">
        <w:t>occur</w:t>
      </w:r>
      <w:r w:rsidR="00155D5A">
        <w:t>ring</w:t>
      </w:r>
      <w:r w:rsidR="002F46D8">
        <w:t>.</w:t>
      </w:r>
    </w:p>
    <w:p w14:paraId="7CD4CE51" w14:textId="5A3E6C03" w:rsidR="00ED3931" w:rsidRPr="008D3E80" w:rsidRDefault="0036284B" w:rsidP="008D3E80">
      <w:pPr>
        <w:pStyle w:val="BodyText10"/>
      </w:pPr>
      <w:r>
        <w:t>A</w:t>
      </w:r>
      <w:r w:rsidR="0092090E" w:rsidRPr="008D3E80">
        <w:t xml:space="preserve"> high </w:t>
      </w:r>
      <w:r>
        <w:t>rate</w:t>
      </w:r>
      <w:r w:rsidRPr="008D3E80">
        <w:t xml:space="preserve"> </w:t>
      </w:r>
      <w:r w:rsidR="0092090E" w:rsidRPr="008D3E80">
        <w:t xml:space="preserve">of turnover </w:t>
      </w:r>
      <w:r>
        <w:t>is</w:t>
      </w:r>
      <w:r w:rsidR="0092090E" w:rsidRPr="008D3E80">
        <w:t xml:space="preserve"> </w:t>
      </w:r>
      <w:r>
        <w:t>expected</w:t>
      </w:r>
      <w:r w:rsidR="0092090E" w:rsidRPr="008D3E80">
        <w:t xml:space="preserve"> </w:t>
      </w:r>
      <w:r w:rsidR="00DB2ABD">
        <w:t xml:space="preserve">to be on-going </w:t>
      </w:r>
      <w:r w:rsidR="0092090E" w:rsidRPr="008D3E80">
        <w:t xml:space="preserve">in Australia’s aviation mainline fleet over the next decade </w:t>
      </w:r>
      <w:r w:rsidR="00F3379C" w:rsidRPr="008D3E80">
        <w:t>due to</w:t>
      </w:r>
      <w:r w:rsidR="00217E02" w:rsidRPr="008D3E80">
        <w:t xml:space="preserve"> </w:t>
      </w:r>
      <w:r w:rsidR="00DB2ABD">
        <w:t>continued</w:t>
      </w:r>
      <w:r w:rsidR="00DB2ABD" w:rsidRPr="008D3E80">
        <w:t xml:space="preserve"> </w:t>
      </w:r>
      <w:r w:rsidR="0084632E">
        <w:t>population growth,</w:t>
      </w:r>
      <w:r w:rsidR="009A65F7">
        <w:t xml:space="preserve"> </w:t>
      </w:r>
      <w:r w:rsidR="009A65F7">
        <w:lastRenderedPageBreak/>
        <w:t>significant</w:t>
      </w:r>
      <w:r w:rsidR="00DB2ABD" w:rsidRPr="008D3E80">
        <w:t xml:space="preserve"> </w:t>
      </w:r>
      <w:r w:rsidR="00A15D03" w:rsidRPr="008D3E80">
        <w:t xml:space="preserve">growth in passenger </w:t>
      </w:r>
      <w:r w:rsidR="0083788B" w:rsidRPr="008D3E80">
        <w:t xml:space="preserve">enplanements </w:t>
      </w:r>
      <w:r w:rsidR="00D645CD">
        <w:t xml:space="preserve">(passenger seats occupied) </w:t>
      </w:r>
      <w:r w:rsidR="0083788B" w:rsidRPr="008D3E80">
        <w:t xml:space="preserve">well </w:t>
      </w:r>
      <w:r w:rsidR="00F3379C" w:rsidRPr="008D3E80">
        <w:t xml:space="preserve">above </w:t>
      </w:r>
      <w:r w:rsidR="00217E02" w:rsidRPr="008D3E80">
        <w:t xml:space="preserve">GDP </w:t>
      </w:r>
      <w:r w:rsidR="0083788B" w:rsidRPr="008D3E80">
        <w:t>growth</w:t>
      </w:r>
      <w:r w:rsidR="006D30F8">
        <w:t>,</w:t>
      </w:r>
      <w:r w:rsidR="0021567B" w:rsidRPr="008D3E80">
        <w:t xml:space="preserve"> and</w:t>
      </w:r>
      <w:r w:rsidR="007C7167" w:rsidRPr="008D3E80">
        <w:t xml:space="preserve"> the </w:t>
      </w:r>
      <w:r w:rsidR="009A65F7">
        <w:t>continued</w:t>
      </w:r>
      <w:r w:rsidR="007C7167" w:rsidRPr="008D3E80">
        <w:t xml:space="preserve"> introduction by manufacturers of new aircraft with lower running costs, significant fuel efficiency and associated environmental benefits</w:t>
      </w:r>
      <w:r w:rsidR="00BB2045" w:rsidRPr="008D3E80">
        <w:t>.</w:t>
      </w:r>
    </w:p>
    <w:p w14:paraId="4B920700" w14:textId="6625E167" w:rsidR="007C7167" w:rsidRPr="008D3E80" w:rsidRDefault="00B77F97" w:rsidP="008D3E80">
      <w:pPr>
        <w:pStyle w:val="BodyText10"/>
      </w:pPr>
      <w:r>
        <w:t>P</w:t>
      </w:r>
      <w:r w:rsidR="001F7EEF" w:rsidRPr="008D3E80">
        <w:t>redictions</w:t>
      </w:r>
      <w:r w:rsidR="00740758" w:rsidRPr="008D3E80">
        <w:t xml:space="preserve"> </w:t>
      </w:r>
      <w:r w:rsidR="001F7EEF" w:rsidRPr="008D3E80">
        <w:t xml:space="preserve">for </w:t>
      </w:r>
      <w:r w:rsidR="00EE3C4B">
        <w:t>growth</w:t>
      </w:r>
      <w:r w:rsidR="001F7EEF" w:rsidRPr="008D3E80">
        <w:t xml:space="preserve"> </w:t>
      </w:r>
      <w:r w:rsidR="006E64CD" w:rsidRPr="008D3E80">
        <w:t xml:space="preserve">in the fleet </w:t>
      </w:r>
      <w:r w:rsidR="00EE3C4B">
        <w:t>have been estimated</w:t>
      </w:r>
      <w:r w:rsidR="00EC2219" w:rsidRPr="008D3E80">
        <w:t xml:space="preserve"> </w:t>
      </w:r>
      <w:r w:rsidR="00EE3C4B">
        <w:t xml:space="preserve">to provide </w:t>
      </w:r>
      <w:r w:rsidR="00441765">
        <w:t xml:space="preserve">the basis for </w:t>
      </w:r>
      <w:r w:rsidR="00283A39">
        <w:t>modelling</w:t>
      </w:r>
      <w:r w:rsidR="00EC2219" w:rsidRPr="008D3E80">
        <w:t xml:space="preserve"> </w:t>
      </w:r>
      <w:r w:rsidR="00EC40C4">
        <w:t>of</w:t>
      </w:r>
      <w:r w:rsidR="00EE3C4B" w:rsidRPr="008D3E80">
        <w:t xml:space="preserve"> </w:t>
      </w:r>
      <w:r w:rsidR="00EC2219" w:rsidRPr="008D3E80">
        <w:t xml:space="preserve">the net effect on Australia’s </w:t>
      </w:r>
      <w:r w:rsidR="005640C3">
        <w:t xml:space="preserve">halon </w:t>
      </w:r>
      <w:r w:rsidR="00EC2219" w:rsidRPr="008D3E80">
        <w:t>stock and installed base of halon</w:t>
      </w:r>
      <w:r w:rsidR="00F24495">
        <w:t xml:space="preserve"> (</w:t>
      </w:r>
      <w:r w:rsidR="006D30F8">
        <w:t>s</w:t>
      </w:r>
      <w:r w:rsidR="00F24495">
        <w:t xml:space="preserve">ee </w:t>
      </w:r>
      <w:r w:rsidR="006D30F8">
        <w:t xml:space="preserve">section </w:t>
      </w:r>
      <w:r w:rsidR="00F24495">
        <w:t>3.1.1)</w:t>
      </w:r>
      <w:r w:rsidR="006D30F8">
        <w:t>.</w:t>
      </w:r>
    </w:p>
    <w:p w14:paraId="6BF1FCCF" w14:textId="15A466FE" w:rsidR="007C7167" w:rsidRPr="00081AC2" w:rsidRDefault="007C7167" w:rsidP="00324056">
      <w:pPr>
        <w:pStyle w:val="Heading4"/>
      </w:pPr>
      <w:bookmarkStart w:id="37" w:name="_Toc38190344"/>
      <w:r w:rsidRPr="00081AC2">
        <w:t>Large Passenger Aircraft Leaving the Australian Major Airline Fleet</w:t>
      </w:r>
      <w:bookmarkEnd w:id="37"/>
    </w:p>
    <w:p w14:paraId="5EE1D29C" w14:textId="55F5740E" w:rsidR="005C5983" w:rsidRDefault="007F440C" w:rsidP="005C5983">
      <w:pPr>
        <w:pStyle w:val="BodyText10"/>
      </w:pPr>
      <w:r>
        <w:t>Large</w:t>
      </w:r>
      <w:r w:rsidR="007C7167" w:rsidRPr="00081AC2">
        <w:t xml:space="preserve"> passenger aircraft </w:t>
      </w:r>
      <w:r w:rsidR="0091342F" w:rsidRPr="00081AC2">
        <w:t>exiting</w:t>
      </w:r>
      <w:r w:rsidR="007C7167" w:rsidRPr="00081AC2">
        <w:t xml:space="preserve"> </w:t>
      </w:r>
      <w:r w:rsidR="005C6CA4" w:rsidRPr="00081AC2">
        <w:t xml:space="preserve">an </w:t>
      </w:r>
      <w:r w:rsidR="007C7167" w:rsidRPr="00081AC2">
        <w:t xml:space="preserve">Australian-based </w:t>
      </w:r>
      <w:r w:rsidR="001A7146" w:rsidRPr="00081AC2">
        <w:t>airline</w:t>
      </w:r>
      <w:r w:rsidR="005C6CA4" w:rsidRPr="00081AC2">
        <w:t>’s</w:t>
      </w:r>
      <w:r w:rsidR="001A7146" w:rsidRPr="00081AC2">
        <w:t xml:space="preserve"> </w:t>
      </w:r>
      <w:r w:rsidR="007C7167" w:rsidRPr="00081AC2">
        <w:t>fleet may be on-sold or leased</w:t>
      </w:r>
      <w:r w:rsidR="001A7146" w:rsidRPr="00081AC2">
        <w:t xml:space="preserve"> </w:t>
      </w:r>
      <w:r w:rsidR="00046FF7" w:rsidRPr="00081AC2">
        <w:t>locally or</w:t>
      </w:r>
      <w:r w:rsidR="007C7167" w:rsidRPr="00081AC2">
        <w:t xml:space="preserve"> overseas, converted for carg</w:t>
      </w:r>
      <w:r w:rsidR="00A93BD8" w:rsidRPr="00081AC2">
        <w:t>o transport and used locally</w:t>
      </w:r>
      <w:r w:rsidR="0068099F" w:rsidRPr="00081AC2">
        <w:t>,</w:t>
      </w:r>
      <w:r w:rsidR="00A93BD8" w:rsidRPr="00081AC2">
        <w:t xml:space="preserve"> or</w:t>
      </w:r>
      <w:r w:rsidR="007C7167" w:rsidRPr="00081AC2">
        <w:t xml:space="preserve"> </w:t>
      </w:r>
      <w:r w:rsidR="00F917D8">
        <w:t xml:space="preserve">retired and </w:t>
      </w:r>
      <w:r w:rsidR="00A93BD8" w:rsidRPr="00081AC2">
        <w:t xml:space="preserve">broken down for parts and scrap </w:t>
      </w:r>
      <w:r w:rsidR="007C7167" w:rsidRPr="00081AC2">
        <w:t>if it has reache</w:t>
      </w:r>
      <w:r w:rsidR="00A93BD8" w:rsidRPr="00081AC2">
        <w:t>d the end of its airframe life</w:t>
      </w:r>
      <w:r w:rsidR="001A7146" w:rsidRPr="00081AC2">
        <w:t>.</w:t>
      </w:r>
      <w:r w:rsidR="00F10700">
        <w:t xml:space="preserve"> </w:t>
      </w:r>
    </w:p>
    <w:p w14:paraId="3636957E" w14:textId="11EFD85B" w:rsidR="00997970" w:rsidRDefault="005C5983" w:rsidP="008D3E80">
      <w:pPr>
        <w:pStyle w:val="BodyText10"/>
      </w:pPr>
      <w:r>
        <w:t xml:space="preserve">Industry sources indicate that </w:t>
      </w:r>
      <w:r w:rsidRPr="00081AC2">
        <w:t xml:space="preserve">installed halon from large passenger aircraft removed from an airline’s passenger fleet </w:t>
      </w:r>
      <w:r>
        <w:t>and retired overseas</w:t>
      </w:r>
      <w:r w:rsidRPr="00081AC2">
        <w:t xml:space="preserve"> </w:t>
      </w:r>
      <w:r w:rsidR="00DF74D4">
        <w:t xml:space="preserve">(with halon still aboard) </w:t>
      </w:r>
      <w:r>
        <w:t xml:space="preserve">effectively removes that halon </w:t>
      </w:r>
      <w:r w:rsidR="00A75415">
        <w:t>from</w:t>
      </w:r>
      <w:r w:rsidRPr="00081AC2">
        <w:t xml:space="preserve"> Australia’s installed base.</w:t>
      </w:r>
    </w:p>
    <w:p w14:paraId="15593B3D" w14:textId="09B31625" w:rsidR="00B8657E" w:rsidRPr="001B3A85" w:rsidRDefault="00417C43" w:rsidP="00923317">
      <w:pPr>
        <w:pStyle w:val="BodyText10"/>
      </w:pPr>
      <w:r w:rsidRPr="001B3A85">
        <w:t xml:space="preserve">The commencement of operations by </w:t>
      </w:r>
      <w:r w:rsidR="0052123F">
        <w:t>Asia</w:t>
      </w:r>
      <w:r w:rsidR="0052123F" w:rsidRPr="001B3A85">
        <w:t xml:space="preserve"> </w:t>
      </w:r>
      <w:r w:rsidRPr="001B3A85">
        <w:t xml:space="preserve">Pacific Aircraft Storage </w:t>
      </w:r>
      <w:r w:rsidR="0078285F">
        <w:t>Pty</w:t>
      </w:r>
      <w:r w:rsidR="00E25FBA">
        <w:t>.</w:t>
      </w:r>
      <w:r w:rsidR="0078285F">
        <w:t xml:space="preserve"> Ltd</w:t>
      </w:r>
      <w:r w:rsidR="00E25FBA">
        <w:t>.</w:t>
      </w:r>
      <w:r w:rsidRPr="001B3A85">
        <w:t xml:space="preserve"> </w:t>
      </w:r>
      <w:r w:rsidR="00C86248" w:rsidRPr="001B3A85">
        <w:t xml:space="preserve">at Alice Springs </w:t>
      </w:r>
      <w:r w:rsidRPr="001B3A85">
        <w:t xml:space="preserve">in June 2014 has provided the possibility of retired aircraft </w:t>
      </w:r>
      <w:r w:rsidR="00410BA8">
        <w:t xml:space="preserve">from Australia and overseas </w:t>
      </w:r>
      <w:r w:rsidRPr="001B3A85">
        <w:t xml:space="preserve">being broken down in Australia and the installed halon recovered to Australian stock. </w:t>
      </w:r>
      <w:r w:rsidR="0095564D">
        <w:t>It was reported that</w:t>
      </w:r>
      <w:r w:rsidR="00F10700">
        <w:t xml:space="preserve"> </w:t>
      </w:r>
      <w:r w:rsidR="00D645CD" w:rsidRPr="00D645CD">
        <w:t>Asia Pacific Aircraft Storage Pty Ltd</w:t>
      </w:r>
      <w:r w:rsidR="0095564D">
        <w:t xml:space="preserve"> </w:t>
      </w:r>
      <w:r w:rsidR="00D42141">
        <w:t xml:space="preserve">commenced with a hard stand area capable of accommodating up to 25 </w:t>
      </w:r>
      <w:r w:rsidR="0078285F">
        <w:t>aircraft</w:t>
      </w:r>
      <w:r w:rsidR="00D9399A">
        <w:t>,</w:t>
      </w:r>
      <w:r w:rsidR="00CD0B03">
        <w:t xml:space="preserve"> </w:t>
      </w:r>
      <w:r w:rsidR="00E14D9E">
        <w:t xml:space="preserve">including very large aircraft </w:t>
      </w:r>
      <w:r w:rsidR="00EC5396">
        <w:t xml:space="preserve">of </w:t>
      </w:r>
      <w:r w:rsidR="00E14D9E">
        <w:t>the size of the Airbus A380</w:t>
      </w:r>
      <w:r w:rsidR="0078285F">
        <w:t>.</w:t>
      </w:r>
      <w:r w:rsidR="00F10700">
        <w:t xml:space="preserve"> </w:t>
      </w:r>
      <w:r w:rsidR="00D645CD" w:rsidRPr="00D645CD">
        <w:t>Asia Pacific Aircraft Storage Pty Ltd</w:t>
      </w:r>
      <w:r w:rsidR="00F25C4D">
        <w:t xml:space="preserve"> lists Australian and international airlines as </w:t>
      </w:r>
      <w:r w:rsidR="00460C23">
        <w:t>customers</w:t>
      </w:r>
      <w:r w:rsidR="00EC5396">
        <w:t>,</w:t>
      </w:r>
      <w:r w:rsidR="00460C23">
        <w:t xml:space="preserve"> so there is </w:t>
      </w:r>
      <w:r w:rsidR="004A5A9C">
        <w:t>a possibility that</w:t>
      </w:r>
      <w:r w:rsidR="00C01A90">
        <w:t xml:space="preserve"> </w:t>
      </w:r>
      <w:r w:rsidR="002547F4">
        <w:t xml:space="preserve">aircraft </w:t>
      </w:r>
      <w:r w:rsidR="00F76ACA">
        <w:t xml:space="preserve">retired </w:t>
      </w:r>
      <w:r w:rsidR="002547F4">
        <w:t xml:space="preserve">from overseas could </w:t>
      </w:r>
      <w:r w:rsidR="00F76ACA">
        <w:t xml:space="preserve">be broken down </w:t>
      </w:r>
      <w:r w:rsidR="00E26F51">
        <w:t>in Australia</w:t>
      </w:r>
      <w:r w:rsidR="00EC5396">
        <w:t xml:space="preserve"> and </w:t>
      </w:r>
      <w:r w:rsidR="002547F4">
        <w:t xml:space="preserve">provide </w:t>
      </w:r>
      <w:r w:rsidR="00E26F51">
        <w:t xml:space="preserve">a future source of halon for recycling </w:t>
      </w:r>
      <w:r w:rsidR="00EC5396">
        <w:t>in</w:t>
      </w:r>
      <w:r w:rsidR="00E26F51">
        <w:t xml:space="preserve"> Australi</w:t>
      </w:r>
      <w:r w:rsidR="00436646">
        <w:t>a</w:t>
      </w:r>
      <w:r w:rsidR="00E26F51">
        <w:t>.</w:t>
      </w:r>
      <w:r w:rsidR="006B4DEB">
        <w:t xml:space="preserve"> </w:t>
      </w:r>
      <w:r w:rsidR="00D645CD">
        <w:t xml:space="preserve">Aircraft in storage and being recommissioned potentially could require halon from Australian stocks. </w:t>
      </w:r>
      <w:r w:rsidR="00B22270">
        <w:t xml:space="preserve">While </w:t>
      </w:r>
      <w:r w:rsidR="00D645CD" w:rsidRPr="00D645CD">
        <w:t>Asia Pacific Aircraft Storage Pty Ltd</w:t>
      </w:r>
      <w:r w:rsidR="00B22270">
        <w:t xml:space="preserve"> </w:t>
      </w:r>
      <w:r w:rsidR="00D23DFB">
        <w:t>provide</w:t>
      </w:r>
      <w:r w:rsidR="00EC5396">
        <w:t>s</w:t>
      </w:r>
      <w:r w:rsidR="0030592A">
        <w:t xml:space="preserve"> </w:t>
      </w:r>
      <w:r w:rsidR="004F7083">
        <w:t>aircraft recycling</w:t>
      </w:r>
      <w:r w:rsidR="00740B0B">
        <w:t>,</w:t>
      </w:r>
      <w:r w:rsidR="00D23DFB">
        <w:t xml:space="preserve"> </w:t>
      </w:r>
      <w:r w:rsidR="00EB5E58">
        <w:t>r</w:t>
      </w:r>
      <w:r w:rsidR="008817B7">
        <w:t>eports indicate</w:t>
      </w:r>
      <w:r w:rsidR="00681F9E">
        <w:t xml:space="preserve"> that </w:t>
      </w:r>
      <w:r w:rsidR="00EB5E58">
        <w:t>the</w:t>
      </w:r>
      <w:r w:rsidR="00681F9E">
        <w:t xml:space="preserve"> </w:t>
      </w:r>
      <w:r w:rsidR="00A67DC5">
        <w:t xml:space="preserve">current </w:t>
      </w:r>
      <w:r w:rsidR="00681F9E">
        <w:t xml:space="preserve">business model </w:t>
      </w:r>
      <w:r w:rsidR="00A67DC5">
        <w:t xml:space="preserve">leans more </w:t>
      </w:r>
      <w:r w:rsidR="008817B7">
        <w:t xml:space="preserve">to </w:t>
      </w:r>
      <w:r w:rsidR="00A67DC5">
        <w:t xml:space="preserve">the </w:t>
      </w:r>
      <w:r w:rsidR="00681F9E">
        <w:t>provi</w:t>
      </w:r>
      <w:r w:rsidR="00A67DC5">
        <w:t>sion of</w:t>
      </w:r>
      <w:r w:rsidR="008817B7">
        <w:t xml:space="preserve"> short</w:t>
      </w:r>
      <w:r w:rsidR="00240AA8">
        <w:t>-</w:t>
      </w:r>
      <w:r w:rsidR="008817B7">
        <w:t xml:space="preserve">term storage </w:t>
      </w:r>
      <w:r w:rsidR="00A67DC5">
        <w:t xml:space="preserve">than </w:t>
      </w:r>
      <w:r w:rsidR="00A83A2A">
        <w:t xml:space="preserve">to </w:t>
      </w:r>
      <w:r w:rsidR="00A67DC5">
        <w:t xml:space="preserve">end-of-life </w:t>
      </w:r>
      <w:r w:rsidR="00361110">
        <w:t>solutions</w:t>
      </w:r>
      <w:r w:rsidR="00D645CD">
        <w:t xml:space="preserve"> however the business has potential to evolve in the future</w:t>
      </w:r>
      <w:r w:rsidR="00B22270">
        <w:t>.</w:t>
      </w:r>
      <w:r w:rsidR="00B43BF6">
        <w:t xml:space="preserve"> </w:t>
      </w:r>
      <w:r w:rsidR="00D645CD">
        <w:t>At the time of publication</w:t>
      </w:r>
      <w:r w:rsidR="00DF7949">
        <w:t>,</w:t>
      </w:r>
      <w:r w:rsidR="00D645CD">
        <w:t xml:space="preserve"> we do not have</w:t>
      </w:r>
      <w:r w:rsidR="00D645CD" w:rsidRPr="001B3A85">
        <w:t xml:space="preserve"> </w:t>
      </w:r>
      <w:r w:rsidR="00D645CD">
        <w:t xml:space="preserve">further information </w:t>
      </w:r>
      <w:r w:rsidRPr="001B3A85">
        <w:t xml:space="preserve">on the scale of </w:t>
      </w:r>
      <w:r w:rsidR="00B8657E" w:rsidRPr="001B3A85">
        <w:rPr>
          <w:szCs w:val="24"/>
        </w:rPr>
        <w:t>current operations</w:t>
      </w:r>
      <w:r w:rsidR="0074183E">
        <w:rPr>
          <w:szCs w:val="24"/>
        </w:rPr>
        <w:t>, future growth</w:t>
      </w:r>
      <w:r w:rsidR="003E7BA9">
        <w:rPr>
          <w:szCs w:val="24"/>
        </w:rPr>
        <w:t>,</w:t>
      </w:r>
      <w:r w:rsidR="00B8657E" w:rsidRPr="001B3A85">
        <w:rPr>
          <w:szCs w:val="24"/>
        </w:rPr>
        <w:t xml:space="preserve"> </w:t>
      </w:r>
      <w:r w:rsidR="00D645CD">
        <w:rPr>
          <w:szCs w:val="24"/>
        </w:rPr>
        <w:t>or</w:t>
      </w:r>
      <w:r w:rsidR="00D645CD" w:rsidRPr="001B3A85">
        <w:rPr>
          <w:szCs w:val="24"/>
        </w:rPr>
        <w:t xml:space="preserve"> </w:t>
      </w:r>
      <w:r w:rsidR="00B8657E" w:rsidRPr="001B3A85">
        <w:rPr>
          <w:szCs w:val="24"/>
        </w:rPr>
        <w:t>potential plans for future expansion of services</w:t>
      </w:r>
      <w:r w:rsidR="00202BE6">
        <w:t xml:space="preserve"> with </w:t>
      </w:r>
      <w:r w:rsidR="00E101B6">
        <w:t>regard to the fate of halon</w:t>
      </w:r>
      <w:r w:rsidR="00F25C4D">
        <w:t>.</w:t>
      </w:r>
    </w:p>
    <w:p w14:paraId="64217C0F" w14:textId="6C7C4ACF" w:rsidR="007D0434" w:rsidRDefault="007D0434" w:rsidP="00324056">
      <w:pPr>
        <w:pStyle w:val="Heading3"/>
      </w:pPr>
      <w:bookmarkStart w:id="38" w:name="_Toc38190345"/>
      <w:r>
        <w:t>International Aircraft Visiting Australia and Australian Aircraft Visiting Abroad with Halon Requirements</w:t>
      </w:r>
      <w:bookmarkEnd w:id="38"/>
    </w:p>
    <w:p w14:paraId="0CD63358" w14:textId="7B73010F" w:rsidR="007D0434" w:rsidRPr="00081AC2" w:rsidRDefault="008F093B" w:rsidP="008D3E80">
      <w:pPr>
        <w:pStyle w:val="BodyText10"/>
      </w:pPr>
      <w:r>
        <w:t>Visiting i</w:t>
      </w:r>
      <w:r w:rsidR="003D129C">
        <w:t>nternational aircraft</w:t>
      </w:r>
      <w:r w:rsidR="00406B23">
        <w:t xml:space="preserve"> may make calls on </w:t>
      </w:r>
      <w:r w:rsidR="00543B48">
        <w:t>Australia’s halon stocks</w:t>
      </w:r>
      <w:r w:rsidR="00406B23">
        <w:t xml:space="preserve"> </w:t>
      </w:r>
      <w:r w:rsidR="001779F9">
        <w:t xml:space="preserve">after an in-flight </w:t>
      </w:r>
      <w:r w:rsidR="00957FE6">
        <w:t xml:space="preserve">incident </w:t>
      </w:r>
      <w:r w:rsidR="007E22AF">
        <w:t xml:space="preserve">involving </w:t>
      </w:r>
      <w:r w:rsidR="00961430">
        <w:t>the</w:t>
      </w:r>
      <w:r w:rsidR="007E22AF">
        <w:t xml:space="preserve"> </w:t>
      </w:r>
      <w:r w:rsidR="001779F9">
        <w:t xml:space="preserve">release of halon </w:t>
      </w:r>
      <w:r w:rsidR="00954789">
        <w:t>o</w:t>
      </w:r>
      <w:r w:rsidR="007E22AF">
        <w:t>n</w:t>
      </w:r>
      <w:r w:rsidR="00855E08">
        <w:t xml:space="preserve"> </w:t>
      </w:r>
      <w:r w:rsidR="007E22AF">
        <w:t>route</w:t>
      </w:r>
      <w:r w:rsidR="00961430">
        <w:t xml:space="preserve"> or</w:t>
      </w:r>
      <w:r w:rsidR="00EF6908">
        <w:t xml:space="preserve"> while on the ground</w:t>
      </w:r>
      <w:r w:rsidR="00F83F2E">
        <w:t>.</w:t>
      </w:r>
      <w:r w:rsidR="00F10700">
        <w:t xml:space="preserve"> </w:t>
      </w:r>
      <w:r w:rsidR="00E138FC">
        <w:t xml:space="preserve">Similarly, </w:t>
      </w:r>
      <w:r w:rsidR="00A50861">
        <w:t xml:space="preserve">Australian aircraft travelling </w:t>
      </w:r>
      <w:r w:rsidR="005B5B4E">
        <w:t xml:space="preserve">abroad </w:t>
      </w:r>
      <w:r w:rsidR="00E138FC">
        <w:t xml:space="preserve">that incur a release of halon may require restocking from </w:t>
      </w:r>
      <w:r w:rsidR="006635A9">
        <w:t xml:space="preserve">their </w:t>
      </w:r>
      <w:r w:rsidR="005D7F93">
        <w:t xml:space="preserve">international </w:t>
      </w:r>
      <w:r w:rsidR="006635A9">
        <w:t xml:space="preserve">port of call. </w:t>
      </w:r>
      <w:r w:rsidR="00C4437C">
        <w:t>It is</w:t>
      </w:r>
      <w:r w:rsidR="00AB5D0B">
        <w:t xml:space="preserve"> </w:t>
      </w:r>
      <w:r w:rsidR="00C4437C">
        <w:t>expected that</w:t>
      </w:r>
      <w:r w:rsidR="005D7F93">
        <w:t>,</w:t>
      </w:r>
      <w:r w:rsidR="00C4437C">
        <w:t xml:space="preserve"> at worst</w:t>
      </w:r>
      <w:r w:rsidR="005D7F93">
        <w:t>,</w:t>
      </w:r>
      <w:r w:rsidR="00C4437C">
        <w:t xml:space="preserve"> such incidents will roughly balance the </w:t>
      </w:r>
      <w:r w:rsidR="005C50A3">
        <w:t xml:space="preserve">loss and gain to the Australian </w:t>
      </w:r>
      <w:r w:rsidR="0071333A">
        <w:t xml:space="preserve">installed base of halon and have negligible </w:t>
      </w:r>
      <w:r w:rsidR="008E2270">
        <w:t xml:space="preserve">overall </w:t>
      </w:r>
      <w:r w:rsidR="0071333A">
        <w:t xml:space="preserve">effect on </w:t>
      </w:r>
      <w:r w:rsidR="0071333A">
        <w:lastRenderedPageBreak/>
        <w:t>NHB stocks</w:t>
      </w:r>
      <w:r w:rsidR="005D7F93">
        <w:t>.</w:t>
      </w:r>
      <w:r w:rsidR="00D324FF">
        <w:t xml:space="preserve"> </w:t>
      </w:r>
    </w:p>
    <w:p w14:paraId="5899ED17" w14:textId="3AD15C4E" w:rsidR="00EF19C7" w:rsidRPr="00081AC2" w:rsidRDefault="00393571" w:rsidP="00324056">
      <w:pPr>
        <w:pStyle w:val="Heading3"/>
      </w:pPr>
      <w:bookmarkStart w:id="39" w:name="_Toc38190346"/>
      <w:r>
        <w:t xml:space="preserve">Estimating </w:t>
      </w:r>
      <w:r w:rsidR="00A32290" w:rsidRPr="00081AC2">
        <w:t xml:space="preserve">Future </w:t>
      </w:r>
      <w:r w:rsidR="00AE49BE">
        <w:t>Civil</w:t>
      </w:r>
      <w:r w:rsidR="00A32290" w:rsidRPr="00081AC2">
        <w:t xml:space="preserve"> Aviation Halon Requirements</w:t>
      </w:r>
      <w:bookmarkEnd w:id="39"/>
      <w:r w:rsidR="00443BA5">
        <w:t xml:space="preserve"> </w:t>
      </w:r>
    </w:p>
    <w:p w14:paraId="286C9EDB" w14:textId="45EAA5C9" w:rsidR="00ED1C34" w:rsidRPr="00081AC2" w:rsidRDefault="00FC4E7F" w:rsidP="008D3E80">
      <w:pPr>
        <w:pStyle w:val="BodyText10"/>
      </w:pPr>
      <w:r w:rsidRPr="00081AC2">
        <w:t>The 2012 Halon Review</w:t>
      </w:r>
      <w:r w:rsidR="00BE2BB4">
        <w:rPr>
          <w:rStyle w:val="FootnoteReference"/>
        </w:rPr>
        <w:footnoteReference w:id="35"/>
      </w:r>
      <w:r w:rsidRPr="00081AC2">
        <w:t xml:space="preserve"> </w:t>
      </w:r>
      <w:r w:rsidR="00B9292E" w:rsidRPr="00081AC2">
        <w:t xml:space="preserve">presented </w:t>
      </w:r>
      <w:r w:rsidR="00B65FD4" w:rsidRPr="00081AC2">
        <w:t>a</w:t>
      </w:r>
      <w:r w:rsidR="00366790" w:rsidRPr="00081AC2">
        <w:t xml:space="preserve"> quantitative</w:t>
      </w:r>
      <w:r w:rsidR="00B9292E" w:rsidRPr="00081AC2">
        <w:t xml:space="preserve"> analysis of future </w:t>
      </w:r>
      <w:r w:rsidR="00AE49BE">
        <w:t>civil</w:t>
      </w:r>
      <w:r w:rsidR="00B9292E" w:rsidRPr="00081AC2">
        <w:t xml:space="preserve"> aviation halon requirements </w:t>
      </w:r>
      <w:r w:rsidR="00904D07" w:rsidRPr="00081AC2">
        <w:t xml:space="preserve">based </w:t>
      </w:r>
      <w:r w:rsidR="00B9292E" w:rsidRPr="00081AC2">
        <w:t>on</w:t>
      </w:r>
      <w:r w:rsidR="00285246" w:rsidRPr="00081AC2">
        <w:t xml:space="preserve"> </w:t>
      </w:r>
      <w:r w:rsidR="00B9292E" w:rsidRPr="00081AC2">
        <w:t>an estimation of</w:t>
      </w:r>
      <w:r w:rsidR="00285246" w:rsidRPr="00081AC2">
        <w:t xml:space="preserve"> the quantities</w:t>
      </w:r>
      <w:r w:rsidR="00904D07" w:rsidRPr="00081AC2">
        <w:t xml:space="preserve"> of halon installed in and emitted from civil aircraft </w:t>
      </w:r>
      <w:r w:rsidR="00517AAB" w:rsidRPr="00081AC2">
        <w:t xml:space="preserve">in Australia </w:t>
      </w:r>
      <w:r w:rsidR="00904D07" w:rsidRPr="00081AC2">
        <w:t>(</w:t>
      </w:r>
      <w:r w:rsidR="00517AAB" w:rsidRPr="00081AC2">
        <w:t>includ</w:t>
      </w:r>
      <w:r w:rsidR="00284463" w:rsidRPr="00081AC2">
        <w:t>ing</w:t>
      </w:r>
      <w:r w:rsidR="00517AAB" w:rsidRPr="00081AC2">
        <w:t xml:space="preserve"> commercial</w:t>
      </w:r>
      <w:r w:rsidR="00904D07" w:rsidRPr="00081AC2">
        <w:t xml:space="preserve"> passenger and freight but </w:t>
      </w:r>
      <w:r w:rsidR="00517AAB" w:rsidRPr="00081AC2">
        <w:t>exclud</w:t>
      </w:r>
      <w:r w:rsidR="00284463" w:rsidRPr="00081AC2">
        <w:t>ing</w:t>
      </w:r>
      <w:r w:rsidR="00904D07" w:rsidRPr="00081AC2">
        <w:t xml:space="preserve"> general aviation </w:t>
      </w:r>
      <w:r w:rsidR="00284463" w:rsidRPr="00081AC2">
        <w:t>such as</w:t>
      </w:r>
      <w:r w:rsidR="00517AAB" w:rsidRPr="00081AC2">
        <w:t xml:space="preserve"> unscheduled private </w:t>
      </w:r>
      <w:r w:rsidR="00284463" w:rsidRPr="00081AC2">
        <w:t>and</w:t>
      </w:r>
      <w:r w:rsidR="00517AAB" w:rsidRPr="00081AC2">
        <w:t xml:space="preserve"> </w:t>
      </w:r>
      <w:r w:rsidR="00904D07" w:rsidRPr="00081AC2">
        <w:t>recreational</w:t>
      </w:r>
      <w:r w:rsidR="00517AAB" w:rsidRPr="00081AC2">
        <w:t xml:space="preserve"> aviation) from 2012 to 2060. </w:t>
      </w:r>
      <w:r w:rsidR="00305E4F" w:rsidRPr="00081AC2">
        <w:t>The methodology was based on that described by ICF</w:t>
      </w:r>
      <w:r w:rsidR="00305E4F" w:rsidRPr="00081AC2">
        <w:rPr>
          <w:rStyle w:val="FootnoteReference"/>
        </w:rPr>
        <w:footnoteReference w:id="36"/>
      </w:r>
      <w:r w:rsidR="00F07EC3" w:rsidRPr="00081AC2">
        <w:t>, using mainline and regional aircraft forecasts</w:t>
      </w:r>
      <w:r w:rsidR="0068099F" w:rsidRPr="00081AC2">
        <w:t xml:space="preserve">, modified for the purposes of </w:t>
      </w:r>
      <w:r w:rsidR="00ED1C34" w:rsidRPr="00081AC2">
        <w:t>the 2012 Halon Review</w:t>
      </w:r>
      <w:r w:rsidR="00305E4F" w:rsidRPr="00081AC2">
        <w:t>.</w:t>
      </w:r>
      <w:r w:rsidR="00F07EC3" w:rsidRPr="00081AC2">
        <w:t xml:space="preserve"> </w:t>
      </w:r>
      <w:r w:rsidR="007C1830" w:rsidRPr="00081AC2">
        <w:t xml:space="preserve">The number and age of existing commercial passenger and freighter aircraft in service in mainline and regional categories at the end of 2011 were determined from </w:t>
      </w:r>
      <w:r w:rsidR="00B30E3F">
        <w:t xml:space="preserve">available </w:t>
      </w:r>
      <w:r w:rsidR="007C1830" w:rsidRPr="00081AC2">
        <w:t>online sources of aircraft data.</w:t>
      </w:r>
    </w:p>
    <w:p w14:paraId="24B7DE62" w14:textId="427C258B" w:rsidR="009B3481" w:rsidRPr="00C35722" w:rsidRDefault="00B30E3F" w:rsidP="008D3E80">
      <w:pPr>
        <w:pStyle w:val="BodyText10"/>
      </w:pPr>
      <w:r w:rsidRPr="004C4622">
        <w:t>Since</w:t>
      </w:r>
      <w:r w:rsidR="00B9292E" w:rsidRPr="004C4622">
        <w:t xml:space="preserve"> </w:t>
      </w:r>
      <w:r w:rsidR="00965BA2" w:rsidRPr="004C4622">
        <w:t>2013</w:t>
      </w:r>
      <w:r w:rsidRPr="00264D15">
        <w:t>,</w:t>
      </w:r>
      <w:r w:rsidR="00B9292E" w:rsidRPr="00C35722">
        <w:t xml:space="preserve"> </w:t>
      </w:r>
      <w:r w:rsidR="00D06A65" w:rsidRPr="000D0DC0">
        <w:t>the Civil Aviation Safety Authority</w:t>
      </w:r>
      <w:r w:rsidR="000C06AE" w:rsidRPr="004C4622">
        <w:t xml:space="preserve"> </w:t>
      </w:r>
      <w:r w:rsidR="00267487" w:rsidRPr="004C4622">
        <w:t>provide</w:t>
      </w:r>
      <w:r w:rsidR="00C60950" w:rsidRPr="004C4622">
        <w:t>s</w:t>
      </w:r>
      <w:r w:rsidR="00267487" w:rsidRPr="00264D15">
        <w:t xml:space="preserve"> </w:t>
      </w:r>
      <w:r w:rsidR="00E906EC" w:rsidRPr="00C35722">
        <w:t>its</w:t>
      </w:r>
      <w:r w:rsidR="00267487" w:rsidRPr="00C35722">
        <w:t xml:space="preserve"> </w:t>
      </w:r>
      <w:r w:rsidR="00C5120D" w:rsidRPr="00C35722">
        <w:t>civil aircraft register</w:t>
      </w:r>
      <w:r w:rsidR="00C60950" w:rsidRPr="00C35722">
        <w:t>, which</w:t>
      </w:r>
      <w:r w:rsidRPr="00C35722">
        <w:t xml:space="preserve"> is available online</w:t>
      </w:r>
      <w:r w:rsidR="002C56EF" w:rsidRPr="00C35722">
        <w:t xml:space="preserve">. </w:t>
      </w:r>
      <w:r w:rsidR="00450757" w:rsidRPr="00C35722">
        <w:t xml:space="preserve">For this report, </w:t>
      </w:r>
      <w:r w:rsidR="00111A7A" w:rsidRPr="00C35722">
        <w:t>analysis</w:t>
      </w:r>
      <w:r w:rsidR="006F4CFB" w:rsidRPr="00C35722">
        <w:t xml:space="preserve"> has been </w:t>
      </w:r>
      <w:r w:rsidR="00111A7A" w:rsidRPr="00C35722">
        <w:t>undertaken</w:t>
      </w:r>
      <w:r w:rsidR="00547F07" w:rsidRPr="00C35722">
        <w:t>,</w:t>
      </w:r>
      <w:r w:rsidR="006F4CFB" w:rsidRPr="00C35722">
        <w:t xml:space="preserve"> using </w:t>
      </w:r>
      <w:r w:rsidR="00510B8C" w:rsidRPr="000D0DC0">
        <w:t>the Civil Aviation Safety Authority</w:t>
      </w:r>
      <w:r w:rsidR="006F4CFB" w:rsidRPr="004C4622">
        <w:t xml:space="preserve"> data</w:t>
      </w:r>
      <w:r w:rsidR="00D6291B" w:rsidRPr="00264D15">
        <w:t>,</w:t>
      </w:r>
      <w:r w:rsidR="006F4CFB" w:rsidRPr="00C35722">
        <w:t xml:space="preserve"> </w:t>
      </w:r>
      <w:r w:rsidR="00122BC3" w:rsidRPr="00C35722">
        <w:t xml:space="preserve">company </w:t>
      </w:r>
      <w:r w:rsidR="007068B3" w:rsidRPr="00C35722">
        <w:t xml:space="preserve">annual </w:t>
      </w:r>
      <w:r w:rsidR="00122BC3" w:rsidRPr="00C35722">
        <w:t xml:space="preserve">reports and data handbooks, </w:t>
      </w:r>
      <w:r w:rsidR="007068B3" w:rsidRPr="00C35722">
        <w:t>and other online sources</w:t>
      </w:r>
      <w:r w:rsidR="00122BC3" w:rsidRPr="00C35722">
        <w:t xml:space="preserve"> </w:t>
      </w:r>
      <w:r w:rsidR="00887CE3" w:rsidRPr="00C35722">
        <w:t xml:space="preserve">to </w:t>
      </w:r>
      <w:r w:rsidR="001D68F5" w:rsidRPr="00C35722">
        <w:t xml:space="preserve">compile </w:t>
      </w:r>
      <w:r w:rsidR="008169D4" w:rsidRPr="00C35722">
        <w:t xml:space="preserve">a </w:t>
      </w:r>
      <w:r w:rsidR="001D68F5" w:rsidRPr="00C35722">
        <w:t xml:space="preserve">comprehensive list of </w:t>
      </w:r>
      <w:r w:rsidR="00887CE3" w:rsidRPr="00C35722">
        <w:t xml:space="preserve">specific </w:t>
      </w:r>
      <w:r w:rsidR="003D6312" w:rsidRPr="000D0DC0">
        <w:t xml:space="preserve">larger </w:t>
      </w:r>
      <w:r w:rsidR="001D68F5" w:rsidRPr="004C4622">
        <w:t>aircraft models</w:t>
      </w:r>
      <w:r w:rsidR="00EB46AA" w:rsidRPr="00C35722">
        <w:t>.</w:t>
      </w:r>
      <w:r w:rsidR="00F10700">
        <w:t xml:space="preserve"> </w:t>
      </w:r>
    </w:p>
    <w:p w14:paraId="2276871E" w14:textId="24F265F8" w:rsidR="000C06AE" w:rsidRPr="00681671" w:rsidRDefault="00240F01" w:rsidP="008D3E80">
      <w:pPr>
        <w:pStyle w:val="BodyText10"/>
      </w:pPr>
      <w:r w:rsidRPr="000D0DC0">
        <w:t xml:space="preserve">Specific data </w:t>
      </w:r>
      <w:r w:rsidR="00935778" w:rsidRPr="000D0DC0">
        <w:t xml:space="preserve">on halon quantities </w:t>
      </w:r>
      <w:r w:rsidRPr="000D0DC0">
        <w:t>for</w:t>
      </w:r>
      <w:r w:rsidR="000413CF" w:rsidRPr="004C4622">
        <w:t xml:space="preserve"> a </w:t>
      </w:r>
      <w:r w:rsidR="003B1E54" w:rsidRPr="000D0DC0">
        <w:t>substantial</w:t>
      </w:r>
      <w:r w:rsidR="003B1E54" w:rsidRPr="004C4622">
        <w:t xml:space="preserve"> </w:t>
      </w:r>
      <w:r w:rsidR="000413CF" w:rsidRPr="004C4622">
        <w:t xml:space="preserve">number of </w:t>
      </w:r>
      <w:r w:rsidR="00562B13" w:rsidRPr="004C4622">
        <w:t xml:space="preserve">aircraft models </w:t>
      </w:r>
      <w:r w:rsidR="00E56A72" w:rsidRPr="000D0DC0">
        <w:t>was</w:t>
      </w:r>
      <w:r w:rsidR="00E56A72" w:rsidRPr="004C4622">
        <w:t xml:space="preserve"> </w:t>
      </w:r>
      <w:r w:rsidR="003B1E54" w:rsidRPr="000D0DC0">
        <w:t xml:space="preserve">made </w:t>
      </w:r>
      <w:r w:rsidR="00795861" w:rsidRPr="004C4622">
        <w:t xml:space="preserve">available </w:t>
      </w:r>
      <w:r w:rsidR="003D2DDE" w:rsidRPr="000D0DC0">
        <w:t xml:space="preserve">for </w:t>
      </w:r>
      <w:r w:rsidR="001454A2" w:rsidRPr="000D0DC0">
        <w:t xml:space="preserve">Qantas group </w:t>
      </w:r>
      <w:r w:rsidR="009F7FC0" w:rsidRPr="000D0DC0">
        <w:t xml:space="preserve">carriers. This </w:t>
      </w:r>
      <w:r w:rsidR="00CD65D4" w:rsidRPr="000D0DC0">
        <w:t>data</w:t>
      </w:r>
      <w:r w:rsidR="009F7FC0" w:rsidRPr="000D0DC0">
        <w:t xml:space="preserve"> was applied to </w:t>
      </w:r>
      <w:r w:rsidR="009C0AA9" w:rsidRPr="000D0DC0">
        <w:t>similar</w:t>
      </w:r>
      <w:r w:rsidR="009F7FC0" w:rsidRPr="000D0DC0">
        <w:t xml:space="preserve"> aircraft in </w:t>
      </w:r>
      <w:r w:rsidR="007A05A5" w:rsidRPr="000D0DC0">
        <w:t>other major airline fleets</w:t>
      </w:r>
      <w:r w:rsidR="0051412B" w:rsidRPr="000D0DC0">
        <w:t xml:space="preserve"> to provide a </w:t>
      </w:r>
      <w:r w:rsidR="000830C0" w:rsidRPr="000D0DC0">
        <w:t>reasonably comprehensive set of data</w:t>
      </w:r>
      <w:r w:rsidR="00F908C6" w:rsidRPr="000D0DC0">
        <w:t xml:space="preserve"> for </w:t>
      </w:r>
      <w:r w:rsidR="004F1AFD" w:rsidRPr="000D0DC0">
        <w:t>major airlines</w:t>
      </w:r>
      <w:r w:rsidR="00D437AA">
        <w:t xml:space="preserve"> (</w:t>
      </w:r>
      <w:r w:rsidR="00D437AA" w:rsidRPr="00D437AA">
        <w:t>Jetstar, Qantas, QantasLink, Network Aviation, Qantas Freight, Virgin, Alliance Airlines, Tiger Air</w:t>
      </w:r>
      <w:r w:rsidR="00D437AA">
        <w:t>)</w:t>
      </w:r>
      <w:r w:rsidR="004F1AFD" w:rsidRPr="000D0DC0">
        <w:t>.</w:t>
      </w:r>
      <w:r w:rsidR="0051412B" w:rsidRPr="000D0DC0">
        <w:t xml:space="preserve"> </w:t>
      </w:r>
      <w:r w:rsidR="0042554C" w:rsidRPr="000D0DC0">
        <w:t xml:space="preserve">Statistics from the </w:t>
      </w:r>
      <w:r w:rsidR="0042554C" w:rsidRPr="004C4622">
        <w:t>Bureau of Infrastructure, Transport and Regional Economics</w:t>
      </w:r>
      <w:r w:rsidR="009F7FC0" w:rsidRPr="004C4622">
        <w:t xml:space="preserve"> </w:t>
      </w:r>
      <w:r w:rsidR="00D62C1A" w:rsidRPr="000D0DC0">
        <w:t xml:space="preserve">were used to estimate </w:t>
      </w:r>
      <w:r w:rsidR="00F2594A" w:rsidRPr="000D0DC0">
        <w:t>the remainder of</w:t>
      </w:r>
      <w:r w:rsidR="00EE655A" w:rsidRPr="000D0DC0">
        <w:t xml:space="preserve"> </w:t>
      </w:r>
      <w:r w:rsidR="006C3D22" w:rsidRPr="000D0DC0">
        <w:t xml:space="preserve">the Australian </w:t>
      </w:r>
      <w:r w:rsidR="00AF2538" w:rsidRPr="000D0DC0">
        <w:t xml:space="preserve">air </w:t>
      </w:r>
      <w:r w:rsidR="006C3D22" w:rsidRPr="000D0DC0">
        <w:t>fleet</w:t>
      </w:r>
      <w:r w:rsidR="001B747B" w:rsidRPr="000D0DC0">
        <w:t>, for smaller aircraft types</w:t>
      </w:r>
      <w:r w:rsidR="006C3D22" w:rsidRPr="000D0DC0">
        <w:t xml:space="preserve">. </w:t>
      </w:r>
      <w:r w:rsidR="008C7B29" w:rsidRPr="000D0DC0">
        <w:t>These data were</w:t>
      </w:r>
      <w:r w:rsidR="00536680" w:rsidRPr="000D0DC0">
        <w:t xml:space="preserve"> </w:t>
      </w:r>
      <w:r w:rsidR="00865FBE" w:rsidRPr="000D0DC0">
        <w:t>combined</w:t>
      </w:r>
      <w:r w:rsidR="00382B8B" w:rsidRPr="004C4622">
        <w:t xml:space="preserve"> to produce a bottom-up</w:t>
      </w:r>
      <w:r w:rsidR="00C84F8A" w:rsidRPr="004C4622">
        <w:t xml:space="preserve"> </w:t>
      </w:r>
      <w:r w:rsidR="00E07E06" w:rsidRPr="004C4622">
        <w:t>mode</w:t>
      </w:r>
      <w:r w:rsidR="00E07E06" w:rsidRPr="00264D15">
        <w:t>l</w:t>
      </w:r>
      <w:r w:rsidR="00754219" w:rsidRPr="00C35722">
        <w:t xml:space="preserve"> for </w:t>
      </w:r>
      <w:r w:rsidR="00C0254D" w:rsidRPr="00C35722">
        <w:t>installed halon</w:t>
      </w:r>
      <w:r w:rsidR="00B103CF" w:rsidRPr="000D0DC0">
        <w:t xml:space="preserve"> and</w:t>
      </w:r>
      <w:r w:rsidR="00C0254D" w:rsidRPr="004C4622">
        <w:t xml:space="preserve"> </w:t>
      </w:r>
      <w:r w:rsidR="00B103CF" w:rsidRPr="000D0DC0">
        <w:t>warehoused</w:t>
      </w:r>
      <w:r w:rsidR="00C0254D" w:rsidRPr="000D0DC0">
        <w:t xml:space="preserve"> </w:t>
      </w:r>
      <w:r w:rsidR="00C0254D" w:rsidRPr="004C4622">
        <w:t>halon</w:t>
      </w:r>
      <w:r w:rsidR="00157C3B" w:rsidRPr="000D0DC0">
        <w:t xml:space="preserve"> (on-hand spares)</w:t>
      </w:r>
      <w:r w:rsidR="00B103CF" w:rsidRPr="000D0DC0">
        <w:t>.</w:t>
      </w:r>
      <w:r w:rsidR="00C0254D" w:rsidRPr="004C4622">
        <w:t xml:space="preserve"> </w:t>
      </w:r>
      <w:r w:rsidR="00157C3B" w:rsidRPr="000D0DC0">
        <w:t>A range of annual e</w:t>
      </w:r>
      <w:r w:rsidR="00C0254D" w:rsidRPr="004C4622">
        <w:t>mission</w:t>
      </w:r>
      <w:r w:rsidR="00C0254D" w:rsidRPr="00264D15">
        <w:t xml:space="preserve"> and consumption</w:t>
      </w:r>
      <w:r w:rsidR="00C0254D" w:rsidRPr="000D0DC0">
        <w:t xml:space="preserve"> </w:t>
      </w:r>
      <w:r w:rsidR="00FF5FD7" w:rsidRPr="000D0DC0">
        <w:t>factors</w:t>
      </w:r>
      <w:r w:rsidR="00C0254D" w:rsidRPr="004C4622">
        <w:t xml:space="preserve"> </w:t>
      </w:r>
      <w:r w:rsidR="00157C3B" w:rsidRPr="000D0DC0">
        <w:t>were investigated along</w:t>
      </w:r>
      <w:r w:rsidR="00DB329A" w:rsidRPr="000D0DC0">
        <w:t xml:space="preserve"> </w:t>
      </w:r>
      <w:r w:rsidR="00E2670A" w:rsidRPr="000D0DC0">
        <w:t xml:space="preserve">with </w:t>
      </w:r>
      <w:r w:rsidR="00A02198" w:rsidRPr="000D0DC0">
        <w:t>expec</w:t>
      </w:r>
      <w:r w:rsidR="00E2670A" w:rsidRPr="000D0DC0">
        <w:t>tations for fleet</w:t>
      </w:r>
      <w:r w:rsidR="00A02198" w:rsidRPr="000D0DC0">
        <w:t xml:space="preserve"> growth</w:t>
      </w:r>
      <w:r w:rsidR="00E529FE" w:rsidRPr="004C4622">
        <w:t xml:space="preserve">. </w:t>
      </w:r>
      <w:r w:rsidR="00DB36E4" w:rsidRPr="004C4622">
        <w:t>This approach</w:t>
      </w:r>
      <w:r w:rsidR="00D116AA" w:rsidRPr="00264D15">
        <w:t xml:space="preserve"> </w:t>
      </w:r>
      <w:r w:rsidR="00B81030" w:rsidRPr="000D0DC0">
        <w:t>provides</w:t>
      </w:r>
      <w:r w:rsidR="00476888" w:rsidRPr="00C35722">
        <w:t xml:space="preserve"> </w:t>
      </w:r>
      <w:r w:rsidR="008D155F" w:rsidRPr="00C35722">
        <w:t>compl</w:t>
      </w:r>
      <w:r w:rsidR="00472F33" w:rsidRPr="00C35722">
        <w:t>e</w:t>
      </w:r>
      <w:r w:rsidR="008D155F" w:rsidRPr="00C35722">
        <w:t xml:space="preserve">mentary analysis </w:t>
      </w:r>
      <w:r w:rsidR="00986509" w:rsidRPr="000D0DC0">
        <w:t>to</w:t>
      </w:r>
      <w:r w:rsidR="008D155F" w:rsidRPr="004C4622">
        <w:t xml:space="preserve"> NHB halon sales data</w:t>
      </w:r>
      <w:r w:rsidR="00C85824" w:rsidRPr="000D0DC0">
        <w:t xml:space="preserve"> modelling</w:t>
      </w:r>
      <w:r w:rsidR="008D155F" w:rsidRPr="004C4622">
        <w:t xml:space="preserve">, which </w:t>
      </w:r>
      <w:r w:rsidR="00465FF0" w:rsidRPr="004C4622">
        <w:t xml:space="preserve">remains </w:t>
      </w:r>
      <w:r w:rsidR="008D155F" w:rsidRPr="004C4622">
        <w:t xml:space="preserve">the primary </w:t>
      </w:r>
      <w:r w:rsidR="00E871C3" w:rsidRPr="00264D15">
        <w:t xml:space="preserve">source </w:t>
      </w:r>
      <w:r w:rsidR="00476888" w:rsidRPr="00C35722">
        <w:t xml:space="preserve">for </w:t>
      </w:r>
      <w:r w:rsidR="004D3F2C" w:rsidRPr="00C35722">
        <w:t xml:space="preserve">quantitative </w:t>
      </w:r>
      <w:r w:rsidR="00476888" w:rsidRPr="00C35722">
        <w:t>analysis in</w:t>
      </w:r>
      <w:r w:rsidR="00E871C3" w:rsidRPr="00C35722">
        <w:t xml:space="preserve"> estimating future halon requirements.</w:t>
      </w:r>
    </w:p>
    <w:p w14:paraId="2E55AE50" w14:textId="5EF5235A" w:rsidR="005912F4" w:rsidRPr="00081AC2" w:rsidRDefault="00311A70" w:rsidP="008D3E80">
      <w:pPr>
        <w:pStyle w:val="BodyText10"/>
      </w:pPr>
      <w:r w:rsidRPr="00081AC2">
        <w:t xml:space="preserve">For the 2012 Halon Review, the average quantities of halon installed in Australian commercial passenger and freighter aircraft in mainline and regional categories were estimated based on the global average quantities of </w:t>
      </w:r>
      <w:r w:rsidRPr="00081AC2">
        <w:lastRenderedPageBreak/>
        <w:t>halon installed for each fire protection application and aircraft type as reported by ICF</w:t>
      </w:r>
      <w:r w:rsidRPr="00081AC2">
        <w:rPr>
          <w:rStyle w:val="FootnoteReference"/>
          <w:i/>
        </w:rPr>
        <w:footnoteReference w:id="37"/>
      </w:r>
      <w:r w:rsidRPr="00081AC2">
        <w:t>. ICF based its analysis on an earlier study undertaken by O’Sullivan</w:t>
      </w:r>
      <w:r w:rsidRPr="00081AC2">
        <w:rPr>
          <w:rStyle w:val="FootnoteReference"/>
        </w:rPr>
        <w:footnoteReference w:id="38"/>
      </w:r>
      <w:r w:rsidRPr="00081AC2">
        <w:t xml:space="preserve">. </w:t>
      </w:r>
      <w:r w:rsidR="00F0444A" w:rsidRPr="00081AC2">
        <w:t>The results of th</w:t>
      </w:r>
      <w:r w:rsidR="00D3017C" w:rsidRPr="00081AC2">
        <w:t>e 2012 Halon Review</w:t>
      </w:r>
      <w:r w:rsidR="00F0444A" w:rsidRPr="00081AC2">
        <w:t xml:space="preserve"> analysis</w:t>
      </w:r>
      <w:r w:rsidR="004D473B" w:rsidRPr="00081AC2">
        <w:t>,</w:t>
      </w:r>
      <w:r w:rsidR="00F0444A" w:rsidRPr="00081AC2">
        <w:t xml:space="preserve"> </w:t>
      </w:r>
      <w:r w:rsidR="004D473B" w:rsidRPr="00081AC2">
        <w:t>and</w:t>
      </w:r>
      <w:r w:rsidR="00F0444A" w:rsidRPr="00081AC2">
        <w:t xml:space="preserve"> comparison with estimated halon consu</w:t>
      </w:r>
      <w:r w:rsidR="004D473B" w:rsidRPr="00081AC2">
        <w:t>mption based on NHB sales data,</w:t>
      </w:r>
      <w:r w:rsidR="00F0444A" w:rsidRPr="00081AC2">
        <w:t xml:space="preserve"> </w:t>
      </w:r>
      <w:r w:rsidR="004D473B" w:rsidRPr="00081AC2">
        <w:t>appeared to indicate</w:t>
      </w:r>
      <w:r w:rsidR="00F0444A" w:rsidRPr="00081AC2">
        <w:t xml:space="preserve"> that the aviation model </w:t>
      </w:r>
      <w:r w:rsidR="000C4272" w:rsidRPr="00081AC2">
        <w:t xml:space="preserve">was </w:t>
      </w:r>
      <w:r w:rsidR="00F0444A" w:rsidRPr="00081AC2">
        <w:t>under-estimat</w:t>
      </w:r>
      <w:r w:rsidR="000C4272" w:rsidRPr="00081AC2">
        <w:t>ing</w:t>
      </w:r>
      <w:r w:rsidR="00F0444A" w:rsidRPr="00081AC2">
        <w:t xml:space="preserve"> halon usage in commercial passenger and freighter aircraft</w:t>
      </w:r>
      <w:r w:rsidR="009D5A89">
        <w:rPr>
          <w:rStyle w:val="FootnoteReference"/>
        </w:rPr>
        <w:footnoteReference w:id="39"/>
      </w:r>
      <w:r w:rsidR="00F0444A" w:rsidRPr="00081AC2">
        <w:t xml:space="preserve">. </w:t>
      </w:r>
    </w:p>
    <w:p w14:paraId="1BD79B00" w14:textId="585A1EF5" w:rsidR="002F44D0" w:rsidRPr="00081AC2" w:rsidRDefault="002F44D0" w:rsidP="008D3E80">
      <w:pPr>
        <w:pStyle w:val="BodyText10"/>
      </w:pPr>
      <w:r w:rsidRPr="00081AC2">
        <w:t xml:space="preserve">For the 2012 Halon Review, the total quantities of halon 1301 and halon 1211 emitted each year were calculated based on estimated leakage and inadvertent discharge rates for each of the </w:t>
      </w:r>
      <w:r w:rsidR="00E510AE" w:rsidRPr="00081AC2">
        <w:t xml:space="preserve">halon </w:t>
      </w:r>
      <w:r w:rsidRPr="00081AC2">
        <w:t>fire protection systems, as used by ICF. A leakage rate of 2% per year was used for each of the halon 1301 systems</w:t>
      </w:r>
      <w:r w:rsidRPr="00081AC2">
        <w:rPr>
          <w:rStyle w:val="FootnoteReference"/>
        </w:rPr>
        <w:footnoteReference w:id="40"/>
      </w:r>
      <w:r w:rsidRPr="00081AC2">
        <w:t>. A leakage rate of 6% per year was assumed for halon 1211 handheld fire extinguishers</w:t>
      </w:r>
      <w:r w:rsidRPr="00081AC2">
        <w:rPr>
          <w:rStyle w:val="FootnoteReference"/>
        </w:rPr>
        <w:footnoteReference w:id="41"/>
      </w:r>
      <w:r w:rsidRPr="00081AC2">
        <w:t xml:space="preserve">. Both of these assumed leakage rates </w:t>
      </w:r>
      <w:r w:rsidR="000D0A36">
        <w:t>are</w:t>
      </w:r>
      <w:r w:rsidR="000D0A36" w:rsidRPr="00081AC2">
        <w:t xml:space="preserve"> </w:t>
      </w:r>
      <w:r w:rsidRPr="00081AC2">
        <w:t>within the ranges estimated in the 2005 Intergovernmental Panel on Climate Change</w:t>
      </w:r>
      <w:r w:rsidR="008D3E80">
        <w:t>/TEAP</w:t>
      </w:r>
      <w:r w:rsidRPr="00081AC2">
        <w:t xml:space="preserve"> </w:t>
      </w:r>
      <w:r w:rsidR="008D3E80">
        <w:t>Special R</w:t>
      </w:r>
      <w:r w:rsidRPr="00081AC2">
        <w:t>eport</w:t>
      </w:r>
      <w:r w:rsidR="008D3E80">
        <w:t xml:space="preserve"> </w:t>
      </w:r>
      <w:r w:rsidR="008D3E80" w:rsidRPr="00081AC2">
        <w:t>(IPCC</w:t>
      </w:r>
      <w:r w:rsidR="008D3E80">
        <w:t>/TEAP</w:t>
      </w:r>
      <w:r w:rsidR="008D3E80" w:rsidRPr="00081AC2">
        <w:t>)</w:t>
      </w:r>
      <w:r w:rsidR="008D3E80">
        <w:rPr>
          <w:rStyle w:val="FootnoteReference"/>
        </w:rPr>
        <w:footnoteReference w:id="42"/>
      </w:r>
      <w:r w:rsidRPr="00081AC2">
        <w:t>. The IPCC</w:t>
      </w:r>
      <w:r w:rsidR="008D3E80">
        <w:t>/TEAP</w:t>
      </w:r>
      <w:r w:rsidRPr="00081AC2">
        <w:t xml:space="preserve"> estimated the average in-service-life annual emissions rates (i.e., not including end-of-life emissions or decommissioned quantities) for halon 1301 fixed systems and halon 1211 portable systems as 2 ± 1% per year and 4 ± 2% per year, respectively.</w:t>
      </w:r>
      <w:r w:rsidR="006F4034">
        <w:t xml:space="preserve"> For this </w:t>
      </w:r>
      <w:r w:rsidR="00503276">
        <w:t>2020 Halon Review</w:t>
      </w:r>
      <w:r w:rsidR="006F4034">
        <w:t>, an emission factor of 6% per year was used to estimate possible current halon 1211 demands in aviation uses as a basis for projecting future demand.</w:t>
      </w:r>
    </w:p>
    <w:p w14:paraId="24B6D9AA" w14:textId="17114060" w:rsidR="003E0520" w:rsidRPr="00081AC2" w:rsidRDefault="00B335F2" w:rsidP="008D3E80">
      <w:pPr>
        <w:pStyle w:val="BodyText10"/>
      </w:pPr>
      <w:r w:rsidRPr="00081AC2">
        <w:t xml:space="preserve">In 2016, </w:t>
      </w:r>
      <w:r w:rsidR="005244C7" w:rsidRPr="00081AC2">
        <w:t xml:space="preserve">Vollmer </w:t>
      </w:r>
      <w:r w:rsidR="005244C7" w:rsidRPr="008D3E80">
        <w:rPr>
          <w:i/>
          <w:iCs/>
        </w:rPr>
        <w:t>et al</w:t>
      </w:r>
      <w:r w:rsidR="005244C7" w:rsidRPr="00081AC2">
        <w:t>.</w:t>
      </w:r>
      <w:r w:rsidR="00F929B6" w:rsidRPr="00081AC2">
        <w:rPr>
          <w:rStyle w:val="FootnoteReference"/>
        </w:rPr>
        <w:footnoteReference w:id="43"/>
      </w:r>
      <w:r w:rsidR="005244C7" w:rsidRPr="00081AC2">
        <w:t xml:space="preserve"> </w:t>
      </w:r>
      <w:r w:rsidR="00FC4741" w:rsidRPr="00081AC2">
        <w:t>report</w:t>
      </w:r>
      <w:r w:rsidRPr="00081AC2">
        <w:t>ed</w:t>
      </w:r>
      <w:r w:rsidR="00FC4741" w:rsidRPr="00081AC2">
        <w:t xml:space="preserve"> an average annual halon </w:t>
      </w:r>
      <w:r w:rsidR="000C5BEB" w:rsidRPr="00081AC2">
        <w:t xml:space="preserve">1301 </w:t>
      </w:r>
      <w:r w:rsidR="00FC4741" w:rsidRPr="00081AC2">
        <w:t xml:space="preserve">emission rate </w:t>
      </w:r>
      <w:r w:rsidR="00FC4741" w:rsidRPr="00081AC2">
        <w:lastRenderedPageBreak/>
        <w:t xml:space="preserve">of </w:t>
      </w:r>
      <w:r w:rsidR="007260C7" w:rsidRPr="00081AC2">
        <w:t xml:space="preserve">4% based </w:t>
      </w:r>
      <w:r w:rsidR="009747C0" w:rsidRPr="00081AC2">
        <w:t>on atmospheric-derived emissions</w:t>
      </w:r>
      <w:r w:rsidR="004F0186" w:rsidRPr="00081AC2">
        <w:t>, which relate</w:t>
      </w:r>
      <w:r w:rsidRPr="00081AC2">
        <w:t>s</w:t>
      </w:r>
      <w:r w:rsidR="004F0186" w:rsidRPr="00081AC2">
        <w:t xml:space="preserve"> to </w:t>
      </w:r>
      <w:r w:rsidR="006C433E" w:rsidRPr="00081AC2">
        <w:t xml:space="preserve">emissions from </w:t>
      </w:r>
      <w:r w:rsidR="004F0186" w:rsidRPr="00081AC2">
        <w:t xml:space="preserve">all halon 1301 </w:t>
      </w:r>
      <w:r w:rsidR="006C433E" w:rsidRPr="00081AC2">
        <w:t>applications</w:t>
      </w:r>
      <w:r w:rsidR="00426107" w:rsidRPr="00081AC2">
        <w:t xml:space="preserve"> and is higher than </w:t>
      </w:r>
      <w:r w:rsidR="00A628F6" w:rsidRPr="00081AC2">
        <w:t xml:space="preserve">the emissions rates </w:t>
      </w:r>
      <w:r w:rsidR="00426107" w:rsidRPr="00081AC2">
        <w:t>previously</w:t>
      </w:r>
      <w:r w:rsidR="00EB4AF2" w:rsidRPr="00081AC2">
        <w:t xml:space="preserve"> </w:t>
      </w:r>
      <w:r w:rsidR="00A628F6" w:rsidRPr="00081AC2">
        <w:t>assumed in halon analyses</w:t>
      </w:r>
      <w:r w:rsidR="000C5BEB" w:rsidRPr="00081AC2">
        <w:t>.</w:t>
      </w:r>
      <w:r w:rsidR="006C433E" w:rsidRPr="00081AC2">
        <w:t xml:space="preserve"> </w:t>
      </w:r>
    </w:p>
    <w:p w14:paraId="03728C8D" w14:textId="577BCCE5" w:rsidR="002F44D0" w:rsidRPr="00081AC2" w:rsidRDefault="002F44D0" w:rsidP="008D3E80">
      <w:pPr>
        <w:pStyle w:val="BodyText10"/>
      </w:pPr>
      <w:r w:rsidRPr="00081AC2">
        <w:t xml:space="preserve">In 2014, </w:t>
      </w:r>
      <w:r w:rsidR="00E26BA9">
        <w:t xml:space="preserve">the </w:t>
      </w:r>
      <w:r w:rsidR="00A825F3">
        <w:t>United States’ Federal Aviation Administration</w:t>
      </w:r>
      <w:r w:rsidRPr="00081AC2">
        <w:t xml:space="preserve"> Halon Aviation Rulemaking Committee</w:t>
      </w:r>
      <w:r w:rsidRPr="00081AC2">
        <w:rPr>
          <w:rStyle w:val="FootnoteReference"/>
        </w:rPr>
        <w:footnoteReference w:id="44"/>
      </w:r>
      <w:r w:rsidRPr="00081AC2">
        <w:t xml:space="preserve"> estimated an emission rate for halon 1301 aviation systems in the range of 7-8% per year, </w:t>
      </w:r>
      <w:r w:rsidR="005D5B01" w:rsidRPr="00081AC2">
        <w:t xml:space="preserve">noted as being </w:t>
      </w:r>
      <w:r w:rsidRPr="00081AC2">
        <w:t>much higher than for most other halon applications. Only a small percentage of these total releases result from the extinguishment of fires</w:t>
      </w:r>
      <w:r w:rsidR="00247AB6" w:rsidRPr="00081AC2">
        <w:t>, with t</w:t>
      </w:r>
      <w:r w:rsidRPr="00081AC2">
        <w:t>he vast majority of emissions result</w:t>
      </w:r>
      <w:r w:rsidR="00247AB6" w:rsidRPr="00081AC2">
        <w:t>ing</w:t>
      </w:r>
      <w:r w:rsidRPr="00081AC2">
        <w:t xml:space="preserve"> from accidental releases or </w:t>
      </w:r>
      <w:r w:rsidR="00247AB6" w:rsidRPr="00081AC2">
        <w:t>occurring</w:t>
      </w:r>
      <w:r w:rsidRPr="00081AC2">
        <w:t xml:space="preserve"> during testing or handling.</w:t>
      </w:r>
      <w:r w:rsidR="0011184B" w:rsidRPr="00081AC2">
        <w:t xml:space="preserve"> The </w:t>
      </w:r>
      <w:r w:rsidR="00964B4F">
        <w:t>United States’ Federal Aviation Administration</w:t>
      </w:r>
      <w:r w:rsidR="00964B4F" w:rsidRPr="00081AC2">
        <w:t xml:space="preserve"> Halon Aviation Rulemaking Committee</w:t>
      </w:r>
      <w:r w:rsidR="00964B4F" w:rsidRPr="00081AC2" w:rsidDel="00964B4F">
        <w:t xml:space="preserve"> </w:t>
      </w:r>
      <w:r w:rsidR="00036F1B" w:rsidRPr="00081AC2">
        <w:t>estimated emission rate</w:t>
      </w:r>
      <w:r w:rsidR="0011184B" w:rsidRPr="00081AC2">
        <w:t xml:space="preserve"> is also higher than the global average </w:t>
      </w:r>
      <w:r w:rsidR="00036F1B" w:rsidRPr="00081AC2">
        <w:t xml:space="preserve">halon 1301 </w:t>
      </w:r>
      <w:r w:rsidR="0011184B" w:rsidRPr="00081AC2">
        <w:t xml:space="preserve">emissions rate derived by Vollmer </w:t>
      </w:r>
      <w:r w:rsidR="0011184B" w:rsidRPr="000D0DC0">
        <w:rPr>
          <w:i/>
          <w:iCs/>
        </w:rPr>
        <w:t>et al</w:t>
      </w:r>
      <w:r w:rsidR="0011184B" w:rsidRPr="00081AC2">
        <w:t>. from atmospheric emissions of all halon 1301 applications.</w:t>
      </w:r>
    </w:p>
    <w:p w14:paraId="05DAE7B4" w14:textId="58965EE1" w:rsidR="00415635" w:rsidRPr="000D0DC0" w:rsidRDefault="002F44D0" w:rsidP="008D3E80">
      <w:pPr>
        <w:pStyle w:val="BodyText10"/>
      </w:pPr>
      <w:r w:rsidRPr="00081AC2">
        <w:t xml:space="preserve">More recently, </w:t>
      </w:r>
      <w:r w:rsidR="00FD1A0F" w:rsidRPr="00081AC2">
        <w:t xml:space="preserve">the </w:t>
      </w:r>
      <w:r w:rsidR="002A41DF">
        <w:t xml:space="preserve">Montreal Protocol’s </w:t>
      </w:r>
      <w:r w:rsidR="00FD1A0F" w:rsidRPr="00081AC2">
        <w:t>H</w:t>
      </w:r>
      <w:r w:rsidR="002A41DF">
        <w:t xml:space="preserve">alon </w:t>
      </w:r>
      <w:r w:rsidR="00FD1A0F" w:rsidRPr="00081AC2">
        <w:t>T</w:t>
      </w:r>
      <w:r w:rsidR="002A41DF">
        <w:t xml:space="preserve">echnical </w:t>
      </w:r>
      <w:r w:rsidR="00FD1A0F" w:rsidRPr="00081AC2">
        <w:t>O</w:t>
      </w:r>
      <w:r w:rsidR="002A41DF">
        <w:t xml:space="preserve">ptions </w:t>
      </w:r>
      <w:r w:rsidR="00FD1A0F" w:rsidRPr="00081AC2">
        <w:t>C</w:t>
      </w:r>
      <w:r w:rsidR="000532FC">
        <w:t>ommittee</w:t>
      </w:r>
      <w:r w:rsidR="00FD1A0F" w:rsidRPr="00081AC2">
        <w:t xml:space="preserve"> Assessment Report 2018</w:t>
      </w:r>
      <w:r w:rsidR="001D0B0E">
        <w:rPr>
          <w:rStyle w:val="FootnoteReference"/>
        </w:rPr>
        <w:footnoteReference w:id="45"/>
      </w:r>
      <w:r w:rsidR="0049499D" w:rsidRPr="00081AC2">
        <w:t xml:space="preserve"> and</w:t>
      </w:r>
      <w:r w:rsidR="00525403" w:rsidRPr="00081AC2">
        <w:t xml:space="preserve"> </w:t>
      </w:r>
      <w:r w:rsidR="00CA222F">
        <w:t xml:space="preserve">the </w:t>
      </w:r>
      <w:r w:rsidR="00525403" w:rsidRPr="00081AC2">
        <w:t>T</w:t>
      </w:r>
      <w:r w:rsidR="00CA222F">
        <w:t xml:space="preserve">echnology and </w:t>
      </w:r>
      <w:r w:rsidR="00525403" w:rsidRPr="00081AC2">
        <w:t>E</w:t>
      </w:r>
      <w:r w:rsidR="00CA222F">
        <w:t xml:space="preserve">conomic </w:t>
      </w:r>
      <w:r w:rsidR="00525403" w:rsidRPr="00081AC2">
        <w:t>A</w:t>
      </w:r>
      <w:r w:rsidR="00CA222F">
        <w:t xml:space="preserve">ssessment </w:t>
      </w:r>
      <w:r w:rsidR="00525403" w:rsidRPr="00081AC2">
        <w:t>P</w:t>
      </w:r>
      <w:r w:rsidR="00CA222F">
        <w:t>anel</w:t>
      </w:r>
      <w:r w:rsidR="00525403" w:rsidRPr="00081AC2">
        <w:t xml:space="preserve"> response to Decision XXIX/8 on the Future Availability of Halons and their Alternatives</w:t>
      </w:r>
      <w:r w:rsidR="001A7624" w:rsidRPr="00081AC2">
        <w:rPr>
          <w:rStyle w:val="FootnoteReference"/>
        </w:rPr>
        <w:footnoteReference w:id="46"/>
      </w:r>
      <w:r w:rsidR="00150CB4" w:rsidRPr="00081AC2">
        <w:t xml:space="preserve"> reported </w:t>
      </w:r>
      <w:r w:rsidR="004E33DC" w:rsidRPr="00081AC2">
        <w:t xml:space="preserve">a survey conducted by </w:t>
      </w:r>
      <w:r w:rsidR="0032712F">
        <w:t>the International Civil Aviation Organization</w:t>
      </w:r>
      <w:r w:rsidR="002C2CF1">
        <w:t xml:space="preserve">. </w:t>
      </w:r>
      <w:r w:rsidR="00DF7949">
        <w:t>In</w:t>
      </w:r>
      <w:r w:rsidR="005D2236" w:rsidRPr="00081AC2">
        <w:rPr>
          <w:lang w:val="en-AU"/>
        </w:rPr>
        <w:t xml:space="preserve">formation was gathered on the difference between the amount of halon that </w:t>
      </w:r>
      <w:r w:rsidR="00150CB4" w:rsidRPr="00081AC2">
        <w:rPr>
          <w:lang w:val="en-AU"/>
        </w:rPr>
        <w:t>enters</w:t>
      </w:r>
      <w:r w:rsidR="005D2236" w:rsidRPr="00081AC2">
        <w:rPr>
          <w:lang w:val="en-AU"/>
        </w:rPr>
        <w:t xml:space="preserve"> civil aviation halon 1301 service provider facilities in cylinders for servicing (recovered) and the amount that </w:t>
      </w:r>
      <w:r w:rsidR="00D45C76" w:rsidRPr="00081AC2">
        <w:rPr>
          <w:lang w:val="en-AU"/>
        </w:rPr>
        <w:t>leaves</w:t>
      </w:r>
      <w:r w:rsidR="005D2236" w:rsidRPr="00081AC2">
        <w:rPr>
          <w:lang w:val="en-AU"/>
        </w:rPr>
        <w:t xml:space="preserve"> the facility in serviced cylinders (filled)</w:t>
      </w:r>
      <w:r w:rsidR="000C193C">
        <w:rPr>
          <w:lang w:val="en-AU"/>
        </w:rPr>
        <w:t>,</w:t>
      </w:r>
      <w:r w:rsidR="005D2236" w:rsidRPr="00081AC2">
        <w:rPr>
          <w:lang w:val="en-AU"/>
        </w:rPr>
        <w:t xml:space="preserve"> as a way of estimating the size and rate of</w:t>
      </w:r>
      <w:r w:rsidR="00D45C76" w:rsidRPr="00081AC2">
        <w:rPr>
          <w:lang w:val="en-AU"/>
        </w:rPr>
        <w:t xml:space="preserve"> halon</w:t>
      </w:r>
      <w:r w:rsidR="005D2236" w:rsidRPr="00081AC2">
        <w:rPr>
          <w:lang w:val="en-AU"/>
        </w:rPr>
        <w:t xml:space="preserve"> emissions. </w:t>
      </w:r>
      <w:r w:rsidR="00685368" w:rsidRPr="00081AC2">
        <w:rPr>
          <w:lang w:val="en-AU"/>
        </w:rPr>
        <w:t xml:space="preserve">From a limited </w:t>
      </w:r>
      <w:r w:rsidR="00D45C76" w:rsidRPr="00081AC2">
        <w:rPr>
          <w:lang w:val="en-AU"/>
        </w:rPr>
        <w:t>survey response</w:t>
      </w:r>
      <w:r w:rsidR="00685368" w:rsidRPr="00081AC2">
        <w:rPr>
          <w:lang w:val="en-AU"/>
        </w:rPr>
        <w:t xml:space="preserve">, the difference between the amount of recovered halon and the amount filled ranged from 4% to 50%, with an average of about 14%. While it </w:t>
      </w:r>
      <w:r w:rsidR="00D45C76" w:rsidRPr="00081AC2">
        <w:rPr>
          <w:lang w:val="en-AU"/>
        </w:rPr>
        <w:t xml:space="preserve">was not </w:t>
      </w:r>
      <w:r w:rsidR="00685368" w:rsidRPr="00081AC2">
        <w:rPr>
          <w:lang w:val="en-AU"/>
        </w:rPr>
        <w:t xml:space="preserve">possible from these limited data to determine </w:t>
      </w:r>
      <w:r w:rsidR="00D45C76" w:rsidRPr="00081AC2">
        <w:rPr>
          <w:lang w:val="en-AU"/>
        </w:rPr>
        <w:t>whether the</w:t>
      </w:r>
      <w:r w:rsidR="00685368" w:rsidRPr="00081AC2">
        <w:rPr>
          <w:lang w:val="en-AU"/>
        </w:rPr>
        <w:t xml:space="preserve"> 14% data point relate</w:t>
      </w:r>
      <w:r w:rsidR="0051009C" w:rsidRPr="00081AC2">
        <w:rPr>
          <w:lang w:val="en-AU"/>
        </w:rPr>
        <w:t>s</w:t>
      </w:r>
      <w:r w:rsidR="00685368" w:rsidRPr="00081AC2">
        <w:rPr>
          <w:lang w:val="en-AU"/>
        </w:rPr>
        <w:t xml:space="preserve"> </w:t>
      </w:r>
      <w:r w:rsidR="0051009C" w:rsidRPr="00081AC2">
        <w:rPr>
          <w:lang w:val="en-AU"/>
        </w:rPr>
        <w:t xml:space="preserve">accurately </w:t>
      </w:r>
      <w:r w:rsidR="00685368" w:rsidRPr="00081AC2">
        <w:rPr>
          <w:lang w:val="en-AU"/>
        </w:rPr>
        <w:t>to an actual emission rate, it provide</w:t>
      </w:r>
      <w:r w:rsidR="008F6DC4" w:rsidRPr="00081AC2">
        <w:rPr>
          <w:lang w:val="en-AU"/>
        </w:rPr>
        <w:t>s</w:t>
      </w:r>
      <w:r w:rsidR="00685368" w:rsidRPr="00081AC2">
        <w:rPr>
          <w:lang w:val="en-AU"/>
        </w:rPr>
        <w:t xml:space="preserve"> </w:t>
      </w:r>
      <w:r w:rsidR="00CE13E5" w:rsidRPr="00081AC2">
        <w:rPr>
          <w:lang w:val="en-AU"/>
        </w:rPr>
        <w:t>further</w:t>
      </w:r>
      <w:r w:rsidR="00685368" w:rsidRPr="00081AC2">
        <w:rPr>
          <w:lang w:val="en-AU"/>
        </w:rPr>
        <w:t xml:space="preserve"> anecdotal </w:t>
      </w:r>
      <w:r w:rsidR="008F6DC4" w:rsidRPr="00081AC2">
        <w:rPr>
          <w:lang w:val="en-AU"/>
        </w:rPr>
        <w:t>evidence supporting</w:t>
      </w:r>
      <w:r w:rsidR="00685368" w:rsidRPr="00081AC2">
        <w:rPr>
          <w:lang w:val="en-AU"/>
        </w:rPr>
        <w:t xml:space="preserve"> the 2014 </w:t>
      </w:r>
      <w:r w:rsidR="00B14EF7">
        <w:t>United States’ Federal Aviation Administration</w:t>
      </w:r>
      <w:r w:rsidR="00B14EF7" w:rsidRPr="00081AC2">
        <w:t xml:space="preserve"> Halon Aviation Rulemaking Committee</w:t>
      </w:r>
      <w:r w:rsidR="00B14EF7" w:rsidRPr="00081AC2" w:rsidDel="00B14EF7">
        <w:rPr>
          <w:lang w:val="en-AU"/>
        </w:rPr>
        <w:t xml:space="preserve"> </w:t>
      </w:r>
      <w:r w:rsidR="008F6DC4" w:rsidRPr="00081AC2">
        <w:rPr>
          <w:lang w:val="en-AU"/>
        </w:rPr>
        <w:t>conclusions</w:t>
      </w:r>
      <w:r w:rsidR="00685368" w:rsidRPr="00081AC2">
        <w:rPr>
          <w:lang w:val="en-AU"/>
        </w:rPr>
        <w:t xml:space="preserve"> that the aviation emissions rate for halon 1301 may be significantly higher than the global average of 3-4%</w:t>
      </w:r>
      <w:r w:rsidR="007C0ADB" w:rsidRPr="00081AC2">
        <w:rPr>
          <w:lang w:val="en-AU"/>
        </w:rPr>
        <w:t xml:space="preserve"> </w:t>
      </w:r>
      <w:r w:rsidR="001F517B">
        <w:rPr>
          <w:lang w:val="en-AU"/>
        </w:rPr>
        <w:t xml:space="preserve">(derived from atmospheric measurements) </w:t>
      </w:r>
      <w:r w:rsidR="007C0ADB" w:rsidRPr="00081AC2">
        <w:rPr>
          <w:lang w:val="en-AU"/>
        </w:rPr>
        <w:t>and previously applied emission factors</w:t>
      </w:r>
      <w:r w:rsidR="00685368" w:rsidRPr="00081AC2">
        <w:rPr>
          <w:lang w:val="en-AU"/>
        </w:rPr>
        <w:t xml:space="preserve">. </w:t>
      </w:r>
    </w:p>
    <w:p w14:paraId="7C149A18" w14:textId="22E8B1F3" w:rsidR="00AC23EA" w:rsidRPr="00245AEE" w:rsidRDefault="005C1084" w:rsidP="008D3E80">
      <w:pPr>
        <w:pStyle w:val="BodyText10"/>
        <w:rPr>
          <w:lang w:val="en-AU"/>
        </w:rPr>
      </w:pPr>
      <w:r w:rsidRPr="00245AEE">
        <w:rPr>
          <w:lang w:val="en-AU"/>
        </w:rPr>
        <w:t xml:space="preserve">In </w:t>
      </w:r>
      <w:r w:rsidR="00F10700">
        <w:t>t</w:t>
      </w:r>
      <w:r w:rsidR="00F10700" w:rsidRPr="00560FB3">
        <w:t>he Halons Technical Options Committee</w:t>
      </w:r>
      <w:r w:rsidRPr="00245AEE">
        <w:rPr>
          <w:lang w:val="en-AU"/>
        </w:rPr>
        <w:t>’s 2018 analys</w:t>
      </w:r>
      <w:r w:rsidR="005F595A" w:rsidRPr="00245AEE">
        <w:rPr>
          <w:lang w:val="en-AU"/>
        </w:rPr>
        <w:t>i</w:t>
      </w:r>
      <w:r w:rsidRPr="00245AEE">
        <w:rPr>
          <w:lang w:val="en-AU"/>
        </w:rPr>
        <w:t xml:space="preserve">s, a range of </w:t>
      </w:r>
      <w:r w:rsidR="00DF7D84" w:rsidRPr="00245AEE">
        <w:rPr>
          <w:lang w:val="en-AU"/>
        </w:rPr>
        <w:t xml:space="preserve">emissions </w:t>
      </w:r>
      <w:r w:rsidRPr="00245AEE">
        <w:rPr>
          <w:lang w:val="en-AU"/>
        </w:rPr>
        <w:t xml:space="preserve">scenarios were used to </w:t>
      </w:r>
      <w:r w:rsidR="00747B6B" w:rsidRPr="00245AEE">
        <w:rPr>
          <w:lang w:val="en-AU"/>
        </w:rPr>
        <w:t>determine the potential availability of halon 1301 to support global civil aviation through to 2060</w:t>
      </w:r>
      <w:r w:rsidR="00DF7D84" w:rsidRPr="00245AEE">
        <w:rPr>
          <w:lang w:val="en-AU"/>
        </w:rPr>
        <w:t xml:space="preserve">, with annual emissions </w:t>
      </w:r>
      <w:r w:rsidR="00DF7D84" w:rsidRPr="00245AEE">
        <w:rPr>
          <w:lang w:val="en-AU"/>
        </w:rPr>
        <w:lastRenderedPageBreak/>
        <w:t xml:space="preserve">rates from halon 1301 </w:t>
      </w:r>
      <w:r w:rsidR="005F2165" w:rsidRPr="00245AEE">
        <w:rPr>
          <w:lang w:val="en-AU"/>
        </w:rPr>
        <w:t xml:space="preserve">aviation applications </w:t>
      </w:r>
      <w:r w:rsidR="00403D7E" w:rsidRPr="00245AEE">
        <w:rPr>
          <w:lang w:val="en-AU"/>
        </w:rPr>
        <w:t>from</w:t>
      </w:r>
      <w:r w:rsidR="0092235F" w:rsidRPr="00245AEE">
        <w:rPr>
          <w:lang w:val="en-AU"/>
        </w:rPr>
        <w:t xml:space="preserve"> 2.3</w:t>
      </w:r>
      <w:r w:rsidR="00403D7E" w:rsidRPr="00245AEE">
        <w:rPr>
          <w:lang w:val="en-AU"/>
        </w:rPr>
        <w:t>% through to</w:t>
      </w:r>
      <w:r w:rsidR="0092235F" w:rsidRPr="00245AEE">
        <w:rPr>
          <w:lang w:val="en-AU"/>
        </w:rPr>
        <w:t xml:space="preserve"> 15%</w:t>
      </w:r>
      <w:r w:rsidR="00747B6B" w:rsidRPr="00245AEE">
        <w:rPr>
          <w:lang w:val="en-AU"/>
        </w:rPr>
        <w:t>.</w:t>
      </w:r>
      <w:r w:rsidR="00415635" w:rsidRPr="00245AEE">
        <w:rPr>
          <w:lang w:val="en-AU"/>
        </w:rPr>
        <w:t xml:space="preserve"> </w:t>
      </w:r>
      <w:r w:rsidR="006F4034">
        <w:t xml:space="preserve">For this </w:t>
      </w:r>
      <w:r w:rsidR="00503276">
        <w:t>2020 Halon Review</w:t>
      </w:r>
      <w:r w:rsidR="006F4034">
        <w:t>, a selection of these emissions factors (low 2.3%, medium 7.6%, high 15% per year) were used to estimate possible current halon 1301 demands in aviation uses as a basis for projecting future demand.</w:t>
      </w:r>
    </w:p>
    <w:p w14:paraId="6A101DD5" w14:textId="6B1981BE" w:rsidR="008A1B50" w:rsidRDefault="008A1B50" w:rsidP="008A1B50">
      <w:pPr>
        <w:pStyle w:val="BodyText10"/>
      </w:pPr>
      <w:r w:rsidRPr="00560FB3">
        <w:t xml:space="preserve">The Halons Technical Options Committee </w:t>
      </w:r>
      <w:r w:rsidRPr="00264D15">
        <w:t>Assessment Report 2018</w:t>
      </w:r>
      <w:r w:rsidRPr="00560FB3">
        <w:rPr>
          <w:rStyle w:val="FootnoteReference"/>
        </w:rPr>
        <w:footnoteReference w:id="47"/>
      </w:r>
      <w:r w:rsidRPr="00560FB3">
        <w:t xml:space="preserve"> describes new aviation analyses by ICF </w:t>
      </w:r>
      <w:r w:rsidR="00AB1DB7" w:rsidRPr="000D0DC0">
        <w:t xml:space="preserve">International </w:t>
      </w:r>
      <w:r w:rsidRPr="00560FB3">
        <w:t>in 2015 and 2018</w:t>
      </w:r>
      <w:r w:rsidR="0087241E" w:rsidRPr="000D0DC0">
        <w:t xml:space="preserve"> that w</w:t>
      </w:r>
      <w:r w:rsidR="00D647DE" w:rsidRPr="000D0DC0">
        <w:t xml:space="preserve">ere kindly provided </w:t>
      </w:r>
      <w:r w:rsidR="00AB1DB7" w:rsidRPr="000D0DC0">
        <w:t>for this study</w:t>
      </w:r>
      <w:r w:rsidRPr="00560FB3">
        <w:t xml:space="preserve">. </w:t>
      </w:r>
      <w:r w:rsidRPr="004C4622">
        <w:t>These provide updated estimates of global average quantiti</w:t>
      </w:r>
      <w:r w:rsidRPr="00C35722">
        <w:t>es of halon installed for each fire protection application by aircraft type</w:t>
      </w:r>
      <w:r w:rsidRPr="00560FB3">
        <w:rPr>
          <w:rStyle w:val="FootnoteReference"/>
        </w:rPr>
        <w:footnoteReference w:id="48"/>
      </w:r>
      <w:r w:rsidRPr="00560FB3">
        <w:t>.</w:t>
      </w:r>
      <w:r w:rsidR="00F10700">
        <w:t xml:space="preserve"> </w:t>
      </w:r>
      <w:r w:rsidR="00DE4D5D" w:rsidRPr="004C4622">
        <w:t xml:space="preserve">Some of this information has been </w:t>
      </w:r>
      <w:r w:rsidR="00B40845" w:rsidRPr="000D0DC0">
        <w:t>referenced</w:t>
      </w:r>
      <w:r w:rsidR="00B40845" w:rsidRPr="00560FB3">
        <w:t xml:space="preserve"> </w:t>
      </w:r>
      <w:r w:rsidR="00DE4D5D" w:rsidRPr="004C4622">
        <w:t xml:space="preserve">to </w:t>
      </w:r>
      <w:r w:rsidR="00B0418A" w:rsidRPr="000D0DC0">
        <w:t xml:space="preserve">help </w:t>
      </w:r>
      <w:r w:rsidR="00183E37" w:rsidRPr="00560FB3">
        <w:t>predict</w:t>
      </w:r>
      <w:r w:rsidR="00DE4D5D" w:rsidRPr="004C4622">
        <w:t xml:space="preserve"> </w:t>
      </w:r>
      <w:r w:rsidR="00A05E16" w:rsidRPr="00264D15">
        <w:t xml:space="preserve">future </w:t>
      </w:r>
      <w:r w:rsidR="00B0418A" w:rsidRPr="000D0DC0">
        <w:t xml:space="preserve">aviation </w:t>
      </w:r>
      <w:r w:rsidR="00A05E16" w:rsidRPr="00560FB3">
        <w:t xml:space="preserve">trends </w:t>
      </w:r>
      <w:r w:rsidRPr="00C35722">
        <w:t>in this report.</w:t>
      </w:r>
    </w:p>
    <w:p w14:paraId="2309F072" w14:textId="5E501D07" w:rsidR="007C24F7" w:rsidRPr="00081AC2" w:rsidRDefault="00F41758" w:rsidP="008A1B50">
      <w:pPr>
        <w:pStyle w:val="BodyText10"/>
      </w:pPr>
      <w:r>
        <w:t xml:space="preserve">The methodologies used to estimate future civil aviation halon requirements are elaborated further in section </w:t>
      </w:r>
      <w:r w:rsidR="001E2AB3">
        <w:t>4.4.</w:t>
      </w:r>
    </w:p>
    <w:p w14:paraId="4B223BD3" w14:textId="538B7344" w:rsidR="00F40619" w:rsidRPr="00081AC2" w:rsidRDefault="006D205B" w:rsidP="00324056">
      <w:pPr>
        <w:pStyle w:val="Heading2"/>
      </w:pPr>
      <w:bookmarkStart w:id="40" w:name="_Toc38190347"/>
      <w:r>
        <w:t>Non-Defence</w:t>
      </w:r>
      <w:r w:rsidR="00F40619" w:rsidRPr="00081AC2">
        <w:t xml:space="preserve"> </w:t>
      </w:r>
      <w:r w:rsidR="00A32290" w:rsidRPr="00081AC2">
        <w:t>Maritime Uses</w:t>
      </w:r>
      <w:bookmarkEnd w:id="40"/>
    </w:p>
    <w:p w14:paraId="14C87B70" w14:textId="468038F2" w:rsidR="008D2E33" w:rsidRPr="00081AC2" w:rsidRDefault="00926CEE" w:rsidP="008D3E80">
      <w:pPr>
        <w:pStyle w:val="BodyText10"/>
      </w:pPr>
      <w:r w:rsidRPr="00081AC2">
        <w:t>T</w:t>
      </w:r>
      <w:r w:rsidR="00EA6763" w:rsidRPr="00081AC2">
        <w:t xml:space="preserve">he maritime use of halon </w:t>
      </w:r>
      <w:r w:rsidR="00BC7FC3" w:rsidRPr="00081AC2">
        <w:t>has</w:t>
      </w:r>
      <w:r w:rsidR="00EA6763" w:rsidRPr="00081AC2">
        <w:t xml:space="preserve"> declined dramatically</w:t>
      </w:r>
      <w:r w:rsidR="000911D5" w:rsidRPr="00081AC2">
        <w:t xml:space="preserve"> since the mid-2000s</w:t>
      </w:r>
      <w:r w:rsidR="00EA6763" w:rsidRPr="00081AC2">
        <w:t>.</w:t>
      </w:r>
      <w:r w:rsidRPr="00081AC2">
        <w:t xml:space="preserve"> </w:t>
      </w:r>
      <w:r w:rsidR="000911D5" w:rsidRPr="00081AC2">
        <w:t xml:space="preserve">For the 2012 Halon Review, </w:t>
      </w:r>
      <w:r w:rsidR="00C225FD" w:rsidRPr="00081AC2">
        <w:t xml:space="preserve">Australian </w:t>
      </w:r>
      <w:r w:rsidR="000911D5" w:rsidRPr="00081AC2">
        <w:t>m</w:t>
      </w:r>
      <w:r w:rsidR="00EA6763" w:rsidRPr="00081AC2">
        <w:t>aritime service companies</w:t>
      </w:r>
      <w:r w:rsidRPr="00081AC2">
        <w:t xml:space="preserve"> that</w:t>
      </w:r>
      <w:r w:rsidR="008C2280" w:rsidRPr="00081AC2">
        <w:t xml:space="preserve"> were surveyed </w:t>
      </w:r>
      <w:r w:rsidRPr="00081AC2">
        <w:t>and responded</w:t>
      </w:r>
      <w:r w:rsidR="00EA6763" w:rsidRPr="00081AC2">
        <w:t xml:space="preserve"> </w:t>
      </w:r>
      <w:r w:rsidR="008C2280" w:rsidRPr="00081AC2">
        <w:t xml:space="preserve">provided </w:t>
      </w:r>
      <w:r w:rsidR="00EA6763" w:rsidRPr="00081AC2">
        <w:t xml:space="preserve">no quantitative annual historical data. According to respondents </w:t>
      </w:r>
      <w:r w:rsidR="000911D5" w:rsidRPr="00081AC2">
        <w:t xml:space="preserve">for that review, </w:t>
      </w:r>
      <w:r w:rsidR="00547681" w:rsidRPr="00081AC2">
        <w:t>it</w:t>
      </w:r>
      <w:r w:rsidR="00EA6763" w:rsidRPr="00081AC2">
        <w:t xml:space="preserve"> appear</w:t>
      </w:r>
      <w:r w:rsidR="000911D5" w:rsidRPr="00081AC2">
        <w:t>ed</w:t>
      </w:r>
      <w:r w:rsidR="00EA6763" w:rsidRPr="00081AC2">
        <w:t xml:space="preserve"> that no servicing of halon equipped vessels ha</w:t>
      </w:r>
      <w:r w:rsidR="000911D5" w:rsidRPr="00081AC2">
        <w:t>d</w:t>
      </w:r>
      <w:r w:rsidR="00EA6763" w:rsidRPr="00081AC2">
        <w:t xml:space="preserve"> occurred in the </w:t>
      </w:r>
      <w:r w:rsidR="000911D5" w:rsidRPr="00081AC2">
        <w:t>pr</w:t>
      </w:r>
      <w:r w:rsidR="00547681" w:rsidRPr="00081AC2">
        <w:t>ior</w:t>
      </w:r>
      <w:r w:rsidR="00EA6763" w:rsidRPr="00081AC2">
        <w:t xml:space="preserve"> two years</w:t>
      </w:r>
      <w:r w:rsidR="00C225FD" w:rsidRPr="00081AC2">
        <w:t xml:space="preserve"> in Australia</w:t>
      </w:r>
      <w:r w:rsidR="00EA6763" w:rsidRPr="00081AC2">
        <w:t xml:space="preserve">. </w:t>
      </w:r>
      <w:r w:rsidR="009B433D" w:rsidRPr="00081AC2">
        <w:t>T</w:t>
      </w:r>
      <w:r w:rsidR="00EA6763" w:rsidRPr="00081AC2">
        <w:t>his was supported by conversations with representatives of the maritime safety organisations</w:t>
      </w:r>
      <w:r w:rsidR="009652FC">
        <w:t xml:space="preserve"> at the time</w:t>
      </w:r>
      <w:r w:rsidR="00EA6763" w:rsidRPr="00081AC2">
        <w:t>.</w:t>
      </w:r>
      <w:r w:rsidR="00F10700">
        <w:t xml:space="preserve"> </w:t>
      </w:r>
    </w:p>
    <w:p w14:paraId="3C5D8A1E" w14:textId="111FACA0" w:rsidR="004224F2" w:rsidRPr="00081AC2" w:rsidRDefault="009652FC" w:rsidP="008D3E80">
      <w:pPr>
        <w:pStyle w:val="BodyText10"/>
      </w:pPr>
      <w:r>
        <w:t>C</w:t>
      </w:r>
      <w:r w:rsidR="00262DCA" w:rsidRPr="00081AC2">
        <w:t xml:space="preserve">ompanies previously servicing oil tankers in coastal and international transfers reported that these vessels were no longer operating in Australian waters, and over the prior two years no vessels had been seen with halon installed. While </w:t>
      </w:r>
      <w:r w:rsidR="009C25D3" w:rsidRPr="00081AC2">
        <w:t>vessels were operating internationally still with halon systems</w:t>
      </w:r>
      <w:r w:rsidR="00273701" w:rsidRPr="00081AC2">
        <w:t xml:space="preserve">, </w:t>
      </w:r>
      <w:r w:rsidR="008D2E33" w:rsidRPr="00081AC2">
        <w:t>there was no certainty when or if these vessels would visit Australian waters.</w:t>
      </w:r>
      <w:r w:rsidR="00F10700">
        <w:t xml:space="preserve"> </w:t>
      </w:r>
    </w:p>
    <w:p w14:paraId="472441FC" w14:textId="0E7FA37C" w:rsidR="00340964" w:rsidRDefault="009652FC" w:rsidP="00340964">
      <w:pPr>
        <w:pStyle w:val="BodyText10"/>
      </w:pPr>
      <w:r>
        <w:t>S</w:t>
      </w:r>
      <w:r w:rsidR="00DC17B1" w:rsidRPr="00081AC2">
        <w:t xml:space="preserve">ince </w:t>
      </w:r>
      <w:r w:rsidR="00836FED" w:rsidRPr="00081AC2">
        <w:t xml:space="preserve">the 2012 Halon Review, </w:t>
      </w:r>
      <w:r w:rsidR="00C225FD" w:rsidRPr="00081AC2">
        <w:t xml:space="preserve">the </w:t>
      </w:r>
      <w:r w:rsidR="00DC17B1" w:rsidRPr="00081AC2">
        <w:t xml:space="preserve">Department </w:t>
      </w:r>
      <w:r w:rsidR="002F199A" w:rsidRPr="00081AC2">
        <w:t xml:space="preserve">has indicated </w:t>
      </w:r>
      <w:r w:rsidR="00EA03E8" w:rsidRPr="00081AC2">
        <w:t>anecdotal evidence</w:t>
      </w:r>
      <w:r w:rsidR="00C225FD" w:rsidRPr="00081AC2">
        <w:t xml:space="preserve"> of </w:t>
      </w:r>
      <w:r w:rsidR="002F199A" w:rsidRPr="00081AC2">
        <w:t xml:space="preserve">continued halon </w:t>
      </w:r>
      <w:r w:rsidR="00C225FD" w:rsidRPr="00081AC2">
        <w:t xml:space="preserve">usage in </w:t>
      </w:r>
      <w:r w:rsidR="00AB44AE">
        <w:t>non-defence</w:t>
      </w:r>
      <w:r w:rsidR="00C225FD" w:rsidRPr="00081AC2">
        <w:t xml:space="preserve"> maritime uses. </w:t>
      </w:r>
      <w:r w:rsidR="00340964">
        <w:t xml:space="preserve">Consequently, </w:t>
      </w:r>
      <w:r w:rsidR="00877C16">
        <w:t xml:space="preserve">we held </w:t>
      </w:r>
      <w:r w:rsidR="00183995">
        <w:t>discussions with</w:t>
      </w:r>
      <w:r w:rsidR="00877C16">
        <w:t xml:space="preserve"> </w:t>
      </w:r>
      <w:r w:rsidR="00EF44DF">
        <w:t xml:space="preserve">a number of </w:t>
      </w:r>
      <w:r w:rsidR="00C161FD">
        <w:t xml:space="preserve">halon special permit </w:t>
      </w:r>
      <w:r w:rsidR="00E92864">
        <w:t>holder</w:t>
      </w:r>
      <w:r w:rsidR="00FB6CC5">
        <w:t>s</w:t>
      </w:r>
      <w:r w:rsidR="00183995">
        <w:t xml:space="preserve"> </w:t>
      </w:r>
      <w:r w:rsidR="00C0636C">
        <w:t xml:space="preserve">who </w:t>
      </w:r>
      <w:r w:rsidR="00E136FE">
        <w:t xml:space="preserve">confirmed that they </w:t>
      </w:r>
      <w:r w:rsidR="00954789">
        <w:t xml:space="preserve">had not </w:t>
      </w:r>
      <w:r w:rsidR="00C26516">
        <w:t>s</w:t>
      </w:r>
      <w:r w:rsidR="00FF1F82">
        <w:t>e</w:t>
      </w:r>
      <w:r w:rsidR="00C26516">
        <w:t xml:space="preserve">rviced a </w:t>
      </w:r>
      <w:r w:rsidR="00AB44AE">
        <w:t>non-defence</w:t>
      </w:r>
      <w:r w:rsidR="00FF1F82">
        <w:t xml:space="preserve"> commercial vessel fitted</w:t>
      </w:r>
      <w:r w:rsidR="00F045D8">
        <w:t xml:space="preserve"> </w:t>
      </w:r>
      <w:r w:rsidR="00FF1F82">
        <w:t xml:space="preserve">with </w:t>
      </w:r>
      <w:r w:rsidR="00F045D8">
        <w:t>halon in many years. However,</w:t>
      </w:r>
      <w:r w:rsidR="00E136FE">
        <w:t xml:space="preserve"> </w:t>
      </w:r>
      <w:r w:rsidR="00340964">
        <w:t xml:space="preserve">one maritime fire </w:t>
      </w:r>
      <w:r w:rsidR="00443BA5">
        <w:t xml:space="preserve">protection </w:t>
      </w:r>
      <w:r w:rsidR="00340964">
        <w:t>services provider</w:t>
      </w:r>
      <w:r w:rsidR="00111F67">
        <w:t>,</w:t>
      </w:r>
      <w:r w:rsidR="00FB6CC5">
        <w:t xml:space="preserve"> </w:t>
      </w:r>
      <w:r w:rsidR="00601E68">
        <w:t>not a</w:t>
      </w:r>
      <w:r w:rsidR="00731A0E">
        <w:t xml:space="preserve"> current</w:t>
      </w:r>
      <w:r w:rsidR="00601E68">
        <w:t xml:space="preserve"> </w:t>
      </w:r>
      <w:r w:rsidR="00C161FD">
        <w:t xml:space="preserve">halon special permit </w:t>
      </w:r>
      <w:r w:rsidR="00E92864">
        <w:t>holder</w:t>
      </w:r>
      <w:r w:rsidR="004B5E5C">
        <w:t>,</w:t>
      </w:r>
      <w:r w:rsidR="00731A0E">
        <w:t xml:space="preserve"> </w:t>
      </w:r>
      <w:r w:rsidR="00340964">
        <w:t xml:space="preserve">provided us with information that there is one </w:t>
      </w:r>
      <w:r w:rsidR="00B658CA">
        <w:t xml:space="preserve">SOLAS </w:t>
      </w:r>
      <w:r w:rsidR="009F777F">
        <w:t>(Safety of Life at Sea)</w:t>
      </w:r>
      <w:r w:rsidR="00B658CA">
        <w:t xml:space="preserve"> </w:t>
      </w:r>
      <w:r w:rsidR="00340964">
        <w:t xml:space="preserve">registered commercial vessel </w:t>
      </w:r>
      <w:r w:rsidR="005D6B98">
        <w:t>sailing out of</w:t>
      </w:r>
      <w:r w:rsidR="00340964">
        <w:t xml:space="preserve"> South Australia that still has a halon fire </w:t>
      </w:r>
      <w:r w:rsidR="00340964">
        <w:lastRenderedPageBreak/>
        <w:t xml:space="preserve">suppression system </w:t>
      </w:r>
      <w:r w:rsidR="00B507E3">
        <w:t>that may</w:t>
      </w:r>
      <w:r w:rsidR="00DF4503">
        <w:t xml:space="preserve"> </w:t>
      </w:r>
      <w:r w:rsidR="00340964">
        <w:t>contain a nominal 600 kg of halon 1301.</w:t>
      </w:r>
    </w:p>
    <w:p w14:paraId="550433B7" w14:textId="2A375987" w:rsidR="00340964" w:rsidRDefault="00340964" w:rsidP="00340964">
      <w:pPr>
        <w:pStyle w:val="BodyText10"/>
      </w:pPr>
      <w:r>
        <w:t xml:space="preserve">Additionally, </w:t>
      </w:r>
      <w:r w:rsidR="00F00226">
        <w:t>during 2018</w:t>
      </w:r>
      <w:r w:rsidR="00D929E1">
        <w:t>/19</w:t>
      </w:r>
      <w:r w:rsidR="005F3E73">
        <w:t xml:space="preserve"> </w:t>
      </w:r>
      <w:r w:rsidR="003A53E2">
        <w:t xml:space="preserve">a </w:t>
      </w:r>
      <w:r w:rsidR="009F27AF">
        <w:t>vessel</w:t>
      </w:r>
      <w:r w:rsidR="003A53E2">
        <w:t xml:space="preserve"> acquired</w:t>
      </w:r>
      <w:r w:rsidR="009F27AF">
        <w:t xml:space="preserve"> </w:t>
      </w:r>
      <w:r w:rsidR="00536EAB">
        <w:t xml:space="preserve">into Newcastle, </w:t>
      </w:r>
      <w:r>
        <w:t>former</w:t>
      </w:r>
      <w:r w:rsidR="00971915">
        <w:t>ly a</w:t>
      </w:r>
      <w:r>
        <w:t xml:space="preserve"> New Zealand Defence vessel </w:t>
      </w:r>
      <w:r w:rsidR="00971915">
        <w:t>commissioned in</w:t>
      </w:r>
      <w:r w:rsidR="00BB24CB">
        <w:t xml:space="preserve"> </w:t>
      </w:r>
      <w:r w:rsidR="00971915">
        <w:t xml:space="preserve">1988 and originally </w:t>
      </w:r>
      <w:r w:rsidR="00DF5066">
        <w:t>desi</w:t>
      </w:r>
      <w:r w:rsidR="001E60E5">
        <w:t xml:space="preserve">gned </w:t>
      </w:r>
      <w:r w:rsidR="00971915">
        <w:t>for</w:t>
      </w:r>
      <w:r w:rsidR="001E60E5">
        <w:t xml:space="preserve"> </w:t>
      </w:r>
      <w:r w:rsidR="009F5A25">
        <w:t>North Sea oil rig</w:t>
      </w:r>
      <w:r>
        <w:t xml:space="preserve"> </w:t>
      </w:r>
      <w:r w:rsidR="009F27AF">
        <w:t>operations</w:t>
      </w:r>
      <w:r w:rsidR="00BB24CB">
        <w:t>,</w:t>
      </w:r>
      <w:r w:rsidR="008523EA">
        <w:t xml:space="preserve"> </w:t>
      </w:r>
      <w:r w:rsidR="008523EA" w:rsidRPr="00056E51">
        <w:t>has</w:t>
      </w:r>
      <w:r>
        <w:t xml:space="preserve"> been imported into </w:t>
      </w:r>
      <w:r w:rsidR="008523EA">
        <w:t xml:space="preserve">the </w:t>
      </w:r>
      <w:r>
        <w:t xml:space="preserve">Australia </w:t>
      </w:r>
      <w:r w:rsidR="008523EA">
        <w:t xml:space="preserve">fleet </w:t>
      </w:r>
      <w:r w:rsidR="003A53E2">
        <w:t xml:space="preserve">and is </w:t>
      </w:r>
      <w:r w:rsidR="005C3FCB">
        <w:t xml:space="preserve">currently </w:t>
      </w:r>
      <w:r w:rsidR="00604FA7">
        <w:t xml:space="preserve">being refitted and is </w:t>
      </w:r>
      <w:r w:rsidR="003A53E2">
        <w:t xml:space="preserve">believed to be equipped </w:t>
      </w:r>
      <w:r>
        <w:t>with a halon 1301 fire suppression system.</w:t>
      </w:r>
      <w:r w:rsidR="00A50D7A">
        <w:t xml:space="preserve"> </w:t>
      </w:r>
      <w:r w:rsidR="00EE70CA">
        <w:t>At this point in time enquiries have been</w:t>
      </w:r>
      <w:r w:rsidR="00606663">
        <w:t xml:space="preserve"> </w:t>
      </w:r>
      <w:r w:rsidR="000A5E6E">
        <w:t xml:space="preserve">made but </w:t>
      </w:r>
      <w:r w:rsidR="001F2766">
        <w:t xml:space="preserve">these reports </w:t>
      </w:r>
      <w:r w:rsidR="00FB773C">
        <w:t xml:space="preserve">are awaiting </w:t>
      </w:r>
      <w:r w:rsidR="000A5E6E">
        <w:t>confirmation</w:t>
      </w:r>
      <w:r w:rsidR="00F9271F">
        <w:t>.</w:t>
      </w:r>
    </w:p>
    <w:p w14:paraId="44D72632" w14:textId="13C4CAAD" w:rsidR="00BE0B65" w:rsidRDefault="00340964" w:rsidP="00353C17">
      <w:pPr>
        <w:pStyle w:val="BodyText10"/>
      </w:pPr>
      <w:r>
        <w:t>For both vessels it has been suggested that</w:t>
      </w:r>
      <w:r w:rsidR="001C05FF">
        <w:t>,</w:t>
      </w:r>
      <w:r>
        <w:t xml:space="preserve"> if the fire suppression systems were ever used</w:t>
      </w:r>
      <w:r w:rsidR="001C05FF">
        <w:t>,</w:t>
      </w:r>
      <w:r>
        <w:t xml:space="preserve"> that they would be refilled </w:t>
      </w:r>
      <w:r w:rsidR="0075160C">
        <w:t xml:space="preserve">more </w:t>
      </w:r>
      <w:r>
        <w:t xml:space="preserve">economically with a halon alternative drop-in replacement. This suggests that these vessels </w:t>
      </w:r>
      <w:r w:rsidR="00D66277">
        <w:t>are unlikely</w:t>
      </w:r>
      <w:r w:rsidR="00746706">
        <w:t xml:space="preserve"> to</w:t>
      </w:r>
      <w:r>
        <w:t xml:space="preserve"> make any call on future NHB stocks</w:t>
      </w:r>
      <w:r w:rsidR="004B2EB5">
        <w:t>.</w:t>
      </w:r>
      <w:r w:rsidR="00F10700">
        <w:t xml:space="preserve"> </w:t>
      </w:r>
    </w:p>
    <w:p w14:paraId="734286C8" w14:textId="3B23BDB1" w:rsidR="00A14723" w:rsidRPr="00081AC2" w:rsidRDefault="00BE0B65" w:rsidP="00353C17">
      <w:pPr>
        <w:pStyle w:val="BodyText10"/>
      </w:pPr>
      <w:r>
        <w:t xml:space="preserve">Furthermore, </w:t>
      </w:r>
      <w:r w:rsidR="00147A50">
        <w:t xml:space="preserve">fire </w:t>
      </w:r>
      <w:r w:rsidR="00F10700">
        <w:t xml:space="preserve">protection </w:t>
      </w:r>
      <w:r w:rsidR="00147A50">
        <w:t>service providers</w:t>
      </w:r>
      <w:r w:rsidR="004E070D">
        <w:t xml:space="preserve"> </w:t>
      </w:r>
      <w:r w:rsidR="00F0552D">
        <w:t>suggest that</w:t>
      </w:r>
      <w:r w:rsidR="004B2EB5">
        <w:t xml:space="preserve"> </w:t>
      </w:r>
      <w:r w:rsidR="00081470">
        <w:t>end</w:t>
      </w:r>
      <w:r w:rsidR="00F54B3D">
        <w:t>-</w:t>
      </w:r>
      <w:r w:rsidR="00081470">
        <w:t>of</w:t>
      </w:r>
      <w:r w:rsidR="00F54B3D">
        <w:t>-</w:t>
      </w:r>
      <w:r w:rsidR="00081470">
        <w:t xml:space="preserve">life ships are </w:t>
      </w:r>
      <w:r w:rsidR="00B16646">
        <w:t xml:space="preserve">almost always </w:t>
      </w:r>
      <w:r w:rsidR="00081470">
        <w:t>broken down overseas</w:t>
      </w:r>
      <w:r w:rsidR="008523EA">
        <w:t xml:space="preserve"> and </w:t>
      </w:r>
      <w:r w:rsidR="00A25608">
        <w:t xml:space="preserve">so it is likely that these vessels </w:t>
      </w:r>
      <w:r w:rsidR="008523EA">
        <w:t>will have n</w:t>
      </w:r>
      <w:r w:rsidR="00680320">
        <w:t>egligible</w:t>
      </w:r>
      <w:r w:rsidR="00A15918">
        <w:t xml:space="preserve"> </w:t>
      </w:r>
      <w:r w:rsidR="00716D01" w:rsidRPr="00081AC2">
        <w:t xml:space="preserve">implications for </w:t>
      </w:r>
      <w:r w:rsidR="00C32E55" w:rsidRPr="00081AC2">
        <w:t xml:space="preserve">maritime </w:t>
      </w:r>
      <w:r w:rsidR="0038160F" w:rsidRPr="00081AC2">
        <w:t xml:space="preserve">as a source of </w:t>
      </w:r>
      <w:r w:rsidR="00A644CE" w:rsidRPr="00081AC2">
        <w:t xml:space="preserve">halon </w:t>
      </w:r>
      <w:r w:rsidR="0038160F" w:rsidRPr="00081AC2">
        <w:t xml:space="preserve">supply </w:t>
      </w:r>
      <w:r w:rsidR="00A15918">
        <w:t>or</w:t>
      </w:r>
      <w:r w:rsidR="00A15918" w:rsidRPr="00081AC2">
        <w:t xml:space="preserve"> </w:t>
      </w:r>
      <w:r w:rsidR="00E453E4" w:rsidRPr="00081AC2">
        <w:t>demand for the NHB</w:t>
      </w:r>
      <w:r w:rsidR="00D70902" w:rsidRPr="00081AC2">
        <w:t>.</w:t>
      </w:r>
      <w:r w:rsidR="00F10700">
        <w:t xml:space="preserve"> </w:t>
      </w:r>
    </w:p>
    <w:p w14:paraId="4C32F1B6" w14:textId="24FEFE57" w:rsidR="006B3AD3" w:rsidRPr="00081AC2" w:rsidRDefault="00A14723" w:rsidP="008D3E80">
      <w:pPr>
        <w:pStyle w:val="BodyText10"/>
      </w:pPr>
      <w:r w:rsidRPr="00081AC2">
        <w:t xml:space="preserve">In </w:t>
      </w:r>
      <w:r w:rsidR="00F10700">
        <w:t>t</w:t>
      </w:r>
      <w:r w:rsidR="00F10700" w:rsidRPr="00560FB3">
        <w:t>he Halons Technical Options Committee</w:t>
      </w:r>
      <w:r w:rsidRPr="00081AC2">
        <w:t>’s 2018 Assessment Report</w:t>
      </w:r>
      <w:r w:rsidRPr="00081AC2">
        <w:rPr>
          <w:rStyle w:val="FootnoteReference"/>
        </w:rPr>
        <w:footnoteReference w:id="49"/>
      </w:r>
      <w:r w:rsidRPr="00081AC2">
        <w:t xml:space="preserve">, </w:t>
      </w:r>
      <w:r w:rsidR="006559FB" w:rsidRPr="00081AC2">
        <w:t xml:space="preserve">an analysis </w:t>
      </w:r>
      <w:r w:rsidR="00D60DF5" w:rsidRPr="00081AC2">
        <w:t xml:space="preserve">of </w:t>
      </w:r>
      <w:r w:rsidR="00A7732D" w:rsidRPr="00081AC2">
        <w:t xml:space="preserve">remaining </w:t>
      </w:r>
      <w:r w:rsidR="00087A42" w:rsidRPr="00081AC2">
        <w:t xml:space="preserve">global </w:t>
      </w:r>
      <w:r w:rsidR="00D60DF5" w:rsidRPr="00081AC2">
        <w:t xml:space="preserve">halon 1301 </w:t>
      </w:r>
      <w:r w:rsidR="005C421A" w:rsidRPr="00081AC2">
        <w:t xml:space="preserve">installed on ships </w:t>
      </w:r>
      <w:r w:rsidR="00A7732D" w:rsidRPr="00081AC2">
        <w:t>was undertaken</w:t>
      </w:r>
      <w:r w:rsidR="000E1DB1" w:rsidRPr="00081AC2">
        <w:t xml:space="preserve">. </w:t>
      </w:r>
      <w:r w:rsidR="00070A94" w:rsidRPr="00081AC2">
        <w:t>In the mid-1970s, ships switched from carbon dioxide to halon 1301</w:t>
      </w:r>
      <w:r w:rsidR="004D791F" w:rsidRPr="00081AC2">
        <w:t xml:space="preserve">, and </w:t>
      </w:r>
      <w:r w:rsidR="00070A94" w:rsidRPr="00081AC2">
        <w:t xml:space="preserve">the International Maritime Organization (IMO) </w:t>
      </w:r>
      <w:r w:rsidR="004D791F" w:rsidRPr="00081AC2">
        <w:t xml:space="preserve">then </w:t>
      </w:r>
      <w:r w:rsidR="00070A94" w:rsidRPr="00081AC2">
        <w:t xml:space="preserve">banned the use of halons in new constructions in 1992, carbon dioxide once again became the </w:t>
      </w:r>
      <w:r w:rsidR="004D791F" w:rsidRPr="00081AC2">
        <w:t xml:space="preserve">preferred </w:t>
      </w:r>
      <w:r w:rsidR="00070A94" w:rsidRPr="00081AC2">
        <w:t xml:space="preserve">choice for ships. </w:t>
      </w:r>
      <w:r w:rsidR="004D791F" w:rsidRPr="00081AC2">
        <w:t>F</w:t>
      </w:r>
      <w:r w:rsidR="00070A94" w:rsidRPr="00081AC2">
        <w:t xml:space="preserve">rom 1975 – 1993, a significant amount of halon 1301 was installed in </w:t>
      </w:r>
      <w:r w:rsidR="005C67B0" w:rsidRPr="00081AC2">
        <w:t>maritime applications</w:t>
      </w:r>
      <w:r w:rsidR="00070A94" w:rsidRPr="00081AC2">
        <w:t xml:space="preserve">. </w:t>
      </w:r>
      <w:r w:rsidR="000E1DB1" w:rsidRPr="00081AC2">
        <w:t>Assuming a 30 to 40-year lifetime</w:t>
      </w:r>
      <w:r w:rsidR="00D340A2" w:rsidRPr="00081AC2">
        <w:t xml:space="preserve"> of ships with installed halon</w:t>
      </w:r>
      <w:r w:rsidR="000E1DB1" w:rsidRPr="00081AC2">
        <w:t xml:space="preserve">, </w:t>
      </w:r>
      <w:r w:rsidR="00F10700">
        <w:t>t</w:t>
      </w:r>
      <w:r w:rsidR="00F10700" w:rsidRPr="00560FB3">
        <w:t>he Halons Technical Options Committee</w:t>
      </w:r>
      <w:r w:rsidR="00087A42" w:rsidRPr="00081AC2">
        <w:t xml:space="preserve"> estimated </w:t>
      </w:r>
      <w:r w:rsidR="002736CF" w:rsidRPr="00081AC2">
        <w:t>a</w:t>
      </w:r>
      <w:r w:rsidR="00601A6D" w:rsidRPr="00081AC2">
        <w:t xml:space="preserve"> global</w:t>
      </w:r>
      <w:r w:rsidR="002736CF" w:rsidRPr="00081AC2">
        <w:t xml:space="preserve"> average of </w:t>
      </w:r>
      <w:r w:rsidR="002957BB" w:rsidRPr="00081AC2">
        <w:t xml:space="preserve">between 200-300 tonnes/year of halon 1301 could </w:t>
      </w:r>
      <w:r w:rsidR="00D340A2" w:rsidRPr="00081AC2">
        <w:t xml:space="preserve">still </w:t>
      </w:r>
      <w:r w:rsidR="002957BB" w:rsidRPr="00081AC2">
        <w:t xml:space="preserve">be potentially available </w:t>
      </w:r>
      <w:r w:rsidR="006B3AD3" w:rsidRPr="00081AC2">
        <w:t xml:space="preserve">annually </w:t>
      </w:r>
      <w:r w:rsidR="00C43B56" w:rsidRPr="00081AC2">
        <w:t xml:space="preserve">for recovery </w:t>
      </w:r>
      <w:r w:rsidR="00CA322F" w:rsidRPr="00081AC2">
        <w:t xml:space="preserve">until between </w:t>
      </w:r>
      <w:r w:rsidR="0052554B" w:rsidRPr="00081AC2">
        <w:t>2023</w:t>
      </w:r>
      <w:r w:rsidR="00287BC5" w:rsidRPr="00081AC2">
        <w:t xml:space="preserve"> to 2033, the period within which </w:t>
      </w:r>
      <w:r w:rsidR="006D5C77" w:rsidRPr="00081AC2">
        <w:t>the decommissioning of</w:t>
      </w:r>
      <w:r w:rsidR="006C2A7A" w:rsidRPr="00081AC2">
        <w:t xml:space="preserve"> </w:t>
      </w:r>
      <w:r w:rsidR="00287BC5" w:rsidRPr="00081AC2">
        <w:t xml:space="preserve">ships </w:t>
      </w:r>
      <w:r w:rsidR="004E0E24" w:rsidRPr="00081AC2">
        <w:t xml:space="preserve">with installed halon systems </w:t>
      </w:r>
      <w:r w:rsidR="006C2A7A" w:rsidRPr="00081AC2">
        <w:t>is expected to be completed</w:t>
      </w:r>
      <w:r w:rsidR="00C43B56" w:rsidRPr="00081AC2">
        <w:t>.</w:t>
      </w:r>
      <w:r w:rsidR="00F10700">
        <w:t xml:space="preserve"> </w:t>
      </w:r>
    </w:p>
    <w:p w14:paraId="042709E4" w14:textId="1B1EB991" w:rsidR="00A14723" w:rsidRPr="00081AC2" w:rsidRDefault="00502CDF" w:rsidP="008D3E80">
      <w:pPr>
        <w:pStyle w:val="BodyText10"/>
      </w:pPr>
      <w:r w:rsidRPr="00081AC2">
        <w:t xml:space="preserve">The </w:t>
      </w:r>
      <w:r w:rsidR="00F10700" w:rsidRPr="00560FB3">
        <w:t>Halons Technical Options Committee</w:t>
      </w:r>
      <w:r w:rsidRPr="00081AC2">
        <w:t xml:space="preserve"> analysis provides </w:t>
      </w:r>
      <w:r w:rsidR="00EF200D" w:rsidRPr="00081AC2">
        <w:t xml:space="preserve">sources of information that could allow an analysis of Australian flagged ships </w:t>
      </w:r>
      <w:r w:rsidR="00DF1D77" w:rsidRPr="00081AC2">
        <w:t xml:space="preserve">and an </w:t>
      </w:r>
      <w:r w:rsidR="00911FA7" w:rsidRPr="00081AC2">
        <w:t xml:space="preserve">indicative </w:t>
      </w:r>
      <w:r w:rsidR="00DF1D77" w:rsidRPr="00081AC2">
        <w:t xml:space="preserve">estimate of </w:t>
      </w:r>
      <w:r w:rsidR="00195737" w:rsidRPr="00081AC2">
        <w:t xml:space="preserve">remaining </w:t>
      </w:r>
      <w:r w:rsidRPr="00081AC2">
        <w:t xml:space="preserve">installed </w:t>
      </w:r>
      <w:r w:rsidR="00195737" w:rsidRPr="00081AC2">
        <w:t>halon</w:t>
      </w:r>
      <w:r w:rsidR="00D3648C" w:rsidRPr="00081AC2">
        <w:t>.</w:t>
      </w:r>
      <w:r w:rsidRPr="00081AC2">
        <w:t xml:space="preserve"> However, </w:t>
      </w:r>
      <w:r w:rsidR="00440F63">
        <w:t>multiple sources have suggested</w:t>
      </w:r>
      <w:r w:rsidR="00BE0B57">
        <w:t xml:space="preserve"> that</w:t>
      </w:r>
      <w:r w:rsidR="00734F40" w:rsidRPr="00081AC2">
        <w:t xml:space="preserve"> decommissioning of Australian flagged ships </w:t>
      </w:r>
      <w:r w:rsidR="00567C49">
        <w:t>most likely</w:t>
      </w:r>
      <w:r w:rsidR="00734F40" w:rsidRPr="00081AC2">
        <w:t xml:space="preserve"> </w:t>
      </w:r>
      <w:r w:rsidR="000C7DF2" w:rsidRPr="00081AC2">
        <w:t xml:space="preserve">is </w:t>
      </w:r>
      <w:r w:rsidR="006E6048" w:rsidRPr="00081AC2">
        <w:t>occurring</w:t>
      </w:r>
      <w:r w:rsidR="00734F40" w:rsidRPr="00081AC2">
        <w:t xml:space="preserve"> </w:t>
      </w:r>
      <w:r w:rsidR="00D43A61" w:rsidRPr="00081AC2">
        <w:t>at international ship-breaking yards in Bangladesh and Pakistan</w:t>
      </w:r>
      <w:r w:rsidR="00D43A61" w:rsidRPr="00081AC2">
        <w:rPr>
          <w:rStyle w:val="FootnoteReference"/>
        </w:rPr>
        <w:footnoteReference w:id="50"/>
      </w:r>
      <w:r w:rsidR="006E6048" w:rsidRPr="00081AC2">
        <w:t>,</w:t>
      </w:r>
      <w:r w:rsidR="000C7DF2" w:rsidRPr="00081AC2">
        <w:t xml:space="preserve"> where halon 1301 may be collected by </w:t>
      </w:r>
      <w:r w:rsidR="004A23C0" w:rsidRPr="00081AC2">
        <w:t>shipbreakers</w:t>
      </w:r>
      <w:r w:rsidR="006E6048" w:rsidRPr="00081AC2">
        <w:t xml:space="preserve"> </w:t>
      </w:r>
      <w:r w:rsidR="000C7DF2" w:rsidRPr="00081AC2">
        <w:t>for international sale</w:t>
      </w:r>
      <w:r w:rsidR="00D43A61" w:rsidRPr="00081AC2">
        <w:t>.</w:t>
      </w:r>
      <w:r w:rsidR="00734F40" w:rsidRPr="00081AC2">
        <w:t xml:space="preserve"> </w:t>
      </w:r>
      <w:r w:rsidR="00FC7690">
        <w:t>Together</w:t>
      </w:r>
      <w:r w:rsidR="00E67D46">
        <w:t xml:space="preserve"> with reports</w:t>
      </w:r>
      <w:r w:rsidR="00C62F48">
        <w:t xml:space="preserve"> that only </w:t>
      </w:r>
      <w:r w:rsidR="00121517">
        <w:t xml:space="preserve">two vessels </w:t>
      </w:r>
      <w:r w:rsidR="00FD0F74">
        <w:t xml:space="preserve">in Australia </w:t>
      </w:r>
      <w:r w:rsidR="00121517">
        <w:t xml:space="preserve">currently </w:t>
      </w:r>
      <w:r w:rsidR="00F01919">
        <w:t>have installed halon systems</w:t>
      </w:r>
      <w:r w:rsidR="00FD0F74">
        <w:t>,</w:t>
      </w:r>
      <w:r w:rsidR="008A4C4C">
        <w:t xml:space="preserve"> </w:t>
      </w:r>
      <w:r w:rsidR="008472EF">
        <w:t>it is likely</w:t>
      </w:r>
      <w:r w:rsidR="006D12AC">
        <w:t xml:space="preserve"> that</w:t>
      </w:r>
      <w:r w:rsidR="00050450" w:rsidRPr="00081AC2">
        <w:t xml:space="preserve"> an analysis of Australian flagged ships and </w:t>
      </w:r>
      <w:r w:rsidR="004A23C0" w:rsidRPr="00081AC2">
        <w:t xml:space="preserve">their </w:t>
      </w:r>
      <w:r w:rsidR="00050450" w:rsidRPr="00081AC2">
        <w:t>installed halon</w:t>
      </w:r>
      <w:r w:rsidR="00065096" w:rsidRPr="00081AC2">
        <w:t>,</w:t>
      </w:r>
      <w:r w:rsidR="00050450" w:rsidRPr="00081AC2">
        <w:t xml:space="preserve"> </w:t>
      </w:r>
      <w:r w:rsidR="00911FA7" w:rsidRPr="00081AC2">
        <w:t xml:space="preserve">as a potential source of </w:t>
      </w:r>
      <w:r w:rsidR="00911FA7" w:rsidRPr="00081AC2">
        <w:lastRenderedPageBreak/>
        <w:t xml:space="preserve">halon </w:t>
      </w:r>
      <w:r w:rsidR="00B32EDF" w:rsidRPr="00081AC2">
        <w:t>for the NHB</w:t>
      </w:r>
      <w:r w:rsidR="00065096" w:rsidRPr="00081AC2">
        <w:t>,</w:t>
      </w:r>
      <w:r w:rsidR="00B32EDF" w:rsidRPr="00081AC2">
        <w:t xml:space="preserve"> </w:t>
      </w:r>
      <w:r w:rsidR="008A4C4C">
        <w:t>would</w:t>
      </w:r>
      <w:r w:rsidR="008A4C4C" w:rsidRPr="00081AC2">
        <w:t xml:space="preserve"> </w:t>
      </w:r>
      <w:r w:rsidR="00125199">
        <w:t xml:space="preserve">not </w:t>
      </w:r>
      <w:r w:rsidR="00050450" w:rsidRPr="00081AC2">
        <w:t xml:space="preserve">be </w:t>
      </w:r>
      <w:r w:rsidR="00125199">
        <w:t>worthwhile</w:t>
      </w:r>
      <w:r w:rsidR="004A23C0" w:rsidRPr="00081AC2">
        <w:t>.</w:t>
      </w:r>
    </w:p>
    <w:p w14:paraId="630A43F9" w14:textId="15FC4540" w:rsidR="00A367EE" w:rsidRPr="00081AC2" w:rsidRDefault="001649D3" w:rsidP="008D3E80">
      <w:pPr>
        <w:pStyle w:val="BodyText10"/>
      </w:pPr>
      <w:r w:rsidRPr="00081AC2">
        <w:t>Under the A</w:t>
      </w:r>
      <w:r w:rsidR="00D645CD">
        <w:t xml:space="preserve">ustralian </w:t>
      </w:r>
      <w:r w:rsidRPr="00081AC2">
        <w:t>H</w:t>
      </w:r>
      <w:r w:rsidR="00D645CD">
        <w:t xml:space="preserve">alon </w:t>
      </w:r>
      <w:r w:rsidRPr="00081AC2">
        <w:t>M</w:t>
      </w:r>
      <w:r w:rsidR="00D645CD">
        <w:t xml:space="preserve">anagement </w:t>
      </w:r>
      <w:r w:rsidRPr="00081AC2">
        <w:t>S</w:t>
      </w:r>
      <w:r w:rsidR="00D645CD">
        <w:t>trategy</w:t>
      </w:r>
      <w:r w:rsidRPr="00081AC2">
        <w:t xml:space="preserve"> 2019, foreign ships, </w:t>
      </w:r>
      <w:r w:rsidR="00447924" w:rsidRPr="00081AC2">
        <w:t xml:space="preserve">which </w:t>
      </w:r>
      <w:r w:rsidRPr="00081AC2">
        <w:t>sourc</w:t>
      </w:r>
      <w:r w:rsidR="00447924" w:rsidRPr="00081AC2">
        <w:t>e</w:t>
      </w:r>
      <w:r w:rsidRPr="00081AC2">
        <w:t xml:space="preserve"> halon from the NHB to replenish halon </w:t>
      </w:r>
      <w:r w:rsidR="00F709AB" w:rsidRPr="00081AC2">
        <w:t xml:space="preserve">that </w:t>
      </w:r>
      <w:r w:rsidR="00787A00">
        <w:t>ha</w:t>
      </w:r>
      <w:r w:rsidR="00F709AB" w:rsidRPr="00081AC2">
        <w:t xml:space="preserve">s </w:t>
      </w:r>
      <w:r w:rsidR="00787A00">
        <w:t>been</w:t>
      </w:r>
      <w:r w:rsidR="00F709AB" w:rsidRPr="00081AC2">
        <w:t xml:space="preserve"> </w:t>
      </w:r>
      <w:r w:rsidRPr="00081AC2">
        <w:t xml:space="preserve">depleted while sailing to Australia, must inform </w:t>
      </w:r>
      <w:r w:rsidR="00A143DF">
        <w:t xml:space="preserve">the </w:t>
      </w:r>
      <w:r w:rsidR="00BC153C">
        <w:t>Australian Maritime Safety Authority (</w:t>
      </w:r>
      <w:r w:rsidRPr="00081AC2">
        <w:t>AMSA</w:t>
      </w:r>
      <w:r w:rsidR="00BC153C">
        <w:t>)</w:t>
      </w:r>
      <w:r w:rsidRPr="00081AC2">
        <w:t xml:space="preserve"> of these occurrences. </w:t>
      </w:r>
      <w:r w:rsidR="00D1651C">
        <w:t>Enquiries</w:t>
      </w:r>
      <w:r w:rsidR="00D1651C" w:rsidRPr="00081AC2">
        <w:t xml:space="preserve"> </w:t>
      </w:r>
      <w:r w:rsidR="00D1651C">
        <w:t xml:space="preserve">have been made with </w:t>
      </w:r>
      <w:r w:rsidR="0035684A">
        <w:t>the Australian Maritime Safety Authority</w:t>
      </w:r>
      <w:r w:rsidR="00AB2BAA">
        <w:t xml:space="preserve"> </w:t>
      </w:r>
      <w:r w:rsidR="00C52197">
        <w:t>requesting information on any</w:t>
      </w:r>
      <w:r w:rsidRPr="00081AC2">
        <w:t xml:space="preserve"> recent occurrences </w:t>
      </w:r>
      <w:r w:rsidR="00C30D3E">
        <w:t xml:space="preserve">but </w:t>
      </w:r>
      <w:r w:rsidR="00D645CD">
        <w:t>received no response</w:t>
      </w:r>
      <w:r w:rsidRPr="00081AC2">
        <w:t>.</w:t>
      </w:r>
      <w:r w:rsidR="00F10700">
        <w:t xml:space="preserve"> </w:t>
      </w:r>
    </w:p>
    <w:p w14:paraId="57F838AF" w14:textId="0B6D187F" w:rsidR="002A57CC" w:rsidRPr="00081AC2" w:rsidRDefault="00D70902" w:rsidP="008D3E80">
      <w:pPr>
        <w:pStyle w:val="BodyText10"/>
      </w:pPr>
      <w:r w:rsidRPr="00081AC2">
        <w:t xml:space="preserve">With maritime use of halon decreasing, and with existing vessels broken down at end-of-life, there are implications for the continued collection of recovered halon </w:t>
      </w:r>
      <w:r w:rsidR="00447924" w:rsidRPr="00081AC2">
        <w:t>because</w:t>
      </w:r>
      <w:r w:rsidRPr="00081AC2">
        <w:t xml:space="preserve"> quantities from decommissioned equipment </w:t>
      </w:r>
      <w:r w:rsidR="000C627B">
        <w:t>are</w:t>
      </w:r>
      <w:r w:rsidR="00447924" w:rsidRPr="00081AC2">
        <w:t xml:space="preserve"> </w:t>
      </w:r>
      <w:r w:rsidRPr="00081AC2">
        <w:t>decreas</w:t>
      </w:r>
      <w:r w:rsidR="00447924" w:rsidRPr="00081AC2">
        <w:t>ing</w:t>
      </w:r>
      <w:r w:rsidRPr="00081AC2">
        <w:t xml:space="preserve"> and </w:t>
      </w:r>
      <w:r w:rsidR="00447924" w:rsidRPr="00081AC2">
        <w:t xml:space="preserve">will </w:t>
      </w:r>
      <w:r w:rsidRPr="00081AC2">
        <w:t>cease</w:t>
      </w:r>
      <w:r w:rsidR="00447924" w:rsidRPr="00081AC2">
        <w:t xml:space="preserve"> </w:t>
      </w:r>
      <w:r w:rsidR="000C627B">
        <w:t xml:space="preserve">altogether </w:t>
      </w:r>
      <w:r w:rsidR="00447924" w:rsidRPr="00081AC2">
        <w:t>in the next decade or so</w:t>
      </w:r>
      <w:r w:rsidRPr="00081AC2">
        <w:t>.</w:t>
      </w:r>
      <w:r w:rsidR="00A367EE" w:rsidRPr="00081AC2">
        <w:t xml:space="preserve"> </w:t>
      </w:r>
      <w:r w:rsidR="00D3500E" w:rsidRPr="00081AC2">
        <w:t xml:space="preserve">Initial indications </w:t>
      </w:r>
      <w:r w:rsidR="00682734" w:rsidRPr="00081AC2">
        <w:t xml:space="preserve">from consultations </w:t>
      </w:r>
      <w:r w:rsidR="00D3500E" w:rsidRPr="00081AC2">
        <w:t>are that no halon has been recovered by the NHB from maritime uses</w:t>
      </w:r>
      <w:r w:rsidR="00682734" w:rsidRPr="00081AC2">
        <w:t xml:space="preserve"> since 2012.</w:t>
      </w:r>
      <w:r w:rsidR="00A940C6" w:rsidRPr="00081AC2">
        <w:t xml:space="preserve"> Further consultations with </w:t>
      </w:r>
      <w:r w:rsidR="005310B0" w:rsidRPr="00081AC2">
        <w:t xml:space="preserve">service providers </w:t>
      </w:r>
      <w:r w:rsidR="00C84FC5">
        <w:t>suggest that</w:t>
      </w:r>
      <w:r w:rsidR="00B81258" w:rsidRPr="00081AC2">
        <w:t xml:space="preserve"> </w:t>
      </w:r>
      <w:r w:rsidR="00110B4D" w:rsidRPr="00081AC2">
        <w:t xml:space="preserve">halon </w:t>
      </w:r>
      <w:r w:rsidR="00B81258" w:rsidRPr="00081AC2">
        <w:t xml:space="preserve">supply and demand </w:t>
      </w:r>
      <w:r w:rsidR="00110B4D" w:rsidRPr="00081AC2">
        <w:t>for</w:t>
      </w:r>
      <w:r w:rsidR="00B81258" w:rsidRPr="00081AC2">
        <w:t xml:space="preserve"> this sector</w:t>
      </w:r>
      <w:r w:rsidR="00110B4D" w:rsidRPr="00081AC2">
        <w:t xml:space="preserve"> in Australia</w:t>
      </w:r>
      <w:r w:rsidR="008D3E80">
        <w:t xml:space="preserve"> </w:t>
      </w:r>
      <w:r w:rsidR="00C84FC5">
        <w:t xml:space="preserve">will </w:t>
      </w:r>
      <w:r w:rsidR="00435E2A">
        <w:t>not be significant</w:t>
      </w:r>
      <w:r w:rsidR="005310B0" w:rsidRPr="00081AC2">
        <w:t>.</w:t>
      </w:r>
    </w:p>
    <w:p w14:paraId="35E80A1C" w14:textId="7AAD4733" w:rsidR="00F40619" w:rsidRPr="00081AC2" w:rsidRDefault="00F40619" w:rsidP="00324056">
      <w:pPr>
        <w:pStyle w:val="Heading2"/>
      </w:pPr>
      <w:bookmarkStart w:id="41" w:name="_Toc38190348"/>
      <w:r w:rsidRPr="00081AC2">
        <w:t xml:space="preserve">Defence </w:t>
      </w:r>
      <w:r w:rsidR="00A32290" w:rsidRPr="00081AC2">
        <w:t>Uses</w:t>
      </w:r>
      <w:bookmarkEnd w:id="41"/>
    </w:p>
    <w:p w14:paraId="48782C5B" w14:textId="09CEDCC6" w:rsidR="00DA0DDB" w:rsidRPr="00081AC2" w:rsidRDefault="00E565B9" w:rsidP="008D3E80">
      <w:pPr>
        <w:pStyle w:val="BodyText10"/>
      </w:pPr>
      <w:r w:rsidRPr="00443BA5">
        <w:t>Defence future halon requirements have been addressed separately.</w:t>
      </w:r>
    </w:p>
    <w:p w14:paraId="401BA625" w14:textId="77777777" w:rsidR="00DA3CDA" w:rsidRPr="002518AB" w:rsidRDefault="00DA3CDA" w:rsidP="00BD75CA">
      <w:pPr>
        <w:rPr>
          <w:b/>
          <w:sz w:val="28"/>
        </w:rPr>
      </w:pPr>
      <w:r w:rsidRPr="002518AB">
        <w:br w:type="page"/>
      </w:r>
    </w:p>
    <w:p w14:paraId="454A8842" w14:textId="77786C2B" w:rsidR="00E51F07" w:rsidRPr="008D3E80" w:rsidRDefault="00E51F07" w:rsidP="00F579E3">
      <w:pPr>
        <w:pStyle w:val="Heading1"/>
      </w:pPr>
      <w:bookmarkStart w:id="42" w:name="_Toc38190349"/>
      <w:r w:rsidRPr="008D3E80">
        <w:lastRenderedPageBreak/>
        <w:t xml:space="preserve">Estimated </w:t>
      </w:r>
      <w:r w:rsidR="006E2C64">
        <w:t>Non-Defence</w:t>
      </w:r>
      <w:r w:rsidR="00A32290" w:rsidRPr="008D3E80">
        <w:t xml:space="preserve"> Halon Availability </w:t>
      </w:r>
      <w:r w:rsidR="002849A7" w:rsidRPr="008D3E80">
        <w:t xml:space="preserve">and </w:t>
      </w:r>
      <w:r w:rsidR="003671E7">
        <w:t xml:space="preserve">Future </w:t>
      </w:r>
      <w:r w:rsidR="00A32290" w:rsidRPr="008D3E80">
        <w:t>Requirements</w:t>
      </w:r>
      <w:bookmarkEnd w:id="42"/>
    </w:p>
    <w:p w14:paraId="388C130C" w14:textId="74E78362" w:rsidR="00807B54" w:rsidRPr="008D3E80" w:rsidRDefault="00670904" w:rsidP="00324056">
      <w:pPr>
        <w:pStyle w:val="Heading2"/>
      </w:pPr>
      <w:bookmarkStart w:id="43" w:name="_Toc38190350"/>
      <w:r w:rsidRPr="008D3E80">
        <w:t>Interviews with Selected</w:t>
      </w:r>
      <w:r w:rsidR="005F70C8" w:rsidRPr="008D3E80">
        <w:t xml:space="preserve"> Halon Special Permit Holders</w:t>
      </w:r>
      <w:bookmarkEnd w:id="43"/>
    </w:p>
    <w:p w14:paraId="3C3CE1A1" w14:textId="4109FD44" w:rsidR="00B174F6" w:rsidRPr="000C627B" w:rsidRDefault="007B4E46" w:rsidP="000C627B">
      <w:pPr>
        <w:pStyle w:val="BodyText10"/>
      </w:pPr>
      <w:r>
        <w:t>Each of the 42</w:t>
      </w:r>
      <w:r w:rsidRPr="0099705D">
        <w:t xml:space="preserve"> </w:t>
      </w:r>
      <w:r w:rsidR="001B0F24">
        <w:t>halon special permit</w:t>
      </w:r>
      <w:r w:rsidR="00463ABB">
        <w:t xml:space="preserve"> </w:t>
      </w:r>
      <w:r w:rsidR="00BC3905" w:rsidRPr="0099705D">
        <w:t>holder</w:t>
      </w:r>
      <w:r w:rsidR="00146603" w:rsidRPr="000C7F10">
        <w:t>s</w:t>
      </w:r>
      <w:r w:rsidR="00067BE0" w:rsidRPr="004D6EAA">
        <w:t xml:space="preserve"> </w:t>
      </w:r>
      <w:r>
        <w:t>was</w:t>
      </w:r>
      <w:r w:rsidRPr="00906BE9">
        <w:t xml:space="preserve"> </w:t>
      </w:r>
      <w:r w:rsidR="00E4689F" w:rsidRPr="00906BE9">
        <w:t xml:space="preserve">contacted </w:t>
      </w:r>
      <w:r w:rsidR="00BE6BB7">
        <w:t xml:space="preserve">via email </w:t>
      </w:r>
      <w:r w:rsidR="00872B3D" w:rsidRPr="0099705D">
        <w:t>request</w:t>
      </w:r>
      <w:r w:rsidR="001939CC" w:rsidRPr="000C7F10">
        <w:t>ing</w:t>
      </w:r>
      <w:r w:rsidR="00F50DD6" w:rsidRPr="004D6EAA">
        <w:t xml:space="preserve"> </w:t>
      </w:r>
      <w:r w:rsidR="00300582" w:rsidRPr="000C7F10">
        <w:t xml:space="preserve">basic </w:t>
      </w:r>
      <w:r w:rsidR="00F50DD6" w:rsidRPr="004D6EAA">
        <w:t>information</w:t>
      </w:r>
      <w:r w:rsidR="00300582" w:rsidRPr="00B13CD2">
        <w:t xml:space="preserve"> about their halon applications</w:t>
      </w:r>
      <w:r w:rsidR="00793B66" w:rsidRPr="001B3A85">
        <w:t xml:space="preserve"> </w:t>
      </w:r>
      <w:r w:rsidR="00AC60A5">
        <w:t>with a</w:t>
      </w:r>
      <w:r w:rsidR="000E4F81">
        <w:t xml:space="preserve"> </w:t>
      </w:r>
      <w:r w:rsidR="00925B6E" w:rsidRPr="001B3A85">
        <w:t xml:space="preserve">response rate </w:t>
      </w:r>
      <w:r w:rsidR="00302E0D">
        <w:t>of around</w:t>
      </w:r>
      <w:r w:rsidR="003813A7">
        <w:t xml:space="preserve"> </w:t>
      </w:r>
      <w:r w:rsidR="007446FF">
        <w:t>40</w:t>
      </w:r>
      <w:r w:rsidR="001B0F24">
        <w:t>%</w:t>
      </w:r>
      <w:r w:rsidR="00925B6E" w:rsidRPr="001B3A85">
        <w:t xml:space="preserve">. </w:t>
      </w:r>
      <w:r w:rsidR="00C91EC8" w:rsidRPr="000C7F10">
        <w:t xml:space="preserve">Key </w:t>
      </w:r>
      <w:r w:rsidR="00740E99">
        <w:t>stakeholders</w:t>
      </w:r>
      <w:r w:rsidR="00740E99" w:rsidRPr="004D6EAA">
        <w:t xml:space="preserve"> </w:t>
      </w:r>
      <w:r w:rsidR="003853AC" w:rsidRPr="00B13CD2">
        <w:t xml:space="preserve">and major users </w:t>
      </w:r>
      <w:r w:rsidR="00925B6E" w:rsidRPr="001B3A85">
        <w:t>were</w:t>
      </w:r>
      <w:r w:rsidR="00BC3905" w:rsidRPr="00906BE9">
        <w:t xml:space="preserve"> </w:t>
      </w:r>
      <w:r w:rsidR="007B7B3B">
        <w:t xml:space="preserve">followed up </w:t>
      </w:r>
      <w:r w:rsidR="00DC3B86">
        <w:t>individually</w:t>
      </w:r>
      <w:r w:rsidR="007B7B3B">
        <w:t>.</w:t>
      </w:r>
      <w:r w:rsidR="007B7B3B" w:rsidRPr="001B3A85">
        <w:t xml:space="preserve"> </w:t>
      </w:r>
      <w:r w:rsidR="007B7B3B">
        <w:t>A</w:t>
      </w:r>
      <w:r w:rsidR="006F599C" w:rsidRPr="000C7F10">
        <w:t xml:space="preserve"> number of </w:t>
      </w:r>
      <w:r w:rsidR="00627A4B" w:rsidRPr="004D6EAA">
        <w:t>stake</w:t>
      </w:r>
      <w:r w:rsidR="006F599C" w:rsidRPr="00B13CD2">
        <w:t xml:space="preserve">holders </w:t>
      </w:r>
      <w:r w:rsidR="00925B6E" w:rsidRPr="001B3A85">
        <w:t xml:space="preserve">provided </w:t>
      </w:r>
      <w:r w:rsidR="00F1145D" w:rsidRPr="001B3A85">
        <w:t>excellent</w:t>
      </w:r>
      <w:r w:rsidR="00925B6E" w:rsidRPr="00906BE9">
        <w:t xml:space="preserve"> </w:t>
      </w:r>
      <w:r w:rsidR="003E6074">
        <w:t xml:space="preserve">quantitative </w:t>
      </w:r>
      <w:r w:rsidR="007B7B3B">
        <w:t xml:space="preserve">and </w:t>
      </w:r>
      <w:r w:rsidR="003E6074" w:rsidRPr="003E6074">
        <w:t>qualitative</w:t>
      </w:r>
      <w:r w:rsidR="003E6074" w:rsidRPr="0099705D">
        <w:t xml:space="preserve"> </w:t>
      </w:r>
      <w:r w:rsidR="009A7D05" w:rsidRPr="0099705D">
        <w:t xml:space="preserve">information </w:t>
      </w:r>
      <w:r w:rsidR="008652FB" w:rsidRPr="000C7F10">
        <w:t xml:space="preserve">that </w:t>
      </w:r>
      <w:r w:rsidR="00F1145D" w:rsidRPr="001B3A85">
        <w:t>has</w:t>
      </w:r>
      <w:r w:rsidR="00F1145D" w:rsidRPr="00906BE9">
        <w:t xml:space="preserve"> </w:t>
      </w:r>
      <w:r w:rsidR="008652FB" w:rsidRPr="0099705D">
        <w:t>help</w:t>
      </w:r>
      <w:r w:rsidR="00F1145D" w:rsidRPr="001B3A85">
        <w:t>ed</w:t>
      </w:r>
      <w:r w:rsidR="008652FB" w:rsidRPr="00906BE9">
        <w:t xml:space="preserve"> inform</w:t>
      </w:r>
      <w:r w:rsidR="009A7D05" w:rsidRPr="0099705D">
        <w:t xml:space="preserve"> th</w:t>
      </w:r>
      <w:r w:rsidR="00DC3B86">
        <w:t>is</w:t>
      </w:r>
      <w:r w:rsidR="009A7D05" w:rsidRPr="0099705D">
        <w:t xml:space="preserve"> review</w:t>
      </w:r>
      <w:r w:rsidR="0016413F" w:rsidRPr="001B3A85">
        <w:t>.</w:t>
      </w:r>
      <w:r w:rsidR="00A764F5" w:rsidRPr="0099705D">
        <w:t xml:space="preserve"> </w:t>
      </w:r>
      <w:r w:rsidR="00272DF6" w:rsidRPr="004B5C66">
        <w:t>Insights gained from the</w:t>
      </w:r>
      <w:r w:rsidR="009618E2" w:rsidRPr="00D03F03">
        <w:t xml:space="preserve"> i</w:t>
      </w:r>
      <w:r w:rsidR="00E305B8" w:rsidRPr="008F32F3">
        <w:t xml:space="preserve">nformation </w:t>
      </w:r>
      <w:r w:rsidR="00E62734" w:rsidRPr="008F32F3">
        <w:t>gathered</w:t>
      </w:r>
      <w:r w:rsidR="00E305B8" w:rsidRPr="00586549">
        <w:t xml:space="preserve"> </w:t>
      </w:r>
      <w:r w:rsidR="0016413F" w:rsidRPr="001B3A85">
        <w:t>have</w:t>
      </w:r>
      <w:r w:rsidR="0016413F" w:rsidRPr="00906BE9">
        <w:t xml:space="preserve"> </w:t>
      </w:r>
      <w:r w:rsidR="00AD2F5E" w:rsidRPr="0099705D">
        <w:t>be</w:t>
      </w:r>
      <w:r w:rsidR="0016413F" w:rsidRPr="001B3A85">
        <w:t>en</w:t>
      </w:r>
      <w:r w:rsidR="00E305B8" w:rsidRPr="00906BE9">
        <w:t xml:space="preserve"> incorporated </w:t>
      </w:r>
      <w:r w:rsidR="00173E03" w:rsidRPr="0099705D">
        <w:t xml:space="preserve">throughout </w:t>
      </w:r>
      <w:r w:rsidR="00173E03" w:rsidRPr="000C7F10">
        <w:t>th</w:t>
      </w:r>
      <w:r w:rsidR="0016413F" w:rsidRPr="001B3A85">
        <w:t>is</w:t>
      </w:r>
      <w:r w:rsidR="008D211B" w:rsidRPr="0099705D">
        <w:t xml:space="preserve"> </w:t>
      </w:r>
      <w:r w:rsidR="00AD2F5E" w:rsidRPr="004D6EAA">
        <w:t>report</w:t>
      </w:r>
      <w:r w:rsidR="00E305B8" w:rsidRPr="000C7F10">
        <w:t>.</w:t>
      </w:r>
    </w:p>
    <w:p w14:paraId="0F9F796F" w14:textId="1A5F6BA3" w:rsidR="006F599C" w:rsidRPr="000C627B" w:rsidRDefault="006F599C" w:rsidP="00324056">
      <w:pPr>
        <w:pStyle w:val="Heading2"/>
      </w:pPr>
      <w:bookmarkStart w:id="44" w:name="_Toc38190351"/>
      <w:r w:rsidRPr="000C627B">
        <w:t>Halon Special Permit Holders’ Statutory</w:t>
      </w:r>
      <w:r w:rsidR="00F51BE3" w:rsidRPr="000C627B">
        <w:t xml:space="preserve"> Reports</w:t>
      </w:r>
      <w:r w:rsidR="00FF5920" w:rsidRPr="000C627B">
        <w:t xml:space="preserve"> and Analysis</w:t>
      </w:r>
      <w:bookmarkEnd w:id="44"/>
    </w:p>
    <w:p w14:paraId="0D90A5AC" w14:textId="35AE6BDE" w:rsidR="00E1567B" w:rsidRDefault="006F599C" w:rsidP="000C627B">
      <w:pPr>
        <w:pStyle w:val="BodyText10"/>
      </w:pPr>
      <w:r w:rsidRPr="000C627B">
        <w:t xml:space="preserve">Under </w:t>
      </w:r>
      <w:r w:rsidR="00205839" w:rsidRPr="000C627B">
        <w:t xml:space="preserve">the </w:t>
      </w:r>
      <w:r w:rsidR="00205839" w:rsidRPr="000C627B">
        <w:rPr>
          <w:i/>
        </w:rPr>
        <w:t>Ozone Protection and Synthetic Greenhouse Gas Management Act 1989</w:t>
      </w:r>
      <w:r w:rsidRPr="000C627B">
        <w:t>, halon special permit holders are re</w:t>
      </w:r>
      <w:r w:rsidR="00205839" w:rsidRPr="000C627B">
        <w:t>quired to report quarterly</w:t>
      </w:r>
      <w:r w:rsidR="008729DE">
        <w:t xml:space="preserve"> on the information </w:t>
      </w:r>
      <w:r w:rsidR="00DD07F1">
        <w:t xml:space="preserve">outlined </w:t>
      </w:r>
      <w:r w:rsidR="008729DE">
        <w:t>in the next section</w:t>
      </w:r>
      <w:r w:rsidR="00E305B8" w:rsidRPr="000C627B">
        <w:t xml:space="preserve">. </w:t>
      </w:r>
      <w:r w:rsidR="0036647E">
        <w:t xml:space="preserve">The Fire Protection Industry Board </w:t>
      </w:r>
      <w:r w:rsidR="00B06301">
        <w:t>administers the collection of this data.</w:t>
      </w:r>
      <w:r w:rsidR="0036647E">
        <w:t xml:space="preserve"> </w:t>
      </w:r>
    </w:p>
    <w:p w14:paraId="719057FB" w14:textId="74201348" w:rsidR="000972D6" w:rsidRDefault="00F44AAC" w:rsidP="000C627B">
      <w:pPr>
        <w:pStyle w:val="BodyText10"/>
      </w:pPr>
      <w:r w:rsidRPr="00722183">
        <w:t xml:space="preserve">The </w:t>
      </w:r>
      <w:r w:rsidR="00720FF6" w:rsidRPr="00722183">
        <w:t xml:space="preserve">Department provided </w:t>
      </w:r>
      <w:r w:rsidR="000972D6" w:rsidRPr="00722183">
        <w:t xml:space="preserve">a summary of </w:t>
      </w:r>
      <w:r w:rsidR="00E305B8" w:rsidRPr="00722183">
        <w:t>quarterly reports from halon special permit holders</w:t>
      </w:r>
      <w:r w:rsidR="00780F45" w:rsidRPr="00722183">
        <w:t xml:space="preserve"> </w:t>
      </w:r>
      <w:r w:rsidR="000972D6" w:rsidRPr="00722183">
        <w:t>made to</w:t>
      </w:r>
      <w:r w:rsidR="00780F45" w:rsidRPr="00722183">
        <w:t xml:space="preserve"> the Fire Protection Industry Board</w:t>
      </w:r>
      <w:r w:rsidR="00E305B8" w:rsidRPr="00722183">
        <w:t xml:space="preserve">. </w:t>
      </w:r>
      <w:r w:rsidR="006E5608" w:rsidRPr="00722183">
        <w:t>Aggregated q</w:t>
      </w:r>
      <w:r w:rsidR="0089647C" w:rsidRPr="00722183">
        <w:t xml:space="preserve">uarterly data </w:t>
      </w:r>
      <w:r w:rsidR="009146B2" w:rsidRPr="00722183">
        <w:t>fro</w:t>
      </w:r>
      <w:r w:rsidR="00F95831" w:rsidRPr="00722183">
        <w:t>m</w:t>
      </w:r>
      <w:r w:rsidR="009146B2" w:rsidRPr="00722183">
        <w:t xml:space="preserve"> </w:t>
      </w:r>
      <w:r w:rsidR="00F10700">
        <w:t>halon special permit</w:t>
      </w:r>
      <w:r w:rsidR="009146B2" w:rsidRPr="00722183">
        <w:t xml:space="preserve"> holders</w:t>
      </w:r>
      <w:r w:rsidR="0089647C" w:rsidRPr="00722183">
        <w:t xml:space="preserve"> </w:t>
      </w:r>
      <w:r w:rsidR="00533579" w:rsidRPr="00722183">
        <w:t xml:space="preserve">for halon 1211 and halon 1301 </w:t>
      </w:r>
      <w:r w:rsidR="0089647C" w:rsidRPr="00722183">
        <w:t xml:space="preserve">were provided </w:t>
      </w:r>
      <w:r w:rsidR="000972D6" w:rsidRPr="00722183">
        <w:t xml:space="preserve">for </w:t>
      </w:r>
      <w:r w:rsidR="00A67FE7" w:rsidRPr="00722183">
        <w:t>Marc</w:t>
      </w:r>
      <w:r w:rsidR="00016677" w:rsidRPr="00722183">
        <w:t>h 201</w:t>
      </w:r>
      <w:r w:rsidR="00392850" w:rsidRPr="00722183">
        <w:t>3</w:t>
      </w:r>
      <w:r w:rsidR="00016677" w:rsidRPr="00722183">
        <w:t xml:space="preserve"> </w:t>
      </w:r>
      <w:r w:rsidR="006E5608" w:rsidRPr="00722183">
        <w:t>through</w:t>
      </w:r>
      <w:r w:rsidR="00016677" w:rsidRPr="00722183">
        <w:t xml:space="preserve"> </w:t>
      </w:r>
      <w:r w:rsidR="00C5623E" w:rsidRPr="00722183">
        <w:t>June</w:t>
      </w:r>
      <w:r w:rsidR="00016677" w:rsidRPr="00722183">
        <w:t xml:space="preserve"> 2019</w:t>
      </w:r>
      <w:r w:rsidR="00C5623E" w:rsidRPr="00722183">
        <w:t>, with September 2019 data being incomplete.</w:t>
      </w:r>
      <w:r w:rsidR="004105B4" w:rsidRPr="000C627B">
        <w:t xml:space="preserve"> </w:t>
      </w:r>
    </w:p>
    <w:p w14:paraId="14394D12" w14:textId="4ADF548D" w:rsidR="00AB6ACA" w:rsidRPr="002E0525" w:rsidRDefault="00247F8D" w:rsidP="00324056">
      <w:pPr>
        <w:pStyle w:val="Heading3"/>
      </w:pPr>
      <w:bookmarkStart w:id="45" w:name="_Toc38190352"/>
      <w:r w:rsidRPr="00F329B6">
        <w:t xml:space="preserve">Categories of Reported Data </w:t>
      </w:r>
      <w:r w:rsidR="00D54F80" w:rsidRPr="009927DC">
        <w:t>of</w:t>
      </w:r>
      <w:r w:rsidR="00AB6ACA" w:rsidRPr="002E0525">
        <w:t xml:space="preserve"> Statutory Reports</w:t>
      </w:r>
      <w:bookmarkEnd w:id="45"/>
      <w:r w:rsidR="00AB6ACA" w:rsidRPr="002E0525">
        <w:t xml:space="preserve"> </w:t>
      </w:r>
    </w:p>
    <w:p w14:paraId="724412CE" w14:textId="1F81CD18" w:rsidR="00457D6B" w:rsidRPr="002518AB" w:rsidRDefault="002E0525" w:rsidP="000C627B">
      <w:pPr>
        <w:pStyle w:val="BodyText10"/>
      </w:pPr>
      <w:r>
        <w:t>T</w:t>
      </w:r>
      <w:r w:rsidR="00E70C87" w:rsidRPr="002518AB">
        <w:t>he</w:t>
      </w:r>
      <w:r w:rsidR="00457D6B" w:rsidRPr="002518AB">
        <w:t xml:space="preserve"> six categories of reported data by halon special permit holders</w:t>
      </w:r>
      <w:r w:rsidR="00B0542E">
        <w:t xml:space="preserve"> </w:t>
      </w:r>
      <w:r>
        <w:t>are</w:t>
      </w:r>
      <w:r w:rsidR="00457D6B" w:rsidRPr="002518AB">
        <w:t xml:space="preserve">: </w:t>
      </w:r>
    </w:p>
    <w:p w14:paraId="63F41508" w14:textId="4349C125" w:rsidR="00457D6B" w:rsidRPr="002518AB" w:rsidRDefault="00457D6B" w:rsidP="00DF4CEB">
      <w:pPr>
        <w:pStyle w:val="BodyText10"/>
        <w:numPr>
          <w:ilvl w:val="0"/>
          <w:numId w:val="14"/>
        </w:numPr>
        <w:spacing w:after="120"/>
        <w:ind w:left="714" w:hanging="357"/>
      </w:pPr>
      <w:r w:rsidRPr="002518AB">
        <w:t xml:space="preserve">Acquired, which is the quantity of halon acquired, and includes quantities acquired from the NHB </w:t>
      </w:r>
      <w:r w:rsidR="003D2B76" w:rsidRPr="002518AB">
        <w:t>and</w:t>
      </w:r>
      <w:r w:rsidRPr="002518AB">
        <w:t xml:space="preserve"> fire protection companies</w:t>
      </w:r>
      <w:r w:rsidR="000B1BC5">
        <w:t>,</w:t>
      </w:r>
      <w:r w:rsidRPr="002518AB">
        <w:t xml:space="preserve"> by the </w:t>
      </w:r>
      <w:r w:rsidR="003D2B76" w:rsidRPr="002518AB">
        <w:t>user or</w:t>
      </w:r>
      <w:r w:rsidRPr="002518AB">
        <w:t xml:space="preserve"> by other fire protection companies (includes double counting); </w:t>
      </w:r>
    </w:p>
    <w:p w14:paraId="25D7B444" w14:textId="77777777" w:rsidR="00457D6B" w:rsidRPr="002518AB" w:rsidRDefault="00457D6B" w:rsidP="00DF4CEB">
      <w:pPr>
        <w:pStyle w:val="BodyText10"/>
        <w:numPr>
          <w:ilvl w:val="0"/>
          <w:numId w:val="14"/>
        </w:numPr>
        <w:spacing w:after="120"/>
        <w:ind w:left="714" w:hanging="357"/>
      </w:pPr>
      <w:r w:rsidRPr="002518AB">
        <w:t>Recovered, which is the quantity of halon recovered from fire protection cylinders (a discreet quantity which excludes double counting);</w:t>
      </w:r>
    </w:p>
    <w:p w14:paraId="5F2B5ECE" w14:textId="77777777" w:rsidR="00457D6B" w:rsidRPr="002518AB" w:rsidRDefault="00457D6B" w:rsidP="00DF4CEB">
      <w:pPr>
        <w:pStyle w:val="BodyText10"/>
        <w:numPr>
          <w:ilvl w:val="0"/>
          <w:numId w:val="14"/>
        </w:numPr>
        <w:spacing w:after="120"/>
        <w:ind w:left="714" w:hanging="357"/>
      </w:pPr>
      <w:r w:rsidRPr="002518AB">
        <w:t>Supplied, which is the quantity of halon supplied, used or sold, and includes the quantity refilled (includes double counting);</w:t>
      </w:r>
    </w:p>
    <w:p w14:paraId="1DE0F754" w14:textId="77777777" w:rsidR="00457D6B" w:rsidRPr="002518AB" w:rsidRDefault="00457D6B" w:rsidP="00DF4CEB">
      <w:pPr>
        <w:pStyle w:val="BodyText10"/>
        <w:numPr>
          <w:ilvl w:val="0"/>
          <w:numId w:val="14"/>
        </w:numPr>
        <w:spacing w:after="120"/>
        <w:ind w:left="714" w:hanging="357"/>
      </w:pPr>
      <w:r w:rsidRPr="002518AB">
        <w:t>Refilling, which is the quantity of halon used for refilling cylinders (if known) (</w:t>
      </w:r>
      <w:r w:rsidR="0022130B" w:rsidRPr="002518AB">
        <w:t>a discreet quantity which excludes double counting</w:t>
      </w:r>
      <w:r w:rsidRPr="002518AB">
        <w:t>)</w:t>
      </w:r>
      <w:r w:rsidR="0022130B" w:rsidRPr="002518AB">
        <w:t>;</w:t>
      </w:r>
    </w:p>
    <w:p w14:paraId="5A7D19F8" w14:textId="77777777" w:rsidR="0022130B" w:rsidRPr="002518AB" w:rsidRDefault="0022130B" w:rsidP="00DF4CEB">
      <w:pPr>
        <w:pStyle w:val="BodyText10"/>
        <w:numPr>
          <w:ilvl w:val="0"/>
          <w:numId w:val="14"/>
        </w:numPr>
        <w:spacing w:after="120"/>
        <w:ind w:left="714" w:hanging="357"/>
      </w:pPr>
      <w:r w:rsidRPr="002518AB">
        <w:t>Destroyed, which is the quantity of halon sent for destruction (a discreet quantity which excludes double counting); and</w:t>
      </w:r>
    </w:p>
    <w:p w14:paraId="0C5A31BD" w14:textId="77777777" w:rsidR="0022130B" w:rsidRPr="002518AB" w:rsidRDefault="0022130B" w:rsidP="000C627B">
      <w:pPr>
        <w:pStyle w:val="BodyText10"/>
        <w:numPr>
          <w:ilvl w:val="0"/>
          <w:numId w:val="14"/>
        </w:numPr>
        <w:ind w:left="714" w:hanging="357"/>
      </w:pPr>
      <w:r w:rsidRPr="002518AB">
        <w:t>On Hand, which is quantity on hand at end of reporting period.</w:t>
      </w:r>
    </w:p>
    <w:p w14:paraId="41F8EE4E" w14:textId="030C7B8F" w:rsidR="00495199" w:rsidRDefault="00495199" w:rsidP="000C627B">
      <w:pPr>
        <w:pStyle w:val="BodyText10"/>
      </w:pPr>
      <w:r>
        <w:lastRenderedPageBreak/>
        <w:t xml:space="preserve">The information </w:t>
      </w:r>
      <w:r w:rsidR="00AE5765">
        <w:t xml:space="preserve">on halon activity </w:t>
      </w:r>
      <w:r>
        <w:t xml:space="preserve">gathered through this </w:t>
      </w:r>
      <w:r w:rsidR="00AE5765">
        <w:t xml:space="preserve">reporting </w:t>
      </w:r>
      <w:r>
        <w:t xml:space="preserve">system is as good or better than any other </w:t>
      </w:r>
      <w:r w:rsidR="007C0101">
        <w:t xml:space="preserve">available </w:t>
      </w:r>
      <w:r>
        <w:t xml:space="preserve">in the world. It can be used to indicate trends </w:t>
      </w:r>
      <w:r w:rsidR="0064558D">
        <w:t>in halon activity in any of the categories</w:t>
      </w:r>
      <w:r w:rsidR="00735066">
        <w:t xml:space="preserve"> reported</w:t>
      </w:r>
      <w:r w:rsidR="0064558D">
        <w:t>.</w:t>
      </w:r>
    </w:p>
    <w:p w14:paraId="63692F38" w14:textId="3ECDCD26" w:rsidR="001A6BAE" w:rsidRDefault="007C0101" w:rsidP="000C627B">
      <w:pPr>
        <w:pStyle w:val="BodyText10"/>
      </w:pPr>
      <w:r>
        <w:t>Nevertheless</w:t>
      </w:r>
      <w:r w:rsidR="00735066">
        <w:t>, d</w:t>
      </w:r>
      <w:r w:rsidR="0022130B" w:rsidRPr="002518AB">
        <w:t xml:space="preserve">ue to </w:t>
      </w:r>
      <w:r w:rsidR="00735066">
        <w:t xml:space="preserve">probable </w:t>
      </w:r>
      <w:r w:rsidR="0022130B" w:rsidRPr="002518AB">
        <w:t xml:space="preserve">double counting caused by halon trade and </w:t>
      </w:r>
      <w:r w:rsidR="00D1445D" w:rsidRPr="002518AB">
        <w:t>on</w:t>
      </w:r>
      <w:r w:rsidR="00BE21E3">
        <w:t>-</w:t>
      </w:r>
      <w:r w:rsidR="00D1445D" w:rsidRPr="002518AB">
        <w:t>selling</w:t>
      </w:r>
      <w:r w:rsidR="0022130B" w:rsidRPr="002518AB">
        <w:t xml:space="preserve"> between fire protection companies and halon users, </w:t>
      </w:r>
      <w:r w:rsidR="00014003">
        <w:t xml:space="preserve">which is an inevitable function of the nature of </w:t>
      </w:r>
      <w:r w:rsidR="000E29A1">
        <w:t xml:space="preserve">these </w:t>
      </w:r>
      <w:r w:rsidR="00014003">
        <w:t>business</w:t>
      </w:r>
      <w:r w:rsidR="000E29A1">
        <w:t>es</w:t>
      </w:r>
      <w:r w:rsidR="00014003">
        <w:t xml:space="preserve">, </w:t>
      </w:r>
      <w:r w:rsidR="0022130B" w:rsidRPr="002518AB">
        <w:t xml:space="preserve">the data </w:t>
      </w:r>
      <w:r w:rsidR="00362D06">
        <w:t xml:space="preserve">in </w:t>
      </w:r>
      <w:r w:rsidR="00C65572">
        <w:t xml:space="preserve">some </w:t>
      </w:r>
      <w:r w:rsidR="00362D06">
        <w:t>of</w:t>
      </w:r>
      <w:r w:rsidR="002122C6" w:rsidRPr="002518AB">
        <w:t xml:space="preserve"> the categories </w:t>
      </w:r>
      <w:r w:rsidR="00362D06">
        <w:t>cannot be</w:t>
      </w:r>
      <w:r w:rsidR="00362D06" w:rsidRPr="002518AB">
        <w:t xml:space="preserve"> </w:t>
      </w:r>
      <w:r w:rsidR="002122C6" w:rsidRPr="002518AB">
        <w:t xml:space="preserve">considered </w:t>
      </w:r>
      <w:r w:rsidR="004F5988" w:rsidRPr="002518AB">
        <w:t>reliable</w:t>
      </w:r>
      <w:r w:rsidR="00925C38">
        <w:t xml:space="preserve"> for accurately estimating </w:t>
      </w:r>
      <w:r w:rsidR="00461A91">
        <w:t xml:space="preserve">the total quantity of each </w:t>
      </w:r>
      <w:r w:rsidR="00A55383">
        <w:t xml:space="preserve">discrete </w:t>
      </w:r>
      <w:r w:rsidR="00461A91">
        <w:t>activity of halon use that is reported</w:t>
      </w:r>
      <w:r w:rsidR="002122C6" w:rsidRPr="002518AB">
        <w:t>.</w:t>
      </w:r>
      <w:r w:rsidR="00BE21E3" w:rsidRPr="00BE21E3">
        <w:t xml:space="preserve"> </w:t>
      </w:r>
      <w:r w:rsidR="00A06F81">
        <w:t>For example, a</w:t>
      </w:r>
      <w:r w:rsidR="00BE21E3" w:rsidRPr="002518AB">
        <w:t>cquired quantities can be acquired through multiple sources</w:t>
      </w:r>
      <w:r w:rsidR="00FB3328" w:rsidRPr="00FB3328">
        <w:t xml:space="preserve"> </w:t>
      </w:r>
      <w:r w:rsidR="00FB3328">
        <w:t>(</w:t>
      </w:r>
      <w:r w:rsidR="00FB3328" w:rsidRPr="002518AB">
        <w:t>the NHB or through other holders of halon</w:t>
      </w:r>
      <w:r>
        <w:t>,</w:t>
      </w:r>
      <w:r w:rsidR="00FB3328" w:rsidRPr="002518AB">
        <w:t xml:space="preserve"> such as fire protection companies or halon users with surplus halon</w:t>
      </w:r>
      <w:r w:rsidR="00FB3328">
        <w:t>)</w:t>
      </w:r>
      <w:r w:rsidR="008C53CF">
        <w:t xml:space="preserve"> and could be counting multiple transactions for the same </w:t>
      </w:r>
      <w:r w:rsidR="00FB3328">
        <w:t>parcel of halon</w:t>
      </w:r>
      <w:r w:rsidR="00BE21E3" w:rsidRPr="002518AB">
        <w:t>.</w:t>
      </w:r>
      <w:r w:rsidR="00A06F81" w:rsidRPr="00A06F81">
        <w:t xml:space="preserve"> </w:t>
      </w:r>
      <w:r w:rsidR="00461A91">
        <w:t xml:space="preserve">Therefore, a simple </w:t>
      </w:r>
      <w:r w:rsidR="007B72A1">
        <w:t>accounting</w:t>
      </w:r>
      <w:r w:rsidR="00461A91">
        <w:t xml:space="preserve"> of data within each category </w:t>
      </w:r>
      <w:r w:rsidR="00FB3328">
        <w:t xml:space="preserve">and across categories </w:t>
      </w:r>
      <w:r w:rsidR="00461A91">
        <w:t xml:space="preserve">does not necessarily give </w:t>
      </w:r>
      <w:r w:rsidR="0069090E">
        <w:t xml:space="preserve">the </w:t>
      </w:r>
      <w:r w:rsidR="00350DA5">
        <w:t xml:space="preserve">actual </w:t>
      </w:r>
      <w:r w:rsidR="00461A91">
        <w:t xml:space="preserve">total quantity of </w:t>
      </w:r>
      <w:r w:rsidR="0069090E">
        <w:t>each</w:t>
      </w:r>
      <w:r w:rsidR="00461A91">
        <w:t xml:space="preserve"> activity. </w:t>
      </w:r>
    </w:p>
    <w:p w14:paraId="054149F6" w14:textId="73924013" w:rsidR="0022130B" w:rsidRPr="002518AB" w:rsidRDefault="001A6BAE" w:rsidP="000C627B">
      <w:pPr>
        <w:pStyle w:val="BodyText10"/>
      </w:pPr>
      <w:r>
        <w:t>As a valuable resource of information</w:t>
      </w:r>
      <w:r w:rsidR="00EB4A9C">
        <w:t xml:space="preserve"> for estimating future halon requirements</w:t>
      </w:r>
      <w:r>
        <w:t>, the</w:t>
      </w:r>
      <w:r w:rsidR="005B326B">
        <w:t xml:space="preserve">re </w:t>
      </w:r>
      <w:r w:rsidR="00D72A3A">
        <w:t>is</w:t>
      </w:r>
      <w:r w:rsidR="005B326B">
        <w:t xml:space="preserve"> an opportunity to </w:t>
      </w:r>
      <w:r w:rsidR="00D72A3A">
        <w:t xml:space="preserve">consider </w:t>
      </w:r>
      <w:r w:rsidR="005B326B">
        <w:t>improv</w:t>
      </w:r>
      <w:r w:rsidR="00D72A3A">
        <w:t>ements to</w:t>
      </w:r>
      <w:r w:rsidR="005B326B">
        <w:t xml:space="preserve"> the halon special permit holder reporting system that </w:t>
      </w:r>
      <w:r w:rsidR="00D72A3A">
        <w:t>c</w:t>
      </w:r>
      <w:r w:rsidR="005B326B">
        <w:t xml:space="preserve">ould </w:t>
      </w:r>
      <w:r w:rsidR="00D72A3A">
        <w:t xml:space="preserve">potentially </w:t>
      </w:r>
      <w:r w:rsidR="005B326B">
        <w:t xml:space="preserve">benefit </w:t>
      </w:r>
      <w:r w:rsidR="00350DA5">
        <w:t xml:space="preserve">all of the </w:t>
      </w:r>
      <w:r w:rsidR="007022CF">
        <w:t>stakeholders involved in the record keeping system</w:t>
      </w:r>
      <w:r w:rsidR="00C15F54">
        <w:t>.</w:t>
      </w:r>
    </w:p>
    <w:p w14:paraId="4597441B" w14:textId="15F184FE" w:rsidR="00C960EF" w:rsidRDefault="00CB1F68" w:rsidP="00324056">
      <w:pPr>
        <w:pStyle w:val="Heading3"/>
      </w:pPr>
      <w:bookmarkStart w:id="46" w:name="_Toc38190353"/>
      <w:r>
        <w:t xml:space="preserve">Preliminary </w:t>
      </w:r>
      <w:r w:rsidRPr="00C960EF">
        <w:t>Analysis</w:t>
      </w:r>
      <w:r>
        <w:t xml:space="preserve"> of</w:t>
      </w:r>
      <w:r w:rsidRPr="00C960EF">
        <w:t xml:space="preserve"> </w:t>
      </w:r>
      <w:r w:rsidR="00C960EF" w:rsidRPr="00C960EF">
        <w:t>Halon Special Permit Holders’ Statutory Reports</w:t>
      </w:r>
      <w:bookmarkEnd w:id="46"/>
    </w:p>
    <w:p w14:paraId="55196643" w14:textId="0D1DA05C" w:rsidR="00F6540D" w:rsidRDefault="00584852" w:rsidP="000C627B">
      <w:pPr>
        <w:pStyle w:val="BodyText10"/>
      </w:pPr>
      <w:r w:rsidRPr="002518AB">
        <w:t xml:space="preserve">The data for halon </w:t>
      </w:r>
      <w:r w:rsidR="00B47183">
        <w:t>“o</w:t>
      </w:r>
      <w:r w:rsidRPr="002518AB">
        <w:t xml:space="preserve">n </w:t>
      </w:r>
      <w:r w:rsidR="00B47183">
        <w:t>h</w:t>
      </w:r>
      <w:r w:rsidRPr="002518AB">
        <w:t>and</w:t>
      </w:r>
      <w:r w:rsidR="00B47183">
        <w:t>”</w:t>
      </w:r>
      <w:r w:rsidR="00965543" w:rsidRPr="002518AB">
        <w:t xml:space="preserve"> should in theory provide useful </w:t>
      </w:r>
      <w:r w:rsidR="006734DB">
        <w:t xml:space="preserve">indicative </w:t>
      </w:r>
      <w:r w:rsidR="00965543" w:rsidRPr="002518AB">
        <w:t xml:space="preserve">information </w:t>
      </w:r>
      <w:r w:rsidR="006734DB">
        <w:t>about</w:t>
      </w:r>
      <w:r w:rsidR="006734DB" w:rsidRPr="002518AB">
        <w:t xml:space="preserve"> </w:t>
      </w:r>
      <w:r w:rsidR="00965543" w:rsidRPr="002518AB">
        <w:t>the amount of halon stored at the end of each reporting period by fire protection companies and halon users</w:t>
      </w:r>
      <w:r w:rsidR="00CB1F68">
        <w:t xml:space="preserve">. </w:t>
      </w:r>
      <w:r w:rsidR="00B47183">
        <w:t>I</w:t>
      </w:r>
      <w:r w:rsidR="00A06F81">
        <w:t xml:space="preserve">n practice, </w:t>
      </w:r>
      <w:r w:rsidR="006734DB">
        <w:t xml:space="preserve">there are </w:t>
      </w:r>
      <w:r w:rsidR="008A4E75">
        <w:t xml:space="preserve">some anomalies </w:t>
      </w:r>
      <w:r w:rsidR="001C5647">
        <w:t>in the data</w:t>
      </w:r>
      <w:r w:rsidR="006734DB">
        <w:t>, such as</w:t>
      </w:r>
      <w:r w:rsidR="001C5647">
        <w:t xml:space="preserve"> </w:t>
      </w:r>
      <w:r w:rsidR="00CB1F68">
        <w:t xml:space="preserve">unusual </w:t>
      </w:r>
      <w:r w:rsidR="006734DB">
        <w:t xml:space="preserve">changes </w:t>
      </w:r>
      <w:r w:rsidR="008573C3">
        <w:t xml:space="preserve">in </w:t>
      </w:r>
      <w:r w:rsidR="006734DB">
        <w:t xml:space="preserve">inventory </w:t>
      </w:r>
      <w:r w:rsidR="008573C3">
        <w:t xml:space="preserve">size </w:t>
      </w:r>
      <w:r w:rsidR="006734DB">
        <w:t xml:space="preserve">that </w:t>
      </w:r>
      <w:r w:rsidR="00B47183">
        <w:t xml:space="preserve">appear </w:t>
      </w:r>
      <w:r w:rsidR="002E02F6">
        <w:t>inconsistent</w:t>
      </w:r>
      <w:r w:rsidR="008573C3">
        <w:t xml:space="preserve"> with other</w:t>
      </w:r>
      <w:r w:rsidR="00E63D25">
        <w:t xml:space="preserve"> data</w:t>
      </w:r>
      <w:r w:rsidR="00965543" w:rsidRPr="002518AB">
        <w:t>.</w:t>
      </w:r>
      <w:r w:rsidR="006576D1">
        <w:t xml:space="preserve"> </w:t>
      </w:r>
      <w:r w:rsidR="00836158">
        <w:t>For example, t</w:t>
      </w:r>
      <w:r w:rsidR="00836158" w:rsidRPr="000C627B">
        <w:t>here appear</w:t>
      </w:r>
      <w:r w:rsidR="00836158">
        <w:t>s</w:t>
      </w:r>
      <w:r w:rsidR="00836158" w:rsidRPr="000C627B">
        <w:t xml:space="preserve"> to be some </w:t>
      </w:r>
      <w:r w:rsidR="00836158">
        <w:t>unusual activity with a</w:t>
      </w:r>
      <w:r w:rsidR="00836158" w:rsidRPr="000C627B">
        <w:t xml:space="preserve"> significant increase in “on hand” halon 1211 from March to June 2018 that </w:t>
      </w:r>
      <w:r w:rsidR="00836158">
        <w:t>is not</w:t>
      </w:r>
      <w:r w:rsidR="00836158" w:rsidRPr="000C627B">
        <w:t xml:space="preserve"> explained by</w:t>
      </w:r>
      <w:r w:rsidR="00B47183">
        <w:t xml:space="preserve"> the</w:t>
      </w:r>
      <w:r w:rsidR="00836158" w:rsidRPr="000C627B">
        <w:t xml:space="preserve"> “acquired” data.</w:t>
      </w:r>
      <w:r w:rsidR="00B31820">
        <w:t xml:space="preserve"> </w:t>
      </w:r>
      <w:r w:rsidR="00AA0D50">
        <w:t xml:space="preserve">A similar increase and then decrease is observed in 2013-2014. </w:t>
      </w:r>
      <w:r w:rsidR="00CB1F68">
        <w:t xml:space="preserve">More detailed </w:t>
      </w:r>
      <w:r w:rsidR="00B47183">
        <w:t xml:space="preserve">information </w:t>
      </w:r>
      <w:r w:rsidR="0018538B">
        <w:t xml:space="preserve">from individual </w:t>
      </w:r>
      <w:r w:rsidR="00F45101">
        <w:t>halon special permit</w:t>
      </w:r>
      <w:r w:rsidR="00C114A2">
        <w:t xml:space="preserve"> h</w:t>
      </w:r>
      <w:r w:rsidR="0018538B">
        <w:t xml:space="preserve">olders </w:t>
      </w:r>
      <w:r w:rsidR="00CB1F68">
        <w:t xml:space="preserve">would be </w:t>
      </w:r>
      <w:r w:rsidR="00B47183">
        <w:t xml:space="preserve">needed </w:t>
      </w:r>
      <w:r w:rsidR="0018538B">
        <w:t xml:space="preserve">to </w:t>
      </w:r>
      <w:r w:rsidR="0004381E">
        <w:t>under</w:t>
      </w:r>
      <w:r w:rsidR="002112C3">
        <w:t xml:space="preserve">stand </w:t>
      </w:r>
      <w:r w:rsidR="00BE21E3">
        <w:t xml:space="preserve">further </w:t>
      </w:r>
      <w:r w:rsidR="007B72A1">
        <w:t xml:space="preserve">the </w:t>
      </w:r>
      <w:r w:rsidR="00BE21E3">
        <w:t>implications.</w:t>
      </w:r>
    </w:p>
    <w:p w14:paraId="0FD96AC9" w14:textId="6017C82C" w:rsidR="00850112" w:rsidRDefault="00165218" w:rsidP="000C627B">
      <w:pPr>
        <w:pStyle w:val="BodyText10"/>
      </w:pPr>
      <w:r>
        <w:t>Nevertheless</w:t>
      </w:r>
      <w:r w:rsidR="002208D1">
        <w:t xml:space="preserve">, some </w:t>
      </w:r>
      <w:r w:rsidR="00C114A2">
        <w:t xml:space="preserve">possible </w:t>
      </w:r>
      <w:r w:rsidR="002208D1">
        <w:t xml:space="preserve">general trends can be </w:t>
      </w:r>
      <w:r w:rsidR="00B57D91">
        <w:t>proposed</w:t>
      </w:r>
      <w:r w:rsidR="004B067C">
        <w:t xml:space="preserve">. For </w:t>
      </w:r>
      <w:r w:rsidR="002208D1">
        <w:t>halon 1211</w:t>
      </w:r>
      <w:r w:rsidR="004B067C">
        <w:t xml:space="preserve">, </w:t>
      </w:r>
      <w:r w:rsidR="001D57F6">
        <w:t xml:space="preserve">discounting the anomalous </w:t>
      </w:r>
      <w:r w:rsidR="00A60686">
        <w:t xml:space="preserve">sudden increases and decreases, total inventory </w:t>
      </w:r>
      <w:r w:rsidR="00C114A2">
        <w:t xml:space="preserve">held </w:t>
      </w:r>
      <w:r w:rsidR="000164A5">
        <w:t xml:space="preserve">by </w:t>
      </w:r>
      <w:r w:rsidR="00F10700">
        <w:t>halon special permit</w:t>
      </w:r>
      <w:r w:rsidR="00C114A2">
        <w:t xml:space="preserve"> holder</w:t>
      </w:r>
      <w:r w:rsidR="000164A5">
        <w:t xml:space="preserve">s </w:t>
      </w:r>
      <w:r w:rsidR="00A60686">
        <w:t>appears to remain otherwise relatively stable</w:t>
      </w:r>
      <w:r w:rsidR="00C114A2">
        <w:t>,</w:t>
      </w:r>
      <w:r w:rsidR="00A60686">
        <w:t xml:space="preserve"> </w:t>
      </w:r>
      <w:r w:rsidR="00F626A7">
        <w:t>between</w:t>
      </w:r>
      <w:r w:rsidR="00A60686">
        <w:t xml:space="preserve"> </w:t>
      </w:r>
      <w:r w:rsidR="000164A5">
        <w:t>around 5 to 8 tonnes.</w:t>
      </w:r>
      <w:r w:rsidR="00C114A2">
        <w:t xml:space="preserve"> </w:t>
      </w:r>
      <w:r w:rsidR="00313187">
        <w:t xml:space="preserve">For halon 1301, compared to the </w:t>
      </w:r>
      <w:r w:rsidR="001F7332">
        <w:t xml:space="preserve">inventory </w:t>
      </w:r>
      <w:r w:rsidR="00850112">
        <w:t>o</w:t>
      </w:r>
      <w:r w:rsidR="001F7332">
        <w:t xml:space="preserve">n </w:t>
      </w:r>
      <w:r w:rsidR="00850112">
        <w:t>h</w:t>
      </w:r>
      <w:r w:rsidR="001F7332">
        <w:t>and at the NHB</w:t>
      </w:r>
      <w:r w:rsidR="00C405E2">
        <w:t>, which</w:t>
      </w:r>
      <w:r w:rsidR="00CD70AE">
        <w:t xml:space="preserve"> shows a gradual continuous decline, the inventory held by other </w:t>
      </w:r>
      <w:r w:rsidR="00F10700">
        <w:t>halon special permit</w:t>
      </w:r>
      <w:r w:rsidR="00CD70AE">
        <w:t xml:space="preserve"> holders</w:t>
      </w:r>
      <w:r w:rsidR="00E340DA">
        <w:t xml:space="preserve"> shows no trend, with </w:t>
      </w:r>
      <w:r w:rsidR="002317BC">
        <w:t xml:space="preserve">the total quantity </w:t>
      </w:r>
      <w:r w:rsidR="00891DF8">
        <w:t xml:space="preserve">between </w:t>
      </w:r>
      <w:r w:rsidR="00B971B3">
        <w:t>around 11 tonnes to 28 tonnes</w:t>
      </w:r>
      <w:r w:rsidR="00314E7E">
        <w:t xml:space="preserve">, with the </w:t>
      </w:r>
      <w:r w:rsidR="00782C61">
        <w:t>average between 2013 and 2018 around 18 tonnes.</w:t>
      </w:r>
      <w:r w:rsidR="00DA71B4">
        <w:t xml:space="preserve"> </w:t>
      </w:r>
    </w:p>
    <w:p w14:paraId="4A861D8C" w14:textId="5E6AAC26" w:rsidR="00165218" w:rsidRPr="002518AB" w:rsidRDefault="00BA7566" w:rsidP="000C627B">
      <w:pPr>
        <w:pStyle w:val="BodyText10"/>
      </w:pPr>
      <w:r>
        <w:t xml:space="preserve">Relatively large </w:t>
      </w:r>
      <w:r w:rsidR="00C71B0F">
        <w:t>q</w:t>
      </w:r>
      <w:r w:rsidR="00DA71B4">
        <w:t xml:space="preserve">uantities </w:t>
      </w:r>
      <w:r>
        <w:t xml:space="preserve">of halon 1301 </w:t>
      </w:r>
      <w:r w:rsidR="00A97D14">
        <w:t>appear to be</w:t>
      </w:r>
      <w:r>
        <w:t xml:space="preserve"> </w:t>
      </w:r>
      <w:r w:rsidR="00DA71B4">
        <w:t>changing hands</w:t>
      </w:r>
      <w:r w:rsidR="00422895">
        <w:t>,</w:t>
      </w:r>
      <w:r w:rsidR="00DA71B4">
        <w:t xml:space="preserve"> </w:t>
      </w:r>
      <w:r>
        <w:t xml:space="preserve">as </w:t>
      </w:r>
      <w:r w:rsidR="00DA71B4">
        <w:t xml:space="preserve">indicated </w:t>
      </w:r>
      <w:r>
        <w:t>by</w:t>
      </w:r>
      <w:r w:rsidR="00DA71B4">
        <w:t xml:space="preserve"> </w:t>
      </w:r>
      <w:r w:rsidR="00A97D14">
        <w:t xml:space="preserve">the </w:t>
      </w:r>
      <w:r w:rsidR="00DA71B4">
        <w:t>other reporting categories</w:t>
      </w:r>
      <w:r w:rsidR="00A97D14">
        <w:t>, even if double counting is causing inflated quantities</w:t>
      </w:r>
      <w:r>
        <w:t>.</w:t>
      </w:r>
      <w:r w:rsidR="00A26D78">
        <w:t xml:space="preserve"> </w:t>
      </w:r>
      <w:r w:rsidR="0099705D">
        <w:t xml:space="preserve">When considered </w:t>
      </w:r>
      <w:r w:rsidR="004D6EAA">
        <w:t xml:space="preserve">against the </w:t>
      </w:r>
      <w:r w:rsidR="0099705D">
        <w:t>sales of halon 1301</w:t>
      </w:r>
      <w:r w:rsidR="0012587A">
        <w:t xml:space="preserve"> from the NHB, t</w:t>
      </w:r>
      <w:r w:rsidR="0099705D">
        <w:t xml:space="preserve">his </w:t>
      </w:r>
      <w:r w:rsidR="00850112">
        <w:t>could</w:t>
      </w:r>
      <w:r w:rsidR="0099705D">
        <w:t xml:space="preserve"> </w:t>
      </w:r>
      <w:r w:rsidR="00422895">
        <w:t xml:space="preserve">imply potential </w:t>
      </w:r>
      <w:r w:rsidR="004D6EAA">
        <w:t xml:space="preserve">significant trade in halon 1301 </w:t>
      </w:r>
      <w:r w:rsidR="00D645CD">
        <w:t>not involving</w:t>
      </w:r>
      <w:r w:rsidR="004D6EAA">
        <w:t xml:space="preserve"> </w:t>
      </w:r>
      <w:r w:rsidR="004D6EAA">
        <w:lastRenderedPageBreak/>
        <w:t>the NHB</w:t>
      </w:r>
      <w:r w:rsidR="00B13CD2">
        <w:t xml:space="preserve">. </w:t>
      </w:r>
      <w:r w:rsidR="00DB6F3A">
        <w:t xml:space="preserve">It is not clear whether </w:t>
      </w:r>
      <w:r w:rsidR="00850112">
        <w:t>any such</w:t>
      </w:r>
      <w:r w:rsidR="00DB6F3A">
        <w:t xml:space="preserve"> activity </w:t>
      </w:r>
      <w:r w:rsidR="00563BD3">
        <w:t>could</w:t>
      </w:r>
      <w:r w:rsidR="00DB6F3A">
        <w:t xml:space="preserve"> include supplying </w:t>
      </w:r>
      <w:r w:rsidR="00AB44AE">
        <w:t>non-defence</w:t>
      </w:r>
      <w:r w:rsidR="00DB6F3A">
        <w:t xml:space="preserve"> halon demand. </w:t>
      </w:r>
      <w:r w:rsidR="00D645CD">
        <w:t xml:space="preserve">Discussions with a number of halon special permit holders indicate that some are decanting and recycling halon and now have the capacity to reclaim halon to </w:t>
      </w:r>
      <w:r w:rsidR="004057FB">
        <w:t>meet international</w:t>
      </w:r>
      <w:r w:rsidR="00D645CD">
        <w:t xml:space="preserve"> standard</w:t>
      </w:r>
      <w:r w:rsidR="004057FB">
        <w:t>s</w:t>
      </w:r>
      <w:r w:rsidR="00D645CD">
        <w:t xml:space="preserve"> required for aviation. This implies that supply from the NHB </w:t>
      </w:r>
      <w:r w:rsidR="006E1304">
        <w:t>may</w:t>
      </w:r>
      <w:r w:rsidR="00D645CD">
        <w:t xml:space="preserve"> not represent a full picture of activities taking place with regard to use/recycle/reclamation of halon. </w:t>
      </w:r>
      <w:r w:rsidR="00B13CD2" w:rsidRPr="00863FF0">
        <w:t xml:space="preserve">This </w:t>
      </w:r>
      <w:r w:rsidR="0021610A" w:rsidRPr="00863FF0">
        <w:t>might have</w:t>
      </w:r>
      <w:r w:rsidR="00B13CD2" w:rsidRPr="00863FF0">
        <w:t xml:space="preserve"> implications for </w:t>
      </w:r>
      <w:r w:rsidR="008F32F3" w:rsidRPr="00863FF0">
        <w:t xml:space="preserve">the </w:t>
      </w:r>
      <w:r w:rsidR="00B13CD2" w:rsidRPr="00863FF0">
        <w:t>estima</w:t>
      </w:r>
      <w:r w:rsidR="00422895" w:rsidRPr="00863FF0">
        <w:t>ti</w:t>
      </w:r>
      <w:r w:rsidR="008F32F3" w:rsidRPr="00863FF0">
        <w:t>on of</w:t>
      </w:r>
      <w:r w:rsidR="00B13CD2" w:rsidRPr="00863FF0">
        <w:t xml:space="preserve"> future </w:t>
      </w:r>
      <w:r w:rsidR="00AB44AE" w:rsidRPr="000D0DC0">
        <w:t>non-defence</w:t>
      </w:r>
      <w:r w:rsidR="0021610A" w:rsidRPr="00863FF0">
        <w:t xml:space="preserve"> </w:t>
      </w:r>
      <w:r w:rsidR="00B13CD2" w:rsidRPr="006E1304">
        <w:t>halon requirements</w:t>
      </w:r>
      <w:r w:rsidR="00B13CD2" w:rsidRPr="00863FF0">
        <w:t>.</w:t>
      </w:r>
    </w:p>
    <w:p w14:paraId="60760CA7" w14:textId="44AA77F3" w:rsidR="00821B4D" w:rsidRPr="000C627B" w:rsidRDefault="00821B4D" w:rsidP="006357CE">
      <w:pPr>
        <w:pStyle w:val="BodyText10"/>
        <w:keepNext/>
        <w:widowControl/>
        <w:tabs>
          <w:tab w:val="left" w:pos="1418"/>
        </w:tabs>
        <w:ind w:left="1418" w:hanging="1418"/>
        <w:rPr>
          <w:b/>
          <w:bCs/>
          <w:i/>
          <w:iCs/>
        </w:rPr>
      </w:pPr>
      <w:r w:rsidRPr="000C627B">
        <w:rPr>
          <w:b/>
          <w:bCs/>
          <w:i/>
          <w:iCs/>
        </w:rPr>
        <w:t>Figure 4.</w:t>
      </w:r>
      <w:r>
        <w:rPr>
          <w:b/>
          <w:bCs/>
          <w:i/>
          <w:iCs/>
        </w:rPr>
        <w:t>1</w:t>
      </w:r>
      <w:r w:rsidRPr="000C627B">
        <w:rPr>
          <w:b/>
          <w:bCs/>
          <w:i/>
          <w:iCs/>
        </w:rPr>
        <w:t>:</w:t>
      </w:r>
      <w:r>
        <w:rPr>
          <w:b/>
          <w:bCs/>
          <w:i/>
          <w:iCs/>
        </w:rPr>
        <w:tab/>
      </w:r>
      <w:r w:rsidRPr="000C627B">
        <w:rPr>
          <w:b/>
          <w:bCs/>
          <w:i/>
          <w:iCs/>
        </w:rPr>
        <w:t xml:space="preserve">Halon Special Permit Holders </w:t>
      </w:r>
      <w:r w:rsidR="00325F4A">
        <w:rPr>
          <w:b/>
          <w:bCs/>
          <w:i/>
          <w:iCs/>
        </w:rPr>
        <w:t xml:space="preserve">Quarterly </w:t>
      </w:r>
      <w:r w:rsidRPr="000C627B">
        <w:rPr>
          <w:b/>
          <w:bCs/>
          <w:i/>
          <w:iCs/>
        </w:rPr>
        <w:t>Reported Data for Halon 1</w:t>
      </w:r>
      <w:r>
        <w:rPr>
          <w:b/>
          <w:bCs/>
          <w:i/>
          <w:iCs/>
        </w:rPr>
        <w:t>211, March 2013 to September 2019</w:t>
      </w:r>
      <w:r w:rsidR="00325F4A">
        <w:rPr>
          <w:rStyle w:val="FootnoteReference"/>
          <w:b/>
          <w:bCs/>
          <w:i/>
          <w:iCs/>
        </w:rPr>
        <w:footnoteReference w:id="51"/>
      </w:r>
      <w:r>
        <w:rPr>
          <w:b/>
          <w:bCs/>
          <w:i/>
          <w:iCs/>
        </w:rPr>
        <w:t xml:space="preserve"> (Kilograms)</w:t>
      </w:r>
    </w:p>
    <w:p w14:paraId="2BD05589" w14:textId="5FA125FF" w:rsidR="00821B4D" w:rsidRDefault="004731DF" w:rsidP="00821B4D">
      <w:pPr>
        <w:pStyle w:val="BodyText10"/>
      </w:pPr>
      <w:r>
        <w:rPr>
          <w:noProof/>
          <w:lang w:val="en-AU" w:eastAsia="en-AU"/>
        </w:rPr>
        <w:drawing>
          <wp:inline distT="0" distB="0" distL="0" distR="0" wp14:anchorId="60D53F57" wp14:editId="0752BC5D">
            <wp:extent cx="5269865" cy="4249420"/>
            <wp:effectExtent l="0" t="0" r="13335" b="17780"/>
            <wp:docPr id="3" name="Chart 3">
              <a:extLst xmlns:a="http://schemas.openxmlformats.org/drawingml/2006/main">
                <a:ext uri="{FF2B5EF4-FFF2-40B4-BE49-F238E27FC236}">
                  <a16:creationId xmlns:a16="http://schemas.microsoft.com/office/drawing/2014/main" id="{0020F2F1-A25F-2845-8083-6452C729B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EF1E9C" w14:textId="77777777" w:rsidR="00821B4D" w:rsidRDefault="00821B4D" w:rsidP="000C627B">
      <w:pPr>
        <w:pStyle w:val="BodyText10"/>
      </w:pPr>
    </w:p>
    <w:p w14:paraId="05EECABA" w14:textId="1D54ADDD" w:rsidR="000C627B" w:rsidRPr="000C627B" w:rsidRDefault="000C627B" w:rsidP="001B3A85">
      <w:pPr>
        <w:pStyle w:val="BodyText10"/>
        <w:keepNext/>
        <w:widowControl/>
        <w:tabs>
          <w:tab w:val="left" w:pos="1418"/>
        </w:tabs>
        <w:ind w:left="1418" w:hanging="1418"/>
        <w:rPr>
          <w:b/>
          <w:bCs/>
          <w:i/>
          <w:iCs/>
        </w:rPr>
      </w:pPr>
      <w:r w:rsidRPr="000C627B">
        <w:rPr>
          <w:b/>
          <w:bCs/>
          <w:i/>
          <w:iCs/>
        </w:rPr>
        <w:lastRenderedPageBreak/>
        <w:t>Figure 4.</w:t>
      </w:r>
      <w:r w:rsidR="00AF7E3C">
        <w:rPr>
          <w:b/>
          <w:bCs/>
          <w:i/>
          <w:iCs/>
        </w:rPr>
        <w:t>2</w:t>
      </w:r>
      <w:r w:rsidRPr="000C627B">
        <w:rPr>
          <w:b/>
          <w:bCs/>
          <w:i/>
          <w:iCs/>
        </w:rPr>
        <w:t>:</w:t>
      </w:r>
      <w:r w:rsidR="00346089">
        <w:rPr>
          <w:b/>
          <w:bCs/>
          <w:i/>
          <w:iCs/>
        </w:rPr>
        <w:tab/>
      </w:r>
      <w:r w:rsidRPr="000C627B">
        <w:rPr>
          <w:b/>
          <w:bCs/>
          <w:i/>
          <w:iCs/>
        </w:rPr>
        <w:t xml:space="preserve">Halon Special Permit Holders </w:t>
      </w:r>
      <w:r w:rsidR="00325F4A">
        <w:rPr>
          <w:b/>
          <w:bCs/>
          <w:i/>
          <w:iCs/>
        </w:rPr>
        <w:t xml:space="preserve">Quarterly </w:t>
      </w:r>
      <w:r w:rsidRPr="000C627B">
        <w:rPr>
          <w:b/>
          <w:bCs/>
          <w:i/>
          <w:iCs/>
        </w:rPr>
        <w:t>Reported Data for Halon 1301</w:t>
      </w:r>
      <w:r w:rsidR="00346089">
        <w:rPr>
          <w:b/>
          <w:bCs/>
          <w:i/>
          <w:iCs/>
        </w:rPr>
        <w:t>,</w:t>
      </w:r>
      <w:r w:rsidR="00346089" w:rsidRPr="00346089">
        <w:rPr>
          <w:b/>
          <w:bCs/>
          <w:i/>
          <w:iCs/>
        </w:rPr>
        <w:t xml:space="preserve"> </w:t>
      </w:r>
      <w:r w:rsidR="00346089">
        <w:rPr>
          <w:b/>
          <w:bCs/>
          <w:i/>
          <w:iCs/>
        </w:rPr>
        <w:t>March 201</w:t>
      </w:r>
      <w:r w:rsidR="00751C4F">
        <w:rPr>
          <w:b/>
          <w:bCs/>
          <w:i/>
          <w:iCs/>
        </w:rPr>
        <w:t>3</w:t>
      </w:r>
      <w:r w:rsidR="00346089">
        <w:rPr>
          <w:b/>
          <w:bCs/>
          <w:i/>
          <w:iCs/>
        </w:rPr>
        <w:t xml:space="preserve"> to September 2019</w:t>
      </w:r>
      <w:r w:rsidR="00C12D3A">
        <w:rPr>
          <w:rStyle w:val="FootnoteReference"/>
          <w:b/>
          <w:bCs/>
          <w:i/>
          <w:iCs/>
        </w:rPr>
        <w:footnoteReference w:id="52"/>
      </w:r>
      <w:r w:rsidR="00346089">
        <w:rPr>
          <w:b/>
          <w:bCs/>
          <w:i/>
          <w:iCs/>
        </w:rPr>
        <w:t xml:space="preserve"> (Kilograms)</w:t>
      </w:r>
    </w:p>
    <w:p w14:paraId="5FE0C4AB" w14:textId="3B6865BB" w:rsidR="002F157A" w:rsidRPr="002518AB" w:rsidRDefault="005252DF" w:rsidP="000C627B">
      <w:pPr>
        <w:pStyle w:val="BodyText10"/>
      </w:pPr>
      <w:r>
        <w:rPr>
          <w:noProof/>
          <w:lang w:val="en-AU" w:eastAsia="en-AU"/>
        </w:rPr>
        <w:drawing>
          <wp:inline distT="0" distB="0" distL="0" distR="0" wp14:anchorId="34340BD5" wp14:editId="5BD1B1B0">
            <wp:extent cx="5269865" cy="4468495"/>
            <wp:effectExtent l="0" t="0" r="13335" b="14605"/>
            <wp:docPr id="1" name="Chart 1">
              <a:extLst xmlns:a="http://schemas.openxmlformats.org/drawingml/2006/main">
                <a:ext uri="{FF2B5EF4-FFF2-40B4-BE49-F238E27FC236}">
                  <a16:creationId xmlns:a16="http://schemas.microsoft.com/office/drawing/2014/main" id="{BBF2F0F2-3BBB-2143-8E7B-9A5AB7044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1F0AC4F" w14:textId="67BFC186" w:rsidR="002F157A" w:rsidRDefault="002F157A" w:rsidP="000C627B">
      <w:pPr>
        <w:pStyle w:val="BodyText10"/>
      </w:pPr>
    </w:p>
    <w:p w14:paraId="42701EA0" w14:textId="099C9A8A" w:rsidR="002C70F3" w:rsidRDefault="002C70F3" w:rsidP="000C627B">
      <w:pPr>
        <w:pStyle w:val="BodyText10"/>
      </w:pPr>
      <w:r>
        <w:t xml:space="preserve">While useful in other ways, the </w:t>
      </w:r>
      <w:r w:rsidR="00A43E67">
        <w:t xml:space="preserve">uncertainties underlying the </w:t>
      </w:r>
      <w:r>
        <w:t xml:space="preserve">data available through the halon special permit system do not </w:t>
      </w:r>
      <w:r w:rsidR="004F2C3E">
        <w:t xml:space="preserve">appear to </w:t>
      </w:r>
      <w:r>
        <w:t xml:space="preserve">lend themselves well to </w:t>
      </w:r>
      <w:r w:rsidR="007A4085">
        <w:t>a quantitative</w:t>
      </w:r>
      <w:r>
        <w:t xml:space="preserve"> estimation of activity in halon use for the purposes of this 2020 Halon Review, due to double counting and omissions (through possible mis-reporting).</w:t>
      </w:r>
      <w:r w:rsidR="00912333">
        <w:t xml:space="preserve"> </w:t>
      </w:r>
      <w:r w:rsidR="001D415A">
        <w:t xml:space="preserve">The exception to this is the </w:t>
      </w:r>
      <w:r w:rsidR="002D1102">
        <w:t xml:space="preserve">data available from the </w:t>
      </w:r>
      <w:r w:rsidR="001D415A">
        <w:t xml:space="preserve">NHB </w:t>
      </w:r>
      <w:r w:rsidR="007F752B">
        <w:t>owing to</w:t>
      </w:r>
      <w:r w:rsidR="001D415A">
        <w:t xml:space="preserve"> </w:t>
      </w:r>
      <w:r w:rsidR="005139FE">
        <w:t xml:space="preserve">the nature of its </w:t>
      </w:r>
      <w:r w:rsidR="0082669B">
        <w:t xml:space="preserve">dedicated </w:t>
      </w:r>
      <w:r w:rsidR="005139FE">
        <w:t xml:space="preserve">business </w:t>
      </w:r>
      <w:r w:rsidR="00914D8F">
        <w:t xml:space="preserve">as a repository </w:t>
      </w:r>
      <w:r w:rsidR="007F752B">
        <w:t xml:space="preserve">for, </w:t>
      </w:r>
      <w:r w:rsidR="00914D8F">
        <w:t>and sel</w:t>
      </w:r>
      <w:r w:rsidR="007F752B">
        <w:t>l</w:t>
      </w:r>
      <w:r w:rsidR="00914D8F">
        <w:t>er of</w:t>
      </w:r>
      <w:r w:rsidR="007F752B">
        <w:t>,</w:t>
      </w:r>
      <w:r w:rsidR="00914D8F">
        <w:t xml:space="preserve"> halon</w:t>
      </w:r>
      <w:r w:rsidR="005139FE">
        <w:t>.</w:t>
      </w:r>
    </w:p>
    <w:p w14:paraId="1383798A" w14:textId="176BF8A2" w:rsidR="00B21913" w:rsidRPr="002518AB" w:rsidRDefault="00B21913" w:rsidP="00324056">
      <w:pPr>
        <w:pStyle w:val="Heading2"/>
      </w:pPr>
      <w:bookmarkStart w:id="47" w:name="_Toc38190354"/>
      <w:r w:rsidRPr="002518AB">
        <w:t xml:space="preserve">NHB </w:t>
      </w:r>
      <w:r w:rsidR="00FE6AA1">
        <w:t xml:space="preserve">Halon </w:t>
      </w:r>
      <w:r w:rsidR="003172E7">
        <w:t xml:space="preserve">Sales </w:t>
      </w:r>
      <w:r w:rsidR="00CD4880" w:rsidRPr="002518AB">
        <w:t xml:space="preserve">and </w:t>
      </w:r>
      <w:r w:rsidR="00653B65">
        <w:t>Halon Special Permit Holder Data</w:t>
      </w:r>
      <w:bookmarkEnd w:id="47"/>
    </w:p>
    <w:p w14:paraId="14589E75" w14:textId="662C7888" w:rsidR="001E3452" w:rsidRDefault="00D27B87" w:rsidP="000C627B">
      <w:pPr>
        <w:pStyle w:val="BodyText10"/>
      </w:pPr>
      <w:r w:rsidRPr="000C627B">
        <w:t xml:space="preserve">NHB </w:t>
      </w:r>
      <w:r w:rsidR="00FE6AA1">
        <w:t xml:space="preserve">halon </w:t>
      </w:r>
      <w:r w:rsidRPr="000C627B">
        <w:t>s</w:t>
      </w:r>
      <w:r w:rsidR="00AE585F" w:rsidRPr="000C627B">
        <w:t xml:space="preserve">ales data </w:t>
      </w:r>
      <w:r w:rsidR="00BD7103">
        <w:t xml:space="preserve">provided by the Department </w:t>
      </w:r>
      <w:r w:rsidR="00AE585F" w:rsidRPr="000C627B">
        <w:t xml:space="preserve">cover the </w:t>
      </w:r>
      <w:r w:rsidR="00BD7103">
        <w:t>financial year</w:t>
      </w:r>
      <w:r w:rsidR="00FE6AA1">
        <w:t>s</w:t>
      </w:r>
      <w:r w:rsidR="00AE1A0E">
        <w:t xml:space="preserve"> ending (FYE)</w:t>
      </w:r>
      <w:r w:rsidR="00BD7103">
        <w:t xml:space="preserve"> 2002</w:t>
      </w:r>
      <w:r w:rsidR="00AE1A0E">
        <w:t xml:space="preserve"> to </w:t>
      </w:r>
      <w:r w:rsidR="00F10DD1">
        <w:t xml:space="preserve">February </w:t>
      </w:r>
      <w:r w:rsidR="00AE585F" w:rsidRPr="000C627B">
        <w:t>20</w:t>
      </w:r>
      <w:r w:rsidR="00F10DD1">
        <w:t>20</w:t>
      </w:r>
      <w:r w:rsidR="00881E4D" w:rsidRPr="000C627B">
        <w:t xml:space="preserve"> </w:t>
      </w:r>
      <w:r w:rsidR="00CB4ABD" w:rsidRPr="000C627B">
        <w:t>and provide</w:t>
      </w:r>
      <w:r w:rsidR="00467BC6">
        <w:t>s</w:t>
      </w:r>
      <w:r w:rsidR="00CB4ABD" w:rsidRPr="000C627B">
        <w:t xml:space="preserve"> a </w:t>
      </w:r>
      <w:r w:rsidR="00467BC6">
        <w:t>reliable</w:t>
      </w:r>
      <w:r w:rsidR="00467BC6" w:rsidRPr="000C627B">
        <w:t xml:space="preserve"> </w:t>
      </w:r>
      <w:r w:rsidR="00C933A7" w:rsidRPr="000C627B">
        <w:t>source of data</w:t>
      </w:r>
      <w:r w:rsidR="00B851EC" w:rsidRPr="000C627B">
        <w:t xml:space="preserve"> for analysis of </w:t>
      </w:r>
      <w:r w:rsidR="00E150EC">
        <w:t xml:space="preserve">historic </w:t>
      </w:r>
      <w:r w:rsidR="00B851EC" w:rsidRPr="000C627B">
        <w:t>halon demand</w:t>
      </w:r>
      <w:r w:rsidR="00F171BB">
        <w:t xml:space="preserve"> from the NHB</w:t>
      </w:r>
      <w:r w:rsidR="00B851EC" w:rsidRPr="000C627B">
        <w:t xml:space="preserve">. </w:t>
      </w:r>
      <w:r w:rsidR="00215AFB">
        <w:t xml:space="preserve">The data </w:t>
      </w:r>
      <w:r w:rsidR="00420B8B">
        <w:t xml:space="preserve">relate to </w:t>
      </w:r>
      <w:r w:rsidR="001C2937">
        <w:t xml:space="preserve">the </w:t>
      </w:r>
      <w:r w:rsidR="00420B8B">
        <w:t>halon purchases by halon</w:t>
      </w:r>
      <w:r w:rsidR="00420B8B" w:rsidDel="00DA4E5C">
        <w:t xml:space="preserve"> </w:t>
      </w:r>
      <w:r w:rsidR="009B1FB7">
        <w:t xml:space="preserve">special permit </w:t>
      </w:r>
      <w:r w:rsidR="00F30E55">
        <w:t>holder</w:t>
      </w:r>
      <w:r w:rsidR="00420B8B">
        <w:t>s</w:t>
      </w:r>
      <w:r w:rsidR="004F0C63">
        <w:t>;</w:t>
      </w:r>
      <w:r w:rsidR="001C2937">
        <w:t xml:space="preserve"> </w:t>
      </w:r>
      <w:r w:rsidR="00420B8B">
        <w:t xml:space="preserve">halon special permit </w:t>
      </w:r>
      <w:r w:rsidR="0097727B">
        <w:t xml:space="preserve">holders </w:t>
      </w:r>
      <w:r w:rsidR="00420B8B">
        <w:t xml:space="preserve">can </w:t>
      </w:r>
      <w:r w:rsidR="0097727B">
        <w:t xml:space="preserve">service </w:t>
      </w:r>
      <w:r w:rsidR="0075129B">
        <w:t>multiple industries</w:t>
      </w:r>
      <w:r w:rsidR="004F0C63">
        <w:t xml:space="preserve"> (defence, aviation, maritime) making it difficult to </w:t>
      </w:r>
      <w:r w:rsidR="00420B8B">
        <w:lastRenderedPageBreak/>
        <w:t xml:space="preserve">interpret accurately </w:t>
      </w:r>
      <w:r w:rsidR="004F0C63">
        <w:t>end</w:t>
      </w:r>
      <w:r w:rsidR="00420B8B">
        <w:t>-</w:t>
      </w:r>
      <w:r w:rsidR="004F0C63">
        <w:t>use</w:t>
      </w:r>
      <w:r w:rsidR="00420B8B">
        <w:t>s</w:t>
      </w:r>
      <w:r w:rsidR="0075129B">
        <w:t>.</w:t>
      </w:r>
      <w:r w:rsidR="001C2937">
        <w:t xml:space="preserve"> </w:t>
      </w:r>
      <w:r w:rsidR="00314950">
        <w:t xml:space="preserve">The Department provided a </w:t>
      </w:r>
      <w:r w:rsidR="00AE1A0E">
        <w:t xml:space="preserve">further breakdown </w:t>
      </w:r>
      <w:r w:rsidR="00314950">
        <w:t xml:space="preserve">of </w:t>
      </w:r>
      <w:r w:rsidR="00412510">
        <w:t xml:space="preserve">identified </w:t>
      </w:r>
      <w:r w:rsidR="00314950">
        <w:t>end</w:t>
      </w:r>
      <w:r w:rsidR="0008671A">
        <w:t>-</w:t>
      </w:r>
      <w:r w:rsidR="00314950">
        <w:t xml:space="preserve">use activity </w:t>
      </w:r>
      <w:r w:rsidR="001A35BB">
        <w:t>(</w:t>
      </w:r>
      <w:r w:rsidR="00A9670B">
        <w:t xml:space="preserve">e.g., </w:t>
      </w:r>
      <w:r w:rsidR="001A35BB">
        <w:t>defence or aviation)</w:t>
      </w:r>
      <w:r w:rsidR="00A9670B">
        <w:t>,</w:t>
      </w:r>
      <w:r w:rsidR="001A35BB">
        <w:t xml:space="preserve"> </w:t>
      </w:r>
      <w:r w:rsidR="00270422">
        <w:t xml:space="preserve">which has been </w:t>
      </w:r>
      <w:r w:rsidR="00BD0842">
        <w:t>self-</w:t>
      </w:r>
      <w:r w:rsidR="0008671A">
        <w:t>identified by halon special permit holders</w:t>
      </w:r>
      <w:r w:rsidR="00270422">
        <w:t xml:space="preserve"> in recent years</w:t>
      </w:r>
      <w:r w:rsidR="00A9670B">
        <w:t>,</w:t>
      </w:r>
      <w:r w:rsidR="0008671A">
        <w:t xml:space="preserve"> </w:t>
      </w:r>
      <w:r w:rsidR="00314950">
        <w:t xml:space="preserve">related to sales for the </w:t>
      </w:r>
      <w:r w:rsidR="00AE1A0E">
        <w:t xml:space="preserve">FYE 2016 to </w:t>
      </w:r>
      <w:r w:rsidR="00BD0842">
        <w:t>2020</w:t>
      </w:r>
      <w:r w:rsidR="007C1475">
        <w:t>.</w:t>
      </w:r>
      <w:r w:rsidR="00314950">
        <w:t xml:space="preserve"> </w:t>
      </w:r>
    </w:p>
    <w:p w14:paraId="4BC85139" w14:textId="2577518C" w:rsidR="007074BC" w:rsidRDefault="002E5A18" w:rsidP="000C627B">
      <w:pPr>
        <w:pStyle w:val="BodyText10"/>
      </w:pPr>
      <w:r>
        <w:t>H</w:t>
      </w:r>
      <w:r w:rsidR="008B1371" w:rsidRPr="00D70BEA">
        <w:t xml:space="preserve">istorically, </w:t>
      </w:r>
      <w:r>
        <w:t xml:space="preserve">it appears </w:t>
      </w:r>
      <w:r w:rsidR="004D6231">
        <w:t xml:space="preserve">that </w:t>
      </w:r>
      <w:r w:rsidR="008B1371" w:rsidRPr="00D70BEA">
        <w:t>a portion</w:t>
      </w:r>
      <w:r w:rsidR="004D6231">
        <w:t xml:space="preserve"> </w:t>
      </w:r>
      <w:r w:rsidR="008B1371" w:rsidRPr="00D70BEA">
        <w:t xml:space="preserve">of halon nominally denoted for one end-use may have inadvertently been employed for another end-use, due to legitimate on-sales or supply of products from one fire protection service provider to another for legitimate use in applications. This could have led to the misassignment of the intended end-use of those original NHB sales. This </w:t>
      </w:r>
      <w:r w:rsidR="00AA26F4">
        <w:t>could</w:t>
      </w:r>
      <w:r w:rsidR="008B1371" w:rsidRPr="00D70BEA">
        <w:t xml:space="preserve"> </w:t>
      </w:r>
      <w:r w:rsidR="00D1003B">
        <w:t>result in</w:t>
      </w:r>
      <w:r w:rsidR="00D1003B" w:rsidRPr="00D70BEA">
        <w:t xml:space="preserve"> </w:t>
      </w:r>
      <w:r w:rsidR="008B1371" w:rsidRPr="00D70BEA">
        <w:t xml:space="preserve">either over- or under-estimation of halon 1211 and 1301 </w:t>
      </w:r>
      <w:r w:rsidR="00CA06A1">
        <w:t xml:space="preserve">sales </w:t>
      </w:r>
      <w:r w:rsidR="00AA26F4">
        <w:t xml:space="preserve">that </w:t>
      </w:r>
      <w:r w:rsidR="00CA06A1">
        <w:t>are</w:t>
      </w:r>
      <w:r w:rsidR="00AA26F4">
        <w:t xml:space="preserve"> </w:t>
      </w:r>
      <w:r w:rsidR="008B1371" w:rsidRPr="00D70BEA">
        <w:t xml:space="preserve">designated </w:t>
      </w:r>
      <w:r w:rsidR="009B789B">
        <w:t xml:space="preserve">by </w:t>
      </w:r>
      <w:r w:rsidR="006060EB">
        <w:t xml:space="preserve">halon </w:t>
      </w:r>
      <w:r w:rsidR="00DD6466">
        <w:t xml:space="preserve">purchasers </w:t>
      </w:r>
      <w:r w:rsidR="008B1371" w:rsidRPr="00D70BEA">
        <w:t>for civil aviation end-uses.</w:t>
      </w:r>
      <w:r w:rsidR="00466001">
        <w:t xml:space="preserve"> Nevertheless, b</w:t>
      </w:r>
      <w:r w:rsidR="00595C81">
        <w:t xml:space="preserve">ased on </w:t>
      </w:r>
      <w:r w:rsidR="00466001">
        <w:t xml:space="preserve">the NHB sales </w:t>
      </w:r>
      <w:r w:rsidR="0075129B">
        <w:t xml:space="preserve">information, </w:t>
      </w:r>
      <w:r w:rsidR="004F0C63">
        <w:t>interview</w:t>
      </w:r>
      <w:r w:rsidR="009F42EB">
        <w:t>s</w:t>
      </w:r>
      <w:r w:rsidR="004F0C63">
        <w:t xml:space="preserve"> with </w:t>
      </w:r>
      <w:r w:rsidR="009D1E5F">
        <w:t xml:space="preserve">halon special permit </w:t>
      </w:r>
      <w:r w:rsidR="004F0C63">
        <w:t xml:space="preserve">holders, </w:t>
      </w:r>
      <w:r w:rsidR="00A000C6">
        <w:t xml:space="preserve">and </w:t>
      </w:r>
      <w:r w:rsidR="00466001">
        <w:t>assumptions about the</w:t>
      </w:r>
      <w:r w:rsidR="00A000C6" w:rsidRPr="000C627B">
        <w:t xml:space="preserve"> business of </w:t>
      </w:r>
      <w:r w:rsidR="009D1E5F">
        <w:t>halon special permit</w:t>
      </w:r>
      <w:r w:rsidR="00A000C6">
        <w:t xml:space="preserve"> holders,</w:t>
      </w:r>
      <w:r w:rsidR="00A000C6" w:rsidRPr="000C627B">
        <w:t xml:space="preserve"> </w:t>
      </w:r>
      <w:r w:rsidR="00A561CC">
        <w:t>end</w:t>
      </w:r>
      <w:r w:rsidR="00EF49D7">
        <w:t>-</w:t>
      </w:r>
      <w:r w:rsidR="00A561CC">
        <w:t xml:space="preserve">use activity has been allocated </w:t>
      </w:r>
      <w:r w:rsidR="00D72DFD">
        <w:t xml:space="preserve">to the extent possible </w:t>
      </w:r>
      <w:r w:rsidR="00A561CC">
        <w:t xml:space="preserve">for NHB sales for </w:t>
      </w:r>
      <w:r w:rsidR="009F42EB">
        <w:t>FYE 2011 to 20</w:t>
      </w:r>
      <w:r w:rsidR="00A27DC9">
        <w:t>20</w:t>
      </w:r>
      <w:r w:rsidR="009F42EB">
        <w:t>.</w:t>
      </w:r>
      <w:r w:rsidR="00A8348E">
        <w:t xml:space="preserve"> </w:t>
      </w:r>
    </w:p>
    <w:p w14:paraId="4DDDC1D0" w14:textId="6D803BB4" w:rsidR="00D70BEA" w:rsidRDefault="00CC07D2" w:rsidP="000C627B">
      <w:pPr>
        <w:pStyle w:val="BodyText10"/>
      </w:pPr>
      <w:r>
        <w:t>F</w:t>
      </w:r>
      <w:r w:rsidR="00A01D4F">
        <w:t xml:space="preserve">or halon 1211, </w:t>
      </w:r>
      <w:r>
        <w:t xml:space="preserve">the data indicate that </w:t>
      </w:r>
      <w:r w:rsidR="001E65F7">
        <w:t xml:space="preserve">for the last ten years, </w:t>
      </w:r>
      <w:r w:rsidR="00706678">
        <w:t xml:space="preserve">NHB sales </w:t>
      </w:r>
      <w:r w:rsidR="006D09AC">
        <w:t xml:space="preserve">into non-defence uses </w:t>
      </w:r>
      <w:r w:rsidR="00706678">
        <w:t xml:space="preserve">have been identified as </w:t>
      </w:r>
      <w:r w:rsidR="00480FE4">
        <w:t xml:space="preserve">going solely to </w:t>
      </w:r>
      <w:r>
        <w:t xml:space="preserve">civil </w:t>
      </w:r>
      <w:r w:rsidR="00480FE4">
        <w:t>aviation end-uses</w:t>
      </w:r>
      <w:r w:rsidR="00F91D7D">
        <w:t>, with an overall downward trend</w:t>
      </w:r>
      <w:r>
        <w:t xml:space="preserve">. For </w:t>
      </w:r>
      <w:r w:rsidR="00317A98">
        <w:t>halon</w:t>
      </w:r>
      <w:r>
        <w:t xml:space="preserve"> 1301, the data indicate that </w:t>
      </w:r>
      <w:r w:rsidR="00BA3D8E">
        <w:t>civil aviation sales</w:t>
      </w:r>
      <w:r w:rsidR="00E0541E">
        <w:t>,</w:t>
      </w:r>
      <w:r w:rsidR="00BA3D8E">
        <w:t xml:space="preserve"> as a proportion of total </w:t>
      </w:r>
      <w:r w:rsidR="00317A98">
        <w:t>NHB sales</w:t>
      </w:r>
      <w:r w:rsidR="00E0541E">
        <w:t>,</w:t>
      </w:r>
      <w:r w:rsidR="00BA3D8E">
        <w:t xml:space="preserve"> are quite variable</w:t>
      </w:r>
      <w:r w:rsidR="00FF55AC">
        <w:t xml:space="preserve"> from year to year</w:t>
      </w:r>
      <w:r w:rsidR="00F110AF">
        <w:t>.</w:t>
      </w:r>
      <w:r w:rsidR="00937278">
        <w:t xml:space="preserve"> In absolute terms, </w:t>
      </w:r>
      <w:r w:rsidR="00927B60">
        <w:t xml:space="preserve">in recent years, </w:t>
      </w:r>
      <w:r w:rsidR="00081DC7">
        <w:t xml:space="preserve">there </w:t>
      </w:r>
      <w:r w:rsidR="0070765F">
        <w:t>seems to be</w:t>
      </w:r>
      <w:r w:rsidR="00081DC7">
        <w:t xml:space="preserve"> a general trend </w:t>
      </w:r>
      <w:r w:rsidR="006A78BA">
        <w:t>to</w:t>
      </w:r>
      <w:r w:rsidR="007F7588">
        <w:t>wards</w:t>
      </w:r>
      <w:r w:rsidR="006A78BA">
        <w:t xml:space="preserve"> increasing </w:t>
      </w:r>
      <w:r w:rsidR="00927B60">
        <w:t xml:space="preserve">annual </w:t>
      </w:r>
      <w:r w:rsidR="006A78BA">
        <w:t>quantities</w:t>
      </w:r>
      <w:r w:rsidR="007F7588">
        <w:t xml:space="preserve"> sold into civil aviation.</w:t>
      </w:r>
      <w:r w:rsidR="00AE7952">
        <w:t xml:space="preserve"> These trends </w:t>
      </w:r>
      <w:r w:rsidR="001032BC">
        <w:t>are</w:t>
      </w:r>
      <w:r w:rsidR="00AE7952">
        <w:t xml:space="preserve"> consistent with</w:t>
      </w:r>
      <w:r w:rsidR="00D655E4">
        <w:t xml:space="preserve"> decreasing demand for halon 1211 with the introduction of halon alternatives in civil aviation and increasing demand for halon 1301 </w:t>
      </w:r>
      <w:r w:rsidR="007F64CF">
        <w:t xml:space="preserve">associated </w:t>
      </w:r>
      <w:r w:rsidR="00D655E4">
        <w:t>with increasing</w:t>
      </w:r>
      <w:r w:rsidR="006348DC">
        <w:t xml:space="preserve"> aircraft numbers</w:t>
      </w:r>
      <w:r w:rsidR="007F64CF">
        <w:t xml:space="preserve">, demand for halon 1301 and the absence of </w:t>
      </w:r>
      <w:r w:rsidR="00D95A92">
        <w:t>alternatives in the major use areas (</w:t>
      </w:r>
      <w:r w:rsidR="00B0087D">
        <w:t>engine/auxiliary power unit</w:t>
      </w:r>
      <w:r w:rsidR="00CF7DB6">
        <w:t xml:space="preserve"> and </w:t>
      </w:r>
      <w:r w:rsidR="007074BC">
        <w:t>cargo compartments)</w:t>
      </w:r>
      <w:r w:rsidR="007F64CF">
        <w:t>.</w:t>
      </w:r>
    </w:p>
    <w:p w14:paraId="3BE27636" w14:textId="41EC61B4" w:rsidR="00231078" w:rsidRDefault="00802585" w:rsidP="00890208">
      <w:pPr>
        <w:pStyle w:val="BodyText10"/>
      </w:pPr>
      <w:r w:rsidRPr="000C627B">
        <w:t xml:space="preserve">NHB </w:t>
      </w:r>
      <w:r w:rsidR="009A26A6">
        <w:t>halon special permit</w:t>
      </w:r>
      <w:r w:rsidRPr="000C627B">
        <w:t xml:space="preserve"> </w:t>
      </w:r>
      <w:r w:rsidR="00A358AD" w:rsidRPr="000C627B">
        <w:t xml:space="preserve">data was </w:t>
      </w:r>
      <w:r w:rsidR="00221B6C" w:rsidRPr="000C627B">
        <w:t xml:space="preserve">provided via the Department from the </w:t>
      </w:r>
      <w:r w:rsidR="00A34A1C">
        <w:t xml:space="preserve">Fire Protection Industry Board </w:t>
      </w:r>
      <w:r w:rsidR="001E1E97">
        <w:t>and</w:t>
      </w:r>
      <w:r w:rsidR="001E1E97" w:rsidRPr="000C627B">
        <w:t xml:space="preserve"> </w:t>
      </w:r>
      <w:r w:rsidR="00BF3519" w:rsidRPr="000C627B">
        <w:t>includ</w:t>
      </w:r>
      <w:r w:rsidR="00281BB8">
        <w:t>es</w:t>
      </w:r>
      <w:r w:rsidR="00BF3519" w:rsidRPr="000C627B">
        <w:t xml:space="preserve"> </w:t>
      </w:r>
      <w:r w:rsidR="00977358" w:rsidRPr="000C627B">
        <w:t xml:space="preserve">amounts collected, decanted and destroyed, and </w:t>
      </w:r>
      <w:r w:rsidR="00FF4778" w:rsidRPr="000C627B">
        <w:t>on-hand</w:t>
      </w:r>
      <w:r w:rsidR="00977358" w:rsidRPr="000C627B">
        <w:t xml:space="preserve">. </w:t>
      </w:r>
      <w:r w:rsidR="00B174F6" w:rsidRPr="000C627B">
        <w:t>The NHB clarified questions about definitions for data categories</w:t>
      </w:r>
      <w:r w:rsidR="00590C37" w:rsidRPr="000C627B">
        <w:t xml:space="preserve"> </w:t>
      </w:r>
      <w:r w:rsidR="00796966">
        <w:t xml:space="preserve">for NHB sales </w:t>
      </w:r>
      <w:r w:rsidR="00590C37" w:rsidRPr="000C627B">
        <w:t xml:space="preserve">and some anomalous </w:t>
      </w:r>
      <w:r w:rsidR="00561DED">
        <w:t xml:space="preserve">NHB sales </w:t>
      </w:r>
      <w:r w:rsidR="00590C37" w:rsidRPr="000C627B">
        <w:t>data</w:t>
      </w:r>
      <w:r w:rsidR="00B174F6" w:rsidRPr="000C627B">
        <w:t xml:space="preserve">. </w:t>
      </w:r>
      <w:r w:rsidR="00E97988" w:rsidRPr="000C627B">
        <w:t xml:space="preserve">This </w:t>
      </w:r>
      <w:r w:rsidR="00B167D4" w:rsidRPr="000C627B">
        <w:t xml:space="preserve">data was provided for the “Department/NHB” covering March 2015 through June 2019, with September 2019 data being incomplete. </w:t>
      </w:r>
    </w:p>
    <w:p w14:paraId="4C0828AD" w14:textId="1D38C4EB" w:rsidR="00231078" w:rsidRDefault="00DF6D9E" w:rsidP="00890208">
      <w:pPr>
        <w:pStyle w:val="BodyText10"/>
      </w:pPr>
      <w:r>
        <w:t xml:space="preserve">Regarding the quantities of halon 1211 and 1301 being surrendered to the NHB, </w:t>
      </w:r>
      <w:r w:rsidR="00553BA7">
        <w:t>in recent years annual average</w:t>
      </w:r>
      <w:r w:rsidR="00AC71F9">
        <w:t>s</w:t>
      </w:r>
      <w:r w:rsidR="00553BA7">
        <w:t xml:space="preserve"> of 3.</w:t>
      </w:r>
      <w:r w:rsidR="000818C0">
        <w:t>5</w:t>
      </w:r>
      <w:r w:rsidR="00553BA7">
        <w:t xml:space="preserve"> tonnes</w:t>
      </w:r>
      <w:r w:rsidR="000818C0">
        <w:t xml:space="preserve"> halon 1211 and </w:t>
      </w:r>
      <w:r w:rsidR="00B63795">
        <w:t xml:space="preserve">0.8 tonnes halon 1301 </w:t>
      </w:r>
      <w:r w:rsidR="00AC71F9">
        <w:t xml:space="preserve">have been </w:t>
      </w:r>
      <w:r w:rsidR="00F22C5F">
        <w:t>surrendered to the NHB</w:t>
      </w:r>
      <w:r w:rsidR="00CE29B2">
        <w:t>.</w:t>
      </w:r>
      <w:r w:rsidR="00F10700">
        <w:t xml:space="preserve"> </w:t>
      </w:r>
      <w:r w:rsidR="00CE29B2">
        <w:t xml:space="preserve">For </w:t>
      </w:r>
      <w:r w:rsidR="002B2BCE">
        <w:t xml:space="preserve">the period January 2017 to January 2020, </w:t>
      </w:r>
      <w:r w:rsidR="00CE29B2">
        <w:t xml:space="preserve">there appears to be a </w:t>
      </w:r>
      <w:r w:rsidR="00AC71F9">
        <w:t xml:space="preserve">trend of </w:t>
      </w:r>
      <w:r w:rsidR="002B2BCE">
        <w:t xml:space="preserve">increasing </w:t>
      </w:r>
      <w:r w:rsidR="00F47735">
        <w:t xml:space="preserve">quantities </w:t>
      </w:r>
      <w:r w:rsidR="00AC71F9">
        <w:t xml:space="preserve">of </w:t>
      </w:r>
      <w:r w:rsidR="00F47735">
        <w:t xml:space="preserve">surrendered halon 1211 and a </w:t>
      </w:r>
      <w:r w:rsidR="00AC71F9">
        <w:t xml:space="preserve">trend of </w:t>
      </w:r>
      <w:r w:rsidR="00F47735">
        <w:t xml:space="preserve">decreasing quantities </w:t>
      </w:r>
      <w:r w:rsidR="00AC71F9">
        <w:t xml:space="preserve">of </w:t>
      </w:r>
      <w:r w:rsidR="00F47735">
        <w:t>surrendered halon 1301.</w:t>
      </w:r>
    </w:p>
    <w:p w14:paraId="727DECD9" w14:textId="25E7382D" w:rsidR="00890208" w:rsidRPr="00890208" w:rsidRDefault="00C7419B" w:rsidP="00890208">
      <w:pPr>
        <w:pStyle w:val="BodyText10"/>
      </w:pPr>
      <w:r>
        <w:t>T</w:t>
      </w:r>
      <w:r w:rsidR="00B167D4" w:rsidRPr="000C627B">
        <w:t xml:space="preserve">he “Department/NHB” </w:t>
      </w:r>
      <w:r w:rsidR="00BF21A4" w:rsidRPr="000C627B">
        <w:t xml:space="preserve">on-hand </w:t>
      </w:r>
      <w:r w:rsidR="00B167D4" w:rsidRPr="000C627B">
        <w:t xml:space="preserve">data is </w:t>
      </w:r>
      <w:r w:rsidR="00085971">
        <w:t xml:space="preserve">an </w:t>
      </w:r>
      <w:r w:rsidR="00B167D4" w:rsidRPr="000C627B">
        <w:t xml:space="preserve">aggregate of </w:t>
      </w:r>
      <w:r w:rsidR="00AB44AE">
        <w:t>non-defence</w:t>
      </w:r>
      <w:r>
        <w:t xml:space="preserve"> </w:t>
      </w:r>
      <w:r w:rsidR="0091028B">
        <w:t>inventory</w:t>
      </w:r>
      <w:r w:rsidR="003A7D71">
        <w:t xml:space="preserve"> at the NHB</w:t>
      </w:r>
      <w:r w:rsidR="00B167D4" w:rsidRPr="000C627B">
        <w:t xml:space="preserve">. </w:t>
      </w:r>
      <w:r>
        <w:t>T</w:t>
      </w:r>
      <w:r w:rsidR="00E50B94" w:rsidRPr="000C627B">
        <w:t xml:space="preserve">he </w:t>
      </w:r>
      <w:r w:rsidR="00553B4A">
        <w:t>non-defence</w:t>
      </w:r>
      <w:r w:rsidR="00B167D4" w:rsidRPr="000C627B">
        <w:t xml:space="preserve"> </w:t>
      </w:r>
      <w:r>
        <w:t xml:space="preserve">component </w:t>
      </w:r>
      <w:r w:rsidR="00B167D4" w:rsidRPr="000C627B">
        <w:t xml:space="preserve">consists of a stockpile of recovered halon that meets ASTM and ISO standards and is ready for service, </w:t>
      </w:r>
      <w:r w:rsidR="00B167D4" w:rsidRPr="000C627B">
        <w:lastRenderedPageBreak/>
        <w:t xml:space="preserve">as well as </w:t>
      </w:r>
      <w:r w:rsidR="00F17BFA">
        <w:t xml:space="preserve">surrendered </w:t>
      </w:r>
      <w:r w:rsidR="00B167D4" w:rsidRPr="000C627B">
        <w:t xml:space="preserve">material that is held </w:t>
      </w:r>
      <w:r w:rsidR="00270FCD" w:rsidRPr="000C627B">
        <w:t>“</w:t>
      </w:r>
      <w:r w:rsidR="00B167D4" w:rsidRPr="000C627B">
        <w:t>as received</w:t>
      </w:r>
      <w:r w:rsidR="00270FCD" w:rsidRPr="000C627B">
        <w:t>”</w:t>
      </w:r>
      <w:r w:rsidR="00B167D4" w:rsidRPr="000C627B">
        <w:t xml:space="preserve"> but is of unknown quality and </w:t>
      </w:r>
      <w:r w:rsidR="003143AC" w:rsidRPr="000C627B">
        <w:t>nominal</w:t>
      </w:r>
      <w:r w:rsidR="00B167D4" w:rsidRPr="000C627B">
        <w:t xml:space="preserve"> quantity. </w:t>
      </w:r>
    </w:p>
    <w:p w14:paraId="2A294F9F" w14:textId="23BEA1B0" w:rsidR="0099297C" w:rsidRDefault="0099297C" w:rsidP="00324056">
      <w:pPr>
        <w:pStyle w:val="Heading3"/>
      </w:pPr>
      <w:bookmarkStart w:id="48" w:name="_Toc38190355"/>
      <w:r>
        <w:t xml:space="preserve">Current Availability of </w:t>
      </w:r>
      <w:r w:rsidR="00AA0457">
        <w:t xml:space="preserve">NHB </w:t>
      </w:r>
      <w:r>
        <w:t xml:space="preserve">Halon for </w:t>
      </w:r>
      <w:r w:rsidR="006E2C64">
        <w:t>Non-Defence</w:t>
      </w:r>
      <w:r>
        <w:t xml:space="preserve"> Uses</w:t>
      </w:r>
      <w:bookmarkEnd w:id="48"/>
    </w:p>
    <w:p w14:paraId="60CA46B2" w14:textId="3262D0CB" w:rsidR="00D9525E" w:rsidRDefault="00E00B08" w:rsidP="000C627B">
      <w:pPr>
        <w:pStyle w:val="BodyText10"/>
      </w:pPr>
      <w:r>
        <w:t>T</w:t>
      </w:r>
      <w:r w:rsidR="00B5283F">
        <w:t xml:space="preserve">he Department provided </w:t>
      </w:r>
      <w:r w:rsidR="001507F7">
        <w:t xml:space="preserve">data </w:t>
      </w:r>
      <w:r w:rsidR="00D6348C">
        <w:t>for</w:t>
      </w:r>
      <w:r w:rsidR="001507F7">
        <w:t xml:space="preserve"> </w:t>
      </w:r>
      <w:r w:rsidR="00960FCB">
        <w:t xml:space="preserve">the NHB </w:t>
      </w:r>
      <w:r w:rsidR="00882C4F">
        <w:t>inventory</w:t>
      </w:r>
      <w:r w:rsidR="001507F7">
        <w:t xml:space="preserve"> of reclaimed quantities of halon 1211 and 1301</w:t>
      </w:r>
      <w:r w:rsidR="00885BEF">
        <w:t xml:space="preserve"> </w:t>
      </w:r>
      <w:r w:rsidR="001C06EC">
        <w:t xml:space="preserve">reserved for non-defence purposes </w:t>
      </w:r>
      <w:r w:rsidR="00960FCB">
        <w:t>for</w:t>
      </w:r>
      <w:r w:rsidR="00885BEF">
        <w:t xml:space="preserve"> April 201</w:t>
      </w:r>
      <w:r w:rsidR="006F6E23">
        <w:t xml:space="preserve">3 to </w:t>
      </w:r>
      <w:r w:rsidR="001C06EC">
        <w:t xml:space="preserve">January </w:t>
      </w:r>
      <w:r w:rsidR="00882C4F">
        <w:t>20</w:t>
      </w:r>
      <w:r w:rsidR="001C06EC">
        <w:t>20</w:t>
      </w:r>
      <w:r w:rsidR="00882C4F">
        <w:t>.</w:t>
      </w:r>
      <w:r w:rsidR="00F31FAE">
        <w:t xml:space="preserve"> At </w:t>
      </w:r>
      <w:r w:rsidR="00CA5E9C">
        <w:t>January</w:t>
      </w:r>
      <w:r w:rsidR="00D171F3">
        <w:t xml:space="preserve"> </w:t>
      </w:r>
      <w:r w:rsidR="000D2352">
        <w:t>20</w:t>
      </w:r>
      <w:r w:rsidR="00CA5E9C">
        <w:t>20</w:t>
      </w:r>
      <w:r w:rsidR="000D2352">
        <w:t xml:space="preserve">, </w:t>
      </w:r>
      <w:r w:rsidR="00231543">
        <w:t>the NHB held</w:t>
      </w:r>
      <w:r w:rsidR="00D9525E">
        <w:t>:</w:t>
      </w:r>
    </w:p>
    <w:p w14:paraId="3B52E826" w14:textId="77777777" w:rsidR="00D9525E" w:rsidRDefault="00231543" w:rsidP="001B3A85">
      <w:pPr>
        <w:pStyle w:val="BodyText10"/>
        <w:numPr>
          <w:ilvl w:val="0"/>
          <w:numId w:val="22"/>
        </w:numPr>
      </w:pPr>
      <w:r>
        <w:t>93.03 tonnes of halon 1211</w:t>
      </w:r>
      <w:r w:rsidR="00D9525E">
        <w:t>,</w:t>
      </w:r>
      <w:r>
        <w:t xml:space="preserve"> and </w:t>
      </w:r>
    </w:p>
    <w:p w14:paraId="11B66032" w14:textId="0364D673" w:rsidR="00D9525E" w:rsidRDefault="00231543" w:rsidP="001B3A85">
      <w:pPr>
        <w:pStyle w:val="BodyText10"/>
        <w:numPr>
          <w:ilvl w:val="0"/>
          <w:numId w:val="22"/>
        </w:numPr>
      </w:pPr>
      <w:r>
        <w:t>16</w:t>
      </w:r>
      <w:r w:rsidR="00C24864">
        <w:t>5</w:t>
      </w:r>
      <w:r>
        <w:t>.</w:t>
      </w:r>
      <w:r w:rsidR="00C24864">
        <w:t>8</w:t>
      </w:r>
      <w:r>
        <w:t>7 tonnes of halon 1301.</w:t>
      </w:r>
      <w:r w:rsidR="00D6348C">
        <w:t xml:space="preserve"> </w:t>
      </w:r>
    </w:p>
    <w:p w14:paraId="14BBB931" w14:textId="6FA61CF7" w:rsidR="00E53FEF" w:rsidRDefault="00E53FEF" w:rsidP="001B3A85">
      <w:pPr>
        <w:pStyle w:val="BodyText10"/>
      </w:pPr>
      <w:r>
        <w:t>For halon 1211</w:t>
      </w:r>
      <w:r w:rsidR="00974EB9">
        <w:t xml:space="preserve">, an additional </w:t>
      </w:r>
      <w:r w:rsidR="00372E30">
        <w:t xml:space="preserve">nominal quantity of </w:t>
      </w:r>
      <w:r w:rsidR="00974EB9">
        <w:t xml:space="preserve">24.6 tonnes has been surrendered </w:t>
      </w:r>
      <w:r w:rsidR="0037695E">
        <w:t xml:space="preserve">but not yet </w:t>
      </w:r>
      <w:r w:rsidR="00974EB9">
        <w:t>recla</w:t>
      </w:r>
      <w:r w:rsidR="001166DA">
        <w:t>i</w:t>
      </w:r>
      <w:r w:rsidR="00974EB9">
        <w:t>m</w:t>
      </w:r>
      <w:r w:rsidR="0037695E">
        <w:t>ed</w:t>
      </w:r>
      <w:r w:rsidR="008E053A">
        <w:t xml:space="preserve">; for halon 1301 an additional </w:t>
      </w:r>
      <w:r w:rsidR="00372E30">
        <w:t xml:space="preserve">nominal quantity of </w:t>
      </w:r>
      <w:r w:rsidR="008E053A">
        <w:t xml:space="preserve">3.7 tonnes has been surrendered </w:t>
      </w:r>
      <w:r w:rsidR="0037695E">
        <w:t>but not yet reclaimed</w:t>
      </w:r>
      <w:r w:rsidR="008E053A">
        <w:t xml:space="preserve">. The amounts </w:t>
      </w:r>
      <w:r w:rsidR="00435192">
        <w:t xml:space="preserve">of halons </w:t>
      </w:r>
      <w:r w:rsidR="008E053A">
        <w:t>that c</w:t>
      </w:r>
      <w:r w:rsidR="00B21D1F">
        <w:t>ould</w:t>
      </w:r>
      <w:r w:rsidR="008E053A">
        <w:t xml:space="preserve"> be</w:t>
      </w:r>
      <w:r w:rsidR="00B21D1F">
        <w:t xml:space="preserve"> recovered </w:t>
      </w:r>
      <w:r w:rsidR="00565370">
        <w:t xml:space="preserve">from these materials </w:t>
      </w:r>
      <w:r w:rsidR="00B21D1F">
        <w:t xml:space="preserve">to meet </w:t>
      </w:r>
      <w:r w:rsidR="005648A1">
        <w:t>international</w:t>
      </w:r>
      <w:r w:rsidR="00B21D1F">
        <w:t xml:space="preserve"> standards are not known</w:t>
      </w:r>
      <w:r w:rsidR="00276FD6">
        <w:t xml:space="preserve"> and are yet to be determined</w:t>
      </w:r>
      <w:r w:rsidR="00B21D1F">
        <w:t>.</w:t>
      </w:r>
      <w:r w:rsidR="008E053A">
        <w:t xml:space="preserve"> </w:t>
      </w:r>
    </w:p>
    <w:p w14:paraId="4428CE14" w14:textId="178CEF0E" w:rsidR="00443E8C" w:rsidRPr="00A90F7F" w:rsidRDefault="00443E8C" w:rsidP="001B3A85">
      <w:pPr>
        <w:pStyle w:val="BodyText10"/>
      </w:pPr>
      <w:r w:rsidRPr="00443E8C">
        <w:t xml:space="preserve">Halon 1211 inventory shows a gradual decline in </w:t>
      </w:r>
      <w:r w:rsidRPr="0099297C">
        <w:t xml:space="preserve">quantities as a result of sales. Halon 1301 inventory shows a more </w:t>
      </w:r>
      <w:r w:rsidRPr="00AA0457">
        <w:t>uneven decline over the period</w:t>
      </w:r>
      <w:r w:rsidR="00E938E9">
        <w:t>, w</w:t>
      </w:r>
      <w:r w:rsidR="00FC7D08">
        <w:t xml:space="preserve">ith a number of significant one-off sales </w:t>
      </w:r>
      <w:r w:rsidR="00F954A9">
        <w:t>for</w:t>
      </w:r>
      <w:r w:rsidR="00FC7D08">
        <w:t xml:space="preserve"> purposes</w:t>
      </w:r>
      <w:r w:rsidR="006144D8">
        <w:t xml:space="preserve"> other than non-defence</w:t>
      </w:r>
      <w:r w:rsidR="003D3701">
        <w:t xml:space="preserve"> uses</w:t>
      </w:r>
      <w:r w:rsidRPr="00A90F7F">
        <w:t>.</w:t>
      </w:r>
    </w:p>
    <w:p w14:paraId="2938CDE4" w14:textId="1A198B70" w:rsidR="001A35BB" w:rsidRPr="001B3A85" w:rsidRDefault="001A35BB" w:rsidP="001B3A85">
      <w:pPr>
        <w:pStyle w:val="BodyText10"/>
        <w:keepNext/>
        <w:widowControl/>
        <w:tabs>
          <w:tab w:val="left" w:pos="1418"/>
        </w:tabs>
        <w:ind w:left="1418" w:hanging="1418"/>
        <w:rPr>
          <w:b/>
          <w:bCs/>
          <w:i/>
          <w:iCs/>
        </w:rPr>
      </w:pPr>
      <w:r w:rsidRPr="001B3A85">
        <w:rPr>
          <w:b/>
          <w:bCs/>
          <w:i/>
          <w:iCs/>
        </w:rPr>
        <w:t>Figure 4.3</w:t>
      </w:r>
      <w:r w:rsidRPr="001B3A85">
        <w:rPr>
          <w:b/>
          <w:bCs/>
          <w:i/>
          <w:iCs/>
        </w:rPr>
        <w:tab/>
      </w:r>
      <w:r w:rsidR="000E68DB" w:rsidRPr="001B3A85">
        <w:rPr>
          <w:b/>
          <w:bCs/>
          <w:i/>
          <w:iCs/>
        </w:rPr>
        <w:t xml:space="preserve">Monthly </w:t>
      </w:r>
      <w:r w:rsidR="001D5DE3">
        <w:rPr>
          <w:b/>
          <w:bCs/>
          <w:i/>
          <w:iCs/>
        </w:rPr>
        <w:t xml:space="preserve">NHB </w:t>
      </w:r>
      <w:r w:rsidR="009D1EAA">
        <w:rPr>
          <w:b/>
          <w:bCs/>
          <w:i/>
          <w:iCs/>
        </w:rPr>
        <w:t xml:space="preserve">Non-Defence </w:t>
      </w:r>
      <w:r w:rsidR="00164DC6" w:rsidRPr="001B3A85">
        <w:rPr>
          <w:b/>
          <w:bCs/>
          <w:i/>
          <w:iCs/>
        </w:rPr>
        <w:t>Inventory of Reclaimed Halon 1211, April 2013-</w:t>
      </w:r>
      <w:r w:rsidR="00BE0376">
        <w:rPr>
          <w:b/>
          <w:bCs/>
          <w:i/>
          <w:iCs/>
        </w:rPr>
        <w:t>January 2020</w:t>
      </w:r>
      <w:r w:rsidR="00C93644">
        <w:rPr>
          <w:b/>
          <w:bCs/>
          <w:i/>
          <w:iCs/>
        </w:rPr>
        <w:t xml:space="preserve"> (Kilograms)</w:t>
      </w:r>
    </w:p>
    <w:p w14:paraId="09CEE1EF" w14:textId="1A543010" w:rsidR="00693060" w:rsidRPr="002518AB" w:rsidRDefault="00F9233C" w:rsidP="000C627B">
      <w:pPr>
        <w:pStyle w:val="BodyText10"/>
      </w:pPr>
      <w:r>
        <w:rPr>
          <w:noProof/>
        </w:rPr>
        <w:drawing>
          <wp:inline distT="0" distB="0" distL="0" distR="0" wp14:anchorId="4CE7FD8F" wp14:editId="013CEBCA">
            <wp:extent cx="5269865" cy="2871470"/>
            <wp:effectExtent l="0" t="0" r="13335" b="11430"/>
            <wp:docPr id="8" name="Chart 8">
              <a:extLst xmlns:a="http://schemas.openxmlformats.org/drawingml/2006/main">
                <a:ext uri="{FF2B5EF4-FFF2-40B4-BE49-F238E27FC236}">
                  <a16:creationId xmlns:a16="http://schemas.microsoft.com/office/drawing/2014/main" id="{012EB173-F2EB-D848-B45D-77B26A9397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0FF3203" w14:textId="77777777" w:rsidR="0051570F" w:rsidRDefault="0051570F" w:rsidP="00346089">
      <w:pPr>
        <w:pStyle w:val="BodyText10"/>
      </w:pPr>
    </w:p>
    <w:p w14:paraId="27537B8B" w14:textId="65BBED68" w:rsidR="00C93644" w:rsidRPr="00741AB1" w:rsidRDefault="00C93644" w:rsidP="001B3A85">
      <w:pPr>
        <w:pStyle w:val="BodyText10"/>
        <w:keepNext/>
        <w:widowControl/>
        <w:tabs>
          <w:tab w:val="left" w:pos="1418"/>
        </w:tabs>
        <w:ind w:left="1418" w:hanging="1418"/>
        <w:rPr>
          <w:b/>
          <w:bCs/>
          <w:i/>
          <w:iCs/>
        </w:rPr>
      </w:pPr>
      <w:r w:rsidRPr="00741AB1">
        <w:rPr>
          <w:b/>
          <w:bCs/>
          <w:i/>
          <w:iCs/>
        </w:rPr>
        <w:lastRenderedPageBreak/>
        <w:t>Figure 4.</w:t>
      </w:r>
      <w:r>
        <w:rPr>
          <w:b/>
          <w:bCs/>
          <w:i/>
          <w:iCs/>
        </w:rPr>
        <w:t>4</w:t>
      </w:r>
      <w:r w:rsidRPr="00741AB1">
        <w:rPr>
          <w:b/>
          <w:bCs/>
          <w:i/>
          <w:iCs/>
        </w:rPr>
        <w:tab/>
        <w:t xml:space="preserve">Monthly </w:t>
      </w:r>
      <w:r>
        <w:rPr>
          <w:b/>
          <w:bCs/>
          <w:i/>
          <w:iCs/>
        </w:rPr>
        <w:t xml:space="preserve">NHB </w:t>
      </w:r>
      <w:r w:rsidR="009D1EAA">
        <w:rPr>
          <w:b/>
          <w:bCs/>
          <w:i/>
          <w:iCs/>
        </w:rPr>
        <w:t xml:space="preserve">Non-Defence </w:t>
      </w:r>
      <w:r w:rsidRPr="00741AB1">
        <w:rPr>
          <w:b/>
          <w:bCs/>
          <w:i/>
          <w:iCs/>
        </w:rPr>
        <w:t xml:space="preserve">Inventory of Reclaimed Halon </w:t>
      </w:r>
      <w:r w:rsidR="00E351EE">
        <w:rPr>
          <w:b/>
          <w:bCs/>
          <w:i/>
          <w:iCs/>
        </w:rPr>
        <w:t>1301</w:t>
      </w:r>
      <w:r w:rsidRPr="00741AB1">
        <w:rPr>
          <w:b/>
          <w:bCs/>
          <w:i/>
          <w:iCs/>
        </w:rPr>
        <w:t>, April 2013-</w:t>
      </w:r>
      <w:r w:rsidR="00BE0376">
        <w:rPr>
          <w:b/>
          <w:bCs/>
          <w:i/>
          <w:iCs/>
        </w:rPr>
        <w:t>January 2020</w:t>
      </w:r>
      <w:r>
        <w:rPr>
          <w:b/>
          <w:bCs/>
          <w:i/>
          <w:iCs/>
        </w:rPr>
        <w:t xml:space="preserve"> (Kilograms)</w:t>
      </w:r>
    </w:p>
    <w:p w14:paraId="5B105302" w14:textId="77777777" w:rsidR="00E0554B" w:rsidRDefault="00AB3C6C" w:rsidP="00346089">
      <w:pPr>
        <w:pStyle w:val="BodyText10"/>
      </w:pPr>
      <w:r>
        <w:rPr>
          <w:noProof/>
        </w:rPr>
        <w:drawing>
          <wp:inline distT="0" distB="0" distL="0" distR="0" wp14:anchorId="4F27F6C7" wp14:editId="7AC9DCE6">
            <wp:extent cx="5269865" cy="2870835"/>
            <wp:effectExtent l="0" t="0" r="13335" b="12065"/>
            <wp:docPr id="19" name="Chart 19">
              <a:extLst xmlns:a="http://schemas.openxmlformats.org/drawingml/2006/main">
                <a:ext uri="{FF2B5EF4-FFF2-40B4-BE49-F238E27FC236}">
                  <a16:creationId xmlns:a16="http://schemas.microsoft.com/office/drawing/2014/main" id="{11DD1362-508D-9E4F-8274-BFED90A509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97559ED" w14:textId="77777777" w:rsidR="00784F7F" w:rsidRDefault="00784F7F" w:rsidP="00346089">
      <w:pPr>
        <w:pStyle w:val="BodyText10"/>
      </w:pPr>
    </w:p>
    <w:p w14:paraId="237BB222" w14:textId="1CE28782" w:rsidR="00A23ADE" w:rsidRDefault="00C04403" w:rsidP="00346089">
      <w:pPr>
        <w:pStyle w:val="BodyText10"/>
      </w:pPr>
      <w:r w:rsidRPr="002518AB">
        <w:t>T</w:t>
      </w:r>
      <w:r w:rsidR="00881E7D" w:rsidRPr="002518AB">
        <w:t xml:space="preserve">he NHB </w:t>
      </w:r>
      <w:r w:rsidR="00E968A7">
        <w:t xml:space="preserve">non-defence </w:t>
      </w:r>
      <w:r w:rsidR="00881E7D" w:rsidRPr="002518AB">
        <w:t xml:space="preserve">reserves of halon </w:t>
      </w:r>
      <w:r w:rsidRPr="002518AB">
        <w:t xml:space="preserve">are likely to </w:t>
      </w:r>
      <w:r w:rsidR="00881E7D" w:rsidRPr="002518AB">
        <w:t xml:space="preserve">constitute the majority of halon available for </w:t>
      </w:r>
      <w:r w:rsidR="00553B4A">
        <w:t>non-defence</w:t>
      </w:r>
      <w:r w:rsidRPr="002518AB">
        <w:t xml:space="preserve"> </w:t>
      </w:r>
      <w:r w:rsidR="00881E7D" w:rsidRPr="002518AB">
        <w:t>uses</w:t>
      </w:r>
      <w:r w:rsidR="005864DA" w:rsidRPr="002518AB">
        <w:t xml:space="preserve"> in Australia</w:t>
      </w:r>
      <w:r w:rsidR="00881E7D" w:rsidRPr="002518AB">
        <w:t xml:space="preserve">. Fire protection companies and a few </w:t>
      </w:r>
      <w:r w:rsidR="00E968A7">
        <w:t xml:space="preserve">non-defence </w:t>
      </w:r>
      <w:r w:rsidR="00954AE6" w:rsidRPr="002518AB">
        <w:t xml:space="preserve">halon </w:t>
      </w:r>
      <w:r w:rsidR="00881E7D" w:rsidRPr="002518AB">
        <w:t xml:space="preserve">users have small </w:t>
      </w:r>
      <w:r w:rsidR="00E968A7">
        <w:t xml:space="preserve">privately held </w:t>
      </w:r>
      <w:r w:rsidR="00881E7D" w:rsidRPr="002518AB">
        <w:t>reserves</w:t>
      </w:r>
      <w:r w:rsidR="00954AE6" w:rsidRPr="002518AB">
        <w:t xml:space="preserve"> (based on </w:t>
      </w:r>
      <w:r w:rsidR="00F766C5">
        <w:t>halon special permit</w:t>
      </w:r>
      <w:r w:rsidR="00F766C5" w:rsidRPr="002518AB">
        <w:t xml:space="preserve"> </w:t>
      </w:r>
      <w:r w:rsidR="00954AE6" w:rsidRPr="002518AB">
        <w:t>holder reporting)</w:t>
      </w:r>
      <w:r w:rsidRPr="002518AB">
        <w:t>,</w:t>
      </w:r>
      <w:r w:rsidR="00881E7D" w:rsidRPr="002518AB">
        <w:t xml:space="preserve"> and </w:t>
      </w:r>
      <w:r w:rsidR="00532608" w:rsidRPr="002518AB">
        <w:t xml:space="preserve">some </w:t>
      </w:r>
      <w:r w:rsidRPr="002518AB">
        <w:t xml:space="preserve">surplus </w:t>
      </w:r>
      <w:r w:rsidR="00532608" w:rsidRPr="002518AB">
        <w:t>halon</w:t>
      </w:r>
      <w:r w:rsidR="00881E7D" w:rsidRPr="002518AB">
        <w:t xml:space="preserve"> </w:t>
      </w:r>
      <w:r w:rsidR="00CA7307">
        <w:t>will</w:t>
      </w:r>
      <w:r w:rsidR="00CA7307" w:rsidRPr="002518AB">
        <w:t xml:space="preserve"> </w:t>
      </w:r>
      <w:r w:rsidR="00881E7D" w:rsidRPr="002518AB">
        <w:t>also</w:t>
      </w:r>
      <w:r w:rsidR="00CA7307">
        <w:t xml:space="preserve"> be</w:t>
      </w:r>
      <w:r w:rsidR="00881E7D" w:rsidRPr="002518AB">
        <w:t xml:space="preserve"> </w:t>
      </w:r>
      <w:r w:rsidR="00B95BC5">
        <w:t>contained</w:t>
      </w:r>
      <w:r w:rsidR="00B95BC5" w:rsidRPr="002518AB">
        <w:t xml:space="preserve"> </w:t>
      </w:r>
      <w:r w:rsidR="00881E7D" w:rsidRPr="002518AB">
        <w:t>in equipment</w:t>
      </w:r>
      <w:r w:rsidRPr="002518AB">
        <w:t xml:space="preserve"> that has not yet been </w:t>
      </w:r>
      <w:r w:rsidR="00CA7307">
        <w:t xml:space="preserve">decommissioned </w:t>
      </w:r>
      <w:r w:rsidR="000020FB">
        <w:t xml:space="preserve">or </w:t>
      </w:r>
      <w:r w:rsidRPr="002518AB">
        <w:t>collected by the NHB</w:t>
      </w:r>
      <w:r w:rsidR="00881E7D" w:rsidRPr="002518AB">
        <w:t>.</w:t>
      </w:r>
      <w:r w:rsidR="00F10700">
        <w:t xml:space="preserve"> </w:t>
      </w:r>
    </w:p>
    <w:p w14:paraId="258D8922" w14:textId="6D882A46" w:rsidR="00BB192D" w:rsidRDefault="00BB192D" w:rsidP="00324056">
      <w:pPr>
        <w:pStyle w:val="Heading2"/>
      </w:pPr>
      <w:bookmarkStart w:id="49" w:name="_Toc38190356"/>
      <w:r>
        <w:t xml:space="preserve">Future Halon </w:t>
      </w:r>
      <w:r w:rsidR="00C77CD1">
        <w:t xml:space="preserve">Requirements </w:t>
      </w:r>
      <w:r>
        <w:t xml:space="preserve">for </w:t>
      </w:r>
      <w:r w:rsidR="006E2C64">
        <w:t>Non-Defence</w:t>
      </w:r>
      <w:r>
        <w:t xml:space="preserve"> Uses</w:t>
      </w:r>
      <w:r w:rsidR="00D02175">
        <w:t xml:space="preserve"> Based on NHB Sales</w:t>
      </w:r>
      <w:bookmarkEnd w:id="49"/>
    </w:p>
    <w:p w14:paraId="7A597613" w14:textId="1C376CBB" w:rsidR="008B38CF" w:rsidRDefault="008B38CF" w:rsidP="00324056">
      <w:pPr>
        <w:pStyle w:val="Heading3"/>
      </w:pPr>
      <w:bookmarkStart w:id="50" w:name="_Toc38190357"/>
      <w:r>
        <w:t>Methodology to Forecast Future Halon Requirements</w:t>
      </w:r>
      <w:r w:rsidR="00A75D99">
        <w:t xml:space="preserve"> </w:t>
      </w:r>
      <w:r w:rsidR="00CC52CA">
        <w:t>Based on</w:t>
      </w:r>
      <w:r w:rsidR="00A75D99">
        <w:t xml:space="preserve"> NHB Sales</w:t>
      </w:r>
      <w:bookmarkEnd w:id="50"/>
    </w:p>
    <w:p w14:paraId="141C7F1C" w14:textId="27BEB3DF" w:rsidR="00127EB5" w:rsidRDefault="008B38CF" w:rsidP="008B38CF">
      <w:pPr>
        <w:pStyle w:val="BodyText10"/>
      </w:pPr>
      <w:r>
        <w:t xml:space="preserve">Using </w:t>
      </w:r>
      <w:r w:rsidR="00E26C81">
        <w:t>a breakdown</w:t>
      </w:r>
      <w:r>
        <w:t xml:space="preserve"> </w:t>
      </w:r>
      <w:r w:rsidR="005F1954">
        <w:t xml:space="preserve">of </w:t>
      </w:r>
      <w:r w:rsidR="007035D1">
        <w:t>end</w:t>
      </w:r>
      <w:r w:rsidR="00F10700">
        <w:t>-</w:t>
      </w:r>
      <w:r w:rsidR="007035D1">
        <w:t xml:space="preserve">uses </w:t>
      </w:r>
      <w:r>
        <w:t xml:space="preserve">of NHB halon sales data for previous years, </w:t>
      </w:r>
      <w:r w:rsidR="007750C6">
        <w:t xml:space="preserve">based on </w:t>
      </w:r>
      <w:r w:rsidR="00B0071D">
        <w:t>information provided by halon special permit holders in their reporting</w:t>
      </w:r>
      <w:r w:rsidR="00CD5CA2">
        <w:t xml:space="preserve"> and </w:t>
      </w:r>
      <w:r w:rsidR="00FE194D">
        <w:t xml:space="preserve">assumptions </w:t>
      </w:r>
      <w:r w:rsidR="001126DB">
        <w:t xml:space="preserve">made </w:t>
      </w:r>
      <w:r w:rsidR="00FE194D">
        <w:t xml:space="preserve">about </w:t>
      </w:r>
      <w:r w:rsidR="003F0BEB">
        <w:t>the business activity of some halon special permit holders</w:t>
      </w:r>
      <w:r w:rsidR="00B0071D">
        <w:t xml:space="preserve">, </w:t>
      </w:r>
      <w:r>
        <w:t xml:space="preserve">average annual </w:t>
      </w:r>
      <w:r w:rsidR="001E3F51">
        <w:t xml:space="preserve">sales of halon 1211 and 1301 </w:t>
      </w:r>
      <w:r w:rsidR="00B0071D">
        <w:t xml:space="preserve">have been </w:t>
      </w:r>
      <w:r w:rsidR="001E3F51">
        <w:t>derived</w:t>
      </w:r>
      <w:r w:rsidR="0061043E">
        <w:t xml:space="preserve"> </w:t>
      </w:r>
      <w:r w:rsidR="00127EB5">
        <w:t>and used for the starting year of 2020 as a basis for future projections</w:t>
      </w:r>
      <w:r>
        <w:t xml:space="preserve">. </w:t>
      </w:r>
    </w:p>
    <w:p w14:paraId="13B3573C" w14:textId="443F913F" w:rsidR="002E62A5" w:rsidRDefault="00642A24" w:rsidP="008B38CF">
      <w:pPr>
        <w:pStyle w:val="BodyText10"/>
      </w:pPr>
      <w:r>
        <w:t>Non-defence h</w:t>
      </w:r>
      <w:r w:rsidR="00067228">
        <w:t xml:space="preserve">alon sales have predominantly been into aviation, with no </w:t>
      </w:r>
      <w:r w:rsidR="000F04CB">
        <w:t xml:space="preserve">apparent </w:t>
      </w:r>
      <w:r w:rsidR="00067228">
        <w:t xml:space="preserve">halon sales </w:t>
      </w:r>
      <w:r w:rsidR="00B0071D">
        <w:t xml:space="preserve">from the NHB </w:t>
      </w:r>
      <w:r w:rsidR="00067228">
        <w:t>into maritime uses since 2012.</w:t>
      </w:r>
      <w:r w:rsidR="00B0071D">
        <w:t xml:space="preserve"> </w:t>
      </w:r>
      <w:r w:rsidR="00085256">
        <w:t>There is some y</w:t>
      </w:r>
      <w:r w:rsidR="00BB2415">
        <w:t xml:space="preserve">ear to year variability of </w:t>
      </w:r>
      <w:r w:rsidR="00085256">
        <w:t xml:space="preserve">NHB </w:t>
      </w:r>
      <w:r w:rsidR="00BB2415">
        <w:t>sales of halon 1211 and 1301</w:t>
      </w:r>
      <w:r w:rsidR="0065679D">
        <w:t xml:space="preserve"> into non-defence uses</w:t>
      </w:r>
      <w:r w:rsidR="0021509C">
        <w:t xml:space="preserve">, and this was taken into account in </w:t>
      </w:r>
      <w:r w:rsidR="003D6846">
        <w:t xml:space="preserve">determining </w:t>
      </w:r>
      <w:r w:rsidR="007263A7">
        <w:t>assumptions</w:t>
      </w:r>
      <w:r w:rsidR="00A262B9">
        <w:t>.</w:t>
      </w:r>
      <w:r w:rsidR="00F10700">
        <w:t xml:space="preserve"> </w:t>
      </w:r>
      <w:r w:rsidR="008B38CF">
        <w:t xml:space="preserve">Using </w:t>
      </w:r>
      <w:r w:rsidR="00413EBD">
        <w:t>the International Civil Aviation Organization</w:t>
      </w:r>
      <w:r w:rsidR="008B38CF">
        <w:t xml:space="preserve"> or other </w:t>
      </w:r>
      <w:r w:rsidR="002910FE">
        <w:t xml:space="preserve">mandated </w:t>
      </w:r>
      <w:r w:rsidR="008B38CF">
        <w:t xml:space="preserve">halon replacement requirements, assumptions </w:t>
      </w:r>
      <w:r w:rsidR="001E3F51">
        <w:t>have been applied to</w:t>
      </w:r>
      <w:r w:rsidR="008B38CF">
        <w:t xml:space="preserve"> approximate the phase-out of halon 1211 and 1301 in aviation </w:t>
      </w:r>
      <w:r w:rsidR="001E3F51">
        <w:t xml:space="preserve">and </w:t>
      </w:r>
      <w:r w:rsidR="008B38CF">
        <w:t xml:space="preserve">to estimate </w:t>
      </w:r>
      <w:r w:rsidR="001E3F51">
        <w:t xml:space="preserve">future </w:t>
      </w:r>
      <w:r w:rsidR="008B38CF">
        <w:t xml:space="preserve">halon </w:t>
      </w:r>
      <w:r w:rsidR="001E3F51">
        <w:t>sales</w:t>
      </w:r>
      <w:r w:rsidR="008B38CF">
        <w:t>.</w:t>
      </w:r>
      <w:r w:rsidR="001E3F51">
        <w:t xml:space="preserve"> </w:t>
      </w:r>
    </w:p>
    <w:p w14:paraId="428E41B9" w14:textId="2E1AED70" w:rsidR="000F51B4" w:rsidRDefault="000F51B4" w:rsidP="000F51B4">
      <w:pPr>
        <w:pStyle w:val="BodyText10"/>
      </w:pPr>
      <w:r>
        <w:lastRenderedPageBreak/>
        <w:t>For halon 1211, using the average annual sales into non-defence (aviation) uses in the previous 3 years of data, assumptions about the phase-out of halon 1211 in aviation have been applied to estimate future halon 1211 demand</w:t>
      </w:r>
      <w:r w:rsidR="00DE20D3">
        <w:t xml:space="preserve"> from 2020 onwards</w:t>
      </w:r>
      <w:r>
        <w:t>.</w:t>
      </w:r>
    </w:p>
    <w:p w14:paraId="409C23C0" w14:textId="729CBA9F" w:rsidR="008B38CF" w:rsidRDefault="001E3F51" w:rsidP="008B38CF">
      <w:pPr>
        <w:pStyle w:val="BodyText10"/>
      </w:pPr>
      <w:r>
        <w:t xml:space="preserve">For halon 1301, using the average annual sales into </w:t>
      </w:r>
      <w:r w:rsidR="00553B4A">
        <w:t>non-defence</w:t>
      </w:r>
      <w:r w:rsidR="00067228">
        <w:t xml:space="preserve"> (aviation) uses</w:t>
      </w:r>
      <w:r>
        <w:t xml:space="preserve"> in </w:t>
      </w:r>
      <w:r w:rsidR="00BD113A">
        <w:t xml:space="preserve">the </w:t>
      </w:r>
      <w:r w:rsidR="00F309BB">
        <w:t>previous 2</w:t>
      </w:r>
      <w:r w:rsidR="00BD113A">
        <w:t xml:space="preserve"> </w:t>
      </w:r>
      <w:r>
        <w:t>years</w:t>
      </w:r>
      <w:r w:rsidR="008401D0">
        <w:t xml:space="preserve"> of data</w:t>
      </w:r>
      <w:r>
        <w:t>, aviation industry-based assumptions (average annual growth rates in aircraft fleet size</w:t>
      </w:r>
      <w:r w:rsidR="00AB2315">
        <w:t>, 4% and 6%</w:t>
      </w:r>
      <w:r>
        <w:t xml:space="preserve">) </w:t>
      </w:r>
      <w:r w:rsidR="00067228">
        <w:t xml:space="preserve">have been applied </w:t>
      </w:r>
      <w:r>
        <w:t xml:space="preserve">to forecast future </w:t>
      </w:r>
      <w:r w:rsidR="00067228">
        <w:t xml:space="preserve">halon </w:t>
      </w:r>
      <w:r>
        <w:t>sales into aviation</w:t>
      </w:r>
      <w:r w:rsidR="003A0F15">
        <w:t xml:space="preserve"> in periods when no replacements are available</w:t>
      </w:r>
      <w:r w:rsidR="00977282">
        <w:t>, and to estimate</w:t>
      </w:r>
      <w:r w:rsidR="001E0EA3">
        <w:t xml:space="preserve"> future halon 1301 demand</w:t>
      </w:r>
      <w:r w:rsidR="00DE20D3">
        <w:t xml:space="preserve"> from 2020 onwards</w:t>
      </w:r>
      <w:r>
        <w:t xml:space="preserve">. </w:t>
      </w:r>
      <w:r w:rsidR="003B3FD7">
        <w:t>Future h</w:t>
      </w:r>
      <w:r>
        <w:t>alon s</w:t>
      </w:r>
      <w:r w:rsidR="008B38CF">
        <w:t xml:space="preserve">ales </w:t>
      </w:r>
      <w:r w:rsidR="00F543B8">
        <w:t xml:space="preserve">were </w:t>
      </w:r>
      <w:r w:rsidR="008B38CF">
        <w:t>forecast</w:t>
      </w:r>
      <w:r>
        <w:t xml:space="preserve"> </w:t>
      </w:r>
      <w:r w:rsidR="008B38CF">
        <w:t xml:space="preserve">based on </w:t>
      </w:r>
      <w:r w:rsidR="00D22C28">
        <w:t>a range of</w:t>
      </w:r>
      <w:r w:rsidR="008B38CF">
        <w:t xml:space="preserve"> scenarios and assumptions </w:t>
      </w:r>
      <w:r w:rsidR="003B3FD7">
        <w:t xml:space="preserve">as </w:t>
      </w:r>
      <w:r w:rsidR="008B38CF">
        <w:t xml:space="preserve">outlined </w:t>
      </w:r>
      <w:r w:rsidR="00F543B8">
        <w:t xml:space="preserve">in the sections </w:t>
      </w:r>
      <w:r w:rsidR="008B38CF">
        <w:t>below.</w:t>
      </w:r>
      <w:r>
        <w:t xml:space="preserve"> </w:t>
      </w:r>
    </w:p>
    <w:p w14:paraId="218E71FE" w14:textId="77777777" w:rsidR="00FB4E0E" w:rsidRDefault="00FB4E0E" w:rsidP="00324056">
      <w:pPr>
        <w:pStyle w:val="Heading3"/>
      </w:pPr>
      <w:bookmarkStart w:id="51" w:name="_Toc38190358"/>
      <w:r>
        <w:t>Methodology to Forecast Future Halon Requirements Based on Aviation Analysis</w:t>
      </w:r>
      <w:bookmarkEnd w:id="51"/>
    </w:p>
    <w:p w14:paraId="3FE23439" w14:textId="0E426139" w:rsidR="00EB0E4B" w:rsidRDefault="00F34488" w:rsidP="00FB4E0E">
      <w:pPr>
        <w:pStyle w:val="BodyText10"/>
      </w:pPr>
      <w:r>
        <w:t xml:space="preserve">Using </w:t>
      </w:r>
      <w:r w:rsidR="00300CE7">
        <w:t xml:space="preserve">Australian </w:t>
      </w:r>
      <w:r w:rsidR="00457481">
        <w:t xml:space="preserve">aviation </w:t>
      </w:r>
      <w:r w:rsidR="005656AA">
        <w:t>industry data on insta</w:t>
      </w:r>
      <w:r w:rsidR="00457481">
        <w:t>lled and warehoused halon</w:t>
      </w:r>
      <w:r w:rsidR="00575C32">
        <w:t xml:space="preserve">, </w:t>
      </w:r>
      <w:r w:rsidR="00897798">
        <w:t>aircraft types</w:t>
      </w:r>
      <w:r w:rsidR="0079107C">
        <w:t xml:space="preserve"> and numbers</w:t>
      </w:r>
      <w:r w:rsidR="004164E1">
        <w:t xml:space="preserve">, estimates of </w:t>
      </w:r>
      <w:r w:rsidR="00575C32">
        <w:t xml:space="preserve">halon for </w:t>
      </w:r>
      <w:r w:rsidR="004164E1">
        <w:t xml:space="preserve">the remainder of the </w:t>
      </w:r>
      <w:r w:rsidR="00300CE7">
        <w:t xml:space="preserve">Australian </w:t>
      </w:r>
      <w:r w:rsidR="004164E1">
        <w:t>fleet</w:t>
      </w:r>
      <w:r w:rsidR="001049EB">
        <w:t xml:space="preserve"> for smaller </w:t>
      </w:r>
      <w:r w:rsidR="00190C35">
        <w:t>aircraft types</w:t>
      </w:r>
      <w:r w:rsidR="007029E0">
        <w:t xml:space="preserve"> (see section 3.1.5), </w:t>
      </w:r>
      <w:r w:rsidR="00575C32">
        <w:t>and a 10% loading as contingency</w:t>
      </w:r>
      <w:r w:rsidR="006D2733">
        <w:t xml:space="preserve"> for potential un</w:t>
      </w:r>
      <w:r w:rsidR="00555BBA">
        <w:t>d</w:t>
      </w:r>
      <w:r w:rsidR="006D2733">
        <w:t>ercounting</w:t>
      </w:r>
      <w:r w:rsidR="00575C32">
        <w:t xml:space="preserve">, </w:t>
      </w:r>
      <w:r w:rsidR="007978CB">
        <w:t>a bottom-up</w:t>
      </w:r>
      <w:r w:rsidR="009D1DCC">
        <w:t xml:space="preserve"> </w:t>
      </w:r>
      <w:r w:rsidR="003B2C6F">
        <w:t>model</w:t>
      </w:r>
      <w:r w:rsidR="004039B3">
        <w:t xml:space="preserve"> </w:t>
      </w:r>
      <w:r w:rsidR="00703F74">
        <w:t xml:space="preserve">was </w:t>
      </w:r>
      <w:r w:rsidR="007C7EEF">
        <w:t>developed</w:t>
      </w:r>
      <w:r w:rsidR="00CE63BE">
        <w:t xml:space="preserve"> to estimate the total </w:t>
      </w:r>
      <w:r w:rsidR="00AB745D">
        <w:t xml:space="preserve">current </w:t>
      </w:r>
      <w:r w:rsidR="00CE63BE">
        <w:t xml:space="preserve">inventory of </w:t>
      </w:r>
      <w:r w:rsidR="00B173DD">
        <w:t xml:space="preserve">installed and warehoused </w:t>
      </w:r>
      <w:r w:rsidR="00CE63BE">
        <w:t>halon 1211 and halon 1301 in Australian aviation</w:t>
      </w:r>
      <w:r w:rsidR="00703F74">
        <w:t>.</w:t>
      </w:r>
      <w:r w:rsidR="00CE63BE">
        <w:t xml:space="preserve"> </w:t>
      </w:r>
      <w:r w:rsidR="003841D2">
        <w:t xml:space="preserve">The estimated </w:t>
      </w:r>
      <w:r w:rsidR="00FE6BD9">
        <w:t xml:space="preserve">halon </w:t>
      </w:r>
      <w:r w:rsidR="003841D2">
        <w:t>inventor</w:t>
      </w:r>
      <w:r w:rsidR="00802323">
        <w:t>ies</w:t>
      </w:r>
      <w:r w:rsidR="003841D2">
        <w:t xml:space="preserve"> for Australian aviation are</w:t>
      </w:r>
      <w:r w:rsidR="00802323">
        <w:t>:</w:t>
      </w:r>
    </w:p>
    <w:p w14:paraId="3EC2A91E" w14:textId="7AE0EFDC" w:rsidR="00802323" w:rsidRDefault="00802323" w:rsidP="000D0DC0">
      <w:pPr>
        <w:pStyle w:val="BodyText10"/>
        <w:numPr>
          <w:ilvl w:val="0"/>
          <w:numId w:val="38"/>
        </w:numPr>
      </w:pPr>
      <w:r>
        <w:t xml:space="preserve">Halon 1211, </w:t>
      </w:r>
      <w:r w:rsidR="00215F41">
        <w:t>6.6 tonnes</w:t>
      </w:r>
    </w:p>
    <w:p w14:paraId="02E72ABF" w14:textId="563A698D" w:rsidR="0046260A" w:rsidRDefault="00215F41" w:rsidP="000D0DC0">
      <w:pPr>
        <w:pStyle w:val="BodyText10"/>
        <w:numPr>
          <w:ilvl w:val="0"/>
          <w:numId w:val="38"/>
        </w:numPr>
      </w:pPr>
      <w:r>
        <w:t xml:space="preserve">Halon 1301, </w:t>
      </w:r>
      <w:r w:rsidR="00C6474B">
        <w:t>32.6 tonnes</w:t>
      </w:r>
    </w:p>
    <w:p w14:paraId="70B7E25B" w14:textId="6A564D46" w:rsidR="00FB4E0E" w:rsidRDefault="00AB745D" w:rsidP="00FB4E0E">
      <w:pPr>
        <w:pStyle w:val="BodyText10"/>
      </w:pPr>
      <w:r>
        <w:t>Current annual d</w:t>
      </w:r>
      <w:r w:rsidR="00155FC1">
        <w:t xml:space="preserve">emand (consumption) for Australian aviation was estimated by applying </w:t>
      </w:r>
      <w:r w:rsidR="000C3410">
        <w:t xml:space="preserve">leakage rates (i.e., </w:t>
      </w:r>
      <w:r w:rsidR="00155FC1">
        <w:t>emission</w:t>
      </w:r>
      <w:r w:rsidR="00BA7E39">
        <w:t xml:space="preserve"> factors</w:t>
      </w:r>
      <w:r w:rsidR="000C3410">
        <w:t>)</w:t>
      </w:r>
      <w:r w:rsidR="00BA7E39">
        <w:t xml:space="preserve"> </w:t>
      </w:r>
      <w:r w:rsidR="00123E03">
        <w:t>for halon equipment and systems</w:t>
      </w:r>
      <w:r w:rsidR="00160895">
        <w:t>,</w:t>
      </w:r>
      <w:r w:rsidR="00123E03">
        <w:t xml:space="preserve"> </w:t>
      </w:r>
      <w:r w:rsidR="00F80D66">
        <w:t xml:space="preserve">as reported in published </w:t>
      </w:r>
      <w:r w:rsidR="00123E03">
        <w:t xml:space="preserve">international </w:t>
      </w:r>
      <w:r w:rsidR="00F80D66">
        <w:t>references</w:t>
      </w:r>
      <w:r>
        <w:t xml:space="preserve">, </w:t>
      </w:r>
      <w:r w:rsidR="00422E67">
        <w:t xml:space="preserve">to the total inventory </w:t>
      </w:r>
      <w:r w:rsidR="0043796A">
        <w:t xml:space="preserve">and </w:t>
      </w:r>
      <w:r w:rsidR="00422E67">
        <w:t xml:space="preserve">then </w:t>
      </w:r>
      <w:r w:rsidR="0043796A">
        <w:t xml:space="preserve">used </w:t>
      </w:r>
      <w:r w:rsidR="00422E67">
        <w:t xml:space="preserve">as consumption </w:t>
      </w:r>
      <w:r w:rsidR="0043796A">
        <w:t>for the starting year of 2020 as a basis for future projections</w:t>
      </w:r>
      <w:r w:rsidR="00F80D66">
        <w:t>.</w:t>
      </w:r>
    </w:p>
    <w:p w14:paraId="636B31A0" w14:textId="55B3EE22" w:rsidR="001464A0" w:rsidRDefault="001464A0" w:rsidP="00FB4E0E">
      <w:pPr>
        <w:pStyle w:val="BodyText10"/>
      </w:pPr>
      <w:r>
        <w:t xml:space="preserve">Background </w:t>
      </w:r>
      <w:r w:rsidR="00AC3298">
        <w:t>from</w:t>
      </w:r>
      <w:r>
        <w:t xml:space="preserve"> published references </w:t>
      </w:r>
      <w:r w:rsidR="005B05E2">
        <w:t>reporting the best available information</w:t>
      </w:r>
      <w:r w:rsidR="00BB04D7">
        <w:t xml:space="preserve"> on</w:t>
      </w:r>
      <w:r>
        <w:t xml:space="preserve"> </w:t>
      </w:r>
      <w:r w:rsidR="0049680F">
        <w:t>leakage rates and annual emission factors for halon 1211 and 1301 are described earlier in section 3.1.5.</w:t>
      </w:r>
      <w:r>
        <w:t xml:space="preserve"> </w:t>
      </w:r>
      <w:r w:rsidR="00BB04D7">
        <w:t xml:space="preserve">These published </w:t>
      </w:r>
      <w:r w:rsidR="008534B0">
        <w:t>references</w:t>
      </w:r>
      <w:r w:rsidR="00BB04D7">
        <w:t xml:space="preserve"> have been </w:t>
      </w:r>
      <w:r w:rsidR="008534B0">
        <w:t xml:space="preserve">used to </w:t>
      </w:r>
      <w:r w:rsidR="00E375BB">
        <w:t xml:space="preserve">assign annual emission factors for the purposes of this </w:t>
      </w:r>
      <w:r w:rsidR="00503276">
        <w:t>2020 Halon Review</w:t>
      </w:r>
      <w:r w:rsidR="00E375BB">
        <w:t>.</w:t>
      </w:r>
    </w:p>
    <w:p w14:paraId="14568B6F" w14:textId="50976DE8" w:rsidR="00F4089B" w:rsidRPr="00F4089B" w:rsidRDefault="00155FC1" w:rsidP="00F4089B">
      <w:pPr>
        <w:pStyle w:val="BodyText10"/>
        <w:rPr>
          <w:lang w:val="en-US"/>
        </w:rPr>
      </w:pPr>
      <w:r w:rsidRPr="00155FC1">
        <w:t xml:space="preserve">For the 2012 Halon Review, </w:t>
      </w:r>
      <w:r w:rsidR="004E213C">
        <w:t>a</w:t>
      </w:r>
      <w:r w:rsidRPr="00155FC1">
        <w:t xml:space="preserve"> leakage rate of 6% per year was assumed for halon 1211</w:t>
      </w:r>
      <w:r w:rsidR="00EA0EF8">
        <w:t xml:space="preserve"> </w:t>
      </w:r>
      <w:r w:rsidR="00EA0EF8" w:rsidRPr="00EA0EF8">
        <w:t>handheld fire extinguishers</w:t>
      </w:r>
      <w:r w:rsidR="0076194D">
        <w:rPr>
          <w:rStyle w:val="FootnoteReference"/>
        </w:rPr>
        <w:footnoteReference w:id="53"/>
      </w:r>
      <w:r w:rsidR="00232F78">
        <w:t>.</w:t>
      </w:r>
      <w:r w:rsidR="000A3AC6">
        <w:t xml:space="preserve"> </w:t>
      </w:r>
      <w:r w:rsidR="00F12F54">
        <w:t xml:space="preserve">For this </w:t>
      </w:r>
      <w:r w:rsidR="00503276">
        <w:t>2020 Halon Review</w:t>
      </w:r>
      <w:r w:rsidR="00F12F54">
        <w:t xml:space="preserve">, </w:t>
      </w:r>
      <w:r w:rsidR="009A06A3">
        <w:t xml:space="preserve">the same </w:t>
      </w:r>
      <w:r w:rsidR="00F12F54">
        <w:t xml:space="preserve">emission factor of 6% </w:t>
      </w:r>
      <w:r w:rsidR="004E213C">
        <w:t xml:space="preserve">per year </w:t>
      </w:r>
      <w:r w:rsidR="00F12F54">
        <w:t xml:space="preserve">was used to estimate possible current </w:t>
      </w:r>
      <w:r w:rsidR="00F12F54">
        <w:lastRenderedPageBreak/>
        <w:t>halon 1</w:t>
      </w:r>
      <w:r w:rsidR="002A41DF">
        <w:t>211</w:t>
      </w:r>
      <w:r w:rsidR="00F12F54">
        <w:t xml:space="preserve"> demands in aviation uses as a basis for projecting future demand.</w:t>
      </w:r>
    </w:p>
    <w:p w14:paraId="2BAB7D27" w14:textId="5C60485A" w:rsidR="00FA2EAD" w:rsidRDefault="00D70901" w:rsidP="00D70901">
      <w:pPr>
        <w:pStyle w:val="BodyText10"/>
      </w:pPr>
      <w:r>
        <w:t xml:space="preserve">In </w:t>
      </w:r>
      <w:r w:rsidR="00F10700">
        <w:t>t</w:t>
      </w:r>
      <w:r w:rsidR="00F10700" w:rsidRPr="00560FB3">
        <w:t>he Halons Technical Options Committee</w:t>
      </w:r>
      <w:r>
        <w:t>’s 2018 analysis</w:t>
      </w:r>
      <w:r w:rsidR="00A66A45">
        <w:rPr>
          <w:rStyle w:val="FootnoteReference"/>
        </w:rPr>
        <w:footnoteReference w:id="54"/>
      </w:r>
      <w:r>
        <w:t>, a range of emissions scenarios were used to determine the potential availability of halon 1301 to support global civil aviation through to 2060, with annual emissions rates from halon 1301 aviation applications from 2.3% through to 15%. For th</w:t>
      </w:r>
      <w:r w:rsidR="00C3398D">
        <w:t>is</w:t>
      </w:r>
      <w:r>
        <w:t xml:space="preserve"> </w:t>
      </w:r>
      <w:r w:rsidR="00503276">
        <w:t>2020 Halon Review</w:t>
      </w:r>
      <w:r>
        <w:t xml:space="preserve">, </w:t>
      </w:r>
      <w:r w:rsidR="000B2A16">
        <w:t xml:space="preserve">a selection of </w:t>
      </w:r>
      <w:r w:rsidR="00245AEE">
        <w:t xml:space="preserve">these </w:t>
      </w:r>
      <w:r>
        <w:t xml:space="preserve">emissions factors </w:t>
      </w:r>
      <w:r w:rsidR="000B2A16">
        <w:t>(low 2.3%, medium 7.6%, high 15%</w:t>
      </w:r>
      <w:r w:rsidR="004E213C">
        <w:t xml:space="preserve"> per year</w:t>
      </w:r>
      <w:r w:rsidR="000B2A16">
        <w:t>) were</w:t>
      </w:r>
      <w:r>
        <w:t xml:space="preserve"> used to estimate </w:t>
      </w:r>
      <w:r w:rsidR="00270E10">
        <w:t>possible</w:t>
      </w:r>
      <w:r>
        <w:t xml:space="preserve"> </w:t>
      </w:r>
      <w:r w:rsidR="00270E10">
        <w:t xml:space="preserve">current </w:t>
      </w:r>
      <w:r>
        <w:t xml:space="preserve">halon 1301 </w:t>
      </w:r>
      <w:r w:rsidR="00270E10">
        <w:t>demand</w:t>
      </w:r>
      <w:r w:rsidR="00B47793">
        <w:t>s</w:t>
      </w:r>
      <w:r w:rsidR="00270E10">
        <w:t xml:space="preserve"> </w:t>
      </w:r>
      <w:r>
        <w:t>in aviation uses</w:t>
      </w:r>
      <w:r w:rsidR="00270E10">
        <w:t xml:space="preserve"> as a basis for </w:t>
      </w:r>
      <w:r w:rsidR="00B47793">
        <w:t>projecting future demand</w:t>
      </w:r>
      <w:r>
        <w:t xml:space="preserve">. </w:t>
      </w:r>
    </w:p>
    <w:p w14:paraId="022961EC" w14:textId="6DE48871" w:rsidR="00232F78" w:rsidRDefault="007D2A6D" w:rsidP="00FB4E0E">
      <w:pPr>
        <w:pStyle w:val="BodyText10"/>
      </w:pPr>
      <w:r>
        <w:t>The general assumptions and scenarios</w:t>
      </w:r>
      <w:r w:rsidR="00540281">
        <w:t>, as</w:t>
      </w:r>
      <w:r>
        <w:t xml:space="preserve"> </w:t>
      </w:r>
      <w:r w:rsidR="00540281">
        <w:t xml:space="preserve">outlined in the sections below, </w:t>
      </w:r>
      <w:r>
        <w:t xml:space="preserve">were applied to the </w:t>
      </w:r>
      <w:r w:rsidR="00FA0A9B">
        <w:t xml:space="preserve">estimated </w:t>
      </w:r>
      <w:r w:rsidR="007620E1">
        <w:t xml:space="preserve">current annual </w:t>
      </w:r>
      <w:r w:rsidR="00FA0A9B">
        <w:t xml:space="preserve">demand </w:t>
      </w:r>
      <w:r w:rsidR="007620E1">
        <w:t xml:space="preserve">halon 1211 and 1301 </w:t>
      </w:r>
      <w:r w:rsidR="00FA0A9B">
        <w:t>derived from the aviation analysis</w:t>
      </w:r>
      <w:r w:rsidR="00EB353C">
        <w:t xml:space="preserve"> to </w:t>
      </w:r>
      <w:r w:rsidR="006D6D0C">
        <w:t>predict</w:t>
      </w:r>
      <w:r w:rsidR="00EB353C">
        <w:t xml:space="preserve"> future halon requirements and to</w:t>
      </w:r>
      <w:r w:rsidR="00D70901">
        <w:t xml:space="preserve"> complement the analysis of NHB sales.</w:t>
      </w:r>
    </w:p>
    <w:p w14:paraId="421A29BF" w14:textId="759AF354" w:rsidR="008B38CF" w:rsidRDefault="008B38CF" w:rsidP="00324056">
      <w:pPr>
        <w:pStyle w:val="Heading3"/>
      </w:pPr>
      <w:bookmarkStart w:id="52" w:name="_Toc38190359"/>
      <w:r>
        <w:t>General Assumptions</w:t>
      </w:r>
      <w:bookmarkEnd w:id="52"/>
    </w:p>
    <w:p w14:paraId="2AA1B406" w14:textId="10FE0918" w:rsidR="008B38CF" w:rsidRDefault="00E17068" w:rsidP="008B38CF">
      <w:pPr>
        <w:pStyle w:val="BodyText10"/>
      </w:pPr>
      <w:r>
        <w:t>Annual h</w:t>
      </w:r>
      <w:r w:rsidR="008B38CF">
        <w:t xml:space="preserve">alon sales from the NHB </w:t>
      </w:r>
      <w:r w:rsidR="00CC52CA">
        <w:t xml:space="preserve">into </w:t>
      </w:r>
      <w:r w:rsidR="00146537">
        <w:t xml:space="preserve">civil </w:t>
      </w:r>
      <w:r w:rsidR="00CC52CA">
        <w:t xml:space="preserve">aviation uses </w:t>
      </w:r>
      <w:r w:rsidR="002A308A">
        <w:t>are</w:t>
      </w:r>
      <w:r w:rsidR="008B38CF">
        <w:t xml:space="preserve"> assumed to be equivalent to </w:t>
      </w:r>
      <w:r>
        <w:t xml:space="preserve">annual </w:t>
      </w:r>
      <w:r w:rsidR="008B38CF">
        <w:t>halon consumption</w:t>
      </w:r>
      <w:r w:rsidR="00CC52CA">
        <w:t xml:space="preserve"> in </w:t>
      </w:r>
      <w:r w:rsidR="00146537">
        <w:t>those</w:t>
      </w:r>
      <w:r w:rsidR="00CC52CA">
        <w:t xml:space="preserve"> uses</w:t>
      </w:r>
      <w:r w:rsidR="008B38CF">
        <w:t xml:space="preserve">. </w:t>
      </w:r>
      <w:r w:rsidR="00F10700">
        <w:t>Halon special permit</w:t>
      </w:r>
      <w:r w:rsidR="0085038D">
        <w:t xml:space="preserve"> holder</w:t>
      </w:r>
      <w:r w:rsidR="008B38CF">
        <w:t xml:space="preserve">s are purchasing halon supplies from the NHB to supply consumption. </w:t>
      </w:r>
    </w:p>
    <w:p w14:paraId="18841795" w14:textId="74A470E1" w:rsidR="008B38CF" w:rsidRDefault="002C2D9D" w:rsidP="008B38CF">
      <w:pPr>
        <w:pStyle w:val="BodyText10"/>
      </w:pPr>
      <w:r>
        <w:t>B</w:t>
      </w:r>
      <w:r w:rsidR="008B38CF">
        <w:t xml:space="preserve">ased on information from the NHB sales and discussion with relevant </w:t>
      </w:r>
      <w:r w:rsidR="00F10700">
        <w:t>halon special permit</w:t>
      </w:r>
      <w:r w:rsidR="008B38CF">
        <w:t xml:space="preserve"> holders</w:t>
      </w:r>
      <w:r>
        <w:t xml:space="preserve">, </w:t>
      </w:r>
      <w:r w:rsidR="00E41D8B">
        <w:t xml:space="preserve">halon supply of maritime </w:t>
      </w:r>
      <w:r w:rsidR="00B6117E">
        <w:t xml:space="preserve">uses is likely to be </w:t>
      </w:r>
      <w:r w:rsidR="00D027DD">
        <w:t>insignificant</w:t>
      </w:r>
      <w:r w:rsidR="008B38CF">
        <w:t xml:space="preserve">. </w:t>
      </w:r>
      <w:r w:rsidR="00A25630">
        <w:t>The future supply of maritime applications is not taken into account.</w:t>
      </w:r>
    </w:p>
    <w:p w14:paraId="683B972A" w14:textId="79D10172" w:rsidR="008B38CF" w:rsidRDefault="008B38CF" w:rsidP="008B38CF">
      <w:pPr>
        <w:pStyle w:val="BodyText10"/>
      </w:pPr>
      <w:r>
        <w:t xml:space="preserve">Halon </w:t>
      </w:r>
      <w:r w:rsidR="00A84B47">
        <w:t xml:space="preserve">1301 </w:t>
      </w:r>
      <w:r>
        <w:t xml:space="preserve">is </w:t>
      </w:r>
      <w:r w:rsidR="008A5001">
        <w:t xml:space="preserve">currently </w:t>
      </w:r>
      <w:r>
        <w:t xml:space="preserve">being installed overseas in new aircraft systems and then imported into Australia in the aircraft. Halon in aircraft retired from the Australian fleet is either leaving the country within the aircraft, if the aircraft is on-sold, or recovered if the scrapped aircraft remain in Australia. </w:t>
      </w:r>
      <w:r w:rsidR="004D01C4">
        <w:t>T</w:t>
      </w:r>
      <w:r>
        <w:t>hese practices</w:t>
      </w:r>
      <w:r w:rsidR="004D01C4">
        <w:t xml:space="preserve"> are </w:t>
      </w:r>
      <w:r w:rsidR="001A68DE">
        <w:t xml:space="preserve">difficult to account for in the </w:t>
      </w:r>
      <w:r w:rsidR="00566362">
        <w:t>analysis</w:t>
      </w:r>
      <w:r>
        <w:t xml:space="preserve">. </w:t>
      </w:r>
      <w:r w:rsidR="001A68DE">
        <w:t>Therefore, h</w:t>
      </w:r>
      <w:r>
        <w:t xml:space="preserve">alon coming into Australia in new aircraft is assumed to match halon going out of Australia in retired aircraft. Any halon recovered will make its way back into supplying demand, but </w:t>
      </w:r>
      <w:r w:rsidR="00B81916">
        <w:t xml:space="preserve">these </w:t>
      </w:r>
      <w:r w:rsidR="005F79EF">
        <w:t xml:space="preserve">unknown </w:t>
      </w:r>
      <w:r>
        <w:t xml:space="preserve">quantities are </w:t>
      </w:r>
      <w:r w:rsidR="00055D53">
        <w:t>not taken into account</w:t>
      </w:r>
      <w:r>
        <w:t xml:space="preserve"> in </w:t>
      </w:r>
      <w:r w:rsidR="00055D53">
        <w:t>this</w:t>
      </w:r>
      <w:r>
        <w:t xml:space="preserve"> analysis.</w:t>
      </w:r>
    </w:p>
    <w:p w14:paraId="51230318" w14:textId="0186A4D7" w:rsidR="008B38CF" w:rsidRPr="00474493" w:rsidRDefault="00F211FE" w:rsidP="00324056">
      <w:pPr>
        <w:pStyle w:val="Heading3"/>
      </w:pPr>
      <w:bookmarkStart w:id="53" w:name="_Toc38190360"/>
      <w:r w:rsidRPr="006444A6">
        <w:t>S</w:t>
      </w:r>
      <w:r w:rsidR="008B38CF" w:rsidRPr="001A490C">
        <w:t>cenario</w:t>
      </w:r>
      <w:r w:rsidR="004C79C6" w:rsidRPr="00512AF6">
        <w:t>s</w:t>
      </w:r>
      <w:r w:rsidR="008B38CF" w:rsidRPr="00512AF6">
        <w:t xml:space="preserve"> for halon 1211</w:t>
      </w:r>
      <w:bookmarkEnd w:id="53"/>
    </w:p>
    <w:p w14:paraId="43987190" w14:textId="479375C4" w:rsidR="008170A9" w:rsidRDefault="008B38CF" w:rsidP="008B38CF">
      <w:pPr>
        <w:pStyle w:val="BodyText10"/>
      </w:pPr>
      <w:r>
        <w:t xml:space="preserve">Under the </w:t>
      </w:r>
      <w:r w:rsidRPr="001B3A85">
        <w:rPr>
          <w:i/>
          <w:iCs/>
        </w:rPr>
        <w:t>Civil Aviation Act 1988</w:t>
      </w:r>
      <w:r>
        <w:t xml:space="preserve">, halon 1211 is prohibited in Australia as a handheld fire extinguishing agent in aircraft manufactured after 2018. Based on these requirements, </w:t>
      </w:r>
      <w:r w:rsidR="009F19CD">
        <w:t xml:space="preserve">two </w:t>
      </w:r>
      <w:r>
        <w:t>scenario</w:t>
      </w:r>
      <w:r w:rsidR="009F19CD">
        <w:t>s have</w:t>
      </w:r>
      <w:r>
        <w:t xml:space="preserve"> </w:t>
      </w:r>
      <w:r w:rsidR="009F19CD">
        <w:t>been</w:t>
      </w:r>
      <w:r>
        <w:t xml:space="preserve"> applied to forecast halon 1211 </w:t>
      </w:r>
      <w:r w:rsidR="00D70C5A">
        <w:t>requirements</w:t>
      </w:r>
      <w:r>
        <w:t xml:space="preserve"> that assume:</w:t>
      </w:r>
    </w:p>
    <w:p w14:paraId="3C8D60DE" w14:textId="2440EB6E" w:rsidR="008B38CF" w:rsidRDefault="008B38CF" w:rsidP="001B3A85">
      <w:pPr>
        <w:pStyle w:val="BodyText10"/>
        <w:numPr>
          <w:ilvl w:val="0"/>
          <w:numId w:val="23"/>
        </w:numPr>
      </w:pPr>
      <w:r>
        <w:lastRenderedPageBreak/>
        <w:t xml:space="preserve">A </w:t>
      </w:r>
      <w:r w:rsidR="006556C8">
        <w:t xml:space="preserve">20 or a </w:t>
      </w:r>
      <w:r>
        <w:t>30-year lifetime for aircraft</w:t>
      </w:r>
      <w:r w:rsidR="00DA79F4">
        <w:t>,</w:t>
      </w:r>
    </w:p>
    <w:p w14:paraId="74D68DDA" w14:textId="4E64B9D5" w:rsidR="007E1D4A" w:rsidRDefault="007E1D4A" w:rsidP="001B3A85">
      <w:pPr>
        <w:pStyle w:val="BodyText10"/>
        <w:numPr>
          <w:ilvl w:val="1"/>
          <w:numId w:val="23"/>
        </w:numPr>
        <w:ind w:left="1134" w:hanging="425"/>
      </w:pPr>
      <w:r>
        <w:t>20-year lifetime</w:t>
      </w:r>
      <w:r w:rsidR="00DA79F4">
        <w:t>—</w:t>
      </w:r>
      <w:r>
        <w:t xml:space="preserve"> no aircraft are installed with 1211 extinguishers by 2040, when halon </w:t>
      </w:r>
      <w:r w:rsidR="00D72A0C">
        <w:t>consumption</w:t>
      </w:r>
      <w:r>
        <w:t xml:space="preserve"> is zero</w:t>
      </w:r>
      <w:r w:rsidR="00F74DA4">
        <w:t>;</w:t>
      </w:r>
    </w:p>
    <w:p w14:paraId="16C9EB62" w14:textId="1230DE55" w:rsidR="008B38CF" w:rsidRDefault="00DA79F4" w:rsidP="001B3A85">
      <w:pPr>
        <w:pStyle w:val="BodyText10"/>
        <w:numPr>
          <w:ilvl w:val="1"/>
          <w:numId w:val="23"/>
        </w:numPr>
        <w:ind w:left="1134" w:hanging="425"/>
      </w:pPr>
      <w:r>
        <w:t>30-year lifetime— n</w:t>
      </w:r>
      <w:r w:rsidR="008B38CF">
        <w:t>o aircraft are installed with 1211 extinguishers by 2050, when halon consumption is zero.</w:t>
      </w:r>
    </w:p>
    <w:p w14:paraId="5B57D40F" w14:textId="33348311" w:rsidR="008B38CF" w:rsidRDefault="00FF4278" w:rsidP="001B3A85">
      <w:pPr>
        <w:pStyle w:val="BodyText10"/>
        <w:numPr>
          <w:ilvl w:val="0"/>
          <w:numId w:val="23"/>
        </w:numPr>
      </w:pPr>
      <w:r>
        <w:t xml:space="preserve">Annual halon 1211 consumption </w:t>
      </w:r>
      <w:r w:rsidR="008B38CF">
        <w:t>reduc</w:t>
      </w:r>
      <w:r>
        <w:t xml:space="preserve">es </w:t>
      </w:r>
      <w:r w:rsidR="003A0F15">
        <w:t xml:space="preserve">linearly </w:t>
      </w:r>
      <w:r w:rsidR="00443A46">
        <w:t xml:space="preserve">from 2020, </w:t>
      </w:r>
      <w:r w:rsidR="008B38CF">
        <w:t xml:space="preserve">to zero </w:t>
      </w:r>
      <w:r w:rsidR="00D70C5A">
        <w:t xml:space="preserve">consumption </w:t>
      </w:r>
      <w:r w:rsidR="008B38CF">
        <w:t xml:space="preserve">by </w:t>
      </w:r>
      <w:r w:rsidR="00FF349F">
        <w:t xml:space="preserve">2040 or </w:t>
      </w:r>
      <w:r w:rsidR="008B38CF">
        <w:t>2050</w:t>
      </w:r>
      <w:r w:rsidR="00443A46">
        <w:t>,</w:t>
      </w:r>
      <w:r w:rsidR="008B38CF">
        <w:t xml:space="preserve"> to approximate the phase-out as new aircraft enter the fleet and old aircraft are retired each year. A linear reduction may not be representative of actual annual phase-out but is used for the purposes of approximation.</w:t>
      </w:r>
    </w:p>
    <w:p w14:paraId="6559B595" w14:textId="77777777" w:rsidR="008B38CF" w:rsidRDefault="008B38CF" w:rsidP="00324056">
      <w:pPr>
        <w:pStyle w:val="Heading3"/>
      </w:pPr>
      <w:bookmarkStart w:id="54" w:name="_Toc38190361"/>
      <w:r>
        <w:t>Scenarios for halon 1301</w:t>
      </w:r>
      <w:bookmarkEnd w:id="54"/>
    </w:p>
    <w:p w14:paraId="0CED6146" w14:textId="60F11B77" w:rsidR="008B38CF" w:rsidRDefault="008B38CF" w:rsidP="008B38CF">
      <w:pPr>
        <w:pStyle w:val="BodyText10"/>
      </w:pPr>
      <w:r>
        <w:t xml:space="preserve">Under the </w:t>
      </w:r>
      <w:r w:rsidRPr="001B3A85">
        <w:rPr>
          <w:i/>
          <w:iCs/>
        </w:rPr>
        <w:t>Civil Aviation Act 1988</w:t>
      </w:r>
      <w:r>
        <w:t xml:space="preserve">, halon 1301 is prohibited in Australia as a lavatory fire extinguishing agent in aircraft manufactured after 2018. This will already be having an impact on halon 1301 consumption. However, lavatory is a small portion </w:t>
      </w:r>
      <w:r w:rsidR="00E351EE">
        <w:t xml:space="preserve">(less than 1%) </w:t>
      </w:r>
      <w:r>
        <w:t xml:space="preserve">of overall halon 1301 consumption in aviation. Therefore, modelling of halon 1301 consumption </w:t>
      </w:r>
      <w:r w:rsidR="00EE3DC4">
        <w:t xml:space="preserve">is </w:t>
      </w:r>
      <w:r>
        <w:t xml:space="preserve">assumed to be dependent on the phase-out of halon 1301 in </w:t>
      </w:r>
      <w:r w:rsidR="00477B88">
        <w:t>e</w:t>
      </w:r>
      <w:r>
        <w:t>ngines/</w:t>
      </w:r>
      <w:r w:rsidR="002A7636">
        <w:t>auxiliary power unit</w:t>
      </w:r>
      <w:r>
        <w:t xml:space="preserve">s and cargo compartments. </w:t>
      </w:r>
    </w:p>
    <w:p w14:paraId="778E5670" w14:textId="0B70B1CF" w:rsidR="00252F0A" w:rsidRDefault="008B38CF" w:rsidP="00252F0A">
      <w:pPr>
        <w:pStyle w:val="BodyText10"/>
      </w:pPr>
      <w:r>
        <w:t xml:space="preserve">Based on </w:t>
      </w:r>
      <w:r w:rsidR="00413EBD">
        <w:t>the International Civil Aviation Organization</w:t>
      </w:r>
      <w:r>
        <w:t xml:space="preserve"> timelines for new design aircraft for halon replacement for engine/</w:t>
      </w:r>
      <w:r w:rsidR="002A7636">
        <w:t>auxiliary power unit</w:t>
      </w:r>
      <w:r w:rsidR="004E64E4">
        <w:t>s</w:t>
      </w:r>
      <w:r>
        <w:t xml:space="preserve"> (which is 2014, although already not </w:t>
      </w:r>
      <w:r w:rsidR="002E20DD">
        <w:t>achieved</w:t>
      </w:r>
      <w:r>
        <w:t xml:space="preserve">) and cargo compartments (which is </w:t>
      </w:r>
      <w:r w:rsidR="009774BB">
        <w:t xml:space="preserve">the end of </w:t>
      </w:r>
      <w:r>
        <w:t xml:space="preserve">2024, </w:t>
      </w:r>
      <w:r w:rsidR="00642717">
        <w:t>with</w:t>
      </w:r>
      <w:r>
        <w:t xml:space="preserve"> the possibility this date will not be </w:t>
      </w:r>
      <w:r w:rsidR="00642717">
        <w:t>achieved</w:t>
      </w:r>
      <w:r>
        <w:t xml:space="preserve">), the latter date of </w:t>
      </w:r>
      <w:r w:rsidR="007F2204">
        <w:t xml:space="preserve">the end of </w:t>
      </w:r>
      <w:r>
        <w:t xml:space="preserve">2024 is </w:t>
      </w:r>
      <w:r w:rsidR="00894715">
        <w:t xml:space="preserve">assumed to be </w:t>
      </w:r>
      <w:r>
        <w:t xml:space="preserve">the </w:t>
      </w:r>
      <w:r w:rsidR="0034209B">
        <w:t xml:space="preserve">starting </w:t>
      </w:r>
      <w:r>
        <w:t xml:space="preserve">date </w:t>
      </w:r>
      <w:r w:rsidR="00AA7362">
        <w:t xml:space="preserve">after which </w:t>
      </w:r>
      <w:r>
        <w:t xml:space="preserve">halon replacements </w:t>
      </w:r>
      <w:r w:rsidR="00817D09">
        <w:t xml:space="preserve">are </w:t>
      </w:r>
      <w:r w:rsidR="008D14AA">
        <w:t>certified for</w:t>
      </w:r>
      <w:r>
        <w:t xml:space="preserve"> new design aircraft</w:t>
      </w:r>
      <w:r w:rsidR="00BA3601">
        <w:t xml:space="preserve"> for both</w:t>
      </w:r>
      <w:r w:rsidR="00894715">
        <w:t xml:space="preserve"> applications</w:t>
      </w:r>
      <w:r>
        <w:t xml:space="preserve">. </w:t>
      </w:r>
      <w:r w:rsidR="007A5B10">
        <w:t>That is</w:t>
      </w:r>
      <w:r w:rsidR="00252F0A">
        <w:t>, engine/</w:t>
      </w:r>
      <w:r w:rsidR="00657110">
        <w:t>auxiliary power unit</w:t>
      </w:r>
      <w:r w:rsidR="00252F0A">
        <w:t xml:space="preserve"> </w:t>
      </w:r>
      <w:r w:rsidR="007A5B10">
        <w:t xml:space="preserve">halon </w:t>
      </w:r>
      <w:r w:rsidR="00252F0A">
        <w:t>phase-out is assumed to coincide with cargo compartment</w:t>
      </w:r>
      <w:r w:rsidR="007A5B10">
        <w:t xml:space="preserve"> halon</w:t>
      </w:r>
      <w:r w:rsidR="00252F0A">
        <w:t xml:space="preserve"> phase-out </w:t>
      </w:r>
      <w:r w:rsidR="007A5B10">
        <w:t>for</w:t>
      </w:r>
      <w:r w:rsidR="00252F0A">
        <w:t xml:space="preserve"> new design aircraft.</w:t>
      </w:r>
    </w:p>
    <w:p w14:paraId="07398B6C" w14:textId="64DD5432" w:rsidR="00894715" w:rsidRDefault="003C5302" w:rsidP="008B38CF">
      <w:pPr>
        <w:pStyle w:val="BodyText10"/>
      </w:pPr>
      <w:r>
        <w:t xml:space="preserve">One </w:t>
      </w:r>
      <w:r w:rsidR="00B55E3E">
        <w:t xml:space="preserve">set of </w:t>
      </w:r>
      <w:r>
        <w:t>scenario</w:t>
      </w:r>
      <w:r w:rsidR="00B55E3E">
        <w:t xml:space="preserve">s will assume the </w:t>
      </w:r>
      <w:r w:rsidR="009605A6">
        <w:t xml:space="preserve">end of </w:t>
      </w:r>
      <w:r w:rsidR="00B55E3E">
        <w:t xml:space="preserve">2024 date is achieved; </w:t>
      </w:r>
      <w:r w:rsidR="00E83DC7">
        <w:t>another</w:t>
      </w:r>
      <w:r w:rsidR="00B55E3E">
        <w:t xml:space="preserve"> se</w:t>
      </w:r>
      <w:r w:rsidR="00B731F8">
        <w:t xml:space="preserve">t </w:t>
      </w:r>
      <w:r w:rsidR="005B17F6">
        <w:t xml:space="preserve">of scenarios </w:t>
      </w:r>
      <w:r w:rsidR="00B731F8">
        <w:t xml:space="preserve">will assume </w:t>
      </w:r>
      <w:r w:rsidR="00A91526">
        <w:t>the nominate</w:t>
      </w:r>
      <w:r w:rsidR="00C437CB">
        <w:t>d</w:t>
      </w:r>
      <w:r w:rsidR="00A91526">
        <w:t xml:space="preserve"> 2025 </w:t>
      </w:r>
      <w:r w:rsidR="008D6571">
        <w:t>implementation is delayed by 5 years</w:t>
      </w:r>
      <w:r w:rsidR="005B17F6">
        <w:t xml:space="preserve">; another set will assume </w:t>
      </w:r>
      <w:r w:rsidR="00612F43">
        <w:t xml:space="preserve">a </w:t>
      </w:r>
      <w:r w:rsidR="009A507A">
        <w:t>10-year delay</w:t>
      </w:r>
      <w:r w:rsidR="002008D4">
        <w:t>; and another set will assume a 15-year delay</w:t>
      </w:r>
      <w:r w:rsidR="009A507A">
        <w:t>.</w:t>
      </w:r>
    </w:p>
    <w:p w14:paraId="4F50F9BB" w14:textId="35F57E5B" w:rsidR="00FF1567" w:rsidRDefault="008B38CF" w:rsidP="008B38CF">
      <w:pPr>
        <w:pStyle w:val="BodyText10"/>
      </w:pPr>
      <w:r>
        <w:t xml:space="preserve">Owing to the delay in </w:t>
      </w:r>
      <w:r w:rsidR="00E20D62">
        <w:t xml:space="preserve">new design </w:t>
      </w:r>
      <w:r>
        <w:t xml:space="preserve">aircraft production after </w:t>
      </w:r>
      <w:r w:rsidR="00E20D62">
        <w:t>new design</w:t>
      </w:r>
      <w:r>
        <w:t xml:space="preserve"> </w:t>
      </w:r>
      <w:r w:rsidR="008A45F6">
        <w:t xml:space="preserve">type </w:t>
      </w:r>
      <w:r>
        <w:t xml:space="preserve">certifications, a </w:t>
      </w:r>
      <w:r w:rsidR="0074754D">
        <w:t xml:space="preserve">10-year </w:t>
      </w:r>
      <w:r w:rsidR="007D79D3">
        <w:t>delay</w:t>
      </w:r>
      <w:r>
        <w:t xml:space="preserve"> </w:t>
      </w:r>
      <w:r w:rsidR="00E20D62">
        <w:t xml:space="preserve">is assumed </w:t>
      </w:r>
      <w:r w:rsidR="006C7AB2">
        <w:t xml:space="preserve">after replacements in new design aircraft have been implemented </w:t>
      </w:r>
      <w:r w:rsidR="00C7217D">
        <w:t>until</w:t>
      </w:r>
      <w:r>
        <w:t xml:space="preserve"> </w:t>
      </w:r>
      <w:r w:rsidR="008A45F6">
        <w:t xml:space="preserve">the </w:t>
      </w:r>
      <w:r>
        <w:t xml:space="preserve">reduction </w:t>
      </w:r>
      <w:r w:rsidR="008A45F6">
        <w:t>of</w:t>
      </w:r>
      <w:r>
        <w:t xml:space="preserve"> halon consumption. </w:t>
      </w:r>
    </w:p>
    <w:p w14:paraId="63B6D56D" w14:textId="25FD4393" w:rsidR="00E67A71" w:rsidRDefault="00FF1567" w:rsidP="008B38CF">
      <w:pPr>
        <w:pStyle w:val="BodyText10"/>
      </w:pPr>
      <w:r>
        <w:t>In</w:t>
      </w:r>
      <w:r w:rsidR="00AF069E">
        <w:t xml:space="preserve"> the </w:t>
      </w:r>
      <w:r w:rsidR="008C5845">
        <w:t>years</w:t>
      </w:r>
      <w:r w:rsidR="00AF069E">
        <w:t xml:space="preserve"> until</w:t>
      </w:r>
      <w:r w:rsidR="00D938E0">
        <w:t xml:space="preserve"> the </w:t>
      </w:r>
      <w:r w:rsidR="0002690A">
        <w:t>date assumed for</w:t>
      </w:r>
      <w:r w:rsidR="00AF069E">
        <w:t xml:space="preserve"> </w:t>
      </w:r>
      <w:r w:rsidR="00214B5F">
        <w:t xml:space="preserve">production </w:t>
      </w:r>
      <w:r w:rsidR="00320CB0">
        <w:t xml:space="preserve">of </w:t>
      </w:r>
      <w:r w:rsidR="00214B5F">
        <w:t xml:space="preserve">new </w:t>
      </w:r>
      <w:r w:rsidR="00320CB0">
        <w:t xml:space="preserve">design </w:t>
      </w:r>
      <w:r w:rsidR="00214B5F">
        <w:t xml:space="preserve">aircraft, </w:t>
      </w:r>
      <w:r w:rsidR="0058148C">
        <w:t xml:space="preserve">halon consumption is </w:t>
      </w:r>
      <w:r w:rsidR="003B6A2C">
        <w:t xml:space="preserve">assumed to </w:t>
      </w:r>
      <w:r w:rsidR="0058148C">
        <w:t xml:space="preserve">grow </w:t>
      </w:r>
      <w:r w:rsidR="003B6A2C">
        <w:t>according to</w:t>
      </w:r>
      <w:r w:rsidR="00D37DF4">
        <w:t xml:space="preserve"> </w:t>
      </w:r>
      <w:r w:rsidR="007A7C73">
        <w:t xml:space="preserve">two sets of </w:t>
      </w:r>
      <w:r w:rsidR="00017DBF">
        <w:t xml:space="preserve">average </w:t>
      </w:r>
      <w:r w:rsidR="007A7C73">
        <w:t>annual</w:t>
      </w:r>
      <w:r w:rsidR="00017DBF">
        <w:t xml:space="preserve"> </w:t>
      </w:r>
      <w:r w:rsidR="003B6A2C">
        <w:t xml:space="preserve">growth </w:t>
      </w:r>
      <w:r w:rsidR="00017DBF">
        <w:t>rates</w:t>
      </w:r>
      <w:r w:rsidR="003B6A2C">
        <w:t>,</w:t>
      </w:r>
      <w:r w:rsidR="00E67A71">
        <w:t xml:space="preserve"> 4% and 6%, </w:t>
      </w:r>
      <w:r w:rsidR="003B6A2C">
        <w:t xml:space="preserve">which are </w:t>
      </w:r>
      <w:r w:rsidR="00E67A71">
        <w:t>consistent with</w:t>
      </w:r>
      <w:r w:rsidR="00FF2551">
        <w:t xml:space="preserve"> aviation</w:t>
      </w:r>
      <w:r w:rsidR="00E67A71">
        <w:t xml:space="preserve"> industry trends and </w:t>
      </w:r>
      <w:r w:rsidR="00FF2551">
        <w:t xml:space="preserve">aircraft growth </w:t>
      </w:r>
      <w:r w:rsidR="00E67A71">
        <w:t xml:space="preserve">forecasts (see section 3). </w:t>
      </w:r>
    </w:p>
    <w:p w14:paraId="68DE5283" w14:textId="21DE0DFA" w:rsidR="008B38CF" w:rsidRDefault="00322498" w:rsidP="00324056">
      <w:pPr>
        <w:pStyle w:val="Heading4"/>
      </w:pPr>
      <w:bookmarkStart w:id="55" w:name="_Toc38190362"/>
      <w:r>
        <w:lastRenderedPageBreak/>
        <w:t>S</w:t>
      </w:r>
      <w:r w:rsidR="008B38CF">
        <w:t>cenario</w:t>
      </w:r>
      <w:r w:rsidR="00432D40">
        <w:t>s</w:t>
      </w:r>
      <w:r w:rsidR="00E84401">
        <w:t xml:space="preserve"> </w:t>
      </w:r>
      <w:r w:rsidR="008B38CF">
        <w:t>for halon 1301</w:t>
      </w:r>
      <w:r w:rsidR="00E84401">
        <w:t xml:space="preserve">: 2025 </w:t>
      </w:r>
      <w:r w:rsidR="00C458EC">
        <w:t>new design aircraft</w:t>
      </w:r>
      <w:bookmarkEnd w:id="55"/>
    </w:p>
    <w:p w14:paraId="721B9DE9" w14:textId="79A40BEA" w:rsidR="008B38CF" w:rsidRDefault="00121918" w:rsidP="008B38CF">
      <w:pPr>
        <w:pStyle w:val="BodyText10"/>
      </w:pPr>
      <w:r>
        <w:t xml:space="preserve">A set of </w:t>
      </w:r>
      <w:r w:rsidR="00C643B7">
        <w:t>s</w:t>
      </w:r>
      <w:r w:rsidR="008B38CF">
        <w:t>cenario</w:t>
      </w:r>
      <w:r w:rsidR="00C643B7">
        <w:t>s</w:t>
      </w:r>
      <w:r w:rsidR="008B38CF">
        <w:t xml:space="preserve"> </w:t>
      </w:r>
      <w:r w:rsidR="00C643B7">
        <w:t>ha</w:t>
      </w:r>
      <w:r w:rsidR="00D6215F">
        <w:t>s</w:t>
      </w:r>
      <w:r w:rsidR="00C643B7">
        <w:t xml:space="preserve"> been</w:t>
      </w:r>
      <w:r w:rsidR="008B38CF">
        <w:t xml:space="preserve"> </w:t>
      </w:r>
      <w:r w:rsidR="00F84540">
        <w:t>developed</w:t>
      </w:r>
      <w:r w:rsidR="008B38CF">
        <w:t xml:space="preserve"> to forecast halon 1301 consumption </w:t>
      </w:r>
      <w:r w:rsidR="00A43CE4">
        <w:t>f</w:t>
      </w:r>
      <w:r w:rsidR="00294AC5">
        <w:t xml:space="preserve">or a 2025 implementation date for new design aircraft, </w:t>
      </w:r>
      <w:r w:rsidR="00A43CE4">
        <w:t>which</w:t>
      </w:r>
      <w:r w:rsidR="008B38CF">
        <w:t xml:space="preserve"> assumes:</w:t>
      </w:r>
    </w:p>
    <w:p w14:paraId="34D1CA33" w14:textId="065EF4BA" w:rsidR="008B38CF" w:rsidRDefault="008B38CF" w:rsidP="001B3A85">
      <w:pPr>
        <w:pStyle w:val="BodyText10"/>
        <w:numPr>
          <w:ilvl w:val="0"/>
          <w:numId w:val="24"/>
        </w:numPr>
      </w:pPr>
      <w:r>
        <w:t>Annual halon 1301 consumption increase</w:t>
      </w:r>
      <w:r w:rsidR="0053509A">
        <w:t>s</w:t>
      </w:r>
      <w:r>
        <w:t xml:space="preserve"> </w:t>
      </w:r>
      <w:r w:rsidR="00AE32F2">
        <w:t>at</w:t>
      </w:r>
      <w:r>
        <w:t xml:space="preserve"> </w:t>
      </w:r>
      <w:r w:rsidR="00675981">
        <w:t xml:space="preserve">two sets of </w:t>
      </w:r>
      <w:r>
        <w:t xml:space="preserve">annual growth </w:t>
      </w:r>
      <w:r w:rsidR="00521F29">
        <w:t>rates</w:t>
      </w:r>
      <w:r w:rsidR="00675981">
        <w:t>,</w:t>
      </w:r>
      <w:r>
        <w:t xml:space="preserve"> </w:t>
      </w:r>
      <w:r w:rsidR="00675981">
        <w:t xml:space="preserve">4% and 6%, </w:t>
      </w:r>
      <w:r>
        <w:t>until new production aircraft include halon replacements;</w:t>
      </w:r>
    </w:p>
    <w:p w14:paraId="6F46D799" w14:textId="230C4B07" w:rsidR="008B38CF" w:rsidRDefault="008B38CF" w:rsidP="001B3A85">
      <w:pPr>
        <w:pStyle w:val="BodyText10"/>
        <w:numPr>
          <w:ilvl w:val="0"/>
          <w:numId w:val="24"/>
        </w:numPr>
      </w:pPr>
      <w:r>
        <w:t xml:space="preserve">2025 is the date when halon replacements are required for new design aircraft, </w:t>
      </w:r>
      <w:r w:rsidR="00D16FA9">
        <w:t>with</w:t>
      </w:r>
      <w:r>
        <w:t xml:space="preserve"> 10-year delay until production of new aircraft without halon entering the fleet, during which halon 1301 continues to be installed in new aircraft</w:t>
      </w:r>
      <w:r w:rsidR="00F74DA4">
        <w:t>,</w:t>
      </w:r>
    </w:p>
    <w:p w14:paraId="0BC9F6F4" w14:textId="099D3172" w:rsidR="008B38CF" w:rsidRDefault="008B38CF" w:rsidP="001B3A85">
      <w:pPr>
        <w:pStyle w:val="BodyText10"/>
        <w:numPr>
          <w:ilvl w:val="1"/>
          <w:numId w:val="24"/>
        </w:numPr>
        <w:ind w:left="1134" w:hanging="425"/>
      </w:pPr>
      <w:r>
        <w:t xml:space="preserve">2035 </w:t>
      </w:r>
      <w:r w:rsidR="00F74DA4">
        <w:t xml:space="preserve">is </w:t>
      </w:r>
      <w:r>
        <w:t>when new aircraft entering fleet without halon</w:t>
      </w:r>
      <w:r w:rsidR="00F74DA4">
        <w:t>;</w:t>
      </w:r>
    </w:p>
    <w:p w14:paraId="5E13B78B" w14:textId="1FA8BE5C" w:rsidR="008B38CF" w:rsidRDefault="00FC640F" w:rsidP="001B3A85">
      <w:pPr>
        <w:pStyle w:val="BodyText10"/>
        <w:numPr>
          <w:ilvl w:val="1"/>
          <w:numId w:val="24"/>
        </w:numPr>
        <w:ind w:left="1134" w:hanging="425"/>
      </w:pPr>
      <w:r>
        <w:t>H</w:t>
      </w:r>
      <w:r w:rsidR="008B38CF">
        <w:t xml:space="preserve">alon consumption </w:t>
      </w:r>
      <w:r>
        <w:t xml:space="preserve">increases </w:t>
      </w:r>
      <w:r w:rsidR="004307F2">
        <w:t>at</w:t>
      </w:r>
      <w:r w:rsidR="008B38CF">
        <w:t xml:space="preserve"> </w:t>
      </w:r>
      <w:r w:rsidR="004307F2">
        <w:t>annual</w:t>
      </w:r>
      <w:r w:rsidR="008B38CF">
        <w:t xml:space="preserve"> growth rates until 2035</w:t>
      </w:r>
      <w:r w:rsidR="00885E11">
        <w:t>.</w:t>
      </w:r>
    </w:p>
    <w:p w14:paraId="35754596" w14:textId="16D517F5" w:rsidR="008B38CF" w:rsidRDefault="008B38CF" w:rsidP="001B3A85">
      <w:pPr>
        <w:pStyle w:val="BodyText10"/>
        <w:numPr>
          <w:ilvl w:val="0"/>
          <w:numId w:val="24"/>
        </w:numPr>
      </w:pPr>
      <w:r>
        <w:t xml:space="preserve">A </w:t>
      </w:r>
      <w:r w:rsidR="000015F3">
        <w:t xml:space="preserve">20-year or a </w:t>
      </w:r>
      <w:r>
        <w:t>30-year lifetime for aircraft</w:t>
      </w:r>
      <w:r w:rsidR="000015F3">
        <w:t>:</w:t>
      </w:r>
    </w:p>
    <w:p w14:paraId="33CDC658" w14:textId="5BC4FB02" w:rsidR="000015F3" w:rsidRDefault="000015F3" w:rsidP="000015F3">
      <w:pPr>
        <w:pStyle w:val="BodyText10"/>
        <w:numPr>
          <w:ilvl w:val="1"/>
          <w:numId w:val="24"/>
        </w:numPr>
        <w:ind w:left="1134" w:hanging="425"/>
      </w:pPr>
      <w:r>
        <w:t>20-year lifetime— no aircraft are installed with 1301 by 20</w:t>
      </w:r>
      <w:r w:rsidR="00391083">
        <w:t>5</w:t>
      </w:r>
      <w:r>
        <w:t>5, when halon consumption is zero.</w:t>
      </w:r>
    </w:p>
    <w:p w14:paraId="6EFB4928" w14:textId="37C977E8" w:rsidR="008B38CF" w:rsidRDefault="000015F3" w:rsidP="001B3A85">
      <w:pPr>
        <w:pStyle w:val="BodyText10"/>
        <w:numPr>
          <w:ilvl w:val="1"/>
          <w:numId w:val="24"/>
        </w:numPr>
        <w:ind w:left="1134" w:hanging="425"/>
      </w:pPr>
      <w:r>
        <w:t>30-year lifetime— n</w:t>
      </w:r>
      <w:r w:rsidR="008B38CF">
        <w:t>o aircraft are installed with 1301 by 20</w:t>
      </w:r>
      <w:r>
        <w:t>6</w:t>
      </w:r>
      <w:r w:rsidR="008B38CF">
        <w:t>5, when halon consumption is zero.</w:t>
      </w:r>
    </w:p>
    <w:p w14:paraId="3932702E" w14:textId="0ACA866B" w:rsidR="008B38CF" w:rsidRDefault="00521F29" w:rsidP="001B3A85">
      <w:pPr>
        <w:pStyle w:val="BodyText10"/>
        <w:numPr>
          <w:ilvl w:val="0"/>
          <w:numId w:val="24"/>
        </w:numPr>
      </w:pPr>
      <w:r>
        <w:t xml:space="preserve">Annual halon 1301 consumption </w:t>
      </w:r>
      <w:r w:rsidR="008B38CF">
        <w:t>reduc</w:t>
      </w:r>
      <w:r w:rsidR="00F04EA8">
        <w:t>es linearly</w:t>
      </w:r>
      <w:r w:rsidR="008B38CF">
        <w:t xml:space="preserve"> from 2035</w:t>
      </w:r>
      <w:r w:rsidR="005C5C5D">
        <w:t>,</w:t>
      </w:r>
      <w:r w:rsidR="008B38CF">
        <w:t xml:space="preserve"> to zero </w:t>
      </w:r>
      <w:r w:rsidR="00170606">
        <w:t xml:space="preserve">consumption </w:t>
      </w:r>
      <w:r w:rsidR="008B38CF">
        <w:t xml:space="preserve">by </w:t>
      </w:r>
      <w:r w:rsidR="00CE4A9D">
        <w:t xml:space="preserve">2055 or </w:t>
      </w:r>
      <w:r w:rsidR="008B38CF">
        <w:t>2065</w:t>
      </w:r>
      <w:r w:rsidR="00F04EA8">
        <w:t>,</w:t>
      </w:r>
      <w:r w:rsidR="008B38CF">
        <w:t xml:space="preserve"> to approximate the phase-out as new aircraft enter the fleet and old aircraft are retired</w:t>
      </w:r>
      <w:r w:rsidR="00170606">
        <w:t xml:space="preserve"> each year</w:t>
      </w:r>
      <w:r w:rsidR="008B38CF">
        <w:t xml:space="preserve">. A linear reduction may not be representative of actual </w:t>
      </w:r>
      <w:r w:rsidR="000209D9">
        <w:t xml:space="preserve">annual </w:t>
      </w:r>
      <w:r w:rsidR="008B38CF">
        <w:t>phase-out but is used for the purposes of approximation.</w:t>
      </w:r>
    </w:p>
    <w:p w14:paraId="27EFD6B8" w14:textId="777A6374" w:rsidR="000209D9" w:rsidRDefault="000209D9" w:rsidP="00324056">
      <w:pPr>
        <w:pStyle w:val="Heading4"/>
      </w:pPr>
      <w:bookmarkStart w:id="56" w:name="_Toc38190363"/>
      <w:r>
        <w:t>Scenarios for halon 1301: 20</w:t>
      </w:r>
      <w:r w:rsidR="00B139BA">
        <w:t>30</w:t>
      </w:r>
      <w:r>
        <w:t xml:space="preserve"> new design aircraft</w:t>
      </w:r>
      <w:bookmarkEnd w:id="56"/>
    </w:p>
    <w:p w14:paraId="36F95550" w14:textId="71EE2E7F" w:rsidR="001D484A" w:rsidRDefault="001D484A" w:rsidP="001D484A">
      <w:pPr>
        <w:pStyle w:val="BodyText10"/>
      </w:pPr>
      <w:r>
        <w:t xml:space="preserve">A set of scenarios </w:t>
      </w:r>
      <w:r w:rsidR="00D6215F">
        <w:t xml:space="preserve">has </w:t>
      </w:r>
      <w:r>
        <w:t>been developed to forecast halon 1301 consumption for a 2030 implementation date for new design aircraft, which assumes:</w:t>
      </w:r>
    </w:p>
    <w:p w14:paraId="5C4CA8DF" w14:textId="77777777" w:rsidR="001D484A" w:rsidRDefault="001D484A" w:rsidP="001D484A">
      <w:pPr>
        <w:pStyle w:val="BodyText10"/>
        <w:numPr>
          <w:ilvl w:val="0"/>
          <w:numId w:val="24"/>
        </w:numPr>
      </w:pPr>
      <w:r>
        <w:t>Annual halon 1301 consumption increases at two sets of annual growth rates, 4% and 6%, until new production aircraft include halon replacements;</w:t>
      </w:r>
    </w:p>
    <w:p w14:paraId="03F76C66" w14:textId="706C9AB2" w:rsidR="001D484A" w:rsidRDefault="001D484A" w:rsidP="001D484A">
      <w:pPr>
        <w:pStyle w:val="BodyText10"/>
        <w:numPr>
          <w:ilvl w:val="0"/>
          <w:numId w:val="24"/>
        </w:numPr>
      </w:pPr>
      <w:r>
        <w:t>20</w:t>
      </w:r>
      <w:r w:rsidR="00E5121F">
        <w:t>30</w:t>
      </w:r>
      <w:r>
        <w:t xml:space="preserve"> is the date when halon replacements are required for new design aircraft, with 10-year delay until production of new aircraft without halon entering the fleet, during which halon 1301 continues to be installed in new aircraft,</w:t>
      </w:r>
    </w:p>
    <w:p w14:paraId="4606426C" w14:textId="4ED98A40" w:rsidR="001D484A" w:rsidRDefault="001D484A" w:rsidP="001D484A">
      <w:pPr>
        <w:pStyle w:val="BodyText10"/>
        <w:numPr>
          <w:ilvl w:val="1"/>
          <w:numId w:val="24"/>
        </w:numPr>
        <w:ind w:left="1134" w:hanging="425"/>
      </w:pPr>
      <w:r>
        <w:t>20</w:t>
      </w:r>
      <w:r w:rsidR="00E5121F">
        <w:t>40</w:t>
      </w:r>
      <w:r>
        <w:t xml:space="preserve"> is when new aircraft entering fleet without halon;</w:t>
      </w:r>
    </w:p>
    <w:p w14:paraId="792EFA01" w14:textId="5FC5CAFE" w:rsidR="001D484A" w:rsidRDefault="001D484A" w:rsidP="001D484A">
      <w:pPr>
        <w:pStyle w:val="BodyText10"/>
        <w:numPr>
          <w:ilvl w:val="1"/>
          <w:numId w:val="24"/>
        </w:numPr>
        <w:ind w:left="1134" w:hanging="425"/>
      </w:pPr>
      <w:r>
        <w:lastRenderedPageBreak/>
        <w:t>Halon consumption increases at annual growth rates until 20</w:t>
      </w:r>
      <w:r w:rsidR="00E5121F">
        <w:t>40</w:t>
      </w:r>
      <w:r>
        <w:t>.</w:t>
      </w:r>
    </w:p>
    <w:p w14:paraId="1A39F13A" w14:textId="77777777" w:rsidR="001D484A" w:rsidRDefault="001D484A" w:rsidP="001D484A">
      <w:pPr>
        <w:pStyle w:val="BodyText10"/>
        <w:numPr>
          <w:ilvl w:val="0"/>
          <w:numId w:val="24"/>
        </w:numPr>
      </w:pPr>
      <w:r>
        <w:t>A 20-year or a 30-year lifetime for aircraft:</w:t>
      </w:r>
    </w:p>
    <w:p w14:paraId="3BE7F119" w14:textId="1A7D694C" w:rsidR="001D484A" w:rsidRDefault="001D484A" w:rsidP="001D484A">
      <w:pPr>
        <w:pStyle w:val="BodyText10"/>
        <w:numPr>
          <w:ilvl w:val="1"/>
          <w:numId w:val="24"/>
        </w:numPr>
        <w:ind w:left="1134" w:hanging="425"/>
      </w:pPr>
      <w:r>
        <w:t>20-year lifetime— no aircraft are installed with 1301 by 20</w:t>
      </w:r>
      <w:r w:rsidR="00E5121F">
        <w:t>60</w:t>
      </w:r>
      <w:r>
        <w:t>, when halon consumption is zero.</w:t>
      </w:r>
    </w:p>
    <w:p w14:paraId="4C191A4F" w14:textId="4B732D1E" w:rsidR="001D484A" w:rsidRDefault="001D484A" w:rsidP="001D484A">
      <w:pPr>
        <w:pStyle w:val="BodyText10"/>
        <w:numPr>
          <w:ilvl w:val="1"/>
          <w:numId w:val="24"/>
        </w:numPr>
        <w:ind w:left="1134" w:hanging="425"/>
      </w:pPr>
      <w:r>
        <w:t>30-year lifetime— no aircraft are installed with 1301 by 20</w:t>
      </w:r>
      <w:r w:rsidR="00E5121F">
        <w:t>70</w:t>
      </w:r>
      <w:r>
        <w:t>, when halon consumption is zero.</w:t>
      </w:r>
    </w:p>
    <w:p w14:paraId="7A131473" w14:textId="6E6FB28E" w:rsidR="001D484A" w:rsidRDefault="001D484A" w:rsidP="001D484A">
      <w:pPr>
        <w:pStyle w:val="BodyText10"/>
        <w:numPr>
          <w:ilvl w:val="0"/>
          <w:numId w:val="24"/>
        </w:numPr>
      </w:pPr>
      <w:r>
        <w:t>Annual halon 1301 consumption reduces linearly from 20</w:t>
      </w:r>
      <w:r w:rsidR="00E64FAB">
        <w:t>40</w:t>
      </w:r>
      <w:r>
        <w:t>, to zero consumption by 20</w:t>
      </w:r>
      <w:r w:rsidR="00E64FAB">
        <w:t>60</w:t>
      </w:r>
      <w:r>
        <w:t xml:space="preserve"> or 20</w:t>
      </w:r>
      <w:r w:rsidR="00E64FAB">
        <w:t>70</w:t>
      </w:r>
      <w:r>
        <w:t>, to approximate the phase-out as new aircraft enter the fleet and old aircraft are retired each year. A linear reduction may not be representative of actual annual phase-out but is used for the purposes of approximation.</w:t>
      </w:r>
    </w:p>
    <w:p w14:paraId="18DC607A" w14:textId="49AF60D5" w:rsidR="00E64FAB" w:rsidRDefault="00E64FAB" w:rsidP="00324056">
      <w:pPr>
        <w:pStyle w:val="Heading4"/>
      </w:pPr>
      <w:bookmarkStart w:id="57" w:name="_Toc38190364"/>
      <w:r>
        <w:t>Scenarios for halon 1301: 2035 new design aircraft</w:t>
      </w:r>
      <w:bookmarkEnd w:id="57"/>
    </w:p>
    <w:p w14:paraId="596DE71C" w14:textId="55BC77BA" w:rsidR="00E64FAB" w:rsidRDefault="00E64FAB" w:rsidP="00E64FAB">
      <w:pPr>
        <w:pStyle w:val="BodyText10"/>
      </w:pPr>
      <w:r>
        <w:t xml:space="preserve">A set of scenarios </w:t>
      </w:r>
      <w:r w:rsidR="00D6215F">
        <w:t xml:space="preserve">has </w:t>
      </w:r>
      <w:r>
        <w:t>been developed to forecast halon 1301 consumption for a 2035 implementation date for new design aircraft, which assumes:</w:t>
      </w:r>
    </w:p>
    <w:p w14:paraId="6847FF40" w14:textId="77777777" w:rsidR="00E64FAB" w:rsidRDefault="00E64FAB" w:rsidP="00E64FAB">
      <w:pPr>
        <w:pStyle w:val="BodyText10"/>
        <w:numPr>
          <w:ilvl w:val="0"/>
          <w:numId w:val="24"/>
        </w:numPr>
      </w:pPr>
      <w:r>
        <w:t>Annual halon 1301 consumption increases at two sets of annual growth rates, 4% and 6%, until new production aircraft include halon replacements;</w:t>
      </w:r>
    </w:p>
    <w:p w14:paraId="2D18318A" w14:textId="789F1201" w:rsidR="00E64FAB" w:rsidRDefault="00E64FAB" w:rsidP="00E64FAB">
      <w:pPr>
        <w:pStyle w:val="BodyText10"/>
        <w:numPr>
          <w:ilvl w:val="0"/>
          <w:numId w:val="24"/>
        </w:numPr>
      </w:pPr>
      <w:r>
        <w:t>2035 is the date when halon replacements are required for new design aircraft, with 10-year delay until production of new aircraft without halon entering the fleet, during which halon 1301 continues to be installed in new aircraft,</w:t>
      </w:r>
    </w:p>
    <w:p w14:paraId="14313535" w14:textId="06450404" w:rsidR="00E64FAB" w:rsidRDefault="00E64FAB" w:rsidP="00E64FAB">
      <w:pPr>
        <w:pStyle w:val="BodyText10"/>
        <w:numPr>
          <w:ilvl w:val="1"/>
          <w:numId w:val="24"/>
        </w:numPr>
        <w:ind w:left="1134" w:hanging="425"/>
      </w:pPr>
      <w:r>
        <w:t xml:space="preserve">2045 is when new aircraft </w:t>
      </w:r>
      <w:r w:rsidR="003D043B">
        <w:t xml:space="preserve">begin </w:t>
      </w:r>
      <w:r>
        <w:t xml:space="preserve">entering </w:t>
      </w:r>
      <w:r w:rsidR="003D043B">
        <w:t xml:space="preserve">the </w:t>
      </w:r>
      <w:r>
        <w:t>fleet without halon;</w:t>
      </w:r>
    </w:p>
    <w:p w14:paraId="3ED2DCF7" w14:textId="7D438A92" w:rsidR="00E64FAB" w:rsidRDefault="00E64FAB" w:rsidP="00E64FAB">
      <w:pPr>
        <w:pStyle w:val="BodyText10"/>
        <w:numPr>
          <w:ilvl w:val="1"/>
          <w:numId w:val="24"/>
        </w:numPr>
        <w:ind w:left="1134" w:hanging="425"/>
      </w:pPr>
      <w:r>
        <w:t>Halon consumption increases at annual growth rates until 2045.</w:t>
      </w:r>
    </w:p>
    <w:p w14:paraId="3A73B7BD" w14:textId="77777777" w:rsidR="00E64FAB" w:rsidRDefault="00E64FAB" w:rsidP="00E64FAB">
      <w:pPr>
        <w:pStyle w:val="BodyText10"/>
        <w:numPr>
          <w:ilvl w:val="0"/>
          <w:numId w:val="24"/>
        </w:numPr>
      </w:pPr>
      <w:r>
        <w:t>A 20-year or a 30-year lifetime for aircraft:</w:t>
      </w:r>
    </w:p>
    <w:p w14:paraId="045C967F" w14:textId="509B58A6" w:rsidR="00E64FAB" w:rsidRDefault="00E64FAB" w:rsidP="00E64FAB">
      <w:pPr>
        <w:pStyle w:val="BodyText10"/>
        <w:numPr>
          <w:ilvl w:val="1"/>
          <w:numId w:val="24"/>
        </w:numPr>
        <w:ind w:left="1134" w:hanging="425"/>
      </w:pPr>
      <w:r>
        <w:t>20-year lifetime— no aircraft are installed with 1301 by 2065, when halon consumption is zero.</w:t>
      </w:r>
    </w:p>
    <w:p w14:paraId="6F062887" w14:textId="31EBB748" w:rsidR="00E64FAB" w:rsidRDefault="00E64FAB" w:rsidP="00E64FAB">
      <w:pPr>
        <w:pStyle w:val="BodyText10"/>
        <w:numPr>
          <w:ilvl w:val="1"/>
          <w:numId w:val="24"/>
        </w:numPr>
        <w:ind w:left="1134" w:hanging="425"/>
      </w:pPr>
      <w:r>
        <w:t>30-year lifetime— no aircraft are installed with 1301 by 2075, when halon consumption is zero.</w:t>
      </w:r>
    </w:p>
    <w:p w14:paraId="5A4DAB31" w14:textId="35B0C8B4" w:rsidR="00E64FAB" w:rsidRDefault="00E64FAB" w:rsidP="00E64FAB">
      <w:pPr>
        <w:pStyle w:val="BodyText10"/>
        <w:numPr>
          <w:ilvl w:val="0"/>
          <w:numId w:val="24"/>
        </w:numPr>
      </w:pPr>
      <w:r>
        <w:t>Annual halon 1301 consumption reduces linearly from 2045, to zero consumption by 2065 or 2075, to approximate the phase-out as new aircraft enter the fleet and old aircraft are retired each year. A linear reduction may not be representative of actual annual phase-out but is used for the purposes of approximation.</w:t>
      </w:r>
    </w:p>
    <w:p w14:paraId="43C142DB" w14:textId="7668C783" w:rsidR="00736FD3" w:rsidRDefault="00736FD3" w:rsidP="00324056">
      <w:pPr>
        <w:pStyle w:val="Heading4"/>
      </w:pPr>
      <w:bookmarkStart w:id="58" w:name="_Toc38190365"/>
      <w:r>
        <w:lastRenderedPageBreak/>
        <w:t>Scenarios for halon 1301: 20</w:t>
      </w:r>
      <w:r w:rsidR="00AA0201">
        <w:t>40</w:t>
      </w:r>
      <w:r>
        <w:t xml:space="preserve"> new design aircraft</w:t>
      </w:r>
      <w:bookmarkEnd w:id="58"/>
    </w:p>
    <w:p w14:paraId="682EA685" w14:textId="5A85B6C0" w:rsidR="00736FD3" w:rsidRDefault="00736FD3" w:rsidP="00736FD3">
      <w:pPr>
        <w:pStyle w:val="BodyText10"/>
      </w:pPr>
      <w:r>
        <w:t>A set of scenarios has been developed to forecast halon 1301 consumption for a 2040 implementation date for new design aircraft, which assumes:</w:t>
      </w:r>
    </w:p>
    <w:p w14:paraId="60B729C9" w14:textId="77777777" w:rsidR="00736FD3" w:rsidRDefault="00736FD3" w:rsidP="00736FD3">
      <w:pPr>
        <w:pStyle w:val="BodyText10"/>
        <w:numPr>
          <w:ilvl w:val="0"/>
          <w:numId w:val="24"/>
        </w:numPr>
      </w:pPr>
      <w:r>
        <w:t>Annual halon 1301 consumption increases at two sets of annual growth rates, 4% and 6%, until new production aircraft include halon replacements;</w:t>
      </w:r>
    </w:p>
    <w:p w14:paraId="6DCAEC51" w14:textId="267A6E89" w:rsidR="00736FD3" w:rsidRDefault="00736FD3" w:rsidP="00736FD3">
      <w:pPr>
        <w:pStyle w:val="BodyText10"/>
        <w:numPr>
          <w:ilvl w:val="0"/>
          <w:numId w:val="24"/>
        </w:numPr>
      </w:pPr>
      <w:r>
        <w:t>20</w:t>
      </w:r>
      <w:r w:rsidR="005F5FC2">
        <w:t>40</w:t>
      </w:r>
      <w:r>
        <w:t xml:space="preserve"> is the date when halon replacements are required for new design aircraft, with 10-year delay until production of new aircraft without halon entering the fleet, during which halon 1301 continues to be installed in new aircraft,</w:t>
      </w:r>
    </w:p>
    <w:p w14:paraId="1CD8D9A3" w14:textId="7BF92069" w:rsidR="00736FD3" w:rsidRDefault="00736FD3" w:rsidP="00736FD3">
      <w:pPr>
        <w:pStyle w:val="BodyText10"/>
        <w:numPr>
          <w:ilvl w:val="1"/>
          <w:numId w:val="24"/>
        </w:numPr>
        <w:ind w:left="1134" w:hanging="425"/>
      </w:pPr>
      <w:r>
        <w:t>20</w:t>
      </w:r>
      <w:r w:rsidR="00A95E0F">
        <w:t>50</w:t>
      </w:r>
      <w:r>
        <w:t xml:space="preserve"> is when new aircraft begin entering the fleet without halon;</w:t>
      </w:r>
    </w:p>
    <w:p w14:paraId="4621FF95" w14:textId="3D4A08A1" w:rsidR="00736FD3" w:rsidRDefault="00736FD3" w:rsidP="00736FD3">
      <w:pPr>
        <w:pStyle w:val="BodyText10"/>
        <w:numPr>
          <w:ilvl w:val="1"/>
          <w:numId w:val="24"/>
        </w:numPr>
        <w:ind w:left="1134" w:hanging="425"/>
      </w:pPr>
      <w:r>
        <w:t>Halon consumption increases at annual growth rates until 20</w:t>
      </w:r>
      <w:r w:rsidR="00F650F5">
        <w:t>50</w:t>
      </w:r>
      <w:r>
        <w:t>.</w:t>
      </w:r>
    </w:p>
    <w:p w14:paraId="2156C7E7" w14:textId="77777777" w:rsidR="00736FD3" w:rsidRDefault="00736FD3" w:rsidP="00736FD3">
      <w:pPr>
        <w:pStyle w:val="BodyText10"/>
        <w:numPr>
          <w:ilvl w:val="0"/>
          <w:numId w:val="24"/>
        </w:numPr>
      </w:pPr>
      <w:r>
        <w:t>A 20-year or a 30-year lifetime for aircraft:</w:t>
      </w:r>
    </w:p>
    <w:p w14:paraId="193FBB6B" w14:textId="616B5B37" w:rsidR="00736FD3" w:rsidRDefault="00736FD3" w:rsidP="00736FD3">
      <w:pPr>
        <w:pStyle w:val="BodyText10"/>
        <w:numPr>
          <w:ilvl w:val="1"/>
          <w:numId w:val="24"/>
        </w:numPr>
        <w:ind w:left="1134" w:hanging="425"/>
      </w:pPr>
      <w:r>
        <w:t>20-year lifetime— no aircraft are installed with 1301 by 20</w:t>
      </w:r>
      <w:r w:rsidR="00F650F5">
        <w:t>70</w:t>
      </w:r>
      <w:r>
        <w:t>, when halon consumption is zero.</w:t>
      </w:r>
    </w:p>
    <w:p w14:paraId="3D05AAD3" w14:textId="75EBB5DF" w:rsidR="00736FD3" w:rsidRDefault="00736FD3" w:rsidP="00736FD3">
      <w:pPr>
        <w:pStyle w:val="BodyText10"/>
        <w:numPr>
          <w:ilvl w:val="1"/>
          <w:numId w:val="24"/>
        </w:numPr>
        <w:ind w:left="1134" w:hanging="425"/>
      </w:pPr>
      <w:r>
        <w:t>30-year lifetime— no aircraft are installed with 1301 by 20</w:t>
      </w:r>
      <w:r w:rsidR="002645D4">
        <w:t>80</w:t>
      </w:r>
      <w:r>
        <w:t>, when halon consumption is zero.</w:t>
      </w:r>
    </w:p>
    <w:p w14:paraId="1D7727E9" w14:textId="59B63FC4" w:rsidR="00736FD3" w:rsidRDefault="00736FD3" w:rsidP="00736FD3">
      <w:pPr>
        <w:pStyle w:val="BodyText10"/>
        <w:numPr>
          <w:ilvl w:val="0"/>
          <w:numId w:val="24"/>
        </w:numPr>
      </w:pPr>
      <w:r>
        <w:t>Annual halon 1301 consumption reduces linearly from 20</w:t>
      </w:r>
      <w:r w:rsidR="002645D4">
        <w:t>50</w:t>
      </w:r>
      <w:r>
        <w:t>, to zero consumption by 20</w:t>
      </w:r>
      <w:r w:rsidR="002645D4">
        <w:t>70</w:t>
      </w:r>
      <w:r>
        <w:t xml:space="preserve"> or 20</w:t>
      </w:r>
      <w:r w:rsidR="002645D4">
        <w:t>80</w:t>
      </w:r>
      <w:r>
        <w:t>, to approximate the phase-out as new aircraft enter the fleet and old aircraft are retired each year. A linear reduction may not be representative of actual annual phase-out but is used for the purposes of approximation.</w:t>
      </w:r>
    </w:p>
    <w:p w14:paraId="12B32486" w14:textId="77777777" w:rsidR="0021119D" w:rsidRDefault="0021119D">
      <w:pPr>
        <w:rPr>
          <w:b/>
          <w:i/>
          <w:snapToGrid w:val="0"/>
          <w:lang w:val="en-US"/>
        </w:rPr>
      </w:pPr>
      <w:r>
        <w:br w:type="page"/>
      </w:r>
    </w:p>
    <w:p w14:paraId="3EB13E8A" w14:textId="6807EA44" w:rsidR="00BB192D" w:rsidRDefault="005D638D" w:rsidP="00324056">
      <w:pPr>
        <w:pStyle w:val="Heading3"/>
      </w:pPr>
      <w:bookmarkStart w:id="59" w:name="_Toc38190366"/>
      <w:r>
        <w:lastRenderedPageBreak/>
        <w:t xml:space="preserve">Estimated Future Halon Requirements for </w:t>
      </w:r>
      <w:r w:rsidR="006E2C64">
        <w:t>Non-Defence</w:t>
      </w:r>
      <w:r>
        <w:t xml:space="preserve"> Uses</w:t>
      </w:r>
      <w:bookmarkEnd w:id="59"/>
    </w:p>
    <w:p w14:paraId="4AB4B3C0" w14:textId="5BEC6F87" w:rsidR="00851BDC" w:rsidRDefault="007C70D4" w:rsidP="00346089">
      <w:pPr>
        <w:pStyle w:val="BodyText10"/>
      </w:pPr>
      <w:r>
        <w:t xml:space="preserve">Future halon requirements for </w:t>
      </w:r>
      <w:r w:rsidR="00553B4A">
        <w:t>non-defence</w:t>
      </w:r>
      <w:r>
        <w:t xml:space="preserve"> uses have been estimated b</w:t>
      </w:r>
      <w:r w:rsidR="005D638D">
        <w:t xml:space="preserve">ased on the NHB halon sales data </w:t>
      </w:r>
      <w:r w:rsidR="00D67007">
        <w:t xml:space="preserve">analysis </w:t>
      </w:r>
      <w:r w:rsidR="009D1910">
        <w:t>and the aviation inventory</w:t>
      </w:r>
      <w:r w:rsidR="00D67007">
        <w:t xml:space="preserve"> analysis</w:t>
      </w:r>
      <w:r w:rsidR="009D1910">
        <w:t xml:space="preserve"> following </w:t>
      </w:r>
      <w:r w:rsidR="00D67007">
        <w:t xml:space="preserve">the </w:t>
      </w:r>
      <w:r w:rsidR="007631A4">
        <w:t>methodology</w:t>
      </w:r>
      <w:r w:rsidR="00347801">
        <w:t xml:space="preserve">, scenarios </w:t>
      </w:r>
      <w:r w:rsidR="007631A4">
        <w:t>and assumptions outlined above</w:t>
      </w:r>
      <w:r>
        <w:t>.</w:t>
      </w:r>
      <w:r w:rsidR="00D67007">
        <w:t xml:space="preserve"> The results of these analysis are presented below.</w:t>
      </w:r>
    </w:p>
    <w:p w14:paraId="1C3AAF61" w14:textId="54DB4130" w:rsidR="007C70D4" w:rsidRPr="001B3A85" w:rsidRDefault="007C70D4" w:rsidP="002559EC">
      <w:pPr>
        <w:pStyle w:val="BodyText10"/>
        <w:ind w:left="1134" w:hanging="1134"/>
        <w:rPr>
          <w:b/>
          <w:bCs/>
          <w:i/>
          <w:iCs/>
        </w:rPr>
      </w:pPr>
      <w:r w:rsidRPr="001B3A85">
        <w:rPr>
          <w:b/>
          <w:bCs/>
          <w:i/>
          <w:iCs/>
        </w:rPr>
        <w:t>Table 4.1</w:t>
      </w:r>
      <w:r w:rsidRPr="001B3A85">
        <w:rPr>
          <w:b/>
          <w:bCs/>
          <w:i/>
          <w:iCs/>
        </w:rPr>
        <w:tab/>
      </w:r>
      <w:r w:rsidR="006012BD" w:rsidRPr="001B3A85">
        <w:rPr>
          <w:b/>
          <w:bCs/>
          <w:i/>
          <w:iCs/>
        </w:rPr>
        <w:t>E</w:t>
      </w:r>
      <w:r w:rsidRPr="001B3A85">
        <w:rPr>
          <w:b/>
          <w:bCs/>
          <w:i/>
          <w:iCs/>
        </w:rPr>
        <w:t xml:space="preserve">stimated Future Halon </w:t>
      </w:r>
      <w:r w:rsidR="00D8056B" w:rsidRPr="001B3A85">
        <w:rPr>
          <w:b/>
          <w:bCs/>
          <w:i/>
          <w:iCs/>
        </w:rPr>
        <w:t xml:space="preserve">1211 </w:t>
      </w:r>
      <w:r w:rsidRPr="001B3A85">
        <w:rPr>
          <w:b/>
          <w:bCs/>
          <w:i/>
          <w:iCs/>
        </w:rPr>
        <w:t xml:space="preserve">Requirements for </w:t>
      </w:r>
      <w:r w:rsidR="006E2C64">
        <w:rPr>
          <w:b/>
          <w:bCs/>
          <w:i/>
          <w:iCs/>
        </w:rPr>
        <w:t>Non-Defence</w:t>
      </w:r>
      <w:r w:rsidRPr="001B3A85">
        <w:rPr>
          <w:b/>
          <w:bCs/>
          <w:i/>
          <w:iCs/>
        </w:rPr>
        <w:t xml:space="preserve"> Uses</w:t>
      </w:r>
      <w:r w:rsidR="004D103F">
        <w:rPr>
          <w:b/>
          <w:bCs/>
          <w:i/>
          <w:iCs/>
        </w:rPr>
        <w:t xml:space="preserve"> Based on </w:t>
      </w:r>
      <w:r w:rsidR="006C1B61">
        <w:rPr>
          <w:b/>
          <w:bCs/>
          <w:i/>
          <w:iCs/>
        </w:rPr>
        <w:t>NHB Sales</w:t>
      </w:r>
      <w:r w:rsidR="00613C69">
        <w:rPr>
          <w:b/>
          <w:bCs/>
          <w:i/>
          <w:iCs/>
        </w:rPr>
        <w:t xml:space="preserve"> (Tonnes)</w:t>
      </w:r>
    </w:p>
    <w:tbl>
      <w:tblPr>
        <w:tblStyle w:val="TableGrid"/>
        <w:tblW w:w="0" w:type="auto"/>
        <w:tblLook w:val="04A0" w:firstRow="1" w:lastRow="0" w:firstColumn="1" w:lastColumn="0" w:noHBand="0" w:noVBand="1"/>
      </w:tblPr>
      <w:tblGrid>
        <w:gridCol w:w="4145"/>
        <w:gridCol w:w="4144"/>
      </w:tblGrid>
      <w:tr w:rsidR="0004665B" w14:paraId="12DB30E3" w14:textId="77777777" w:rsidTr="001B3A85">
        <w:tc>
          <w:tcPr>
            <w:tcW w:w="8472" w:type="dxa"/>
            <w:gridSpan w:val="2"/>
          </w:tcPr>
          <w:p w14:paraId="195FEB13" w14:textId="5CFBAC66" w:rsidR="00AD4E80" w:rsidRDefault="0004665B" w:rsidP="001B3A85">
            <w:pPr>
              <w:pStyle w:val="BodyText10"/>
              <w:spacing w:before="120" w:after="0"/>
              <w:jc w:val="center"/>
            </w:pPr>
            <w:r w:rsidRPr="0004665B">
              <w:t xml:space="preserve">Forecast </w:t>
            </w:r>
            <w:r w:rsidR="00223A96">
              <w:t xml:space="preserve">of </w:t>
            </w:r>
            <w:r w:rsidRPr="0004665B">
              <w:t xml:space="preserve">NHB Sales of Halon 1211 into </w:t>
            </w:r>
            <w:r w:rsidR="006E2C64">
              <w:t>Non-Defence</w:t>
            </w:r>
            <w:r w:rsidRPr="0004665B">
              <w:t xml:space="preserve"> Uses Only</w:t>
            </w:r>
          </w:p>
          <w:p w14:paraId="3AF8CB17" w14:textId="32CC2EB8" w:rsidR="0004665B" w:rsidRDefault="0004665B" w:rsidP="001B3A85">
            <w:pPr>
              <w:pStyle w:val="BodyText10"/>
              <w:jc w:val="center"/>
            </w:pPr>
            <w:r w:rsidRPr="0004665B">
              <w:t>2020</w:t>
            </w:r>
            <w:r w:rsidR="00AD4E80">
              <w:t xml:space="preserve"> start </w:t>
            </w:r>
            <w:r w:rsidR="006D2BC2">
              <w:t>year</w:t>
            </w:r>
            <w:r w:rsidRPr="0004665B">
              <w:t xml:space="preserve">: </w:t>
            </w:r>
            <w:r w:rsidR="0086206D">
              <w:t>3</w:t>
            </w:r>
            <w:r w:rsidRPr="0004665B">
              <w:t xml:space="preserve">-Year An. Av. Sales = </w:t>
            </w:r>
            <w:r w:rsidR="0086206D">
              <w:t>0.</w:t>
            </w:r>
            <w:r w:rsidR="00B75297">
              <w:t>668</w:t>
            </w:r>
            <w:r w:rsidR="00AD4E80">
              <w:t xml:space="preserve"> tonnes</w:t>
            </w:r>
          </w:p>
          <w:p w14:paraId="2B19ABA9" w14:textId="1B1C7AC5" w:rsidR="00E849E0" w:rsidRDefault="0016040A" w:rsidP="001B3A85">
            <w:pPr>
              <w:pStyle w:val="BodyText10"/>
              <w:jc w:val="center"/>
            </w:pPr>
            <w:r>
              <w:t>Current NHB Halon 1211 Stocks = 93.03 tonnes</w:t>
            </w:r>
          </w:p>
        </w:tc>
      </w:tr>
      <w:tr w:rsidR="00A50D1B" w14:paraId="13369E00" w14:textId="77777777" w:rsidTr="001B3A85">
        <w:tc>
          <w:tcPr>
            <w:tcW w:w="4236" w:type="dxa"/>
          </w:tcPr>
          <w:p w14:paraId="4BD26921" w14:textId="77777777" w:rsidR="00A50D1B" w:rsidRDefault="006012BD" w:rsidP="00694D20">
            <w:pPr>
              <w:pStyle w:val="BodyText10"/>
              <w:spacing w:before="120" w:after="120"/>
              <w:jc w:val="center"/>
            </w:pPr>
            <w:r>
              <w:t>20-Year Aircraft Lifetime</w:t>
            </w:r>
          </w:p>
          <w:p w14:paraId="5DAAB9E4" w14:textId="04DF257F" w:rsidR="00731EF8" w:rsidRDefault="00731EF8" w:rsidP="001B3A85">
            <w:pPr>
              <w:pStyle w:val="BodyText10"/>
              <w:spacing w:before="120" w:after="120"/>
              <w:jc w:val="center"/>
            </w:pPr>
            <w:r>
              <w:t>End 2040</w:t>
            </w:r>
          </w:p>
        </w:tc>
        <w:tc>
          <w:tcPr>
            <w:tcW w:w="4236" w:type="dxa"/>
          </w:tcPr>
          <w:p w14:paraId="580F136A" w14:textId="77777777" w:rsidR="00A50D1B" w:rsidRDefault="006012BD" w:rsidP="00694D20">
            <w:pPr>
              <w:pStyle w:val="BodyText10"/>
              <w:spacing w:before="120" w:after="120"/>
              <w:jc w:val="center"/>
            </w:pPr>
            <w:r>
              <w:t>30-Year Aircraft Lifetime</w:t>
            </w:r>
          </w:p>
          <w:p w14:paraId="79AA3EC2" w14:textId="152C755E" w:rsidR="00731EF8" w:rsidRDefault="00731EF8" w:rsidP="001B3A85">
            <w:pPr>
              <w:pStyle w:val="BodyText10"/>
              <w:spacing w:before="120" w:after="120"/>
              <w:jc w:val="center"/>
            </w:pPr>
            <w:r>
              <w:t>End 2050</w:t>
            </w:r>
          </w:p>
        </w:tc>
      </w:tr>
      <w:tr w:rsidR="00A50D1B" w14:paraId="6149525B" w14:textId="77777777" w:rsidTr="001B3A85">
        <w:tc>
          <w:tcPr>
            <w:tcW w:w="4236" w:type="dxa"/>
          </w:tcPr>
          <w:p w14:paraId="1FCA0179" w14:textId="6B218560" w:rsidR="00A50D1B" w:rsidRDefault="00B75297" w:rsidP="001B3A85">
            <w:pPr>
              <w:pStyle w:val="BodyText10"/>
              <w:spacing w:before="120" w:after="120"/>
              <w:jc w:val="center"/>
            </w:pPr>
            <w:r>
              <w:t>7.01</w:t>
            </w:r>
            <w:r w:rsidR="006012BD">
              <w:t xml:space="preserve"> </w:t>
            </w:r>
          </w:p>
        </w:tc>
        <w:tc>
          <w:tcPr>
            <w:tcW w:w="4236" w:type="dxa"/>
          </w:tcPr>
          <w:p w14:paraId="23A7392E" w14:textId="170450D1" w:rsidR="00A50D1B" w:rsidRDefault="00B75297" w:rsidP="001B3A85">
            <w:pPr>
              <w:pStyle w:val="BodyText10"/>
              <w:spacing w:before="120" w:after="120"/>
              <w:jc w:val="center"/>
            </w:pPr>
            <w:r>
              <w:t>10.35</w:t>
            </w:r>
            <w:r w:rsidR="00891AD2">
              <w:t xml:space="preserve"> </w:t>
            </w:r>
          </w:p>
        </w:tc>
      </w:tr>
    </w:tbl>
    <w:p w14:paraId="0C91D8C9" w14:textId="77777777" w:rsidR="007C70D4" w:rsidRDefault="007C70D4" w:rsidP="00346089">
      <w:pPr>
        <w:pStyle w:val="BodyText10"/>
      </w:pPr>
    </w:p>
    <w:p w14:paraId="52307118" w14:textId="17BAC203" w:rsidR="00D652E9" w:rsidRPr="001B3A85" w:rsidRDefault="00D652E9" w:rsidP="000D0DC0">
      <w:pPr>
        <w:pStyle w:val="BodyText10"/>
        <w:keepNext/>
        <w:widowControl/>
        <w:ind w:left="1134" w:hanging="1134"/>
        <w:rPr>
          <w:b/>
          <w:bCs/>
          <w:i/>
          <w:iCs/>
        </w:rPr>
      </w:pPr>
      <w:r w:rsidRPr="001B3A85">
        <w:rPr>
          <w:b/>
          <w:bCs/>
          <w:i/>
          <w:iCs/>
        </w:rPr>
        <w:t>Table 4.</w:t>
      </w:r>
      <w:r w:rsidR="00E849E0">
        <w:rPr>
          <w:b/>
          <w:bCs/>
          <w:i/>
          <w:iCs/>
        </w:rPr>
        <w:t>2</w:t>
      </w:r>
      <w:r w:rsidRPr="001B3A85">
        <w:rPr>
          <w:b/>
          <w:bCs/>
          <w:i/>
          <w:iCs/>
        </w:rPr>
        <w:tab/>
        <w:t xml:space="preserve">Estimated Future Halon 1211 Requirements for </w:t>
      </w:r>
      <w:r>
        <w:rPr>
          <w:b/>
          <w:bCs/>
          <w:i/>
          <w:iCs/>
        </w:rPr>
        <w:t>Non-Defence</w:t>
      </w:r>
      <w:r w:rsidRPr="001B3A85">
        <w:rPr>
          <w:b/>
          <w:bCs/>
          <w:i/>
          <w:iCs/>
        </w:rPr>
        <w:t xml:space="preserve"> Uses</w:t>
      </w:r>
      <w:r w:rsidR="002559EC">
        <w:rPr>
          <w:b/>
          <w:bCs/>
          <w:i/>
          <w:iCs/>
        </w:rPr>
        <w:t xml:space="preserve"> Based </w:t>
      </w:r>
      <w:r w:rsidR="007E2705">
        <w:rPr>
          <w:b/>
          <w:bCs/>
          <w:i/>
          <w:iCs/>
        </w:rPr>
        <w:t xml:space="preserve">on Aviation </w:t>
      </w:r>
      <w:r w:rsidR="00904440">
        <w:rPr>
          <w:b/>
          <w:bCs/>
          <w:i/>
          <w:iCs/>
        </w:rPr>
        <w:t>Inventory Analysis</w:t>
      </w:r>
      <w:r w:rsidR="004634AC">
        <w:rPr>
          <w:b/>
          <w:bCs/>
          <w:i/>
          <w:iCs/>
        </w:rPr>
        <w:t xml:space="preserve"> </w:t>
      </w:r>
      <w:r w:rsidR="00527157">
        <w:rPr>
          <w:b/>
          <w:bCs/>
          <w:i/>
          <w:iCs/>
        </w:rPr>
        <w:t>(Tonnes)</w:t>
      </w:r>
    </w:p>
    <w:tbl>
      <w:tblPr>
        <w:tblStyle w:val="TableGrid"/>
        <w:tblW w:w="0" w:type="auto"/>
        <w:tblLook w:val="04A0" w:firstRow="1" w:lastRow="0" w:firstColumn="1" w:lastColumn="0" w:noHBand="0" w:noVBand="1"/>
      </w:tblPr>
      <w:tblGrid>
        <w:gridCol w:w="4145"/>
        <w:gridCol w:w="4144"/>
      </w:tblGrid>
      <w:tr w:rsidR="004634AC" w14:paraId="3AAE3C79" w14:textId="77777777" w:rsidTr="000D0DC0">
        <w:tc>
          <w:tcPr>
            <w:tcW w:w="8472" w:type="dxa"/>
            <w:gridSpan w:val="2"/>
          </w:tcPr>
          <w:p w14:paraId="516BFC13" w14:textId="59925EB0" w:rsidR="004634AC" w:rsidRDefault="004634AC" w:rsidP="000D0DC0">
            <w:pPr>
              <w:pStyle w:val="BodyText10"/>
              <w:spacing w:before="120" w:after="0"/>
              <w:jc w:val="center"/>
            </w:pPr>
            <w:r w:rsidRPr="0004665B">
              <w:t xml:space="preserve">Forecast </w:t>
            </w:r>
            <w:r>
              <w:t xml:space="preserve">of </w:t>
            </w:r>
            <w:r w:rsidRPr="0004665B">
              <w:t xml:space="preserve">Halon 1211 </w:t>
            </w:r>
            <w:r w:rsidR="006F482E">
              <w:t xml:space="preserve">Demand </w:t>
            </w:r>
            <w:r w:rsidRPr="0004665B">
              <w:t xml:space="preserve">into </w:t>
            </w:r>
            <w:r>
              <w:t>Non-Defence</w:t>
            </w:r>
            <w:r w:rsidRPr="0004665B">
              <w:t xml:space="preserve"> Uses Only</w:t>
            </w:r>
          </w:p>
          <w:p w14:paraId="36B238F9" w14:textId="09D06244" w:rsidR="004634AC" w:rsidRDefault="004634AC" w:rsidP="000D0DC0">
            <w:pPr>
              <w:pStyle w:val="BodyText10"/>
              <w:jc w:val="center"/>
            </w:pPr>
            <w:r w:rsidRPr="0004665B">
              <w:t>2020</w:t>
            </w:r>
            <w:r>
              <w:t xml:space="preserve"> start </w:t>
            </w:r>
            <w:r w:rsidR="006D2BC2">
              <w:t>year</w:t>
            </w:r>
            <w:r w:rsidRPr="0004665B">
              <w:t xml:space="preserve">: </w:t>
            </w:r>
            <w:r w:rsidR="006F482E">
              <w:t xml:space="preserve">Aviation Analysis Consumption = </w:t>
            </w:r>
            <w:r w:rsidR="008C6798">
              <w:t>0.398 tonnes</w:t>
            </w:r>
          </w:p>
          <w:p w14:paraId="6E407AA7" w14:textId="77777777" w:rsidR="004634AC" w:rsidRDefault="004634AC" w:rsidP="000D0DC0">
            <w:pPr>
              <w:pStyle w:val="BodyText10"/>
              <w:jc w:val="center"/>
            </w:pPr>
            <w:r>
              <w:t>Current NHB Halon 1211 Stocks = 93.03 tonnes</w:t>
            </w:r>
          </w:p>
        </w:tc>
      </w:tr>
      <w:tr w:rsidR="004634AC" w14:paraId="1134F1EB" w14:textId="77777777" w:rsidTr="000D0DC0">
        <w:tc>
          <w:tcPr>
            <w:tcW w:w="4236" w:type="dxa"/>
          </w:tcPr>
          <w:p w14:paraId="4952C5B3" w14:textId="77777777" w:rsidR="004634AC" w:rsidRDefault="004634AC" w:rsidP="000D0DC0">
            <w:pPr>
              <w:pStyle w:val="BodyText10"/>
              <w:spacing w:before="120" w:after="120"/>
              <w:jc w:val="center"/>
            </w:pPr>
            <w:r>
              <w:t>20-Year Aircraft Lifetime</w:t>
            </w:r>
          </w:p>
          <w:p w14:paraId="07773268" w14:textId="77777777" w:rsidR="004634AC" w:rsidRDefault="004634AC" w:rsidP="000D0DC0">
            <w:pPr>
              <w:pStyle w:val="BodyText10"/>
              <w:spacing w:before="120" w:after="120"/>
              <w:jc w:val="center"/>
            </w:pPr>
            <w:r>
              <w:t>End 2040</w:t>
            </w:r>
          </w:p>
        </w:tc>
        <w:tc>
          <w:tcPr>
            <w:tcW w:w="4236" w:type="dxa"/>
          </w:tcPr>
          <w:p w14:paraId="02D5731C" w14:textId="77777777" w:rsidR="004634AC" w:rsidRDefault="004634AC" w:rsidP="000D0DC0">
            <w:pPr>
              <w:pStyle w:val="BodyText10"/>
              <w:spacing w:before="120" w:after="120"/>
              <w:jc w:val="center"/>
            </w:pPr>
            <w:r>
              <w:t>30-Year Aircraft Lifetime</w:t>
            </w:r>
          </w:p>
          <w:p w14:paraId="51ADBCE8" w14:textId="77777777" w:rsidR="004634AC" w:rsidRDefault="004634AC" w:rsidP="000D0DC0">
            <w:pPr>
              <w:pStyle w:val="BodyText10"/>
              <w:spacing w:before="120" w:after="120"/>
              <w:jc w:val="center"/>
            </w:pPr>
            <w:r>
              <w:t>End 2050</w:t>
            </w:r>
          </w:p>
        </w:tc>
      </w:tr>
      <w:tr w:rsidR="004634AC" w14:paraId="041C97BB" w14:textId="77777777" w:rsidTr="000D0DC0">
        <w:tc>
          <w:tcPr>
            <w:tcW w:w="4236" w:type="dxa"/>
          </w:tcPr>
          <w:p w14:paraId="3731827D" w14:textId="6AD101A2" w:rsidR="004634AC" w:rsidRDefault="008C6798" w:rsidP="000D0DC0">
            <w:pPr>
              <w:pStyle w:val="BodyText10"/>
              <w:spacing w:before="120" w:after="120"/>
              <w:jc w:val="center"/>
            </w:pPr>
            <w:r>
              <w:t>4.12</w:t>
            </w:r>
            <w:r w:rsidR="004634AC">
              <w:t xml:space="preserve"> </w:t>
            </w:r>
          </w:p>
        </w:tc>
        <w:tc>
          <w:tcPr>
            <w:tcW w:w="4236" w:type="dxa"/>
          </w:tcPr>
          <w:p w14:paraId="0167BF25" w14:textId="6F389CDC" w:rsidR="004634AC" w:rsidRDefault="00DE469E" w:rsidP="000D0DC0">
            <w:pPr>
              <w:pStyle w:val="BodyText10"/>
              <w:spacing w:before="120" w:after="120"/>
              <w:jc w:val="center"/>
            </w:pPr>
            <w:r>
              <w:t>6.17</w:t>
            </w:r>
            <w:r w:rsidR="004634AC">
              <w:t xml:space="preserve"> </w:t>
            </w:r>
          </w:p>
        </w:tc>
      </w:tr>
    </w:tbl>
    <w:p w14:paraId="776B7210" w14:textId="77777777" w:rsidR="00D652E9" w:rsidRDefault="00D652E9" w:rsidP="00346089">
      <w:pPr>
        <w:pStyle w:val="BodyText10"/>
      </w:pPr>
    </w:p>
    <w:p w14:paraId="2F81DAAB" w14:textId="29970266" w:rsidR="0020320E" w:rsidRDefault="0020320E" w:rsidP="000D0DC0">
      <w:pPr>
        <w:pStyle w:val="BodyText10"/>
        <w:keepNext/>
        <w:widowControl/>
        <w:tabs>
          <w:tab w:val="left" w:pos="1134"/>
        </w:tabs>
        <w:ind w:left="1134" w:hanging="1134"/>
      </w:pPr>
      <w:r w:rsidRPr="006C4E96">
        <w:rPr>
          <w:b/>
          <w:bCs/>
          <w:i/>
          <w:iCs/>
        </w:rPr>
        <w:lastRenderedPageBreak/>
        <w:t>Figure 4.5</w:t>
      </w:r>
      <w:r w:rsidRPr="006C4E96">
        <w:rPr>
          <w:b/>
          <w:bCs/>
          <w:i/>
          <w:iCs/>
        </w:rPr>
        <w:tab/>
      </w:r>
      <w:r w:rsidRPr="00486FF0">
        <w:rPr>
          <w:b/>
          <w:bCs/>
          <w:i/>
          <w:iCs/>
        </w:rPr>
        <w:t>Estimated Future Halon 1211 Requirements for Non-Defence</w:t>
      </w:r>
      <w:r w:rsidRPr="001B3A85">
        <w:rPr>
          <w:b/>
          <w:bCs/>
          <w:i/>
          <w:iCs/>
        </w:rPr>
        <w:t xml:space="preserve"> Uses</w:t>
      </w:r>
      <w:r>
        <w:rPr>
          <w:b/>
          <w:bCs/>
          <w:i/>
          <w:iCs/>
        </w:rPr>
        <w:t xml:space="preserve"> Based on NHB Sales or Aviation Analysis (Tonnes)</w:t>
      </w:r>
    </w:p>
    <w:p w14:paraId="23AEAF1C" w14:textId="77777777" w:rsidR="0020320E" w:rsidRDefault="0020320E" w:rsidP="0020320E">
      <w:pPr>
        <w:pStyle w:val="BodyText10"/>
      </w:pPr>
      <w:r>
        <w:rPr>
          <w:noProof/>
        </w:rPr>
        <w:drawing>
          <wp:inline distT="0" distB="0" distL="0" distR="0" wp14:anchorId="7F80889B" wp14:editId="43263FE1">
            <wp:extent cx="5223510" cy="2606040"/>
            <wp:effectExtent l="0" t="0" r="8890" b="10160"/>
            <wp:docPr id="10" name="Chart 10">
              <a:extLst xmlns:a="http://schemas.openxmlformats.org/drawingml/2006/main">
                <a:ext uri="{FF2B5EF4-FFF2-40B4-BE49-F238E27FC236}">
                  <a16:creationId xmlns:a16="http://schemas.microsoft.com/office/drawing/2014/main" id="{1910F590-550D-8842-86E1-318439A306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9A362B6" w14:textId="77777777" w:rsidR="00D75E4B" w:rsidRDefault="00D75E4B" w:rsidP="00346089">
      <w:pPr>
        <w:pStyle w:val="BodyText10"/>
      </w:pPr>
    </w:p>
    <w:p w14:paraId="19ABDCAF" w14:textId="77777777" w:rsidR="00270302" w:rsidRDefault="00270302" w:rsidP="00346089">
      <w:pPr>
        <w:pStyle w:val="BodyText10"/>
        <w:rPr>
          <w:b/>
          <w:bCs/>
          <w:i/>
          <w:iCs/>
        </w:rPr>
        <w:sectPr w:rsidR="00270302" w:rsidSect="00EA333A">
          <w:type w:val="oddPage"/>
          <w:pgSz w:w="11899" w:h="16838" w:code="1"/>
          <w:pgMar w:top="1440" w:right="1800" w:bottom="1526" w:left="1800" w:header="720" w:footer="737" w:gutter="0"/>
          <w:pgNumType w:start="1"/>
          <w:cols w:space="720"/>
          <w:docGrid w:linePitch="326"/>
        </w:sectPr>
      </w:pPr>
    </w:p>
    <w:p w14:paraId="2BC09246" w14:textId="676A4789" w:rsidR="00D8056B" w:rsidRPr="001B3A85" w:rsidRDefault="003A31AE" w:rsidP="00401816">
      <w:pPr>
        <w:pStyle w:val="BodyText10"/>
        <w:tabs>
          <w:tab w:val="left" w:pos="1418"/>
        </w:tabs>
        <w:rPr>
          <w:b/>
          <w:bCs/>
          <w:i/>
          <w:iCs/>
        </w:rPr>
      </w:pPr>
      <w:r w:rsidRPr="00741AB1">
        <w:rPr>
          <w:b/>
          <w:bCs/>
          <w:i/>
          <w:iCs/>
        </w:rPr>
        <w:lastRenderedPageBreak/>
        <w:t>Table 4.</w:t>
      </w:r>
      <w:r w:rsidR="00527157">
        <w:rPr>
          <w:b/>
          <w:bCs/>
          <w:i/>
          <w:iCs/>
        </w:rPr>
        <w:t>3</w:t>
      </w:r>
      <w:r w:rsidRPr="00741AB1">
        <w:rPr>
          <w:b/>
          <w:bCs/>
          <w:i/>
          <w:iCs/>
        </w:rPr>
        <w:tab/>
        <w:t>Estimated Future Halon 1</w:t>
      </w:r>
      <w:r w:rsidR="00003134">
        <w:rPr>
          <w:b/>
          <w:bCs/>
          <w:i/>
          <w:iCs/>
        </w:rPr>
        <w:t>301</w:t>
      </w:r>
      <w:r w:rsidRPr="00741AB1">
        <w:rPr>
          <w:b/>
          <w:bCs/>
          <w:i/>
          <w:iCs/>
        </w:rPr>
        <w:t xml:space="preserve"> Requirements for </w:t>
      </w:r>
      <w:r w:rsidR="006E2C64">
        <w:rPr>
          <w:b/>
          <w:bCs/>
          <w:i/>
          <w:iCs/>
        </w:rPr>
        <w:t>Non-Defence</w:t>
      </w:r>
      <w:r w:rsidRPr="00741AB1">
        <w:rPr>
          <w:b/>
          <w:bCs/>
          <w:i/>
          <w:iCs/>
        </w:rPr>
        <w:t xml:space="preserve"> Uses</w:t>
      </w:r>
      <w:r w:rsidR="00DC32D4">
        <w:rPr>
          <w:b/>
          <w:bCs/>
          <w:i/>
          <w:iCs/>
        </w:rPr>
        <w:t xml:space="preserve"> Based on NHB Sales</w:t>
      </w:r>
      <w:r w:rsidR="00613C69">
        <w:rPr>
          <w:b/>
          <w:bCs/>
          <w:i/>
          <w:iCs/>
        </w:rPr>
        <w:t xml:space="preserve"> (Tonnes)</w:t>
      </w:r>
    </w:p>
    <w:tbl>
      <w:tblPr>
        <w:tblStyle w:val="TableGrid"/>
        <w:tblW w:w="0" w:type="auto"/>
        <w:tblLook w:val="04A0" w:firstRow="1" w:lastRow="0" w:firstColumn="1" w:lastColumn="0" w:noHBand="0" w:noVBand="1"/>
      </w:tblPr>
      <w:tblGrid>
        <w:gridCol w:w="866"/>
        <w:gridCol w:w="866"/>
        <w:gridCol w:w="867"/>
        <w:gridCol w:w="866"/>
        <w:gridCol w:w="866"/>
        <w:gridCol w:w="867"/>
        <w:gridCol w:w="866"/>
        <w:gridCol w:w="867"/>
        <w:gridCol w:w="866"/>
        <w:gridCol w:w="866"/>
        <w:gridCol w:w="867"/>
        <w:gridCol w:w="866"/>
        <w:gridCol w:w="866"/>
        <w:gridCol w:w="867"/>
        <w:gridCol w:w="866"/>
        <w:gridCol w:w="867"/>
      </w:tblGrid>
      <w:tr w:rsidR="00EF6AB7" w14:paraId="0EFD83ED" w14:textId="0C552313" w:rsidTr="00EF6AB7">
        <w:tc>
          <w:tcPr>
            <w:tcW w:w="13862" w:type="dxa"/>
            <w:gridSpan w:val="16"/>
          </w:tcPr>
          <w:p w14:paraId="59472026" w14:textId="77777777" w:rsidR="00EF6AB7" w:rsidRPr="001B3A85" w:rsidRDefault="00EF6AB7" w:rsidP="00E849E0">
            <w:pPr>
              <w:pStyle w:val="BodyText10"/>
              <w:spacing w:before="120" w:after="0"/>
              <w:jc w:val="center"/>
              <w:rPr>
                <w:sz w:val="20"/>
              </w:rPr>
            </w:pPr>
            <w:r w:rsidRPr="001B3A85">
              <w:rPr>
                <w:sz w:val="20"/>
              </w:rPr>
              <w:t xml:space="preserve">Forecast of NHB Sales of Halon 1301 into </w:t>
            </w:r>
            <w:r>
              <w:rPr>
                <w:sz w:val="20"/>
              </w:rPr>
              <w:t>Non-Defence</w:t>
            </w:r>
            <w:r w:rsidRPr="001B3A85">
              <w:rPr>
                <w:sz w:val="20"/>
              </w:rPr>
              <w:t xml:space="preserve"> Uses Only</w:t>
            </w:r>
          </w:p>
          <w:p w14:paraId="1FAEB354" w14:textId="77777777" w:rsidR="0016040A" w:rsidRDefault="00EF6AB7" w:rsidP="00E849E0">
            <w:pPr>
              <w:pStyle w:val="BodyText10"/>
              <w:spacing w:after="120"/>
              <w:jc w:val="center"/>
              <w:rPr>
                <w:sz w:val="20"/>
              </w:rPr>
            </w:pPr>
            <w:r w:rsidRPr="001B3A85">
              <w:rPr>
                <w:sz w:val="20"/>
              </w:rPr>
              <w:t xml:space="preserve">2020 start year: </w:t>
            </w:r>
            <w:r>
              <w:rPr>
                <w:sz w:val="20"/>
              </w:rPr>
              <w:t>2</w:t>
            </w:r>
            <w:r w:rsidRPr="001B3A85">
              <w:rPr>
                <w:sz w:val="20"/>
              </w:rPr>
              <w:t>-Year An. Av. Sales = 0.</w:t>
            </w:r>
            <w:r>
              <w:rPr>
                <w:sz w:val="20"/>
              </w:rPr>
              <w:t>973</w:t>
            </w:r>
            <w:r w:rsidRPr="001B3A85">
              <w:rPr>
                <w:sz w:val="20"/>
              </w:rPr>
              <w:t xml:space="preserve"> tonnes</w:t>
            </w:r>
          </w:p>
          <w:p w14:paraId="392F3930" w14:textId="49BFBEA1" w:rsidR="00EF6AB7" w:rsidRPr="00466614" w:rsidRDefault="00466614" w:rsidP="00E849E0">
            <w:pPr>
              <w:pStyle w:val="BodyText10"/>
              <w:spacing w:after="120"/>
              <w:jc w:val="center"/>
              <w:rPr>
                <w:sz w:val="20"/>
              </w:rPr>
            </w:pPr>
            <w:r w:rsidRPr="000D0DC0">
              <w:rPr>
                <w:sz w:val="20"/>
              </w:rPr>
              <w:t xml:space="preserve"> Current NHB Halon 1</w:t>
            </w:r>
            <w:r>
              <w:rPr>
                <w:sz w:val="20"/>
              </w:rPr>
              <w:t>30</w:t>
            </w:r>
            <w:r w:rsidRPr="000D0DC0">
              <w:rPr>
                <w:sz w:val="20"/>
              </w:rPr>
              <w:t>1 Stocks =</w:t>
            </w:r>
            <w:r w:rsidR="00C93829">
              <w:rPr>
                <w:sz w:val="20"/>
              </w:rPr>
              <w:t xml:space="preserve"> 165.87</w:t>
            </w:r>
            <w:r w:rsidRPr="000D0DC0">
              <w:rPr>
                <w:sz w:val="20"/>
              </w:rPr>
              <w:t xml:space="preserve"> tonnes</w:t>
            </w:r>
            <w:r w:rsidRPr="000D0DC0">
              <w:rPr>
                <w:rStyle w:val="CommentReference"/>
                <w:rFonts w:eastAsia="Times New Roman"/>
                <w:color w:val="auto"/>
                <w:sz w:val="20"/>
                <w:lang w:val="en-AU" w:eastAsia="en-GB"/>
              </w:rPr>
              <w:t xml:space="preserve"> </w:t>
            </w:r>
          </w:p>
        </w:tc>
      </w:tr>
      <w:tr w:rsidR="006E38DC" w14:paraId="47C139C4" w14:textId="3525B8EB" w:rsidTr="006E38DC">
        <w:tc>
          <w:tcPr>
            <w:tcW w:w="3465" w:type="dxa"/>
            <w:gridSpan w:val="4"/>
          </w:tcPr>
          <w:p w14:paraId="0185BBA2" w14:textId="259F3BC8" w:rsidR="006E38DC" w:rsidRPr="001B3A85" w:rsidRDefault="006E38DC" w:rsidP="00694D20">
            <w:pPr>
              <w:pStyle w:val="BodyText10"/>
              <w:spacing w:before="120" w:after="120"/>
              <w:jc w:val="center"/>
              <w:rPr>
                <w:sz w:val="20"/>
              </w:rPr>
            </w:pPr>
            <w:r w:rsidRPr="001B3A85">
              <w:rPr>
                <w:sz w:val="20"/>
              </w:rPr>
              <w:t>2025 New Design Aircraft</w:t>
            </w:r>
          </w:p>
        </w:tc>
        <w:tc>
          <w:tcPr>
            <w:tcW w:w="3466" w:type="dxa"/>
            <w:gridSpan w:val="4"/>
          </w:tcPr>
          <w:p w14:paraId="63A5305D" w14:textId="010850D6" w:rsidR="006E38DC" w:rsidRPr="001B3A85" w:rsidRDefault="006E38DC" w:rsidP="00694D20">
            <w:pPr>
              <w:pStyle w:val="BodyText10"/>
              <w:spacing w:before="120" w:after="120"/>
              <w:jc w:val="center"/>
              <w:rPr>
                <w:sz w:val="20"/>
              </w:rPr>
            </w:pPr>
            <w:r>
              <w:rPr>
                <w:sz w:val="20"/>
              </w:rPr>
              <w:t>2030 New Design Aircraft</w:t>
            </w:r>
          </w:p>
        </w:tc>
        <w:tc>
          <w:tcPr>
            <w:tcW w:w="3465" w:type="dxa"/>
            <w:gridSpan w:val="4"/>
          </w:tcPr>
          <w:p w14:paraId="71C25845" w14:textId="3E59FEE8" w:rsidR="006E38DC" w:rsidRPr="001B3A85" w:rsidRDefault="006E38DC" w:rsidP="00694D20">
            <w:pPr>
              <w:pStyle w:val="BodyText10"/>
              <w:spacing w:before="120" w:after="120"/>
              <w:jc w:val="center"/>
              <w:rPr>
                <w:sz w:val="20"/>
              </w:rPr>
            </w:pPr>
            <w:r>
              <w:rPr>
                <w:sz w:val="20"/>
              </w:rPr>
              <w:t>2035 New Design Aircraft</w:t>
            </w:r>
          </w:p>
        </w:tc>
        <w:tc>
          <w:tcPr>
            <w:tcW w:w="3466" w:type="dxa"/>
            <w:gridSpan w:val="4"/>
          </w:tcPr>
          <w:p w14:paraId="0333EDB6" w14:textId="6A6CCE13" w:rsidR="006E38DC" w:rsidRDefault="006E38DC" w:rsidP="00694D20">
            <w:pPr>
              <w:pStyle w:val="BodyText10"/>
              <w:spacing w:before="120" w:after="120"/>
              <w:jc w:val="center"/>
              <w:rPr>
                <w:sz w:val="20"/>
              </w:rPr>
            </w:pPr>
            <w:r>
              <w:rPr>
                <w:sz w:val="20"/>
              </w:rPr>
              <w:t>2040 New Design Aircraft</w:t>
            </w:r>
          </w:p>
        </w:tc>
      </w:tr>
      <w:tr w:rsidR="006E38DC" w14:paraId="3C91D6E1" w14:textId="79C7DCD2" w:rsidTr="006E38DC">
        <w:tc>
          <w:tcPr>
            <w:tcW w:w="1732" w:type="dxa"/>
            <w:gridSpan w:val="2"/>
          </w:tcPr>
          <w:p w14:paraId="7C8DEC8C" w14:textId="77777777" w:rsidR="006E38DC" w:rsidRDefault="006E38DC" w:rsidP="006E38DC">
            <w:pPr>
              <w:pStyle w:val="BodyText10"/>
              <w:spacing w:before="120" w:after="120"/>
              <w:jc w:val="center"/>
              <w:rPr>
                <w:sz w:val="20"/>
              </w:rPr>
            </w:pPr>
            <w:r w:rsidRPr="001B3A85">
              <w:rPr>
                <w:sz w:val="20"/>
              </w:rPr>
              <w:t>20-Year Aircraft Lifetime</w:t>
            </w:r>
          </w:p>
          <w:p w14:paraId="172F73DB" w14:textId="0A651AF7" w:rsidR="006E38DC" w:rsidRPr="001B3A85" w:rsidRDefault="006E38DC" w:rsidP="006E38DC">
            <w:pPr>
              <w:pStyle w:val="BodyText10"/>
              <w:spacing w:before="120" w:after="120"/>
              <w:jc w:val="center"/>
              <w:rPr>
                <w:sz w:val="20"/>
              </w:rPr>
            </w:pPr>
            <w:r>
              <w:rPr>
                <w:sz w:val="20"/>
              </w:rPr>
              <w:t>End 2055</w:t>
            </w:r>
          </w:p>
        </w:tc>
        <w:tc>
          <w:tcPr>
            <w:tcW w:w="1733" w:type="dxa"/>
            <w:gridSpan w:val="2"/>
          </w:tcPr>
          <w:p w14:paraId="6C56F865" w14:textId="77777777" w:rsidR="006E38DC" w:rsidRDefault="006E38DC" w:rsidP="006E38DC">
            <w:pPr>
              <w:pStyle w:val="BodyText10"/>
              <w:spacing w:before="120" w:after="120"/>
              <w:jc w:val="center"/>
              <w:rPr>
                <w:sz w:val="20"/>
              </w:rPr>
            </w:pPr>
            <w:r w:rsidRPr="001B3A85">
              <w:rPr>
                <w:sz w:val="20"/>
              </w:rPr>
              <w:t>30-Year Aircraft Lifetime</w:t>
            </w:r>
          </w:p>
          <w:p w14:paraId="46219F92" w14:textId="3009808E" w:rsidR="006E38DC" w:rsidRPr="001B3A85" w:rsidRDefault="006E38DC" w:rsidP="006E38DC">
            <w:pPr>
              <w:pStyle w:val="BodyText10"/>
              <w:spacing w:before="120" w:after="120"/>
              <w:jc w:val="center"/>
              <w:rPr>
                <w:sz w:val="20"/>
              </w:rPr>
            </w:pPr>
            <w:r>
              <w:rPr>
                <w:sz w:val="20"/>
              </w:rPr>
              <w:t>End 2065</w:t>
            </w:r>
          </w:p>
        </w:tc>
        <w:tc>
          <w:tcPr>
            <w:tcW w:w="1733" w:type="dxa"/>
            <w:gridSpan w:val="2"/>
          </w:tcPr>
          <w:p w14:paraId="2D27A8A9" w14:textId="77777777" w:rsidR="006E38DC" w:rsidRDefault="006E38DC" w:rsidP="006E38DC">
            <w:pPr>
              <w:pStyle w:val="BodyText10"/>
              <w:spacing w:before="120" w:after="120"/>
              <w:jc w:val="center"/>
              <w:rPr>
                <w:sz w:val="20"/>
              </w:rPr>
            </w:pPr>
            <w:r w:rsidRPr="001B3A85">
              <w:rPr>
                <w:sz w:val="20"/>
              </w:rPr>
              <w:t>20-Year Aircraft Lifetime</w:t>
            </w:r>
          </w:p>
          <w:p w14:paraId="216A9B56" w14:textId="79C56C8B" w:rsidR="006E38DC" w:rsidRPr="001B3A85" w:rsidRDefault="006E38DC" w:rsidP="006E38DC">
            <w:pPr>
              <w:pStyle w:val="BodyText10"/>
              <w:spacing w:before="120" w:after="120"/>
              <w:jc w:val="center"/>
              <w:rPr>
                <w:sz w:val="20"/>
              </w:rPr>
            </w:pPr>
            <w:r>
              <w:rPr>
                <w:sz w:val="20"/>
              </w:rPr>
              <w:t>End 2060</w:t>
            </w:r>
          </w:p>
        </w:tc>
        <w:tc>
          <w:tcPr>
            <w:tcW w:w="1733" w:type="dxa"/>
            <w:gridSpan w:val="2"/>
          </w:tcPr>
          <w:p w14:paraId="0F0CAA1E" w14:textId="77777777" w:rsidR="006E38DC" w:rsidRDefault="006E38DC" w:rsidP="006E38DC">
            <w:pPr>
              <w:pStyle w:val="BodyText10"/>
              <w:spacing w:before="120" w:after="120"/>
              <w:jc w:val="center"/>
              <w:rPr>
                <w:sz w:val="20"/>
              </w:rPr>
            </w:pPr>
            <w:r w:rsidRPr="001B3A85">
              <w:rPr>
                <w:sz w:val="20"/>
              </w:rPr>
              <w:t>30-Year Aircraft Lifetime</w:t>
            </w:r>
          </w:p>
          <w:p w14:paraId="5827DB01" w14:textId="5B41D58D" w:rsidR="006E38DC" w:rsidRPr="001B3A85" w:rsidRDefault="006E38DC" w:rsidP="006E38DC">
            <w:pPr>
              <w:pStyle w:val="BodyText10"/>
              <w:spacing w:before="120" w:after="120"/>
              <w:jc w:val="center"/>
              <w:rPr>
                <w:sz w:val="20"/>
              </w:rPr>
            </w:pPr>
            <w:r>
              <w:rPr>
                <w:sz w:val="20"/>
              </w:rPr>
              <w:t>End 2070</w:t>
            </w:r>
          </w:p>
        </w:tc>
        <w:tc>
          <w:tcPr>
            <w:tcW w:w="1732" w:type="dxa"/>
            <w:gridSpan w:val="2"/>
          </w:tcPr>
          <w:p w14:paraId="0160933C" w14:textId="77777777" w:rsidR="006E38DC" w:rsidRDefault="006E38DC" w:rsidP="006E38DC">
            <w:pPr>
              <w:pStyle w:val="BodyText10"/>
              <w:spacing w:before="120" w:after="120"/>
              <w:jc w:val="center"/>
              <w:rPr>
                <w:sz w:val="20"/>
              </w:rPr>
            </w:pPr>
            <w:r w:rsidRPr="001B3A85">
              <w:rPr>
                <w:sz w:val="20"/>
              </w:rPr>
              <w:t>20-Year Aircraft Lifetime</w:t>
            </w:r>
          </w:p>
          <w:p w14:paraId="6596B1C2" w14:textId="77583DC8" w:rsidR="006E38DC" w:rsidRPr="001B3A85" w:rsidRDefault="006E38DC" w:rsidP="006E38DC">
            <w:pPr>
              <w:pStyle w:val="BodyText10"/>
              <w:spacing w:before="120" w:after="120"/>
              <w:jc w:val="center"/>
              <w:rPr>
                <w:sz w:val="20"/>
              </w:rPr>
            </w:pPr>
            <w:r>
              <w:rPr>
                <w:sz w:val="20"/>
              </w:rPr>
              <w:t>End 2065</w:t>
            </w:r>
          </w:p>
        </w:tc>
        <w:tc>
          <w:tcPr>
            <w:tcW w:w="1733" w:type="dxa"/>
            <w:gridSpan w:val="2"/>
          </w:tcPr>
          <w:p w14:paraId="0FCC2209" w14:textId="77777777" w:rsidR="006E38DC" w:rsidRDefault="006E38DC" w:rsidP="006E38DC">
            <w:pPr>
              <w:pStyle w:val="BodyText10"/>
              <w:spacing w:before="120" w:after="120"/>
              <w:jc w:val="center"/>
              <w:rPr>
                <w:sz w:val="20"/>
              </w:rPr>
            </w:pPr>
            <w:r w:rsidRPr="001B3A85">
              <w:rPr>
                <w:sz w:val="20"/>
              </w:rPr>
              <w:t>30-Year Aircraft Lifetime</w:t>
            </w:r>
          </w:p>
          <w:p w14:paraId="4A08542B" w14:textId="57E39CBE" w:rsidR="006E38DC" w:rsidRPr="001B3A85" w:rsidRDefault="006E38DC" w:rsidP="006E38DC">
            <w:pPr>
              <w:pStyle w:val="BodyText10"/>
              <w:spacing w:before="120" w:after="120"/>
              <w:jc w:val="center"/>
              <w:rPr>
                <w:sz w:val="20"/>
              </w:rPr>
            </w:pPr>
            <w:r>
              <w:rPr>
                <w:sz w:val="20"/>
              </w:rPr>
              <w:t>End 2075</w:t>
            </w:r>
          </w:p>
        </w:tc>
        <w:tc>
          <w:tcPr>
            <w:tcW w:w="1733" w:type="dxa"/>
            <w:gridSpan w:val="2"/>
          </w:tcPr>
          <w:p w14:paraId="5C44E37B" w14:textId="77777777" w:rsidR="006E38DC" w:rsidRDefault="006E38DC" w:rsidP="006E38DC">
            <w:pPr>
              <w:pStyle w:val="BodyText10"/>
              <w:spacing w:before="120" w:after="120"/>
              <w:jc w:val="center"/>
              <w:rPr>
                <w:sz w:val="20"/>
              </w:rPr>
            </w:pPr>
            <w:r w:rsidRPr="001B3A85">
              <w:rPr>
                <w:sz w:val="20"/>
              </w:rPr>
              <w:t>20-Year Aircraft Lifetime</w:t>
            </w:r>
          </w:p>
          <w:p w14:paraId="19D1667C" w14:textId="30FDE6AB" w:rsidR="006E38DC" w:rsidRPr="001B3A85" w:rsidRDefault="006E38DC" w:rsidP="006E38DC">
            <w:pPr>
              <w:pStyle w:val="BodyText10"/>
              <w:spacing w:before="120" w:after="120"/>
              <w:jc w:val="center"/>
              <w:rPr>
                <w:sz w:val="20"/>
              </w:rPr>
            </w:pPr>
            <w:r>
              <w:rPr>
                <w:sz w:val="20"/>
              </w:rPr>
              <w:t>End 2070</w:t>
            </w:r>
          </w:p>
        </w:tc>
        <w:tc>
          <w:tcPr>
            <w:tcW w:w="1733" w:type="dxa"/>
            <w:gridSpan w:val="2"/>
          </w:tcPr>
          <w:p w14:paraId="47BB283E" w14:textId="77777777" w:rsidR="006E38DC" w:rsidRDefault="006E38DC" w:rsidP="006E38DC">
            <w:pPr>
              <w:pStyle w:val="BodyText10"/>
              <w:spacing w:before="120" w:after="120"/>
              <w:jc w:val="center"/>
              <w:rPr>
                <w:sz w:val="20"/>
              </w:rPr>
            </w:pPr>
            <w:r w:rsidRPr="001B3A85">
              <w:rPr>
                <w:sz w:val="20"/>
              </w:rPr>
              <w:t>30-Year Aircraft Lifetime</w:t>
            </w:r>
          </w:p>
          <w:p w14:paraId="036F6039" w14:textId="2B24E870" w:rsidR="006E38DC" w:rsidRPr="001B3A85" w:rsidRDefault="006E38DC" w:rsidP="006E38DC">
            <w:pPr>
              <w:pStyle w:val="BodyText10"/>
              <w:spacing w:before="120" w:after="120"/>
              <w:jc w:val="center"/>
              <w:rPr>
                <w:sz w:val="20"/>
              </w:rPr>
            </w:pPr>
            <w:r>
              <w:rPr>
                <w:sz w:val="20"/>
              </w:rPr>
              <w:t>End 2080</w:t>
            </w:r>
          </w:p>
        </w:tc>
      </w:tr>
      <w:tr w:rsidR="006E38DC" w14:paraId="6133980E" w14:textId="4A459A49" w:rsidTr="006E38DC">
        <w:tc>
          <w:tcPr>
            <w:tcW w:w="866" w:type="dxa"/>
          </w:tcPr>
          <w:p w14:paraId="30A3305E" w14:textId="61BF0750" w:rsidR="006E38DC" w:rsidRPr="001B3A85" w:rsidRDefault="006E38DC" w:rsidP="006E38DC">
            <w:pPr>
              <w:pStyle w:val="BodyText10"/>
              <w:spacing w:before="120" w:after="120"/>
              <w:jc w:val="center"/>
              <w:rPr>
                <w:sz w:val="20"/>
              </w:rPr>
            </w:pPr>
            <w:r w:rsidRPr="001B3A85">
              <w:rPr>
                <w:sz w:val="20"/>
              </w:rPr>
              <w:t>4%</w:t>
            </w:r>
          </w:p>
        </w:tc>
        <w:tc>
          <w:tcPr>
            <w:tcW w:w="866" w:type="dxa"/>
          </w:tcPr>
          <w:p w14:paraId="7F83618F" w14:textId="0405DDD9" w:rsidR="006E38DC" w:rsidRPr="001B3A85" w:rsidRDefault="006E38DC" w:rsidP="006E38DC">
            <w:pPr>
              <w:pStyle w:val="BodyText10"/>
              <w:spacing w:before="120" w:after="120"/>
              <w:jc w:val="center"/>
              <w:rPr>
                <w:sz w:val="20"/>
              </w:rPr>
            </w:pPr>
            <w:r w:rsidRPr="001B3A85">
              <w:rPr>
                <w:sz w:val="20"/>
              </w:rPr>
              <w:t>6%</w:t>
            </w:r>
          </w:p>
        </w:tc>
        <w:tc>
          <w:tcPr>
            <w:tcW w:w="867" w:type="dxa"/>
          </w:tcPr>
          <w:p w14:paraId="6E429BDD" w14:textId="0DE4C48B" w:rsidR="006E38DC" w:rsidRPr="001B3A85" w:rsidRDefault="006E38DC" w:rsidP="006E38DC">
            <w:pPr>
              <w:pStyle w:val="BodyText10"/>
              <w:spacing w:before="120" w:after="120"/>
              <w:jc w:val="center"/>
              <w:rPr>
                <w:sz w:val="20"/>
              </w:rPr>
            </w:pPr>
            <w:r w:rsidRPr="001B3A85">
              <w:rPr>
                <w:sz w:val="20"/>
              </w:rPr>
              <w:t>4%</w:t>
            </w:r>
          </w:p>
        </w:tc>
        <w:tc>
          <w:tcPr>
            <w:tcW w:w="866" w:type="dxa"/>
          </w:tcPr>
          <w:p w14:paraId="0C62634D" w14:textId="7909D925" w:rsidR="006E38DC" w:rsidRPr="001B3A85" w:rsidRDefault="006E38DC" w:rsidP="006E38DC">
            <w:pPr>
              <w:pStyle w:val="BodyText10"/>
              <w:spacing w:before="120" w:after="120"/>
              <w:jc w:val="center"/>
              <w:rPr>
                <w:sz w:val="20"/>
              </w:rPr>
            </w:pPr>
            <w:r w:rsidRPr="001B3A85">
              <w:rPr>
                <w:sz w:val="20"/>
              </w:rPr>
              <w:t>6%</w:t>
            </w:r>
          </w:p>
        </w:tc>
        <w:tc>
          <w:tcPr>
            <w:tcW w:w="866" w:type="dxa"/>
          </w:tcPr>
          <w:p w14:paraId="358837BF" w14:textId="5A9F8FF1" w:rsidR="006E38DC" w:rsidRPr="001B3A85" w:rsidRDefault="006E38DC" w:rsidP="006E38DC">
            <w:pPr>
              <w:pStyle w:val="BodyText10"/>
              <w:spacing w:before="120" w:after="120"/>
              <w:jc w:val="center"/>
              <w:rPr>
                <w:sz w:val="20"/>
              </w:rPr>
            </w:pPr>
            <w:r w:rsidRPr="001B3A85">
              <w:rPr>
                <w:sz w:val="20"/>
              </w:rPr>
              <w:t>4%</w:t>
            </w:r>
          </w:p>
        </w:tc>
        <w:tc>
          <w:tcPr>
            <w:tcW w:w="867" w:type="dxa"/>
          </w:tcPr>
          <w:p w14:paraId="45CF6BC2" w14:textId="3661EB71" w:rsidR="006E38DC" w:rsidRPr="001B3A85" w:rsidRDefault="006E38DC" w:rsidP="006E38DC">
            <w:pPr>
              <w:pStyle w:val="BodyText10"/>
              <w:spacing w:before="120" w:after="120"/>
              <w:jc w:val="center"/>
              <w:rPr>
                <w:sz w:val="20"/>
              </w:rPr>
            </w:pPr>
            <w:r w:rsidRPr="001B3A85">
              <w:rPr>
                <w:sz w:val="20"/>
              </w:rPr>
              <w:t>6%</w:t>
            </w:r>
          </w:p>
        </w:tc>
        <w:tc>
          <w:tcPr>
            <w:tcW w:w="866" w:type="dxa"/>
          </w:tcPr>
          <w:p w14:paraId="4165D55B" w14:textId="3A6778E0" w:rsidR="006E38DC" w:rsidRPr="001B3A85" w:rsidRDefault="006E38DC" w:rsidP="006E38DC">
            <w:pPr>
              <w:pStyle w:val="BodyText10"/>
              <w:spacing w:before="120" w:after="120"/>
              <w:jc w:val="center"/>
              <w:rPr>
                <w:sz w:val="20"/>
              </w:rPr>
            </w:pPr>
            <w:r w:rsidRPr="001B3A85">
              <w:rPr>
                <w:sz w:val="20"/>
              </w:rPr>
              <w:t>4%</w:t>
            </w:r>
          </w:p>
        </w:tc>
        <w:tc>
          <w:tcPr>
            <w:tcW w:w="867" w:type="dxa"/>
          </w:tcPr>
          <w:p w14:paraId="7AB6E2C4" w14:textId="2E950204" w:rsidR="006E38DC" w:rsidRPr="001B3A85" w:rsidRDefault="006E38DC" w:rsidP="006E38DC">
            <w:pPr>
              <w:pStyle w:val="BodyText10"/>
              <w:spacing w:before="120" w:after="120"/>
              <w:jc w:val="center"/>
              <w:rPr>
                <w:sz w:val="20"/>
              </w:rPr>
            </w:pPr>
            <w:r w:rsidRPr="001B3A85">
              <w:rPr>
                <w:sz w:val="20"/>
              </w:rPr>
              <w:t>6%</w:t>
            </w:r>
          </w:p>
        </w:tc>
        <w:tc>
          <w:tcPr>
            <w:tcW w:w="866" w:type="dxa"/>
          </w:tcPr>
          <w:p w14:paraId="552669D2" w14:textId="2C067434" w:rsidR="006E38DC" w:rsidRPr="001B3A85" w:rsidRDefault="006E38DC" w:rsidP="006E38DC">
            <w:pPr>
              <w:pStyle w:val="BodyText10"/>
              <w:spacing w:before="120" w:after="120"/>
              <w:jc w:val="center"/>
              <w:rPr>
                <w:sz w:val="20"/>
              </w:rPr>
            </w:pPr>
            <w:r w:rsidRPr="001B3A85">
              <w:rPr>
                <w:sz w:val="20"/>
              </w:rPr>
              <w:t>4%</w:t>
            </w:r>
          </w:p>
        </w:tc>
        <w:tc>
          <w:tcPr>
            <w:tcW w:w="866" w:type="dxa"/>
          </w:tcPr>
          <w:p w14:paraId="3DB6776E" w14:textId="0EA4C62F" w:rsidR="006E38DC" w:rsidRPr="001B3A85" w:rsidRDefault="006E38DC" w:rsidP="006E38DC">
            <w:pPr>
              <w:pStyle w:val="BodyText10"/>
              <w:spacing w:before="120" w:after="120"/>
              <w:jc w:val="center"/>
              <w:rPr>
                <w:sz w:val="20"/>
              </w:rPr>
            </w:pPr>
            <w:r w:rsidRPr="001B3A85">
              <w:rPr>
                <w:sz w:val="20"/>
              </w:rPr>
              <w:t>6%</w:t>
            </w:r>
          </w:p>
        </w:tc>
        <w:tc>
          <w:tcPr>
            <w:tcW w:w="867" w:type="dxa"/>
          </w:tcPr>
          <w:p w14:paraId="1C107E25" w14:textId="7069C5FF" w:rsidR="006E38DC" w:rsidRPr="001B3A85" w:rsidRDefault="006E38DC" w:rsidP="006E38DC">
            <w:pPr>
              <w:pStyle w:val="BodyText10"/>
              <w:spacing w:before="120" w:after="120"/>
              <w:jc w:val="center"/>
              <w:rPr>
                <w:sz w:val="20"/>
              </w:rPr>
            </w:pPr>
            <w:r w:rsidRPr="001B3A85">
              <w:rPr>
                <w:sz w:val="20"/>
              </w:rPr>
              <w:t>4%</w:t>
            </w:r>
          </w:p>
        </w:tc>
        <w:tc>
          <w:tcPr>
            <w:tcW w:w="866" w:type="dxa"/>
          </w:tcPr>
          <w:p w14:paraId="3FC41A59" w14:textId="24DDC7FE" w:rsidR="006E38DC" w:rsidRPr="001B3A85" w:rsidRDefault="006E38DC" w:rsidP="006E38DC">
            <w:pPr>
              <w:pStyle w:val="BodyText10"/>
              <w:spacing w:before="120" w:after="120"/>
              <w:jc w:val="center"/>
              <w:rPr>
                <w:sz w:val="20"/>
              </w:rPr>
            </w:pPr>
            <w:r w:rsidRPr="001B3A85">
              <w:rPr>
                <w:sz w:val="20"/>
              </w:rPr>
              <w:t>6%</w:t>
            </w:r>
          </w:p>
        </w:tc>
        <w:tc>
          <w:tcPr>
            <w:tcW w:w="866" w:type="dxa"/>
          </w:tcPr>
          <w:p w14:paraId="5131564A" w14:textId="51984C85" w:rsidR="006E38DC" w:rsidRPr="001B3A85" w:rsidRDefault="006E38DC" w:rsidP="006E38DC">
            <w:pPr>
              <w:pStyle w:val="BodyText10"/>
              <w:spacing w:before="120" w:after="120"/>
              <w:jc w:val="center"/>
              <w:rPr>
                <w:sz w:val="20"/>
              </w:rPr>
            </w:pPr>
            <w:r w:rsidRPr="001B3A85">
              <w:rPr>
                <w:sz w:val="20"/>
              </w:rPr>
              <w:t>4%</w:t>
            </w:r>
          </w:p>
        </w:tc>
        <w:tc>
          <w:tcPr>
            <w:tcW w:w="867" w:type="dxa"/>
          </w:tcPr>
          <w:p w14:paraId="4B0448D8" w14:textId="5ABC7CA8" w:rsidR="006E38DC" w:rsidRPr="001B3A85" w:rsidRDefault="006E38DC" w:rsidP="006E38DC">
            <w:pPr>
              <w:pStyle w:val="BodyText10"/>
              <w:spacing w:before="120" w:after="120"/>
              <w:jc w:val="center"/>
              <w:rPr>
                <w:sz w:val="20"/>
              </w:rPr>
            </w:pPr>
            <w:r w:rsidRPr="001B3A85">
              <w:rPr>
                <w:sz w:val="20"/>
              </w:rPr>
              <w:t>6%</w:t>
            </w:r>
          </w:p>
        </w:tc>
        <w:tc>
          <w:tcPr>
            <w:tcW w:w="866" w:type="dxa"/>
          </w:tcPr>
          <w:p w14:paraId="0531E636" w14:textId="0C0719EB" w:rsidR="006E38DC" w:rsidRPr="001B3A85" w:rsidRDefault="006E38DC" w:rsidP="006E38DC">
            <w:pPr>
              <w:pStyle w:val="BodyText10"/>
              <w:spacing w:before="120" w:after="120"/>
              <w:jc w:val="center"/>
              <w:rPr>
                <w:sz w:val="20"/>
              </w:rPr>
            </w:pPr>
            <w:r w:rsidRPr="001B3A85">
              <w:rPr>
                <w:sz w:val="20"/>
              </w:rPr>
              <w:t>4%</w:t>
            </w:r>
          </w:p>
        </w:tc>
        <w:tc>
          <w:tcPr>
            <w:tcW w:w="867" w:type="dxa"/>
          </w:tcPr>
          <w:p w14:paraId="6B3CB7EF" w14:textId="0779FA88" w:rsidR="006E38DC" w:rsidRPr="001B3A85" w:rsidRDefault="006E38DC" w:rsidP="006E38DC">
            <w:pPr>
              <w:pStyle w:val="BodyText10"/>
              <w:spacing w:before="120" w:after="120"/>
              <w:jc w:val="center"/>
              <w:rPr>
                <w:sz w:val="20"/>
              </w:rPr>
            </w:pPr>
            <w:r w:rsidRPr="001B3A85">
              <w:rPr>
                <w:sz w:val="20"/>
              </w:rPr>
              <w:t>6%</w:t>
            </w:r>
          </w:p>
        </w:tc>
      </w:tr>
      <w:tr w:rsidR="006E38DC" w14:paraId="0366EEF6" w14:textId="2EC52D4E" w:rsidTr="006E38DC">
        <w:tc>
          <w:tcPr>
            <w:tcW w:w="866" w:type="dxa"/>
          </w:tcPr>
          <w:p w14:paraId="4BF1471B" w14:textId="1DCB66CA" w:rsidR="006E38DC" w:rsidRPr="001B3A85" w:rsidRDefault="006E38DC" w:rsidP="006E38DC">
            <w:pPr>
              <w:pStyle w:val="BodyText10"/>
              <w:spacing w:before="120" w:after="120"/>
              <w:jc w:val="center"/>
              <w:rPr>
                <w:sz w:val="20"/>
              </w:rPr>
            </w:pPr>
            <w:r>
              <w:rPr>
                <w:sz w:val="20"/>
              </w:rPr>
              <w:t>35.03</w:t>
            </w:r>
          </w:p>
        </w:tc>
        <w:tc>
          <w:tcPr>
            <w:tcW w:w="866" w:type="dxa"/>
          </w:tcPr>
          <w:p w14:paraId="0241B5F9" w14:textId="450B1FE7" w:rsidR="006E38DC" w:rsidRPr="001B3A85" w:rsidRDefault="006E38DC" w:rsidP="006E38DC">
            <w:pPr>
              <w:pStyle w:val="BodyText10"/>
              <w:spacing w:before="120" w:after="120"/>
              <w:jc w:val="center"/>
              <w:rPr>
                <w:sz w:val="20"/>
              </w:rPr>
            </w:pPr>
            <w:r>
              <w:rPr>
                <w:sz w:val="20"/>
              </w:rPr>
              <w:t>40.14</w:t>
            </w:r>
          </w:p>
        </w:tc>
        <w:tc>
          <w:tcPr>
            <w:tcW w:w="867" w:type="dxa"/>
          </w:tcPr>
          <w:p w14:paraId="2DEEB8CC" w14:textId="03E5950F" w:rsidR="006E38DC" w:rsidRPr="001B3A85" w:rsidRDefault="006E38DC" w:rsidP="006E38DC">
            <w:pPr>
              <w:pStyle w:val="BodyText10"/>
              <w:spacing w:before="120" w:after="120"/>
              <w:jc w:val="center"/>
              <w:rPr>
                <w:sz w:val="20"/>
              </w:rPr>
            </w:pPr>
            <w:r>
              <w:rPr>
                <w:sz w:val="20"/>
              </w:rPr>
              <w:t>42.81</w:t>
            </w:r>
          </w:p>
        </w:tc>
        <w:tc>
          <w:tcPr>
            <w:tcW w:w="866" w:type="dxa"/>
          </w:tcPr>
          <w:p w14:paraId="3A342B73" w14:textId="22F44EE0" w:rsidR="006E38DC" w:rsidRPr="001B3A85" w:rsidRDefault="006E38DC" w:rsidP="006E38DC">
            <w:pPr>
              <w:pStyle w:val="BodyText10"/>
              <w:spacing w:before="120" w:after="120"/>
              <w:jc w:val="center"/>
              <w:rPr>
                <w:sz w:val="20"/>
              </w:rPr>
            </w:pPr>
            <w:r>
              <w:rPr>
                <w:sz w:val="20"/>
              </w:rPr>
              <w:t>49.38</w:t>
            </w:r>
          </w:p>
        </w:tc>
        <w:tc>
          <w:tcPr>
            <w:tcW w:w="866" w:type="dxa"/>
          </w:tcPr>
          <w:p w14:paraId="7E73B43D" w14:textId="5F5FB9E9" w:rsidR="006E38DC" w:rsidRPr="001B3A85" w:rsidRDefault="006E38DC" w:rsidP="006E38DC">
            <w:pPr>
              <w:pStyle w:val="BodyText10"/>
              <w:spacing w:before="120" w:after="120"/>
              <w:jc w:val="center"/>
              <w:rPr>
                <w:sz w:val="20"/>
              </w:rPr>
            </w:pPr>
            <w:r>
              <w:rPr>
                <w:sz w:val="20"/>
              </w:rPr>
              <w:t>45.24</w:t>
            </w:r>
          </w:p>
        </w:tc>
        <w:tc>
          <w:tcPr>
            <w:tcW w:w="867" w:type="dxa"/>
          </w:tcPr>
          <w:p w14:paraId="37D683B8" w14:textId="766C0236" w:rsidR="006E38DC" w:rsidRPr="001B3A85" w:rsidRDefault="006E38DC" w:rsidP="006E38DC">
            <w:pPr>
              <w:pStyle w:val="BodyText10"/>
              <w:spacing w:before="120" w:after="120"/>
              <w:jc w:val="center"/>
              <w:rPr>
                <w:sz w:val="20"/>
              </w:rPr>
            </w:pPr>
            <w:r>
              <w:rPr>
                <w:sz w:val="20"/>
              </w:rPr>
              <w:t>53.03</w:t>
            </w:r>
          </w:p>
        </w:tc>
        <w:tc>
          <w:tcPr>
            <w:tcW w:w="866" w:type="dxa"/>
          </w:tcPr>
          <w:p w14:paraId="3B87F18D" w14:textId="289DBC9E" w:rsidR="006E38DC" w:rsidRPr="001B3A85" w:rsidRDefault="006E38DC" w:rsidP="006E38DC">
            <w:pPr>
              <w:pStyle w:val="BodyText10"/>
              <w:spacing w:before="120" w:after="120"/>
              <w:jc w:val="center"/>
              <w:rPr>
                <w:sz w:val="20"/>
              </w:rPr>
            </w:pPr>
            <w:r>
              <w:rPr>
                <w:sz w:val="20"/>
              </w:rPr>
              <w:t>54.00</w:t>
            </w:r>
          </w:p>
        </w:tc>
        <w:tc>
          <w:tcPr>
            <w:tcW w:w="867" w:type="dxa"/>
          </w:tcPr>
          <w:p w14:paraId="694A818A" w14:textId="4659BB8F" w:rsidR="006E38DC" w:rsidRPr="001B3A85" w:rsidRDefault="006E38DC" w:rsidP="006E38DC">
            <w:pPr>
              <w:pStyle w:val="BodyText10"/>
              <w:spacing w:before="120" w:after="120"/>
              <w:jc w:val="center"/>
              <w:rPr>
                <w:sz w:val="20"/>
              </w:rPr>
            </w:pPr>
            <w:r>
              <w:rPr>
                <w:sz w:val="20"/>
              </w:rPr>
              <w:t>63.73</w:t>
            </w:r>
          </w:p>
        </w:tc>
        <w:tc>
          <w:tcPr>
            <w:tcW w:w="866" w:type="dxa"/>
          </w:tcPr>
          <w:p w14:paraId="6A588ABC" w14:textId="7B7D45B2" w:rsidR="006E38DC" w:rsidRPr="001B3A85" w:rsidRDefault="006E38DC" w:rsidP="006E38DC">
            <w:pPr>
              <w:pStyle w:val="BodyText10"/>
              <w:spacing w:before="120" w:after="120"/>
              <w:jc w:val="center"/>
              <w:rPr>
                <w:sz w:val="20"/>
              </w:rPr>
            </w:pPr>
            <w:r>
              <w:rPr>
                <w:sz w:val="20"/>
              </w:rPr>
              <w:t>56.43</w:t>
            </w:r>
          </w:p>
        </w:tc>
        <w:tc>
          <w:tcPr>
            <w:tcW w:w="866" w:type="dxa"/>
          </w:tcPr>
          <w:p w14:paraId="61CF34F2" w14:textId="0FE7BB52" w:rsidR="006E38DC" w:rsidRPr="001B3A85" w:rsidRDefault="006E38DC" w:rsidP="006E38DC">
            <w:pPr>
              <w:pStyle w:val="BodyText10"/>
              <w:spacing w:before="120" w:after="120"/>
              <w:jc w:val="center"/>
              <w:rPr>
                <w:sz w:val="20"/>
              </w:rPr>
            </w:pPr>
            <w:r>
              <w:rPr>
                <w:sz w:val="20"/>
              </w:rPr>
              <w:t>67.38</w:t>
            </w:r>
          </w:p>
        </w:tc>
        <w:tc>
          <w:tcPr>
            <w:tcW w:w="867" w:type="dxa"/>
          </w:tcPr>
          <w:p w14:paraId="652F2245" w14:textId="480A03CB" w:rsidR="006E38DC" w:rsidRPr="001B3A85" w:rsidRDefault="006E38DC" w:rsidP="006E38DC">
            <w:pPr>
              <w:pStyle w:val="BodyText10"/>
              <w:spacing w:before="120" w:after="120"/>
              <w:jc w:val="center"/>
              <w:rPr>
                <w:sz w:val="20"/>
              </w:rPr>
            </w:pPr>
            <w:r>
              <w:rPr>
                <w:sz w:val="20"/>
              </w:rPr>
              <w:t>66.16</w:t>
            </w:r>
          </w:p>
        </w:tc>
        <w:tc>
          <w:tcPr>
            <w:tcW w:w="866" w:type="dxa"/>
          </w:tcPr>
          <w:p w14:paraId="5C42A2A8" w14:textId="434055C4" w:rsidR="006E38DC" w:rsidRPr="001B3A85" w:rsidRDefault="006E38DC" w:rsidP="006E38DC">
            <w:pPr>
              <w:pStyle w:val="BodyText10"/>
              <w:spacing w:before="120" w:after="120"/>
              <w:jc w:val="center"/>
              <w:rPr>
                <w:sz w:val="20"/>
              </w:rPr>
            </w:pPr>
            <w:r>
              <w:rPr>
                <w:sz w:val="20"/>
              </w:rPr>
              <w:t>79.54</w:t>
            </w:r>
          </w:p>
        </w:tc>
        <w:tc>
          <w:tcPr>
            <w:tcW w:w="866" w:type="dxa"/>
          </w:tcPr>
          <w:p w14:paraId="7A02A48C" w14:textId="01852ED6" w:rsidR="006E38DC" w:rsidRDefault="00B04332" w:rsidP="006E38DC">
            <w:pPr>
              <w:pStyle w:val="BodyText10"/>
              <w:spacing w:before="120" w:after="120"/>
              <w:jc w:val="center"/>
              <w:rPr>
                <w:sz w:val="20"/>
              </w:rPr>
            </w:pPr>
            <w:r>
              <w:rPr>
                <w:sz w:val="20"/>
              </w:rPr>
              <w:t>68.60</w:t>
            </w:r>
          </w:p>
        </w:tc>
        <w:tc>
          <w:tcPr>
            <w:tcW w:w="867" w:type="dxa"/>
          </w:tcPr>
          <w:p w14:paraId="0344A86E" w14:textId="29931D63" w:rsidR="006E38DC" w:rsidRDefault="00B04332" w:rsidP="006E38DC">
            <w:pPr>
              <w:pStyle w:val="BodyText10"/>
              <w:spacing w:before="120" w:after="120"/>
              <w:jc w:val="center"/>
              <w:rPr>
                <w:sz w:val="20"/>
              </w:rPr>
            </w:pPr>
            <w:r>
              <w:rPr>
                <w:sz w:val="20"/>
              </w:rPr>
              <w:t>83.19</w:t>
            </w:r>
          </w:p>
        </w:tc>
        <w:tc>
          <w:tcPr>
            <w:tcW w:w="866" w:type="dxa"/>
          </w:tcPr>
          <w:p w14:paraId="7D14B694" w14:textId="0D8D7740" w:rsidR="006E38DC" w:rsidRDefault="00B04332" w:rsidP="006E38DC">
            <w:pPr>
              <w:pStyle w:val="BodyText10"/>
              <w:spacing w:before="120" w:after="120"/>
              <w:jc w:val="center"/>
              <w:rPr>
                <w:sz w:val="20"/>
              </w:rPr>
            </w:pPr>
            <w:r>
              <w:rPr>
                <w:sz w:val="20"/>
              </w:rPr>
              <w:t>79.30</w:t>
            </w:r>
          </w:p>
        </w:tc>
        <w:tc>
          <w:tcPr>
            <w:tcW w:w="867" w:type="dxa"/>
          </w:tcPr>
          <w:p w14:paraId="5D67E0ED" w14:textId="4125DBA5" w:rsidR="006E38DC" w:rsidRDefault="00B04332" w:rsidP="006E38DC">
            <w:pPr>
              <w:pStyle w:val="BodyText10"/>
              <w:spacing w:before="120" w:after="120"/>
              <w:jc w:val="center"/>
              <w:rPr>
                <w:sz w:val="20"/>
              </w:rPr>
            </w:pPr>
            <w:bookmarkStart w:id="60" w:name="OLE_LINK1"/>
            <w:r>
              <w:rPr>
                <w:sz w:val="20"/>
              </w:rPr>
              <w:t>96.81</w:t>
            </w:r>
            <w:bookmarkEnd w:id="60"/>
          </w:p>
        </w:tc>
      </w:tr>
    </w:tbl>
    <w:p w14:paraId="596D944B" w14:textId="77777777" w:rsidR="00D8056B" w:rsidRDefault="00D8056B" w:rsidP="00346089">
      <w:pPr>
        <w:pStyle w:val="BodyText10"/>
      </w:pPr>
    </w:p>
    <w:p w14:paraId="65DBB5C1" w14:textId="77777777" w:rsidR="004A7A82" w:rsidRDefault="004A7A82">
      <w:pPr>
        <w:rPr>
          <w:rFonts w:ascii="Book Antiqua" w:eastAsia="ヒラギノ角ゴ Pro W3" w:hAnsi="Book Antiqua"/>
          <w:b/>
          <w:bCs/>
          <w:i/>
          <w:iCs/>
          <w:color w:val="000000"/>
          <w:szCs w:val="20"/>
          <w:lang w:val="en-GB" w:eastAsia="en-US"/>
        </w:rPr>
      </w:pPr>
      <w:r>
        <w:rPr>
          <w:b/>
          <w:bCs/>
          <w:i/>
          <w:iCs/>
        </w:rPr>
        <w:br w:type="page"/>
      </w:r>
    </w:p>
    <w:p w14:paraId="262995A5" w14:textId="117A38CD" w:rsidR="00401816" w:rsidRDefault="009068AC" w:rsidP="00401816">
      <w:pPr>
        <w:pStyle w:val="BodyText10"/>
        <w:tabs>
          <w:tab w:val="left" w:pos="1418"/>
        </w:tabs>
        <w:rPr>
          <w:b/>
          <w:bCs/>
          <w:i/>
          <w:iCs/>
        </w:rPr>
      </w:pPr>
      <w:r w:rsidRPr="000D0DC0">
        <w:rPr>
          <w:b/>
          <w:bCs/>
          <w:i/>
          <w:iCs/>
        </w:rPr>
        <w:lastRenderedPageBreak/>
        <w:t xml:space="preserve">Figure </w:t>
      </w:r>
      <w:r w:rsidR="00401816" w:rsidRPr="000D0DC0">
        <w:rPr>
          <w:b/>
          <w:bCs/>
          <w:i/>
          <w:iCs/>
        </w:rPr>
        <w:t>4.</w:t>
      </w:r>
      <w:r w:rsidR="006D237A">
        <w:rPr>
          <w:b/>
          <w:bCs/>
          <w:i/>
          <w:iCs/>
        </w:rPr>
        <w:t>6</w:t>
      </w:r>
      <w:r w:rsidR="00401816" w:rsidRPr="000D0DC0">
        <w:rPr>
          <w:b/>
          <w:bCs/>
          <w:i/>
          <w:iCs/>
        </w:rPr>
        <w:tab/>
      </w:r>
      <w:r w:rsidR="00401816" w:rsidRPr="00401816">
        <w:rPr>
          <w:b/>
          <w:bCs/>
          <w:i/>
          <w:iCs/>
        </w:rPr>
        <w:t xml:space="preserve">Estimated </w:t>
      </w:r>
      <w:r w:rsidR="00401816" w:rsidRPr="006A0D72">
        <w:rPr>
          <w:b/>
          <w:i/>
        </w:rPr>
        <w:t>Future Halon 1</w:t>
      </w:r>
      <w:r w:rsidR="00401816" w:rsidRPr="004A7A82">
        <w:rPr>
          <w:b/>
          <w:bCs/>
          <w:i/>
          <w:iCs/>
        </w:rPr>
        <w:t>301 Requirements for Non-Defence Uses</w:t>
      </w:r>
      <w:r w:rsidR="00401816" w:rsidRPr="00401816">
        <w:rPr>
          <w:b/>
          <w:bCs/>
          <w:i/>
          <w:iCs/>
        </w:rPr>
        <w:t xml:space="preserve"> </w:t>
      </w:r>
      <w:r w:rsidR="00401816" w:rsidRPr="006A0D72">
        <w:rPr>
          <w:b/>
          <w:i/>
        </w:rPr>
        <w:t>Ba</w:t>
      </w:r>
      <w:r w:rsidR="00401816" w:rsidRPr="004A7A82">
        <w:rPr>
          <w:b/>
          <w:bCs/>
          <w:i/>
          <w:iCs/>
        </w:rPr>
        <w:t>sed on NHB Sales (Tonnes)</w:t>
      </w:r>
    </w:p>
    <w:p w14:paraId="749EF37A" w14:textId="70293ABA" w:rsidR="00F4488D" w:rsidRDefault="00F4488D" w:rsidP="0051412B">
      <w:pPr>
        <w:pStyle w:val="BodyText10"/>
        <w:tabs>
          <w:tab w:val="left" w:pos="1418"/>
        </w:tabs>
        <w:ind w:right="-729"/>
      </w:pPr>
      <w:r>
        <w:t xml:space="preserve">Average NHB sales of halon 1301 are </w:t>
      </w:r>
      <w:r w:rsidR="0076182A">
        <w:t>0.973 tonnes</w:t>
      </w:r>
      <w:r w:rsidR="005654A9">
        <w:t xml:space="preserve"> in 2020</w:t>
      </w:r>
      <w:r w:rsidR="0076182A">
        <w:t>.</w:t>
      </w:r>
    </w:p>
    <w:p w14:paraId="0A3993F5" w14:textId="0FBA2EB8" w:rsidR="00154586" w:rsidRPr="004A7A82" w:rsidRDefault="00D5153F" w:rsidP="000D0DC0">
      <w:pPr>
        <w:pStyle w:val="BodyText10"/>
        <w:tabs>
          <w:tab w:val="left" w:pos="1418"/>
        </w:tabs>
        <w:ind w:right="-729"/>
        <w:rPr>
          <w:b/>
          <w:bCs/>
          <w:i/>
          <w:iCs/>
        </w:rPr>
      </w:pPr>
      <w:r>
        <w:t xml:space="preserve">Halon 1301 consumption increases at 4% </w:t>
      </w:r>
      <w:r w:rsidR="00CE00EE">
        <w:t xml:space="preserve">(left) and 6% (right) </w:t>
      </w:r>
      <w:r>
        <w:t>annual growth rate</w:t>
      </w:r>
      <w:r w:rsidR="00CE00EE">
        <w:t>s</w:t>
      </w:r>
      <w:r>
        <w:t xml:space="preserve"> until new production aircraft adopt halon replacements</w:t>
      </w:r>
      <w:r w:rsidR="00326448">
        <w:t>.</w:t>
      </w:r>
    </w:p>
    <w:p w14:paraId="15D9FFEC" w14:textId="120B5A4E" w:rsidR="00C67873" w:rsidRDefault="004A7A82" w:rsidP="000D0DC0">
      <w:pPr>
        <w:pStyle w:val="BodyText10"/>
        <w:ind w:right="-1154"/>
      </w:pPr>
      <w:r>
        <w:rPr>
          <w:noProof/>
        </w:rPr>
        <w:drawing>
          <wp:inline distT="0" distB="0" distL="0" distR="0" wp14:anchorId="0BBC39CE" wp14:editId="2B97F374">
            <wp:extent cx="4572000" cy="2903220"/>
            <wp:effectExtent l="0" t="0" r="12700" b="17780"/>
            <wp:docPr id="6" name="Chart 6">
              <a:extLst xmlns:a="http://schemas.openxmlformats.org/drawingml/2006/main">
                <a:ext uri="{FF2B5EF4-FFF2-40B4-BE49-F238E27FC236}">
                  <a16:creationId xmlns:a16="http://schemas.microsoft.com/office/drawing/2014/main" id="{4E948F66-446F-2449-A1B1-0F77E7C04E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C36833">
        <w:t xml:space="preserve"> </w:t>
      </w:r>
      <w:r w:rsidR="00A33A69">
        <w:rPr>
          <w:noProof/>
        </w:rPr>
        <w:drawing>
          <wp:inline distT="0" distB="0" distL="0" distR="0" wp14:anchorId="3E507EC7" wp14:editId="7F636CA6">
            <wp:extent cx="4572000" cy="2903220"/>
            <wp:effectExtent l="0" t="0" r="12700" b="17780"/>
            <wp:docPr id="7" name="Chart 7">
              <a:extLst xmlns:a="http://schemas.openxmlformats.org/drawingml/2006/main">
                <a:ext uri="{FF2B5EF4-FFF2-40B4-BE49-F238E27FC236}">
                  <a16:creationId xmlns:a16="http://schemas.microsoft.com/office/drawing/2014/main" id="{5C71D23C-DF2B-DD45-9E03-F443CD8D7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C383DCA" w14:textId="77777777" w:rsidR="00BC5FA3" w:rsidRDefault="00BC5FA3">
      <w:pPr>
        <w:rPr>
          <w:rFonts w:ascii="Book Antiqua" w:eastAsia="ヒラギノ角ゴ Pro W3" w:hAnsi="Book Antiqua"/>
          <w:b/>
          <w:bCs/>
          <w:i/>
          <w:iCs/>
          <w:color w:val="000000"/>
          <w:szCs w:val="20"/>
          <w:lang w:val="en-GB" w:eastAsia="en-US"/>
        </w:rPr>
      </w:pPr>
      <w:r>
        <w:rPr>
          <w:b/>
          <w:bCs/>
          <w:i/>
          <w:iCs/>
        </w:rPr>
        <w:br w:type="page"/>
      </w:r>
    </w:p>
    <w:p w14:paraId="6BF8AAC3" w14:textId="41BE1574" w:rsidR="0016040A" w:rsidRPr="001B3A85" w:rsidRDefault="0016040A" w:rsidP="000D0DC0">
      <w:pPr>
        <w:pStyle w:val="BodyText10"/>
        <w:ind w:left="1134" w:hanging="1134"/>
        <w:rPr>
          <w:b/>
          <w:bCs/>
          <w:i/>
          <w:iCs/>
        </w:rPr>
      </w:pPr>
      <w:r w:rsidRPr="00741AB1">
        <w:rPr>
          <w:b/>
          <w:bCs/>
          <w:i/>
          <w:iCs/>
        </w:rPr>
        <w:lastRenderedPageBreak/>
        <w:t>Table 4.</w:t>
      </w:r>
      <w:r>
        <w:rPr>
          <w:b/>
          <w:bCs/>
          <w:i/>
          <w:iCs/>
        </w:rPr>
        <w:t>4</w:t>
      </w:r>
      <w:r w:rsidRPr="00741AB1">
        <w:rPr>
          <w:b/>
          <w:bCs/>
          <w:i/>
          <w:iCs/>
        </w:rPr>
        <w:tab/>
        <w:t>Estimated Future Halon 1</w:t>
      </w:r>
      <w:r>
        <w:rPr>
          <w:b/>
          <w:bCs/>
          <w:i/>
          <w:iCs/>
        </w:rPr>
        <w:t>301</w:t>
      </w:r>
      <w:r w:rsidRPr="00741AB1">
        <w:rPr>
          <w:b/>
          <w:bCs/>
          <w:i/>
          <w:iCs/>
        </w:rPr>
        <w:t xml:space="preserve"> Requirements for </w:t>
      </w:r>
      <w:r>
        <w:rPr>
          <w:b/>
          <w:bCs/>
          <w:i/>
          <w:iCs/>
        </w:rPr>
        <w:t>Non-Defence</w:t>
      </w:r>
      <w:r w:rsidRPr="00741AB1">
        <w:rPr>
          <w:b/>
          <w:bCs/>
          <w:i/>
          <w:iCs/>
        </w:rPr>
        <w:t xml:space="preserve"> Uses</w:t>
      </w:r>
      <w:r>
        <w:rPr>
          <w:b/>
          <w:bCs/>
          <w:i/>
          <w:iCs/>
        </w:rPr>
        <w:t xml:space="preserve"> Based on </w:t>
      </w:r>
      <w:r w:rsidR="00FF72F7">
        <w:rPr>
          <w:b/>
          <w:bCs/>
          <w:i/>
          <w:iCs/>
        </w:rPr>
        <w:t xml:space="preserve">Aviation Analysis </w:t>
      </w:r>
      <w:r>
        <w:rPr>
          <w:b/>
          <w:bCs/>
          <w:i/>
          <w:iCs/>
        </w:rPr>
        <w:t>(Tonnes)</w:t>
      </w:r>
    </w:p>
    <w:tbl>
      <w:tblPr>
        <w:tblStyle w:val="TableGrid"/>
        <w:tblW w:w="0" w:type="auto"/>
        <w:tblLook w:val="04A0" w:firstRow="1" w:lastRow="0" w:firstColumn="1" w:lastColumn="0" w:noHBand="0" w:noVBand="1"/>
      </w:tblPr>
      <w:tblGrid>
        <w:gridCol w:w="866"/>
        <w:gridCol w:w="866"/>
        <w:gridCol w:w="867"/>
        <w:gridCol w:w="866"/>
        <w:gridCol w:w="866"/>
        <w:gridCol w:w="867"/>
        <w:gridCol w:w="866"/>
        <w:gridCol w:w="867"/>
        <w:gridCol w:w="866"/>
        <w:gridCol w:w="866"/>
        <w:gridCol w:w="867"/>
        <w:gridCol w:w="866"/>
        <w:gridCol w:w="866"/>
        <w:gridCol w:w="867"/>
        <w:gridCol w:w="866"/>
        <w:gridCol w:w="867"/>
      </w:tblGrid>
      <w:tr w:rsidR="00F31B17" w14:paraId="243ADA94" w14:textId="77777777" w:rsidTr="000D0DC0">
        <w:tc>
          <w:tcPr>
            <w:tcW w:w="13862" w:type="dxa"/>
            <w:gridSpan w:val="16"/>
          </w:tcPr>
          <w:p w14:paraId="7C260004" w14:textId="77777777" w:rsidR="004B0993" w:rsidRPr="000D0DC0" w:rsidRDefault="004B0993" w:rsidP="004B0993">
            <w:pPr>
              <w:pStyle w:val="BodyText10"/>
              <w:spacing w:before="120" w:after="0"/>
              <w:jc w:val="center"/>
              <w:rPr>
                <w:sz w:val="20"/>
              </w:rPr>
            </w:pPr>
            <w:r w:rsidRPr="000D0DC0">
              <w:rPr>
                <w:sz w:val="20"/>
              </w:rPr>
              <w:t>Forecast of Halon 1211 Demand into Non-Defence Uses Only</w:t>
            </w:r>
          </w:p>
          <w:p w14:paraId="6CAF82D3" w14:textId="2994CC4B" w:rsidR="00F31B17" w:rsidRPr="00466614" w:rsidRDefault="00F31B17" w:rsidP="000D0DC0">
            <w:pPr>
              <w:pStyle w:val="BodyText10"/>
              <w:spacing w:after="120"/>
              <w:jc w:val="center"/>
              <w:rPr>
                <w:sz w:val="20"/>
              </w:rPr>
            </w:pPr>
            <w:r w:rsidRPr="006C4E96">
              <w:rPr>
                <w:sz w:val="20"/>
              </w:rPr>
              <w:t>Current NHB Halon 1</w:t>
            </w:r>
            <w:r>
              <w:rPr>
                <w:sz w:val="20"/>
              </w:rPr>
              <w:t>30</w:t>
            </w:r>
            <w:r w:rsidRPr="006C4E96">
              <w:rPr>
                <w:sz w:val="20"/>
              </w:rPr>
              <w:t>1 Stocks =</w:t>
            </w:r>
            <w:r>
              <w:rPr>
                <w:sz w:val="20"/>
              </w:rPr>
              <w:t xml:space="preserve"> 165.87</w:t>
            </w:r>
            <w:r w:rsidRPr="006C4E96">
              <w:rPr>
                <w:sz w:val="20"/>
              </w:rPr>
              <w:t xml:space="preserve"> tonnes</w:t>
            </w:r>
            <w:r w:rsidRPr="006C4E96">
              <w:rPr>
                <w:rStyle w:val="CommentReference"/>
                <w:rFonts w:eastAsia="Times New Roman"/>
                <w:color w:val="auto"/>
                <w:sz w:val="20"/>
                <w:lang w:val="en-AU" w:eastAsia="en-GB"/>
              </w:rPr>
              <w:t xml:space="preserve"> </w:t>
            </w:r>
          </w:p>
        </w:tc>
      </w:tr>
      <w:tr w:rsidR="00F31B17" w14:paraId="2F1C797D" w14:textId="77777777" w:rsidTr="000D0DC0">
        <w:tc>
          <w:tcPr>
            <w:tcW w:w="3465" w:type="dxa"/>
            <w:gridSpan w:val="4"/>
          </w:tcPr>
          <w:p w14:paraId="00E03869" w14:textId="77777777" w:rsidR="00F31B17" w:rsidRPr="001B3A85" w:rsidRDefault="00F31B17" w:rsidP="000D0DC0">
            <w:pPr>
              <w:pStyle w:val="BodyText10"/>
              <w:spacing w:before="120" w:after="120"/>
              <w:jc w:val="center"/>
              <w:rPr>
                <w:sz w:val="20"/>
              </w:rPr>
            </w:pPr>
            <w:r w:rsidRPr="001B3A85">
              <w:rPr>
                <w:sz w:val="20"/>
              </w:rPr>
              <w:t>2025 New Design Aircraft</w:t>
            </w:r>
          </w:p>
        </w:tc>
        <w:tc>
          <w:tcPr>
            <w:tcW w:w="3466" w:type="dxa"/>
            <w:gridSpan w:val="4"/>
          </w:tcPr>
          <w:p w14:paraId="34E0C30D" w14:textId="77777777" w:rsidR="00F31B17" w:rsidRPr="001B3A85" w:rsidRDefault="00F31B17" w:rsidP="000D0DC0">
            <w:pPr>
              <w:pStyle w:val="BodyText10"/>
              <w:spacing w:before="120" w:after="120"/>
              <w:jc w:val="center"/>
              <w:rPr>
                <w:sz w:val="20"/>
              </w:rPr>
            </w:pPr>
            <w:r>
              <w:rPr>
                <w:sz w:val="20"/>
              </w:rPr>
              <w:t>2030 New Design Aircraft</w:t>
            </w:r>
          </w:p>
        </w:tc>
        <w:tc>
          <w:tcPr>
            <w:tcW w:w="3465" w:type="dxa"/>
            <w:gridSpan w:val="4"/>
          </w:tcPr>
          <w:p w14:paraId="2DA79853" w14:textId="0F8B9FEB" w:rsidR="00F31B17" w:rsidRPr="001B3A85" w:rsidRDefault="00F31B17" w:rsidP="000D0DC0">
            <w:pPr>
              <w:pStyle w:val="BodyText10"/>
              <w:spacing w:before="120" w:after="120"/>
              <w:jc w:val="center"/>
              <w:rPr>
                <w:sz w:val="20"/>
              </w:rPr>
            </w:pPr>
            <w:r>
              <w:rPr>
                <w:sz w:val="20"/>
              </w:rPr>
              <w:t>2035 New Design Aircraft</w:t>
            </w:r>
          </w:p>
        </w:tc>
        <w:tc>
          <w:tcPr>
            <w:tcW w:w="3466" w:type="dxa"/>
            <w:gridSpan w:val="4"/>
          </w:tcPr>
          <w:p w14:paraId="118B7BE3" w14:textId="77777777" w:rsidR="00F31B17" w:rsidRDefault="00F31B17" w:rsidP="000D0DC0">
            <w:pPr>
              <w:pStyle w:val="BodyText10"/>
              <w:spacing w:before="120" w:after="120"/>
              <w:jc w:val="center"/>
              <w:rPr>
                <w:sz w:val="20"/>
              </w:rPr>
            </w:pPr>
            <w:r>
              <w:rPr>
                <w:sz w:val="20"/>
              </w:rPr>
              <w:t>2040 New Design Aircraft</w:t>
            </w:r>
          </w:p>
        </w:tc>
      </w:tr>
      <w:tr w:rsidR="00097A0E" w14:paraId="7D2ADC91" w14:textId="77777777" w:rsidTr="000D0DC0">
        <w:tc>
          <w:tcPr>
            <w:tcW w:w="1732" w:type="dxa"/>
            <w:gridSpan w:val="2"/>
          </w:tcPr>
          <w:p w14:paraId="726D6D36" w14:textId="77777777" w:rsidR="00F31B17" w:rsidRDefault="00F31B17" w:rsidP="000D0DC0">
            <w:pPr>
              <w:pStyle w:val="BodyText10"/>
              <w:spacing w:before="120" w:after="120"/>
              <w:jc w:val="center"/>
              <w:rPr>
                <w:sz w:val="20"/>
              </w:rPr>
            </w:pPr>
            <w:r w:rsidRPr="001B3A85">
              <w:rPr>
                <w:sz w:val="20"/>
              </w:rPr>
              <w:t>20-Year Aircraft Lifetime</w:t>
            </w:r>
          </w:p>
          <w:p w14:paraId="6B03AD09" w14:textId="77777777" w:rsidR="00F31B17" w:rsidRPr="001B3A85" w:rsidRDefault="00F31B17" w:rsidP="000D0DC0">
            <w:pPr>
              <w:pStyle w:val="BodyText10"/>
              <w:spacing w:before="120" w:after="120"/>
              <w:jc w:val="center"/>
              <w:rPr>
                <w:sz w:val="20"/>
              </w:rPr>
            </w:pPr>
            <w:r>
              <w:rPr>
                <w:sz w:val="20"/>
              </w:rPr>
              <w:t>End 2055</w:t>
            </w:r>
          </w:p>
        </w:tc>
        <w:tc>
          <w:tcPr>
            <w:tcW w:w="1733" w:type="dxa"/>
            <w:gridSpan w:val="2"/>
          </w:tcPr>
          <w:p w14:paraId="0712109C" w14:textId="77777777" w:rsidR="00F31B17" w:rsidRDefault="00F31B17" w:rsidP="000D0DC0">
            <w:pPr>
              <w:pStyle w:val="BodyText10"/>
              <w:spacing w:before="120" w:after="120"/>
              <w:jc w:val="center"/>
              <w:rPr>
                <w:sz w:val="20"/>
              </w:rPr>
            </w:pPr>
            <w:r w:rsidRPr="001B3A85">
              <w:rPr>
                <w:sz w:val="20"/>
              </w:rPr>
              <w:t>30-Year Aircraft Lifetime</w:t>
            </w:r>
          </w:p>
          <w:p w14:paraId="5B13D828" w14:textId="77777777" w:rsidR="00F31B17" w:rsidRPr="001B3A85" w:rsidRDefault="00F31B17" w:rsidP="000D0DC0">
            <w:pPr>
              <w:pStyle w:val="BodyText10"/>
              <w:spacing w:before="120" w:after="120"/>
              <w:jc w:val="center"/>
              <w:rPr>
                <w:sz w:val="20"/>
              </w:rPr>
            </w:pPr>
            <w:r>
              <w:rPr>
                <w:sz w:val="20"/>
              </w:rPr>
              <w:t>End 2065</w:t>
            </w:r>
          </w:p>
        </w:tc>
        <w:tc>
          <w:tcPr>
            <w:tcW w:w="1733" w:type="dxa"/>
            <w:gridSpan w:val="2"/>
          </w:tcPr>
          <w:p w14:paraId="23586C2C" w14:textId="77777777" w:rsidR="00F31B17" w:rsidRDefault="00F31B17" w:rsidP="000D0DC0">
            <w:pPr>
              <w:pStyle w:val="BodyText10"/>
              <w:spacing w:before="120" w:after="120"/>
              <w:jc w:val="center"/>
              <w:rPr>
                <w:sz w:val="20"/>
              </w:rPr>
            </w:pPr>
            <w:r w:rsidRPr="001B3A85">
              <w:rPr>
                <w:sz w:val="20"/>
              </w:rPr>
              <w:t>20-Year Aircraft Lifetime</w:t>
            </w:r>
          </w:p>
          <w:p w14:paraId="123A8E35" w14:textId="77777777" w:rsidR="00F31B17" w:rsidRPr="001B3A85" w:rsidRDefault="00F31B17" w:rsidP="000D0DC0">
            <w:pPr>
              <w:pStyle w:val="BodyText10"/>
              <w:spacing w:before="120" w:after="120"/>
              <w:jc w:val="center"/>
              <w:rPr>
                <w:sz w:val="20"/>
              </w:rPr>
            </w:pPr>
            <w:r>
              <w:rPr>
                <w:sz w:val="20"/>
              </w:rPr>
              <w:t>End 2060</w:t>
            </w:r>
          </w:p>
        </w:tc>
        <w:tc>
          <w:tcPr>
            <w:tcW w:w="1733" w:type="dxa"/>
            <w:gridSpan w:val="2"/>
          </w:tcPr>
          <w:p w14:paraId="6B6E3FE6" w14:textId="77777777" w:rsidR="00F31B17" w:rsidRDefault="00F31B17" w:rsidP="000D0DC0">
            <w:pPr>
              <w:pStyle w:val="BodyText10"/>
              <w:spacing w:before="120" w:after="120"/>
              <w:jc w:val="center"/>
              <w:rPr>
                <w:sz w:val="20"/>
              </w:rPr>
            </w:pPr>
            <w:r w:rsidRPr="001B3A85">
              <w:rPr>
                <w:sz w:val="20"/>
              </w:rPr>
              <w:t>30-Year Aircraft Lifetime</w:t>
            </w:r>
          </w:p>
          <w:p w14:paraId="7F9640AE" w14:textId="77777777" w:rsidR="00F31B17" w:rsidRPr="001B3A85" w:rsidRDefault="00F31B17" w:rsidP="000D0DC0">
            <w:pPr>
              <w:pStyle w:val="BodyText10"/>
              <w:spacing w:before="120" w:after="120"/>
              <w:jc w:val="center"/>
              <w:rPr>
                <w:sz w:val="20"/>
              </w:rPr>
            </w:pPr>
            <w:r>
              <w:rPr>
                <w:sz w:val="20"/>
              </w:rPr>
              <w:t>End 2070</w:t>
            </w:r>
          </w:p>
        </w:tc>
        <w:tc>
          <w:tcPr>
            <w:tcW w:w="1732" w:type="dxa"/>
            <w:gridSpan w:val="2"/>
          </w:tcPr>
          <w:p w14:paraId="423C433B" w14:textId="77777777" w:rsidR="00F31B17" w:rsidRDefault="00F31B17" w:rsidP="000D0DC0">
            <w:pPr>
              <w:pStyle w:val="BodyText10"/>
              <w:spacing w:before="120" w:after="120"/>
              <w:jc w:val="center"/>
              <w:rPr>
                <w:sz w:val="20"/>
              </w:rPr>
            </w:pPr>
            <w:r w:rsidRPr="001B3A85">
              <w:rPr>
                <w:sz w:val="20"/>
              </w:rPr>
              <w:t>20-Year Aircraft Lifetime</w:t>
            </w:r>
          </w:p>
          <w:p w14:paraId="1CEBF731" w14:textId="77777777" w:rsidR="00F31B17" w:rsidRPr="001B3A85" w:rsidRDefault="00F31B17" w:rsidP="000D0DC0">
            <w:pPr>
              <w:pStyle w:val="BodyText10"/>
              <w:spacing w:before="120" w:after="120"/>
              <w:jc w:val="center"/>
              <w:rPr>
                <w:sz w:val="20"/>
              </w:rPr>
            </w:pPr>
            <w:r>
              <w:rPr>
                <w:sz w:val="20"/>
              </w:rPr>
              <w:t>End 2065</w:t>
            </w:r>
          </w:p>
        </w:tc>
        <w:tc>
          <w:tcPr>
            <w:tcW w:w="1733" w:type="dxa"/>
            <w:gridSpan w:val="2"/>
          </w:tcPr>
          <w:p w14:paraId="2376D497" w14:textId="77777777" w:rsidR="00F31B17" w:rsidRDefault="00F31B17" w:rsidP="000D0DC0">
            <w:pPr>
              <w:pStyle w:val="BodyText10"/>
              <w:spacing w:before="120" w:after="120"/>
              <w:jc w:val="center"/>
              <w:rPr>
                <w:sz w:val="20"/>
              </w:rPr>
            </w:pPr>
            <w:r w:rsidRPr="001B3A85">
              <w:rPr>
                <w:sz w:val="20"/>
              </w:rPr>
              <w:t>30-Year Aircraft Lifetime</w:t>
            </w:r>
          </w:p>
          <w:p w14:paraId="20C66AC4" w14:textId="77777777" w:rsidR="00F31B17" w:rsidRPr="001B3A85" w:rsidRDefault="00F31B17" w:rsidP="000D0DC0">
            <w:pPr>
              <w:pStyle w:val="BodyText10"/>
              <w:spacing w:before="120" w:after="120"/>
              <w:jc w:val="center"/>
              <w:rPr>
                <w:sz w:val="20"/>
              </w:rPr>
            </w:pPr>
            <w:r>
              <w:rPr>
                <w:sz w:val="20"/>
              </w:rPr>
              <w:t>End 2075</w:t>
            </w:r>
          </w:p>
        </w:tc>
        <w:tc>
          <w:tcPr>
            <w:tcW w:w="1733" w:type="dxa"/>
            <w:gridSpan w:val="2"/>
          </w:tcPr>
          <w:p w14:paraId="76FAA6BC" w14:textId="77777777" w:rsidR="00F31B17" w:rsidRDefault="00F31B17" w:rsidP="000D0DC0">
            <w:pPr>
              <w:pStyle w:val="BodyText10"/>
              <w:spacing w:before="120" w:after="120"/>
              <w:jc w:val="center"/>
              <w:rPr>
                <w:sz w:val="20"/>
              </w:rPr>
            </w:pPr>
            <w:r w:rsidRPr="001B3A85">
              <w:rPr>
                <w:sz w:val="20"/>
              </w:rPr>
              <w:t>20-Year Aircraft Lifetime</w:t>
            </w:r>
          </w:p>
          <w:p w14:paraId="08DB69B8" w14:textId="77777777" w:rsidR="00F31B17" w:rsidRPr="001B3A85" w:rsidRDefault="00F31B17" w:rsidP="000D0DC0">
            <w:pPr>
              <w:pStyle w:val="BodyText10"/>
              <w:spacing w:before="120" w:after="120"/>
              <w:jc w:val="center"/>
              <w:rPr>
                <w:sz w:val="20"/>
              </w:rPr>
            </w:pPr>
            <w:r>
              <w:rPr>
                <w:sz w:val="20"/>
              </w:rPr>
              <w:t>End 2070</w:t>
            </w:r>
          </w:p>
        </w:tc>
        <w:tc>
          <w:tcPr>
            <w:tcW w:w="1733" w:type="dxa"/>
            <w:gridSpan w:val="2"/>
          </w:tcPr>
          <w:p w14:paraId="64736F37" w14:textId="77777777" w:rsidR="00F31B17" w:rsidRDefault="00F31B17" w:rsidP="000D0DC0">
            <w:pPr>
              <w:pStyle w:val="BodyText10"/>
              <w:spacing w:before="120" w:after="120"/>
              <w:jc w:val="center"/>
              <w:rPr>
                <w:sz w:val="20"/>
              </w:rPr>
            </w:pPr>
            <w:r w:rsidRPr="001B3A85">
              <w:rPr>
                <w:sz w:val="20"/>
              </w:rPr>
              <w:t>30-Year Aircraft Lifetime</w:t>
            </w:r>
          </w:p>
          <w:p w14:paraId="3B7E73BD" w14:textId="77777777" w:rsidR="00F31B17" w:rsidRPr="001B3A85" w:rsidRDefault="00F31B17" w:rsidP="000D0DC0">
            <w:pPr>
              <w:pStyle w:val="BodyText10"/>
              <w:spacing w:before="120" w:after="120"/>
              <w:jc w:val="center"/>
              <w:rPr>
                <w:sz w:val="20"/>
              </w:rPr>
            </w:pPr>
            <w:r>
              <w:rPr>
                <w:sz w:val="20"/>
              </w:rPr>
              <w:t>End 2080</w:t>
            </w:r>
          </w:p>
        </w:tc>
      </w:tr>
      <w:tr w:rsidR="00F31B17" w14:paraId="132A4E19" w14:textId="77777777" w:rsidTr="000D0DC0">
        <w:tc>
          <w:tcPr>
            <w:tcW w:w="866" w:type="dxa"/>
          </w:tcPr>
          <w:p w14:paraId="705CAEBE" w14:textId="77777777" w:rsidR="00F31B17" w:rsidRPr="001B3A85" w:rsidRDefault="00F31B17" w:rsidP="000D0DC0">
            <w:pPr>
              <w:pStyle w:val="BodyText10"/>
              <w:spacing w:before="120" w:after="120"/>
              <w:jc w:val="center"/>
              <w:rPr>
                <w:sz w:val="20"/>
              </w:rPr>
            </w:pPr>
            <w:r w:rsidRPr="001B3A85">
              <w:rPr>
                <w:sz w:val="20"/>
              </w:rPr>
              <w:t>4%</w:t>
            </w:r>
          </w:p>
        </w:tc>
        <w:tc>
          <w:tcPr>
            <w:tcW w:w="866" w:type="dxa"/>
          </w:tcPr>
          <w:p w14:paraId="2EA8A9D5" w14:textId="77777777" w:rsidR="00F31B17" w:rsidRPr="001B3A85" w:rsidRDefault="00F31B17" w:rsidP="000D0DC0">
            <w:pPr>
              <w:pStyle w:val="BodyText10"/>
              <w:spacing w:before="120" w:after="120"/>
              <w:jc w:val="center"/>
              <w:rPr>
                <w:sz w:val="20"/>
              </w:rPr>
            </w:pPr>
            <w:r w:rsidRPr="001B3A85">
              <w:rPr>
                <w:sz w:val="20"/>
              </w:rPr>
              <w:t>6%</w:t>
            </w:r>
          </w:p>
        </w:tc>
        <w:tc>
          <w:tcPr>
            <w:tcW w:w="867" w:type="dxa"/>
          </w:tcPr>
          <w:p w14:paraId="17881F22" w14:textId="77777777" w:rsidR="00F31B17" w:rsidRPr="001B3A85" w:rsidRDefault="00F31B17" w:rsidP="000D0DC0">
            <w:pPr>
              <w:pStyle w:val="BodyText10"/>
              <w:spacing w:before="120" w:after="120"/>
              <w:jc w:val="center"/>
              <w:rPr>
                <w:sz w:val="20"/>
              </w:rPr>
            </w:pPr>
            <w:r w:rsidRPr="001B3A85">
              <w:rPr>
                <w:sz w:val="20"/>
              </w:rPr>
              <w:t>4%</w:t>
            </w:r>
          </w:p>
        </w:tc>
        <w:tc>
          <w:tcPr>
            <w:tcW w:w="866" w:type="dxa"/>
          </w:tcPr>
          <w:p w14:paraId="5C1F0B28" w14:textId="77777777" w:rsidR="00F31B17" w:rsidRPr="001B3A85" w:rsidRDefault="00F31B17" w:rsidP="000D0DC0">
            <w:pPr>
              <w:pStyle w:val="BodyText10"/>
              <w:spacing w:before="120" w:after="120"/>
              <w:jc w:val="center"/>
              <w:rPr>
                <w:sz w:val="20"/>
              </w:rPr>
            </w:pPr>
            <w:r w:rsidRPr="001B3A85">
              <w:rPr>
                <w:sz w:val="20"/>
              </w:rPr>
              <w:t>6%</w:t>
            </w:r>
          </w:p>
        </w:tc>
        <w:tc>
          <w:tcPr>
            <w:tcW w:w="866" w:type="dxa"/>
          </w:tcPr>
          <w:p w14:paraId="2DFBD307" w14:textId="77777777" w:rsidR="00F31B17" w:rsidRPr="001B3A85" w:rsidRDefault="00F31B17" w:rsidP="000D0DC0">
            <w:pPr>
              <w:pStyle w:val="BodyText10"/>
              <w:spacing w:before="120" w:after="120"/>
              <w:jc w:val="center"/>
              <w:rPr>
                <w:sz w:val="20"/>
              </w:rPr>
            </w:pPr>
            <w:r w:rsidRPr="001B3A85">
              <w:rPr>
                <w:sz w:val="20"/>
              </w:rPr>
              <w:t>4%</w:t>
            </w:r>
          </w:p>
        </w:tc>
        <w:tc>
          <w:tcPr>
            <w:tcW w:w="867" w:type="dxa"/>
          </w:tcPr>
          <w:p w14:paraId="30DB70B0" w14:textId="77777777" w:rsidR="00F31B17" w:rsidRPr="001B3A85" w:rsidRDefault="00F31B17" w:rsidP="000D0DC0">
            <w:pPr>
              <w:pStyle w:val="BodyText10"/>
              <w:spacing w:before="120" w:after="120"/>
              <w:jc w:val="center"/>
              <w:rPr>
                <w:sz w:val="20"/>
              </w:rPr>
            </w:pPr>
            <w:r w:rsidRPr="001B3A85">
              <w:rPr>
                <w:sz w:val="20"/>
              </w:rPr>
              <w:t>6%</w:t>
            </w:r>
          </w:p>
        </w:tc>
        <w:tc>
          <w:tcPr>
            <w:tcW w:w="866" w:type="dxa"/>
          </w:tcPr>
          <w:p w14:paraId="6D7ECBCE" w14:textId="77777777" w:rsidR="00F31B17" w:rsidRPr="001B3A85" w:rsidRDefault="00F31B17" w:rsidP="000D0DC0">
            <w:pPr>
              <w:pStyle w:val="BodyText10"/>
              <w:spacing w:before="120" w:after="120"/>
              <w:jc w:val="center"/>
              <w:rPr>
                <w:sz w:val="20"/>
              </w:rPr>
            </w:pPr>
            <w:r w:rsidRPr="001B3A85">
              <w:rPr>
                <w:sz w:val="20"/>
              </w:rPr>
              <w:t>4%</w:t>
            </w:r>
          </w:p>
        </w:tc>
        <w:tc>
          <w:tcPr>
            <w:tcW w:w="867" w:type="dxa"/>
          </w:tcPr>
          <w:p w14:paraId="345D7CB2" w14:textId="77777777" w:rsidR="00F31B17" w:rsidRPr="001B3A85" w:rsidRDefault="00F31B17" w:rsidP="000D0DC0">
            <w:pPr>
              <w:pStyle w:val="BodyText10"/>
              <w:spacing w:before="120" w:after="120"/>
              <w:jc w:val="center"/>
              <w:rPr>
                <w:sz w:val="20"/>
              </w:rPr>
            </w:pPr>
            <w:r w:rsidRPr="001B3A85">
              <w:rPr>
                <w:sz w:val="20"/>
              </w:rPr>
              <w:t>6%</w:t>
            </w:r>
          </w:p>
        </w:tc>
        <w:tc>
          <w:tcPr>
            <w:tcW w:w="866" w:type="dxa"/>
          </w:tcPr>
          <w:p w14:paraId="01859102" w14:textId="77777777" w:rsidR="00F31B17" w:rsidRPr="001B3A85" w:rsidRDefault="00F31B17" w:rsidP="000D0DC0">
            <w:pPr>
              <w:pStyle w:val="BodyText10"/>
              <w:spacing w:before="120" w:after="120"/>
              <w:jc w:val="center"/>
              <w:rPr>
                <w:sz w:val="20"/>
              </w:rPr>
            </w:pPr>
            <w:r w:rsidRPr="001B3A85">
              <w:rPr>
                <w:sz w:val="20"/>
              </w:rPr>
              <w:t>4%</w:t>
            </w:r>
          </w:p>
        </w:tc>
        <w:tc>
          <w:tcPr>
            <w:tcW w:w="866" w:type="dxa"/>
          </w:tcPr>
          <w:p w14:paraId="7C18B31E" w14:textId="77777777" w:rsidR="00F31B17" w:rsidRPr="001B3A85" w:rsidRDefault="00F31B17" w:rsidP="000D0DC0">
            <w:pPr>
              <w:pStyle w:val="BodyText10"/>
              <w:spacing w:before="120" w:after="120"/>
              <w:jc w:val="center"/>
              <w:rPr>
                <w:sz w:val="20"/>
              </w:rPr>
            </w:pPr>
            <w:r w:rsidRPr="001B3A85">
              <w:rPr>
                <w:sz w:val="20"/>
              </w:rPr>
              <w:t>6%</w:t>
            </w:r>
          </w:p>
        </w:tc>
        <w:tc>
          <w:tcPr>
            <w:tcW w:w="867" w:type="dxa"/>
          </w:tcPr>
          <w:p w14:paraId="5A9C8B58" w14:textId="77777777" w:rsidR="00F31B17" w:rsidRPr="001B3A85" w:rsidRDefault="00F31B17" w:rsidP="000D0DC0">
            <w:pPr>
              <w:pStyle w:val="BodyText10"/>
              <w:spacing w:before="120" w:after="120"/>
              <w:jc w:val="center"/>
              <w:rPr>
                <w:sz w:val="20"/>
              </w:rPr>
            </w:pPr>
            <w:r w:rsidRPr="001B3A85">
              <w:rPr>
                <w:sz w:val="20"/>
              </w:rPr>
              <w:t>4%</w:t>
            </w:r>
          </w:p>
        </w:tc>
        <w:tc>
          <w:tcPr>
            <w:tcW w:w="866" w:type="dxa"/>
          </w:tcPr>
          <w:p w14:paraId="429AA7AE" w14:textId="77777777" w:rsidR="00F31B17" w:rsidRPr="001B3A85" w:rsidRDefault="00F31B17" w:rsidP="000D0DC0">
            <w:pPr>
              <w:pStyle w:val="BodyText10"/>
              <w:spacing w:before="120" w:after="120"/>
              <w:jc w:val="center"/>
              <w:rPr>
                <w:sz w:val="20"/>
              </w:rPr>
            </w:pPr>
            <w:r w:rsidRPr="001B3A85">
              <w:rPr>
                <w:sz w:val="20"/>
              </w:rPr>
              <w:t>6%</w:t>
            </w:r>
          </w:p>
        </w:tc>
        <w:tc>
          <w:tcPr>
            <w:tcW w:w="866" w:type="dxa"/>
          </w:tcPr>
          <w:p w14:paraId="421F8997" w14:textId="77777777" w:rsidR="00F31B17" w:rsidRPr="001B3A85" w:rsidRDefault="00F31B17" w:rsidP="000D0DC0">
            <w:pPr>
              <w:pStyle w:val="BodyText10"/>
              <w:spacing w:before="120" w:after="120"/>
              <w:jc w:val="center"/>
              <w:rPr>
                <w:sz w:val="20"/>
              </w:rPr>
            </w:pPr>
            <w:r w:rsidRPr="001B3A85">
              <w:rPr>
                <w:sz w:val="20"/>
              </w:rPr>
              <w:t>4%</w:t>
            </w:r>
          </w:p>
        </w:tc>
        <w:tc>
          <w:tcPr>
            <w:tcW w:w="867" w:type="dxa"/>
          </w:tcPr>
          <w:p w14:paraId="4EEE355B" w14:textId="77777777" w:rsidR="00F31B17" w:rsidRPr="001B3A85" w:rsidRDefault="00F31B17" w:rsidP="000D0DC0">
            <w:pPr>
              <w:pStyle w:val="BodyText10"/>
              <w:spacing w:before="120" w:after="120"/>
              <w:jc w:val="center"/>
              <w:rPr>
                <w:sz w:val="20"/>
              </w:rPr>
            </w:pPr>
            <w:r w:rsidRPr="001B3A85">
              <w:rPr>
                <w:sz w:val="20"/>
              </w:rPr>
              <w:t>6%</w:t>
            </w:r>
          </w:p>
        </w:tc>
        <w:tc>
          <w:tcPr>
            <w:tcW w:w="866" w:type="dxa"/>
          </w:tcPr>
          <w:p w14:paraId="2381B32F" w14:textId="77777777" w:rsidR="00F31B17" w:rsidRPr="001B3A85" w:rsidRDefault="00F31B17" w:rsidP="000D0DC0">
            <w:pPr>
              <w:pStyle w:val="BodyText10"/>
              <w:spacing w:before="120" w:after="120"/>
              <w:jc w:val="center"/>
              <w:rPr>
                <w:sz w:val="20"/>
              </w:rPr>
            </w:pPr>
            <w:r w:rsidRPr="001B3A85">
              <w:rPr>
                <w:sz w:val="20"/>
              </w:rPr>
              <w:t>4%</w:t>
            </w:r>
          </w:p>
        </w:tc>
        <w:tc>
          <w:tcPr>
            <w:tcW w:w="867" w:type="dxa"/>
          </w:tcPr>
          <w:p w14:paraId="41C3E4B8" w14:textId="77777777" w:rsidR="00F31B17" w:rsidRPr="001B3A85" w:rsidRDefault="00F31B17" w:rsidP="000D0DC0">
            <w:pPr>
              <w:pStyle w:val="BodyText10"/>
              <w:spacing w:before="120" w:after="120"/>
              <w:jc w:val="center"/>
              <w:rPr>
                <w:sz w:val="20"/>
              </w:rPr>
            </w:pPr>
            <w:r w:rsidRPr="001B3A85">
              <w:rPr>
                <w:sz w:val="20"/>
              </w:rPr>
              <w:t>6%</w:t>
            </w:r>
          </w:p>
        </w:tc>
      </w:tr>
      <w:tr w:rsidR="007E3D86" w14:paraId="051183F5" w14:textId="77777777" w:rsidTr="006B631E">
        <w:tc>
          <w:tcPr>
            <w:tcW w:w="13862" w:type="dxa"/>
            <w:gridSpan w:val="16"/>
          </w:tcPr>
          <w:p w14:paraId="338EB70F" w14:textId="2AF2C9BB" w:rsidR="007E3D86" w:rsidRDefault="007E3D86" w:rsidP="007E3D86">
            <w:pPr>
              <w:pStyle w:val="BodyText10"/>
              <w:spacing w:before="120" w:after="120"/>
              <w:jc w:val="center"/>
              <w:rPr>
                <w:sz w:val="20"/>
              </w:rPr>
            </w:pPr>
            <w:r w:rsidRPr="006C4E96">
              <w:rPr>
                <w:sz w:val="20"/>
              </w:rPr>
              <w:t xml:space="preserve">2020 start </w:t>
            </w:r>
            <w:r w:rsidR="00B935A3">
              <w:rPr>
                <w:sz w:val="20"/>
              </w:rPr>
              <w:t>year</w:t>
            </w:r>
            <w:r w:rsidRPr="006C4E96">
              <w:rPr>
                <w:sz w:val="20"/>
              </w:rPr>
              <w:t xml:space="preserve">: </w:t>
            </w:r>
            <w:bookmarkStart w:id="61" w:name="OLE_LINK2"/>
            <w:r w:rsidRPr="006C4E96">
              <w:rPr>
                <w:sz w:val="20"/>
              </w:rPr>
              <w:t xml:space="preserve">Aviation Analysis Consumption </w:t>
            </w:r>
            <w:r w:rsidR="009F20E1">
              <w:rPr>
                <w:sz w:val="20"/>
              </w:rPr>
              <w:t xml:space="preserve">Halon 1301 </w:t>
            </w:r>
            <w:r w:rsidRPr="006C4E96">
              <w:rPr>
                <w:sz w:val="20"/>
              </w:rPr>
              <w:t>= 0.</w:t>
            </w:r>
            <w:r>
              <w:rPr>
                <w:sz w:val="20"/>
              </w:rPr>
              <w:t>750</w:t>
            </w:r>
            <w:r w:rsidRPr="006C4E96">
              <w:rPr>
                <w:sz w:val="20"/>
              </w:rPr>
              <w:t xml:space="preserve"> tonnes</w:t>
            </w:r>
            <w:r>
              <w:rPr>
                <w:sz w:val="20"/>
              </w:rPr>
              <w:t xml:space="preserve"> (2.3% </w:t>
            </w:r>
            <w:r w:rsidR="00A9228A">
              <w:rPr>
                <w:sz w:val="20"/>
              </w:rPr>
              <w:t xml:space="preserve">annual </w:t>
            </w:r>
            <w:r>
              <w:rPr>
                <w:sz w:val="20"/>
              </w:rPr>
              <w:t>emission factor)</w:t>
            </w:r>
            <w:bookmarkEnd w:id="61"/>
          </w:p>
        </w:tc>
      </w:tr>
      <w:tr w:rsidR="00F31B17" w14:paraId="28397924" w14:textId="77777777" w:rsidTr="000D0DC0">
        <w:tc>
          <w:tcPr>
            <w:tcW w:w="866" w:type="dxa"/>
          </w:tcPr>
          <w:p w14:paraId="5902D418" w14:textId="242AF3C7" w:rsidR="00F31B17" w:rsidRPr="001B3A85" w:rsidRDefault="00C5138E" w:rsidP="000D0DC0">
            <w:pPr>
              <w:pStyle w:val="BodyText10"/>
              <w:spacing w:before="120" w:after="120"/>
              <w:jc w:val="center"/>
              <w:rPr>
                <w:sz w:val="20"/>
              </w:rPr>
            </w:pPr>
            <w:r>
              <w:rPr>
                <w:sz w:val="20"/>
              </w:rPr>
              <w:t>27.00</w:t>
            </w:r>
          </w:p>
        </w:tc>
        <w:tc>
          <w:tcPr>
            <w:tcW w:w="866" w:type="dxa"/>
          </w:tcPr>
          <w:p w14:paraId="5C8F93B4" w14:textId="4A0F22C3" w:rsidR="00F31B17" w:rsidRPr="001B3A85" w:rsidRDefault="00C5138E" w:rsidP="000D0DC0">
            <w:pPr>
              <w:pStyle w:val="BodyText10"/>
              <w:spacing w:before="120" w:after="120"/>
              <w:jc w:val="center"/>
              <w:rPr>
                <w:sz w:val="20"/>
              </w:rPr>
            </w:pPr>
            <w:r>
              <w:rPr>
                <w:sz w:val="20"/>
              </w:rPr>
              <w:t>30</w:t>
            </w:r>
            <w:r w:rsidR="00214B0E">
              <w:rPr>
                <w:sz w:val="20"/>
              </w:rPr>
              <w:t>.94</w:t>
            </w:r>
          </w:p>
        </w:tc>
        <w:tc>
          <w:tcPr>
            <w:tcW w:w="867" w:type="dxa"/>
          </w:tcPr>
          <w:p w14:paraId="0B224B51" w14:textId="0FAA28FA" w:rsidR="00F31B17" w:rsidRPr="001B3A85" w:rsidRDefault="00214B0E" w:rsidP="000D0DC0">
            <w:pPr>
              <w:pStyle w:val="BodyText10"/>
              <w:spacing w:before="120" w:after="120"/>
              <w:jc w:val="center"/>
              <w:rPr>
                <w:sz w:val="20"/>
              </w:rPr>
            </w:pPr>
            <w:r>
              <w:rPr>
                <w:sz w:val="20"/>
              </w:rPr>
              <w:t>33.00</w:t>
            </w:r>
          </w:p>
        </w:tc>
        <w:tc>
          <w:tcPr>
            <w:tcW w:w="866" w:type="dxa"/>
          </w:tcPr>
          <w:p w14:paraId="3DB01D9F" w14:textId="7D0CE06C" w:rsidR="00F31B17" w:rsidRPr="001B3A85" w:rsidRDefault="00214B0E" w:rsidP="000D0DC0">
            <w:pPr>
              <w:pStyle w:val="BodyText10"/>
              <w:spacing w:before="120" w:after="120"/>
              <w:jc w:val="center"/>
              <w:rPr>
                <w:sz w:val="20"/>
              </w:rPr>
            </w:pPr>
            <w:r>
              <w:rPr>
                <w:sz w:val="20"/>
              </w:rPr>
              <w:t>38.06</w:t>
            </w:r>
          </w:p>
        </w:tc>
        <w:tc>
          <w:tcPr>
            <w:tcW w:w="866" w:type="dxa"/>
          </w:tcPr>
          <w:p w14:paraId="286D2345" w14:textId="29F01D91" w:rsidR="00F31B17" w:rsidRPr="001B3A85" w:rsidRDefault="00743ED8" w:rsidP="000D0DC0">
            <w:pPr>
              <w:pStyle w:val="BodyText10"/>
              <w:spacing w:before="120" w:after="120"/>
              <w:jc w:val="center"/>
              <w:rPr>
                <w:sz w:val="20"/>
              </w:rPr>
            </w:pPr>
            <w:r>
              <w:rPr>
                <w:sz w:val="20"/>
              </w:rPr>
              <w:t>34.88</w:t>
            </w:r>
          </w:p>
        </w:tc>
        <w:tc>
          <w:tcPr>
            <w:tcW w:w="867" w:type="dxa"/>
          </w:tcPr>
          <w:p w14:paraId="7DEEE4FB" w14:textId="36E0D931" w:rsidR="00F31B17" w:rsidRPr="001B3A85" w:rsidRDefault="00743ED8" w:rsidP="000D0DC0">
            <w:pPr>
              <w:pStyle w:val="BodyText10"/>
              <w:spacing w:before="120" w:after="120"/>
              <w:jc w:val="center"/>
              <w:rPr>
                <w:sz w:val="20"/>
              </w:rPr>
            </w:pPr>
            <w:r>
              <w:rPr>
                <w:sz w:val="20"/>
              </w:rPr>
              <w:t>40.88</w:t>
            </w:r>
          </w:p>
        </w:tc>
        <w:tc>
          <w:tcPr>
            <w:tcW w:w="866" w:type="dxa"/>
          </w:tcPr>
          <w:p w14:paraId="50D365FF" w14:textId="1CA1B7C3" w:rsidR="00F31B17" w:rsidRPr="001B3A85" w:rsidRDefault="00743ED8" w:rsidP="000D0DC0">
            <w:pPr>
              <w:pStyle w:val="BodyText10"/>
              <w:spacing w:before="120" w:after="120"/>
              <w:jc w:val="center"/>
              <w:rPr>
                <w:sz w:val="20"/>
              </w:rPr>
            </w:pPr>
            <w:r>
              <w:rPr>
                <w:sz w:val="20"/>
              </w:rPr>
              <w:t>41.63</w:t>
            </w:r>
          </w:p>
        </w:tc>
        <w:tc>
          <w:tcPr>
            <w:tcW w:w="867" w:type="dxa"/>
          </w:tcPr>
          <w:p w14:paraId="58FCC85E" w14:textId="570A6B15" w:rsidR="00F31B17" w:rsidRPr="001B3A85" w:rsidRDefault="00743ED8" w:rsidP="000D0DC0">
            <w:pPr>
              <w:pStyle w:val="BodyText10"/>
              <w:spacing w:before="120" w:after="120"/>
              <w:jc w:val="center"/>
              <w:rPr>
                <w:sz w:val="20"/>
              </w:rPr>
            </w:pPr>
            <w:r>
              <w:rPr>
                <w:sz w:val="20"/>
              </w:rPr>
              <w:t>49.13</w:t>
            </w:r>
          </w:p>
        </w:tc>
        <w:tc>
          <w:tcPr>
            <w:tcW w:w="866" w:type="dxa"/>
          </w:tcPr>
          <w:p w14:paraId="749FAB17" w14:textId="6631B1D6" w:rsidR="00F31B17" w:rsidRPr="001B3A85" w:rsidRDefault="00FD4E92" w:rsidP="000D0DC0">
            <w:pPr>
              <w:pStyle w:val="BodyText10"/>
              <w:spacing w:before="120" w:after="120"/>
              <w:jc w:val="center"/>
              <w:rPr>
                <w:sz w:val="20"/>
              </w:rPr>
            </w:pPr>
            <w:r>
              <w:rPr>
                <w:sz w:val="20"/>
              </w:rPr>
              <w:t>43.50</w:t>
            </w:r>
          </w:p>
        </w:tc>
        <w:tc>
          <w:tcPr>
            <w:tcW w:w="866" w:type="dxa"/>
          </w:tcPr>
          <w:p w14:paraId="2C73959B" w14:textId="2E4C56ED" w:rsidR="00F31B17" w:rsidRPr="001B3A85" w:rsidRDefault="00FD4E92" w:rsidP="000D0DC0">
            <w:pPr>
              <w:pStyle w:val="BodyText10"/>
              <w:spacing w:before="120" w:after="120"/>
              <w:jc w:val="center"/>
              <w:rPr>
                <w:sz w:val="20"/>
              </w:rPr>
            </w:pPr>
            <w:r>
              <w:rPr>
                <w:sz w:val="20"/>
              </w:rPr>
              <w:t>51.94</w:t>
            </w:r>
          </w:p>
        </w:tc>
        <w:tc>
          <w:tcPr>
            <w:tcW w:w="867" w:type="dxa"/>
          </w:tcPr>
          <w:p w14:paraId="693F25B6" w14:textId="28AB26DD" w:rsidR="00F31B17" w:rsidRPr="001B3A85" w:rsidRDefault="00FD4E92" w:rsidP="000D0DC0">
            <w:pPr>
              <w:pStyle w:val="BodyText10"/>
              <w:spacing w:before="120" w:after="120"/>
              <w:jc w:val="center"/>
              <w:rPr>
                <w:sz w:val="20"/>
              </w:rPr>
            </w:pPr>
            <w:r>
              <w:rPr>
                <w:sz w:val="20"/>
              </w:rPr>
              <w:t>51.00</w:t>
            </w:r>
          </w:p>
        </w:tc>
        <w:tc>
          <w:tcPr>
            <w:tcW w:w="866" w:type="dxa"/>
          </w:tcPr>
          <w:p w14:paraId="36969F1E" w14:textId="347A01B1" w:rsidR="00F31B17" w:rsidRPr="001B3A85" w:rsidRDefault="00FD4E92" w:rsidP="000D0DC0">
            <w:pPr>
              <w:pStyle w:val="BodyText10"/>
              <w:spacing w:before="120" w:after="120"/>
              <w:jc w:val="center"/>
              <w:rPr>
                <w:sz w:val="20"/>
              </w:rPr>
            </w:pPr>
            <w:r>
              <w:rPr>
                <w:sz w:val="20"/>
              </w:rPr>
              <w:t>61.31</w:t>
            </w:r>
          </w:p>
        </w:tc>
        <w:tc>
          <w:tcPr>
            <w:tcW w:w="866" w:type="dxa"/>
          </w:tcPr>
          <w:p w14:paraId="4B63203C" w14:textId="62E08800" w:rsidR="00F31B17" w:rsidRDefault="00FD4E92" w:rsidP="000D0DC0">
            <w:pPr>
              <w:pStyle w:val="BodyText10"/>
              <w:spacing w:before="120" w:after="120"/>
              <w:jc w:val="center"/>
              <w:rPr>
                <w:sz w:val="20"/>
              </w:rPr>
            </w:pPr>
            <w:r>
              <w:rPr>
                <w:sz w:val="20"/>
              </w:rPr>
              <w:t>52.88</w:t>
            </w:r>
          </w:p>
        </w:tc>
        <w:tc>
          <w:tcPr>
            <w:tcW w:w="867" w:type="dxa"/>
          </w:tcPr>
          <w:p w14:paraId="34D86B93" w14:textId="2C1606B6" w:rsidR="00F31B17" w:rsidRDefault="00FD4E92" w:rsidP="000D0DC0">
            <w:pPr>
              <w:pStyle w:val="BodyText10"/>
              <w:spacing w:before="120" w:after="120"/>
              <w:jc w:val="center"/>
              <w:rPr>
                <w:sz w:val="20"/>
              </w:rPr>
            </w:pPr>
            <w:r>
              <w:rPr>
                <w:sz w:val="20"/>
              </w:rPr>
              <w:t>64.13</w:t>
            </w:r>
          </w:p>
        </w:tc>
        <w:tc>
          <w:tcPr>
            <w:tcW w:w="866" w:type="dxa"/>
          </w:tcPr>
          <w:p w14:paraId="6DA3AEB5" w14:textId="2FB3863A" w:rsidR="00F31B17" w:rsidRDefault="00FD4E92" w:rsidP="000D0DC0">
            <w:pPr>
              <w:pStyle w:val="BodyText10"/>
              <w:spacing w:before="120" w:after="120"/>
              <w:jc w:val="center"/>
              <w:rPr>
                <w:sz w:val="20"/>
              </w:rPr>
            </w:pPr>
            <w:r>
              <w:rPr>
                <w:sz w:val="20"/>
              </w:rPr>
              <w:t>61.13</w:t>
            </w:r>
          </w:p>
        </w:tc>
        <w:tc>
          <w:tcPr>
            <w:tcW w:w="867" w:type="dxa"/>
          </w:tcPr>
          <w:p w14:paraId="3B723A75" w14:textId="0E823968" w:rsidR="00F31B17" w:rsidRDefault="00FD4E92" w:rsidP="000D0DC0">
            <w:pPr>
              <w:pStyle w:val="BodyText10"/>
              <w:spacing w:before="120" w:after="120"/>
              <w:jc w:val="center"/>
              <w:rPr>
                <w:sz w:val="20"/>
              </w:rPr>
            </w:pPr>
            <w:r>
              <w:rPr>
                <w:sz w:val="20"/>
              </w:rPr>
              <w:t>74.63</w:t>
            </w:r>
          </w:p>
        </w:tc>
      </w:tr>
      <w:tr w:rsidR="008F6ECC" w14:paraId="2829468D" w14:textId="77777777" w:rsidTr="006B631E">
        <w:tc>
          <w:tcPr>
            <w:tcW w:w="13862" w:type="dxa"/>
            <w:gridSpan w:val="16"/>
          </w:tcPr>
          <w:p w14:paraId="34EAA0D8" w14:textId="137BB1B6" w:rsidR="008F6ECC" w:rsidRDefault="008F6ECC" w:rsidP="000D0DC0">
            <w:pPr>
              <w:pStyle w:val="BodyText10"/>
              <w:spacing w:before="120" w:after="120"/>
              <w:jc w:val="center"/>
              <w:rPr>
                <w:sz w:val="20"/>
              </w:rPr>
            </w:pPr>
            <w:r w:rsidRPr="006C4E96">
              <w:rPr>
                <w:sz w:val="20"/>
              </w:rPr>
              <w:t xml:space="preserve">2020 start </w:t>
            </w:r>
            <w:r w:rsidR="00B935A3">
              <w:rPr>
                <w:sz w:val="20"/>
              </w:rPr>
              <w:t>year</w:t>
            </w:r>
            <w:r w:rsidRPr="006C4E96">
              <w:rPr>
                <w:sz w:val="20"/>
              </w:rPr>
              <w:t xml:space="preserve">: Aviation Analysis Consumption </w:t>
            </w:r>
            <w:r w:rsidR="009F20E1">
              <w:rPr>
                <w:sz w:val="20"/>
              </w:rPr>
              <w:t xml:space="preserve">Halon 1301 </w:t>
            </w:r>
            <w:r w:rsidRPr="006C4E96">
              <w:rPr>
                <w:sz w:val="20"/>
              </w:rPr>
              <w:t xml:space="preserve">= </w:t>
            </w:r>
            <w:bookmarkStart w:id="62" w:name="OLE_LINK3"/>
            <w:r w:rsidR="006E3A66">
              <w:rPr>
                <w:sz w:val="20"/>
              </w:rPr>
              <w:t>2.479</w:t>
            </w:r>
            <w:r w:rsidRPr="006C4E96">
              <w:rPr>
                <w:sz w:val="20"/>
              </w:rPr>
              <w:t xml:space="preserve"> tonnes</w:t>
            </w:r>
            <w:r>
              <w:rPr>
                <w:sz w:val="20"/>
              </w:rPr>
              <w:t xml:space="preserve"> </w:t>
            </w:r>
            <w:bookmarkEnd w:id="62"/>
            <w:r>
              <w:rPr>
                <w:sz w:val="20"/>
              </w:rPr>
              <w:t>(</w:t>
            </w:r>
            <w:r w:rsidR="00A9228A">
              <w:rPr>
                <w:sz w:val="20"/>
              </w:rPr>
              <w:t>7.6</w:t>
            </w:r>
            <w:r>
              <w:rPr>
                <w:sz w:val="20"/>
              </w:rPr>
              <w:t xml:space="preserve">% </w:t>
            </w:r>
            <w:r w:rsidR="00A9228A">
              <w:rPr>
                <w:sz w:val="20"/>
              </w:rPr>
              <w:t xml:space="preserve">annual </w:t>
            </w:r>
            <w:r>
              <w:rPr>
                <w:sz w:val="20"/>
              </w:rPr>
              <w:t>emission factor)</w:t>
            </w:r>
          </w:p>
        </w:tc>
      </w:tr>
      <w:tr w:rsidR="008F6ECC" w14:paraId="24CF12F0" w14:textId="77777777" w:rsidTr="000D0DC0">
        <w:tc>
          <w:tcPr>
            <w:tcW w:w="866" w:type="dxa"/>
          </w:tcPr>
          <w:p w14:paraId="52845F05" w14:textId="307F4BAA" w:rsidR="008F6ECC" w:rsidRPr="001B3A85" w:rsidRDefault="0051652D" w:rsidP="000D0DC0">
            <w:pPr>
              <w:pStyle w:val="BodyText10"/>
              <w:spacing w:before="120" w:after="120"/>
              <w:jc w:val="center"/>
              <w:rPr>
                <w:sz w:val="20"/>
              </w:rPr>
            </w:pPr>
            <w:r>
              <w:rPr>
                <w:sz w:val="20"/>
              </w:rPr>
              <w:t>89.24</w:t>
            </w:r>
          </w:p>
        </w:tc>
        <w:tc>
          <w:tcPr>
            <w:tcW w:w="866" w:type="dxa"/>
          </w:tcPr>
          <w:p w14:paraId="3B3E2DD1" w14:textId="0BCCE5C6" w:rsidR="008F6ECC" w:rsidRPr="001B3A85" w:rsidRDefault="0051652D" w:rsidP="000D0DC0">
            <w:pPr>
              <w:pStyle w:val="BodyText10"/>
              <w:spacing w:before="120" w:after="120"/>
              <w:jc w:val="center"/>
              <w:rPr>
                <w:sz w:val="20"/>
              </w:rPr>
            </w:pPr>
            <w:r>
              <w:rPr>
                <w:sz w:val="20"/>
              </w:rPr>
              <w:t>102.26</w:t>
            </w:r>
          </w:p>
        </w:tc>
        <w:tc>
          <w:tcPr>
            <w:tcW w:w="867" w:type="dxa"/>
          </w:tcPr>
          <w:p w14:paraId="5B706D16" w14:textId="06A4FEA9" w:rsidR="008F6ECC" w:rsidRPr="001B3A85" w:rsidRDefault="0051652D" w:rsidP="000D0DC0">
            <w:pPr>
              <w:pStyle w:val="BodyText10"/>
              <w:spacing w:before="120" w:after="120"/>
              <w:jc w:val="center"/>
              <w:rPr>
                <w:sz w:val="20"/>
              </w:rPr>
            </w:pPr>
            <w:r>
              <w:rPr>
                <w:sz w:val="20"/>
              </w:rPr>
              <w:t>109.08</w:t>
            </w:r>
          </w:p>
        </w:tc>
        <w:tc>
          <w:tcPr>
            <w:tcW w:w="866" w:type="dxa"/>
          </w:tcPr>
          <w:p w14:paraId="0315CDBF" w14:textId="39AC99E6" w:rsidR="008F6ECC" w:rsidRPr="001B3A85" w:rsidRDefault="0051652D" w:rsidP="000D0DC0">
            <w:pPr>
              <w:pStyle w:val="BodyText10"/>
              <w:spacing w:before="120" w:after="120"/>
              <w:jc w:val="center"/>
              <w:rPr>
                <w:sz w:val="20"/>
              </w:rPr>
            </w:pPr>
            <w:r>
              <w:rPr>
                <w:sz w:val="20"/>
              </w:rPr>
              <w:t>125.81</w:t>
            </w:r>
          </w:p>
        </w:tc>
        <w:tc>
          <w:tcPr>
            <w:tcW w:w="866" w:type="dxa"/>
          </w:tcPr>
          <w:p w14:paraId="7682C950" w14:textId="50D03767" w:rsidR="008F6ECC" w:rsidRPr="001B3A85" w:rsidRDefault="00C82B50" w:rsidP="000D0DC0">
            <w:pPr>
              <w:pStyle w:val="BodyText10"/>
              <w:spacing w:before="120" w:after="120"/>
              <w:jc w:val="center"/>
              <w:rPr>
                <w:sz w:val="20"/>
              </w:rPr>
            </w:pPr>
            <w:r>
              <w:rPr>
                <w:sz w:val="20"/>
              </w:rPr>
              <w:t>115</w:t>
            </w:r>
            <w:r w:rsidR="00A26DAE">
              <w:rPr>
                <w:sz w:val="20"/>
              </w:rPr>
              <w:t>.27</w:t>
            </w:r>
          </w:p>
        </w:tc>
        <w:tc>
          <w:tcPr>
            <w:tcW w:w="867" w:type="dxa"/>
          </w:tcPr>
          <w:p w14:paraId="1271F35C" w14:textId="6F99A3CD" w:rsidR="008F6ECC" w:rsidRPr="001B3A85" w:rsidRDefault="00A26DAE" w:rsidP="000D0DC0">
            <w:pPr>
              <w:pStyle w:val="BodyText10"/>
              <w:spacing w:before="120" w:after="120"/>
              <w:jc w:val="center"/>
              <w:rPr>
                <w:sz w:val="20"/>
              </w:rPr>
            </w:pPr>
            <w:r>
              <w:rPr>
                <w:sz w:val="20"/>
              </w:rPr>
              <w:t>135.11</w:t>
            </w:r>
          </w:p>
        </w:tc>
        <w:tc>
          <w:tcPr>
            <w:tcW w:w="866" w:type="dxa"/>
          </w:tcPr>
          <w:p w14:paraId="3891CD31" w14:textId="432CAB50" w:rsidR="008F6ECC" w:rsidRPr="001B3A85" w:rsidRDefault="00A26DAE" w:rsidP="000D0DC0">
            <w:pPr>
              <w:pStyle w:val="BodyText10"/>
              <w:spacing w:before="120" w:after="120"/>
              <w:jc w:val="center"/>
              <w:rPr>
                <w:sz w:val="20"/>
              </w:rPr>
            </w:pPr>
            <w:r>
              <w:rPr>
                <w:sz w:val="20"/>
              </w:rPr>
              <w:t>137</w:t>
            </w:r>
            <w:r w:rsidR="00FE2DB0">
              <w:rPr>
                <w:sz w:val="20"/>
              </w:rPr>
              <w:t>.58</w:t>
            </w:r>
          </w:p>
        </w:tc>
        <w:tc>
          <w:tcPr>
            <w:tcW w:w="867" w:type="dxa"/>
          </w:tcPr>
          <w:p w14:paraId="4C799031" w14:textId="454CA019" w:rsidR="008F6ECC" w:rsidRPr="001B3A85" w:rsidRDefault="00FE2DB0" w:rsidP="000D0DC0">
            <w:pPr>
              <w:pStyle w:val="BodyText10"/>
              <w:spacing w:before="120" w:after="120"/>
              <w:jc w:val="center"/>
              <w:rPr>
                <w:sz w:val="20"/>
              </w:rPr>
            </w:pPr>
            <w:r>
              <w:rPr>
                <w:sz w:val="20"/>
              </w:rPr>
              <w:t>162.37</w:t>
            </w:r>
          </w:p>
        </w:tc>
        <w:tc>
          <w:tcPr>
            <w:tcW w:w="866" w:type="dxa"/>
          </w:tcPr>
          <w:p w14:paraId="6E9D74E6" w14:textId="13E26545" w:rsidR="008F6ECC" w:rsidRPr="001B3A85" w:rsidRDefault="00F50795" w:rsidP="000D0DC0">
            <w:pPr>
              <w:pStyle w:val="BodyText10"/>
              <w:spacing w:before="120" w:after="120"/>
              <w:jc w:val="center"/>
              <w:rPr>
                <w:sz w:val="20"/>
              </w:rPr>
            </w:pPr>
            <w:r>
              <w:rPr>
                <w:sz w:val="20"/>
              </w:rPr>
              <w:t>143.78</w:t>
            </w:r>
          </w:p>
        </w:tc>
        <w:tc>
          <w:tcPr>
            <w:tcW w:w="866" w:type="dxa"/>
          </w:tcPr>
          <w:p w14:paraId="299A983D" w14:textId="2BFC0499" w:rsidR="008F6ECC" w:rsidRPr="001B3A85" w:rsidRDefault="00F50795" w:rsidP="000D0DC0">
            <w:pPr>
              <w:pStyle w:val="BodyText10"/>
              <w:spacing w:before="120" w:after="120"/>
              <w:jc w:val="center"/>
              <w:rPr>
                <w:sz w:val="20"/>
              </w:rPr>
            </w:pPr>
            <w:r>
              <w:rPr>
                <w:sz w:val="20"/>
              </w:rPr>
              <w:t>171.67</w:t>
            </w:r>
          </w:p>
        </w:tc>
        <w:tc>
          <w:tcPr>
            <w:tcW w:w="867" w:type="dxa"/>
          </w:tcPr>
          <w:p w14:paraId="2ACF193A" w14:textId="79E04F5A" w:rsidR="008F6ECC" w:rsidRPr="001B3A85" w:rsidRDefault="00F50795" w:rsidP="000D0DC0">
            <w:pPr>
              <w:pStyle w:val="BodyText10"/>
              <w:spacing w:before="120" w:after="120"/>
              <w:jc w:val="center"/>
              <w:rPr>
                <w:sz w:val="20"/>
              </w:rPr>
            </w:pPr>
            <w:r>
              <w:rPr>
                <w:sz w:val="20"/>
              </w:rPr>
              <w:t>168.57</w:t>
            </w:r>
          </w:p>
        </w:tc>
        <w:tc>
          <w:tcPr>
            <w:tcW w:w="866" w:type="dxa"/>
          </w:tcPr>
          <w:p w14:paraId="6607A155" w14:textId="7ED397CF" w:rsidR="008F6ECC" w:rsidRPr="001B3A85" w:rsidRDefault="00F50795" w:rsidP="000D0DC0">
            <w:pPr>
              <w:pStyle w:val="BodyText10"/>
              <w:spacing w:before="120" w:after="120"/>
              <w:jc w:val="center"/>
              <w:rPr>
                <w:sz w:val="20"/>
              </w:rPr>
            </w:pPr>
            <w:r>
              <w:rPr>
                <w:sz w:val="20"/>
              </w:rPr>
              <w:t>202.66</w:t>
            </w:r>
          </w:p>
        </w:tc>
        <w:tc>
          <w:tcPr>
            <w:tcW w:w="866" w:type="dxa"/>
          </w:tcPr>
          <w:p w14:paraId="4DC51CDC" w14:textId="44EF05C9" w:rsidR="008F6ECC" w:rsidRDefault="00D540E1" w:rsidP="000D0DC0">
            <w:pPr>
              <w:pStyle w:val="BodyText10"/>
              <w:spacing w:before="120" w:after="120"/>
              <w:jc w:val="center"/>
              <w:rPr>
                <w:sz w:val="20"/>
              </w:rPr>
            </w:pPr>
            <w:r>
              <w:rPr>
                <w:sz w:val="20"/>
              </w:rPr>
              <w:t>174.77</w:t>
            </w:r>
          </w:p>
        </w:tc>
        <w:tc>
          <w:tcPr>
            <w:tcW w:w="867" w:type="dxa"/>
          </w:tcPr>
          <w:p w14:paraId="1DF0FBBE" w14:textId="70D402BD" w:rsidR="008F6ECC" w:rsidRDefault="00D540E1" w:rsidP="000D0DC0">
            <w:pPr>
              <w:pStyle w:val="BodyText10"/>
              <w:spacing w:before="120" w:after="120"/>
              <w:jc w:val="center"/>
              <w:rPr>
                <w:sz w:val="20"/>
              </w:rPr>
            </w:pPr>
            <w:r>
              <w:rPr>
                <w:sz w:val="20"/>
              </w:rPr>
              <w:t>211.95</w:t>
            </w:r>
          </w:p>
        </w:tc>
        <w:tc>
          <w:tcPr>
            <w:tcW w:w="866" w:type="dxa"/>
          </w:tcPr>
          <w:p w14:paraId="40F65701" w14:textId="1E89F890" w:rsidR="008F6ECC" w:rsidRDefault="00D540E1" w:rsidP="000D0DC0">
            <w:pPr>
              <w:pStyle w:val="BodyText10"/>
              <w:spacing w:before="120" w:after="120"/>
              <w:jc w:val="center"/>
              <w:rPr>
                <w:sz w:val="20"/>
              </w:rPr>
            </w:pPr>
            <w:r>
              <w:rPr>
                <w:sz w:val="20"/>
              </w:rPr>
              <w:t>202.04</w:t>
            </w:r>
          </w:p>
        </w:tc>
        <w:tc>
          <w:tcPr>
            <w:tcW w:w="867" w:type="dxa"/>
          </w:tcPr>
          <w:p w14:paraId="457496EE" w14:textId="3E1158D0" w:rsidR="008F6ECC" w:rsidRDefault="00D540E1" w:rsidP="000D0DC0">
            <w:pPr>
              <w:pStyle w:val="BodyText10"/>
              <w:spacing w:before="120" w:after="120"/>
              <w:jc w:val="center"/>
              <w:rPr>
                <w:sz w:val="20"/>
              </w:rPr>
            </w:pPr>
            <w:r>
              <w:rPr>
                <w:sz w:val="20"/>
              </w:rPr>
              <w:t>246.66</w:t>
            </w:r>
          </w:p>
        </w:tc>
      </w:tr>
      <w:tr w:rsidR="008F6ECC" w14:paraId="6A93080E" w14:textId="77777777" w:rsidTr="006B631E">
        <w:tc>
          <w:tcPr>
            <w:tcW w:w="13862" w:type="dxa"/>
            <w:gridSpan w:val="16"/>
          </w:tcPr>
          <w:p w14:paraId="371638EF" w14:textId="0DB42259" w:rsidR="008F6ECC" w:rsidRDefault="008F6ECC" w:rsidP="000D0DC0">
            <w:pPr>
              <w:pStyle w:val="BodyText10"/>
              <w:spacing w:before="120" w:after="120"/>
              <w:jc w:val="center"/>
              <w:rPr>
                <w:sz w:val="20"/>
              </w:rPr>
            </w:pPr>
            <w:r w:rsidRPr="006C4E96">
              <w:rPr>
                <w:sz w:val="20"/>
              </w:rPr>
              <w:t xml:space="preserve">2020 start </w:t>
            </w:r>
            <w:r w:rsidR="00B935A3">
              <w:rPr>
                <w:sz w:val="20"/>
              </w:rPr>
              <w:t>year</w:t>
            </w:r>
            <w:r w:rsidRPr="006C4E96">
              <w:rPr>
                <w:sz w:val="20"/>
              </w:rPr>
              <w:t xml:space="preserve">: Aviation Analysis Consumption </w:t>
            </w:r>
            <w:r w:rsidR="009F20E1">
              <w:rPr>
                <w:sz w:val="20"/>
              </w:rPr>
              <w:t xml:space="preserve">Halon 1301 </w:t>
            </w:r>
            <w:r w:rsidRPr="006C4E96">
              <w:rPr>
                <w:sz w:val="20"/>
              </w:rPr>
              <w:t xml:space="preserve">= </w:t>
            </w:r>
            <w:bookmarkStart w:id="63" w:name="OLE_LINK4"/>
            <w:r w:rsidR="00814697">
              <w:rPr>
                <w:sz w:val="20"/>
              </w:rPr>
              <w:t>4.892</w:t>
            </w:r>
            <w:r w:rsidRPr="006C4E96">
              <w:rPr>
                <w:sz w:val="20"/>
              </w:rPr>
              <w:t xml:space="preserve"> tonnes</w:t>
            </w:r>
            <w:r>
              <w:rPr>
                <w:sz w:val="20"/>
              </w:rPr>
              <w:t xml:space="preserve"> </w:t>
            </w:r>
            <w:bookmarkEnd w:id="63"/>
            <w:r>
              <w:rPr>
                <w:sz w:val="20"/>
              </w:rPr>
              <w:t>(</w:t>
            </w:r>
            <w:r w:rsidR="00814697">
              <w:rPr>
                <w:sz w:val="20"/>
              </w:rPr>
              <w:t>15</w:t>
            </w:r>
            <w:r>
              <w:rPr>
                <w:sz w:val="20"/>
              </w:rPr>
              <w:t xml:space="preserve">% </w:t>
            </w:r>
            <w:r w:rsidR="00A9228A">
              <w:rPr>
                <w:sz w:val="20"/>
              </w:rPr>
              <w:t xml:space="preserve">annual </w:t>
            </w:r>
            <w:r>
              <w:rPr>
                <w:sz w:val="20"/>
              </w:rPr>
              <w:t>emission factor)</w:t>
            </w:r>
          </w:p>
        </w:tc>
      </w:tr>
      <w:tr w:rsidR="008F6ECC" w14:paraId="44ACA648" w14:textId="77777777" w:rsidTr="000D0DC0">
        <w:tc>
          <w:tcPr>
            <w:tcW w:w="866" w:type="dxa"/>
          </w:tcPr>
          <w:p w14:paraId="25A8FC1F" w14:textId="0401B9DB" w:rsidR="008F6ECC" w:rsidRPr="001B3A85" w:rsidRDefault="009F376A" w:rsidP="000D0DC0">
            <w:pPr>
              <w:pStyle w:val="BodyText10"/>
              <w:spacing w:before="120" w:after="120"/>
              <w:jc w:val="center"/>
              <w:rPr>
                <w:sz w:val="20"/>
              </w:rPr>
            </w:pPr>
            <w:r>
              <w:rPr>
                <w:sz w:val="20"/>
              </w:rPr>
              <w:t>176.11</w:t>
            </w:r>
          </w:p>
        </w:tc>
        <w:tc>
          <w:tcPr>
            <w:tcW w:w="866" w:type="dxa"/>
          </w:tcPr>
          <w:p w14:paraId="5EDCEE7A" w14:textId="1E09299C" w:rsidR="008F6ECC" w:rsidRPr="001B3A85" w:rsidRDefault="009F376A" w:rsidP="000D0DC0">
            <w:pPr>
              <w:pStyle w:val="BodyText10"/>
              <w:spacing w:before="120" w:after="120"/>
              <w:jc w:val="center"/>
              <w:rPr>
                <w:sz w:val="20"/>
              </w:rPr>
            </w:pPr>
            <w:r>
              <w:rPr>
                <w:sz w:val="20"/>
              </w:rPr>
              <w:t>201.80</w:t>
            </w:r>
          </w:p>
        </w:tc>
        <w:tc>
          <w:tcPr>
            <w:tcW w:w="867" w:type="dxa"/>
          </w:tcPr>
          <w:p w14:paraId="5CB5A785" w14:textId="7B0434EA" w:rsidR="008F6ECC" w:rsidRPr="001B3A85" w:rsidRDefault="00FE59AD" w:rsidP="000D0DC0">
            <w:pPr>
              <w:pStyle w:val="BodyText10"/>
              <w:spacing w:before="120" w:after="120"/>
              <w:jc w:val="center"/>
              <w:rPr>
                <w:sz w:val="20"/>
              </w:rPr>
            </w:pPr>
            <w:r>
              <w:rPr>
                <w:sz w:val="20"/>
              </w:rPr>
              <w:t>215.25</w:t>
            </w:r>
          </w:p>
        </w:tc>
        <w:tc>
          <w:tcPr>
            <w:tcW w:w="866" w:type="dxa"/>
          </w:tcPr>
          <w:p w14:paraId="3FE8740E" w14:textId="682B3033" w:rsidR="008F6ECC" w:rsidRPr="001B3A85" w:rsidRDefault="00FE59AD" w:rsidP="000D0DC0">
            <w:pPr>
              <w:pStyle w:val="BodyText10"/>
              <w:spacing w:before="120" w:after="120"/>
              <w:jc w:val="center"/>
              <w:rPr>
                <w:sz w:val="20"/>
              </w:rPr>
            </w:pPr>
            <w:r>
              <w:rPr>
                <w:sz w:val="20"/>
              </w:rPr>
              <w:t>248.27</w:t>
            </w:r>
          </w:p>
        </w:tc>
        <w:tc>
          <w:tcPr>
            <w:tcW w:w="866" w:type="dxa"/>
          </w:tcPr>
          <w:p w14:paraId="53B915A6" w14:textId="1B139615" w:rsidR="008F6ECC" w:rsidRPr="001B3A85" w:rsidRDefault="00790410" w:rsidP="000D0DC0">
            <w:pPr>
              <w:pStyle w:val="BodyText10"/>
              <w:spacing w:before="120" w:after="120"/>
              <w:jc w:val="center"/>
              <w:rPr>
                <w:sz w:val="20"/>
              </w:rPr>
            </w:pPr>
            <w:r>
              <w:rPr>
                <w:sz w:val="20"/>
              </w:rPr>
              <w:t>227.48</w:t>
            </w:r>
          </w:p>
        </w:tc>
        <w:tc>
          <w:tcPr>
            <w:tcW w:w="867" w:type="dxa"/>
          </w:tcPr>
          <w:p w14:paraId="7E8075F7" w14:textId="34F2DFC3" w:rsidR="008F6ECC" w:rsidRPr="001B3A85" w:rsidRDefault="00790410" w:rsidP="000D0DC0">
            <w:pPr>
              <w:pStyle w:val="BodyText10"/>
              <w:spacing w:before="120" w:after="120"/>
              <w:jc w:val="center"/>
              <w:rPr>
                <w:sz w:val="20"/>
              </w:rPr>
            </w:pPr>
            <w:r>
              <w:rPr>
                <w:sz w:val="20"/>
              </w:rPr>
              <w:t>266.61</w:t>
            </w:r>
          </w:p>
        </w:tc>
        <w:tc>
          <w:tcPr>
            <w:tcW w:w="866" w:type="dxa"/>
          </w:tcPr>
          <w:p w14:paraId="213A7DD1" w14:textId="4A25E5C7" w:rsidR="008F6ECC" w:rsidRPr="001B3A85" w:rsidRDefault="00790410" w:rsidP="000D0DC0">
            <w:pPr>
              <w:pStyle w:val="BodyText10"/>
              <w:spacing w:before="120" w:after="120"/>
              <w:jc w:val="center"/>
              <w:rPr>
                <w:sz w:val="20"/>
              </w:rPr>
            </w:pPr>
            <w:r>
              <w:rPr>
                <w:sz w:val="20"/>
              </w:rPr>
              <w:t>271.51</w:t>
            </w:r>
          </w:p>
        </w:tc>
        <w:tc>
          <w:tcPr>
            <w:tcW w:w="867" w:type="dxa"/>
          </w:tcPr>
          <w:p w14:paraId="5BF982C8" w14:textId="77AD5C69" w:rsidR="008F6ECC" w:rsidRPr="001B3A85" w:rsidRDefault="00790410" w:rsidP="000D0DC0">
            <w:pPr>
              <w:pStyle w:val="BodyText10"/>
              <w:spacing w:before="120" w:after="120"/>
              <w:jc w:val="center"/>
              <w:rPr>
                <w:sz w:val="20"/>
              </w:rPr>
            </w:pPr>
            <w:r>
              <w:rPr>
                <w:sz w:val="20"/>
              </w:rPr>
              <w:t>320.43</w:t>
            </w:r>
          </w:p>
        </w:tc>
        <w:tc>
          <w:tcPr>
            <w:tcW w:w="866" w:type="dxa"/>
          </w:tcPr>
          <w:p w14:paraId="0E1B13EB" w14:textId="5CFAD469" w:rsidR="008F6ECC" w:rsidRPr="001B3A85" w:rsidRDefault="00CC13CD" w:rsidP="000D0DC0">
            <w:pPr>
              <w:pStyle w:val="BodyText10"/>
              <w:spacing w:before="120" w:after="120"/>
              <w:jc w:val="center"/>
              <w:rPr>
                <w:sz w:val="20"/>
              </w:rPr>
            </w:pPr>
            <w:r>
              <w:rPr>
                <w:sz w:val="20"/>
              </w:rPr>
              <w:t>291.35</w:t>
            </w:r>
          </w:p>
        </w:tc>
        <w:tc>
          <w:tcPr>
            <w:tcW w:w="866" w:type="dxa"/>
          </w:tcPr>
          <w:p w14:paraId="3FD7C901" w14:textId="099B43FD" w:rsidR="008F6ECC" w:rsidRPr="001B3A85" w:rsidRDefault="00CC13CD" w:rsidP="000D0DC0">
            <w:pPr>
              <w:pStyle w:val="BodyText10"/>
              <w:spacing w:before="120" w:after="120"/>
              <w:jc w:val="center"/>
              <w:rPr>
                <w:sz w:val="20"/>
              </w:rPr>
            </w:pPr>
            <w:r>
              <w:rPr>
                <w:sz w:val="20"/>
              </w:rPr>
              <w:t>348.28</w:t>
            </w:r>
          </w:p>
        </w:tc>
        <w:tc>
          <w:tcPr>
            <w:tcW w:w="867" w:type="dxa"/>
          </w:tcPr>
          <w:p w14:paraId="544712C3" w14:textId="79C3FF38" w:rsidR="008F6ECC" w:rsidRPr="001B3A85" w:rsidRDefault="00CC13CD" w:rsidP="000D0DC0">
            <w:pPr>
              <w:pStyle w:val="BodyText10"/>
              <w:spacing w:before="120" w:after="120"/>
              <w:jc w:val="center"/>
              <w:rPr>
                <w:sz w:val="20"/>
              </w:rPr>
            </w:pPr>
            <w:r>
              <w:rPr>
                <w:sz w:val="20"/>
              </w:rPr>
              <w:t>344.70</w:t>
            </w:r>
          </w:p>
        </w:tc>
        <w:tc>
          <w:tcPr>
            <w:tcW w:w="866" w:type="dxa"/>
          </w:tcPr>
          <w:p w14:paraId="45A7B628" w14:textId="02204009" w:rsidR="008F6ECC" w:rsidRPr="001B3A85" w:rsidRDefault="00CC13CD" w:rsidP="000D0DC0">
            <w:pPr>
              <w:pStyle w:val="BodyText10"/>
              <w:spacing w:before="120" w:after="120"/>
              <w:jc w:val="center"/>
              <w:rPr>
                <w:sz w:val="20"/>
              </w:rPr>
            </w:pPr>
            <w:r>
              <w:rPr>
                <w:sz w:val="20"/>
              </w:rPr>
              <w:t>414.98</w:t>
            </w:r>
          </w:p>
        </w:tc>
        <w:tc>
          <w:tcPr>
            <w:tcW w:w="866" w:type="dxa"/>
          </w:tcPr>
          <w:p w14:paraId="4E03E4E9" w14:textId="174F0234" w:rsidR="008F6ECC" w:rsidRDefault="00655F6A" w:rsidP="000D0DC0">
            <w:pPr>
              <w:pStyle w:val="BodyText10"/>
              <w:spacing w:before="120" w:after="120"/>
              <w:jc w:val="center"/>
              <w:rPr>
                <w:sz w:val="20"/>
              </w:rPr>
            </w:pPr>
            <w:r>
              <w:rPr>
                <w:sz w:val="20"/>
              </w:rPr>
              <w:t>353.26</w:t>
            </w:r>
          </w:p>
        </w:tc>
        <w:tc>
          <w:tcPr>
            <w:tcW w:w="867" w:type="dxa"/>
          </w:tcPr>
          <w:p w14:paraId="0671AA52" w14:textId="26AC0A2D" w:rsidR="008F6ECC" w:rsidRDefault="00655F6A" w:rsidP="000D0DC0">
            <w:pPr>
              <w:pStyle w:val="BodyText10"/>
              <w:spacing w:before="120" w:after="120"/>
              <w:jc w:val="center"/>
              <w:rPr>
                <w:sz w:val="20"/>
              </w:rPr>
            </w:pPr>
            <w:r>
              <w:rPr>
                <w:sz w:val="20"/>
              </w:rPr>
              <w:t>428</w:t>
            </w:r>
            <w:r w:rsidR="009D01FF">
              <w:rPr>
                <w:sz w:val="20"/>
              </w:rPr>
              <w:t>.92</w:t>
            </w:r>
          </w:p>
        </w:tc>
        <w:tc>
          <w:tcPr>
            <w:tcW w:w="866" w:type="dxa"/>
          </w:tcPr>
          <w:p w14:paraId="519FBFF0" w14:textId="7A02AE97" w:rsidR="008F6ECC" w:rsidRDefault="009D01FF" w:rsidP="000D0DC0">
            <w:pPr>
              <w:pStyle w:val="BodyText10"/>
              <w:spacing w:before="120" w:after="120"/>
              <w:jc w:val="center"/>
              <w:rPr>
                <w:sz w:val="20"/>
              </w:rPr>
            </w:pPr>
            <w:r>
              <w:rPr>
                <w:sz w:val="20"/>
              </w:rPr>
              <w:t>411.95</w:t>
            </w:r>
          </w:p>
        </w:tc>
        <w:tc>
          <w:tcPr>
            <w:tcW w:w="867" w:type="dxa"/>
          </w:tcPr>
          <w:p w14:paraId="78934435" w14:textId="71D77B5A" w:rsidR="008F6ECC" w:rsidRDefault="009D01FF" w:rsidP="000D0DC0">
            <w:pPr>
              <w:pStyle w:val="BodyText10"/>
              <w:spacing w:before="120" w:after="120"/>
              <w:jc w:val="center"/>
              <w:rPr>
                <w:sz w:val="20"/>
              </w:rPr>
            </w:pPr>
            <w:r>
              <w:rPr>
                <w:sz w:val="20"/>
              </w:rPr>
              <w:t>503.62</w:t>
            </w:r>
          </w:p>
        </w:tc>
      </w:tr>
    </w:tbl>
    <w:p w14:paraId="111B48E5" w14:textId="5BFBF526" w:rsidR="00B04332" w:rsidRDefault="00B04332" w:rsidP="00346089">
      <w:pPr>
        <w:pStyle w:val="BodyText10"/>
      </w:pPr>
    </w:p>
    <w:p w14:paraId="25FCEB28" w14:textId="72D61A72" w:rsidR="006D237A" w:rsidRDefault="006D237A">
      <w:pPr>
        <w:rPr>
          <w:rFonts w:ascii="Book Antiqua" w:eastAsia="ヒラギノ角ゴ Pro W3" w:hAnsi="Book Antiqua"/>
          <w:color w:val="000000"/>
          <w:szCs w:val="20"/>
          <w:lang w:val="en-GB" w:eastAsia="en-US"/>
        </w:rPr>
      </w:pPr>
      <w:r>
        <w:br w:type="page"/>
      </w:r>
    </w:p>
    <w:p w14:paraId="1659FFD4" w14:textId="479044FE" w:rsidR="006D237A" w:rsidRDefault="006D237A" w:rsidP="006D237A">
      <w:pPr>
        <w:pStyle w:val="BodyText10"/>
        <w:tabs>
          <w:tab w:val="left" w:pos="1418"/>
        </w:tabs>
        <w:rPr>
          <w:b/>
          <w:bCs/>
          <w:i/>
          <w:iCs/>
        </w:rPr>
      </w:pPr>
      <w:r w:rsidRPr="006C4E96">
        <w:rPr>
          <w:b/>
          <w:bCs/>
          <w:i/>
          <w:iCs/>
        </w:rPr>
        <w:lastRenderedPageBreak/>
        <w:t>Figure 4.7</w:t>
      </w:r>
      <w:r w:rsidR="00DE17B5">
        <w:rPr>
          <w:b/>
          <w:bCs/>
          <w:i/>
          <w:iCs/>
        </w:rPr>
        <w:t>a</w:t>
      </w:r>
      <w:r w:rsidRPr="006C4E96">
        <w:rPr>
          <w:b/>
          <w:bCs/>
          <w:i/>
          <w:iCs/>
        </w:rPr>
        <w:tab/>
      </w:r>
      <w:r w:rsidRPr="00401816">
        <w:rPr>
          <w:b/>
          <w:bCs/>
          <w:i/>
          <w:iCs/>
        </w:rPr>
        <w:t xml:space="preserve">Estimated </w:t>
      </w:r>
      <w:r w:rsidRPr="006A0D72">
        <w:rPr>
          <w:b/>
          <w:i/>
        </w:rPr>
        <w:t>Future Halon 1</w:t>
      </w:r>
      <w:r w:rsidRPr="004A7A82">
        <w:rPr>
          <w:b/>
          <w:bCs/>
          <w:i/>
          <w:iCs/>
        </w:rPr>
        <w:t>301 Requirements for Non-Defence Uses</w:t>
      </w:r>
      <w:r w:rsidRPr="00401816">
        <w:rPr>
          <w:b/>
          <w:bCs/>
          <w:i/>
          <w:iCs/>
        </w:rPr>
        <w:t xml:space="preserve"> </w:t>
      </w:r>
      <w:r w:rsidRPr="006A0D72">
        <w:rPr>
          <w:b/>
          <w:i/>
        </w:rPr>
        <w:t>Ba</w:t>
      </w:r>
      <w:r w:rsidRPr="004A7A82">
        <w:rPr>
          <w:b/>
          <w:bCs/>
          <w:i/>
          <w:iCs/>
        </w:rPr>
        <w:t xml:space="preserve">sed on </w:t>
      </w:r>
      <w:r>
        <w:rPr>
          <w:b/>
          <w:bCs/>
          <w:i/>
          <w:iCs/>
        </w:rPr>
        <w:t>Aviation Analysis</w:t>
      </w:r>
      <w:r w:rsidRPr="004A7A82">
        <w:rPr>
          <w:b/>
          <w:bCs/>
          <w:i/>
          <w:iCs/>
        </w:rPr>
        <w:t xml:space="preserve"> (Tonnes)</w:t>
      </w:r>
    </w:p>
    <w:p w14:paraId="5FD87EDA" w14:textId="35E4938C" w:rsidR="000012DD" w:rsidRDefault="00FF40AE" w:rsidP="006D237A">
      <w:pPr>
        <w:pStyle w:val="BodyText10"/>
        <w:tabs>
          <w:tab w:val="left" w:pos="1418"/>
        </w:tabs>
        <w:ind w:right="-729"/>
      </w:pPr>
      <w:r>
        <w:t>In 2020, a</w:t>
      </w:r>
      <w:r w:rsidR="000012DD" w:rsidRPr="000012DD">
        <w:t xml:space="preserve">viation </w:t>
      </w:r>
      <w:r w:rsidR="001A07A3" w:rsidRPr="000012DD">
        <w:t xml:space="preserve">analysis consumption </w:t>
      </w:r>
      <w:r w:rsidR="001A07A3">
        <w:t xml:space="preserve">of halon 1301 </w:t>
      </w:r>
      <w:r w:rsidR="000012DD">
        <w:t>is</w:t>
      </w:r>
      <w:r w:rsidR="000012DD" w:rsidRPr="000012DD">
        <w:t xml:space="preserve"> 0.750 tonnes (2.3% annual emission </w:t>
      </w:r>
      <w:r w:rsidR="00BB0EF7">
        <w:t xml:space="preserve">of aviation </w:t>
      </w:r>
      <w:r w:rsidR="009F20E1">
        <w:t xml:space="preserve">halon 1301 </w:t>
      </w:r>
      <w:r w:rsidR="00BB0EF7">
        <w:t>inventory</w:t>
      </w:r>
      <w:r w:rsidR="000012DD" w:rsidRPr="000012DD">
        <w:t>)</w:t>
      </w:r>
      <w:r w:rsidR="000012DD">
        <w:t xml:space="preserve">. </w:t>
      </w:r>
    </w:p>
    <w:p w14:paraId="15B81A12" w14:textId="2D1D8087" w:rsidR="006D237A" w:rsidRPr="004A7A82" w:rsidRDefault="006D237A" w:rsidP="006D237A">
      <w:pPr>
        <w:pStyle w:val="BodyText10"/>
        <w:tabs>
          <w:tab w:val="left" w:pos="1418"/>
        </w:tabs>
        <w:ind w:right="-729"/>
        <w:rPr>
          <w:b/>
          <w:bCs/>
          <w:i/>
          <w:iCs/>
        </w:rPr>
      </w:pPr>
      <w:r>
        <w:t>Halon 1301 consumption increases at 4% (left) and 6% (right) annual growth rates until new production aircraft adopt halon replacements.</w:t>
      </w:r>
    </w:p>
    <w:p w14:paraId="1AC17B1B" w14:textId="4DC73B7E" w:rsidR="006D237A" w:rsidRDefault="00DD531A" w:rsidP="000D0DC0">
      <w:pPr>
        <w:pStyle w:val="BodyText10"/>
        <w:ind w:right="-870"/>
      </w:pPr>
      <w:r>
        <w:rPr>
          <w:noProof/>
        </w:rPr>
        <w:drawing>
          <wp:inline distT="0" distB="0" distL="0" distR="0" wp14:anchorId="20AABAA6" wp14:editId="0357E6E9">
            <wp:extent cx="4572000" cy="2743200"/>
            <wp:effectExtent l="0" t="0" r="12700" b="12700"/>
            <wp:docPr id="11" name="Chart 11">
              <a:extLst xmlns:a="http://schemas.openxmlformats.org/drawingml/2006/main">
                <a:ext uri="{FF2B5EF4-FFF2-40B4-BE49-F238E27FC236}">
                  <a16:creationId xmlns:a16="http://schemas.microsoft.com/office/drawing/2014/main" id="{4F1ECFBB-E867-4841-BA41-AA65ADDAA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B2051D" w:rsidRPr="00B2051D">
        <w:rPr>
          <w:noProof/>
        </w:rPr>
        <w:t xml:space="preserve"> </w:t>
      </w:r>
      <w:r w:rsidR="00B2051D">
        <w:rPr>
          <w:noProof/>
        </w:rPr>
        <w:drawing>
          <wp:inline distT="0" distB="0" distL="0" distR="0" wp14:anchorId="42E47942" wp14:editId="5E422BD2">
            <wp:extent cx="4572000" cy="2743200"/>
            <wp:effectExtent l="0" t="0" r="12700" b="12700"/>
            <wp:docPr id="12" name="Chart 12">
              <a:extLst xmlns:a="http://schemas.openxmlformats.org/drawingml/2006/main">
                <a:ext uri="{FF2B5EF4-FFF2-40B4-BE49-F238E27FC236}">
                  <a16:creationId xmlns:a16="http://schemas.microsoft.com/office/drawing/2014/main" id="{47A3CD85-ED5C-9443-9104-334A628E0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ECE4028" w14:textId="1B517F1E" w:rsidR="009F20E1" w:rsidRDefault="009F20E1">
      <w:pPr>
        <w:rPr>
          <w:rFonts w:ascii="Book Antiqua" w:eastAsia="ヒラギノ角ゴ Pro W3" w:hAnsi="Book Antiqua"/>
          <w:color w:val="000000"/>
          <w:szCs w:val="20"/>
          <w:lang w:val="en-GB" w:eastAsia="en-US"/>
        </w:rPr>
      </w:pPr>
      <w:r>
        <w:br w:type="page"/>
      </w:r>
    </w:p>
    <w:p w14:paraId="5E0A21A4" w14:textId="2E76E44C" w:rsidR="009F20E1" w:rsidRDefault="009F20E1" w:rsidP="009F20E1">
      <w:pPr>
        <w:pStyle w:val="BodyText10"/>
        <w:tabs>
          <w:tab w:val="left" w:pos="1418"/>
        </w:tabs>
        <w:rPr>
          <w:b/>
          <w:bCs/>
          <w:i/>
          <w:iCs/>
        </w:rPr>
      </w:pPr>
      <w:r w:rsidRPr="006C4E96">
        <w:rPr>
          <w:b/>
          <w:bCs/>
          <w:i/>
          <w:iCs/>
        </w:rPr>
        <w:lastRenderedPageBreak/>
        <w:t>Figure 4.7</w:t>
      </w:r>
      <w:r>
        <w:rPr>
          <w:b/>
          <w:bCs/>
          <w:i/>
          <w:iCs/>
        </w:rPr>
        <w:t>b</w:t>
      </w:r>
      <w:r w:rsidRPr="006C4E96">
        <w:rPr>
          <w:b/>
          <w:bCs/>
          <w:i/>
          <w:iCs/>
        </w:rPr>
        <w:tab/>
      </w:r>
      <w:r w:rsidRPr="00401816">
        <w:rPr>
          <w:b/>
          <w:bCs/>
          <w:i/>
          <w:iCs/>
        </w:rPr>
        <w:t xml:space="preserve">Estimated </w:t>
      </w:r>
      <w:r w:rsidRPr="006A0D72">
        <w:rPr>
          <w:b/>
          <w:i/>
        </w:rPr>
        <w:t>Future Halon 1</w:t>
      </w:r>
      <w:r w:rsidRPr="004A7A82">
        <w:rPr>
          <w:b/>
          <w:bCs/>
          <w:i/>
          <w:iCs/>
        </w:rPr>
        <w:t>301 Requirements for Non-Defence Uses</w:t>
      </w:r>
      <w:r w:rsidRPr="00401816">
        <w:rPr>
          <w:b/>
          <w:bCs/>
          <w:i/>
          <w:iCs/>
        </w:rPr>
        <w:t xml:space="preserve"> </w:t>
      </w:r>
      <w:r w:rsidRPr="006A0D72">
        <w:rPr>
          <w:b/>
          <w:i/>
        </w:rPr>
        <w:t>Ba</w:t>
      </w:r>
      <w:r w:rsidRPr="004A7A82">
        <w:rPr>
          <w:b/>
          <w:bCs/>
          <w:i/>
          <w:iCs/>
        </w:rPr>
        <w:t xml:space="preserve">sed on </w:t>
      </w:r>
      <w:r>
        <w:rPr>
          <w:b/>
          <w:bCs/>
          <w:i/>
          <w:iCs/>
        </w:rPr>
        <w:t>Aviation Analysis</w:t>
      </w:r>
      <w:r w:rsidRPr="004A7A82">
        <w:rPr>
          <w:b/>
          <w:bCs/>
          <w:i/>
          <w:iCs/>
        </w:rPr>
        <w:t xml:space="preserve"> (Tonnes)</w:t>
      </w:r>
    </w:p>
    <w:p w14:paraId="45B97E44" w14:textId="5031E498" w:rsidR="009F20E1" w:rsidRDefault="00FF40AE" w:rsidP="009F20E1">
      <w:pPr>
        <w:pStyle w:val="BodyText10"/>
        <w:tabs>
          <w:tab w:val="left" w:pos="1418"/>
        </w:tabs>
        <w:ind w:right="-729"/>
      </w:pPr>
      <w:r>
        <w:t>In 2020, a</w:t>
      </w:r>
      <w:r w:rsidR="009F20E1" w:rsidRPr="000012DD">
        <w:t xml:space="preserve">viation </w:t>
      </w:r>
      <w:r w:rsidR="001A07A3" w:rsidRPr="000012DD">
        <w:t xml:space="preserve">analysis consumption </w:t>
      </w:r>
      <w:r w:rsidR="001A07A3">
        <w:t xml:space="preserve">of halon 1301 </w:t>
      </w:r>
      <w:r w:rsidR="009F20E1">
        <w:t>is</w:t>
      </w:r>
      <w:r w:rsidR="009F20E1" w:rsidRPr="000012DD">
        <w:t xml:space="preserve"> </w:t>
      </w:r>
      <w:r w:rsidR="004B14F7" w:rsidRPr="004B14F7">
        <w:t xml:space="preserve">2.479 tonnes </w:t>
      </w:r>
      <w:r w:rsidR="009F20E1" w:rsidRPr="000012DD">
        <w:t>(</w:t>
      </w:r>
      <w:r w:rsidR="00343F64">
        <w:t>7.6</w:t>
      </w:r>
      <w:r w:rsidR="009F20E1" w:rsidRPr="000012DD">
        <w:t xml:space="preserve">% annual emission </w:t>
      </w:r>
      <w:r w:rsidR="009F20E1">
        <w:t>of aviation halon 1301 inventory</w:t>
      </w:r>
      <w:r w:rsidR="009F20E1" w:rsidRPr="000012DD">
        <w:t>)</w:t>
      </w:r>
      <w:r w:rsidR="009F20E1">
        <w:t xml:space="preserve">. </w:t>
      </w:r>
    </w:p>
    <w:p w14:paraId="782DBE42" w14:textId="77777777" w:rsidR="009F20E1" w:rsidRDefault="009F20E1" w:rsidP="009F20E1">
      <w:pPr>
        <w:pStyle w:val="BodyText10"/>
        <w:tabs>
          <w:tab w:val="left" w:pos="1418"/>
        </w:tabs>
        <w:ind w:right="-729"/>
      </w:pPr>
      <w:r>
        <w:t>Halon 1301 consumption increases at 4% (left) and 6% (right) annual growth rates until new production aircraft adopt halon replacements.</w:t>
      </w:r>
    </w:p>
    <w:p w14:paraId="47AD3911" w14:textId="383B6E9B" w:rsidR="004B14F7" w:rsidRPr="000D0DC0" w:rsidRDefault="004F0EA2" w:rsidP="009F20E1">
      <w:pPr>
        <w:pStyle w:val="BodyText10"/>
        <w:tabs>
          <w:tab w:val="left" w:pos="1418"/>
        </w:tabs>
        <w:ind w:right="-729"/>
      </w:pPr>
      <w:r>
        <w:rPr>
          <w:noProof/>
        </w:rPr>
        <w:drawing>
          <wp:inline distT="0" distB="0" distL="0" distR="0" wp14:anchorId="7911B7BE" wp14:editId="37C2EB9C">
            <wp:extent cx="4572000" cy="2743200"/>
            <wp:effectExtent l="0" t="0" r="12700" b="12700"/>
            <wp:docPr id="13" name="Chart 13">
              <a:extLst xmlns:a="http://schemas.openxmlformats.org/drawingml/2006/main">
                <a:ext uri="{FF2B5EF4-FFF2-40B4-BE49-F238E27FC236}">
                  <a16:creationId xmlns:a16="http://schemas.microsoft.com/office/drawing/2014/main" id="{DA4C6924-CA34-E048-96DB-CA4D2C2109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A85CA7">
        <w:t xml:space="preserve"> </w:t>
      </w:r>
      <w:r>
        <w:rPr>
          <w:noProof/>
        </w:rPr>
        <w:drawing>
          <wp:inline distT="0" distB="0" distL="0" distR="0" wp14:anchorId="2673244F" wp14:editId="2A44A2E6">
            <wp:extent cx="4572000" cy="2743200"/>
            <wp:effectExtent l="0" t="0" r="12700" b="12700"/>
            <wp:docPr id="14" name="Chart 14">
              <a:extLst xmlns:a="http://schemas.openxmlformats.org/drawingml/2006/main">
                <a:ext uri="{FF2B5EF4-FFF2-40B4-BE49-F238E27FC236}">
                  <a16:creationId xmlns:a16="http://schemas.microsoft.com/office/drawing/2014/main" id="{143FC7B5-5EAE-E04C-AA2C-A7E92AE6BF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0865993" w14:textId="22210191" w:rsidR="00BC764D" w:rsidRDefault="00BC764D">
      <w:pPr>
        <w:rPr>
          <w:rFonts w:ascii="Book Antiqua" w:eastAsia="ヒラギノ角ゴ Pro W3" w:hAnsi="Book Antiqua"/>
          <w:color w:val="000000"/>
          <w:szCs w:val="20"/>
          <w:lang w:val="en-GB" w:eastAsia="en-US"/>
        </w:rPr>
      </w:pPr>
      <w:r>
        <w:br w:type="page"/>
      </w:r>
    </w:p>
    <w:p w14:paraId="79294C63" w14:textId="1B450372" w:rsidR="00BC764D" w:rsidRDefault="00BC764D" w:rsidP="00BC764D">
      <w:pPr>
        <w:pStyle w:val="BodyText10"/>
        <w:tabs>
          <w:tab w:val="left" w:pos="1418"/>
        </w:tabs>
        <w:rPr>
          <w:b/>
          <w:bCs/>
          <w:i/>
          <w:iCs/>
        </w:rPr>
      </w:pPr>
      <w:r w:rsidRPr="006C4E96">
        <w:rPr>
          <w:b/>
          <w:bCs/>
          <w:i/>
          <w:iCs/>
        </w:rPr>
        <w:lastRenderedPageBreak/>
        <w:t>Figure 4.7</w:t>
      </w:r>
      <w:r>
        <w:rPr>
          <w:b/>
          <w:bCs/>
          <w:i/>
          <w:iCs/>
        </w:rPr>
        <w:t>c</w:t>
      </w:r>
      <w:r w:rsidRPr="006C4E96">
        <w:rPr>
          <w:b/>
          <w:bCs/>
          <w:i/>
          <w:iCs/>
        </w:rPr>
        <w:tab/>
      </w:r>
      <w:r w:rsidRPr="00401816">
        <w:rPr>
          <w:b/>
          <w:bCs/>
          <w:i/>
          <w:iCs/>
        </w:rPr>
        <w:t xml:space="preserve">Estimated </w:t>
      </w:r>
      <w:r w:rsidRPr="006A0D72">
        <w:rPr>
          <w:b/>
          <w:i/>
        </w:rPr>
        <w:t>Future Halon 1</w:t>
      </w:r>
      <w:r w:rsidRPr="004A7A82">
        <w:rPr>
          <w:b/>
          <w:bCs/>
          <w:i/>
          <w:iCs/>
        </w:rPr>
        <w:t>301 Requirements for Non-Defence Uses</w:t>
      </w:r>
      <w:r w:rsidRPr="00401816">
        <w:rPr>
          <w:b/>
          <w:bCs/>
          <w:i/>
          <w:iCs/>
        </w:rPr>
        <w:t xml:space="preserve"> </w:t>
      </w:r>
      <w:r w:rsidRPr="006A0D72">
        <w:rPr>
          <w:b/>
          <w:i/>
        </w:rPr>
        <w:t>Ba</w:t>
      </w:r>
      <w:r w:rsidRPr="004A7A82">
        <w:rPr>
          <w:b/>
          <w:bCs/>
          <w:i/>
          <w:iCs/>
        </w:rPr>
        <w:t xml:space="preserve">sed on </w:t>
      </w:r>
      <w:r>
        <w:rPr>
          <w:b/>
          <w:bCs/>
          <w:i/>
          <w:iCs/>
        </w:rPr>
        <w:t>Aviation Analysis</w:t>
      </w:r>
      <w:r w:rsidRPr="004A7A82">
        <w:rPr>
          <w:b/>
          <w:bCs/>
          <w:i/>
          <w:iCs/>
        </w:rPr>
        <w:t xml:space="preserve"> (Tonnes)</w:t>
      </w:r>
    </w:p>
    <w:p w14:paraId="40646D72" w14:textId="1527C717" w:rsidR="00BC764D" w:rsidRDefault="00FF40AE" w:rsidP="00BC764D">
      <w:pPr>
        <w:pStyle w:val="BodyText10"/>
        <w:tabs>
          <w:tab w:val="left" w:pos="1418"/>
        </w:tabs>
        <w:ind w:right="-729"/>
      </w:pPr>
      <w:r>
        <w:t>In 2020, a</w:t>
      </w:r>
      <w:r w:rsidR="00BC764D" w:rsidRPr="000012DD">
        <w:t xml:space="preserve">viation </w:t>
      </w:r>
      <w:r w:rsidR="001A07A3" w:rsidRPr="000012DD">
        <w:t xml:space="preserve">analysis consumption </w:t>
      </w:r>
      <w:r w:rsidR="001A07A3">
        <w:t xml:space="preserve">of halon 1301 </w:t>
      </w:r>
      <w:r w:rsidR="00BC764D">
        <w:t>is</w:t>
      </w:r>
      <w:r w:rsidR="00BC764D" w:rsidRPr="000012DD">
        <w:t xml:space="preserve"> </w:t>
      </w:r>
      <w:r w:rsidR="00BC764D" w:rsidRPr="00BC764D">
        <w:t xml:space="preserve">4.892 tonnes </w:t>
      </w:r>
      <w:r w:rsidR="00BC764D" w:rsidRPr="000012DD">
        <w:t>(</w:t>
      </w:r>
      <w:r w:rsidR="00BC764D">
        <w:t>15</w:t>
      </w:r>
      <w:r w:rsidR="00BC764D" w:rsidRPr="000012DD">
        <w:t xml:space="preserve">% annual emission </w:t>
      </w:r>
      <w:r w:rsidR="00BC764D">
        <w:t>of aviation halon 1301 inventory</w:t>
      </w:r>
      <w:r w:rsidR="00BC764D" w:rsidRPr="000012DD">
        <w:t>)</w:t>
      </w:r>
      <w:r w:rsidR="00BC764D">
        <w:t xml:space="preserve">. </w:t>
      </w:r>
    </w:p>
    <w:p w14:paraId="67C79570" w14:textId="77777777" w:rsidR="00BC764D" w:rsidRDefault="00BC764D" w:rsidP="00BC764D">
      <w:pPr>
        <w:pStyle w:val="BodyText10"/>
        <w:tabs>
          <w:tab w:val="left" w:pos="1418"/>
        </w:tabs>
        <w:ind w:right="-729"/>
      </w:pPr>
      <w:r>
        <w:t>Halon 1301 consumption increases at 4% (left) and 6% (right) annual growth rates until new production aircraft adopt halon replacements.</w:t>
      </w:r>
    </w:p>
    <w:p w14:paraId="6745D5DD" w14:textId="531B7AD2" w:rsidR="00B04332" w:rsidRDefault="00B95D90" w:rsidP="000D0DC0">
      <w:pPr>
        <w:pStyle w:val="BodyText10"/>
        <w:ind w:right="-1012"/>
      </w:pPr>
      <w:r>
        <w:rPr>
          <w:noProof/>
        </w:rPr>
        <w:drawing>
          <wp:inline distT="0" distB="0" distL="0" distR="0" wp14:anchorId="7169AB6E" wp14:editId="7DE28F9F">
            <wp:extent cx="4572000" cy="2743200"/>
            <wp:effectExtent l="0" t="0" r="12700" b="12700"/>
            <wp:docPr id="15" name="Chart 15">
              <a:extLst xmlns:a="http://schemas.openxmlformats.org/drawingml/2006/main">
                <a:ext uri="{FF2B5EF4-FFF2-40B4-BE49-F238E27FC236}">
                  <a16:creationId xmlns:a16="http://schemas.microsoft.com/office/drawing/2014/main" id="{85870858-C5EE-1043-88CF-B0A6224434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t xml:space="preserve"> </w:t>
      </w:r>
      <w:r>
        <w:rPr>
          <w:noProof/>
        </w:rPr>
        <w:drawing>
          <wp:inline distT="0" distB="0" distL="0" distR="0" wp14:anchorId="6043B97B" wp14:editId="212F92CE">
            <wp:extent cx="4572000" cy="2743200"/>
            <wp:effectExtent l="0" t="0" r="12700" b="12700"/>
            <wp:docPr id="16" name="Chart 16">
              <a:extLst xmlns:a="http://schemas.openxmlformats.org/drawingml/2006/main">
                <a:ext uri="{FF2B5EF4-FFF2-40B4-BE49-F238E27FC236}">
                  <a16:creationId xmlns:a16="http://schemas.microsoft.com/office/drawing/2014/main" id="{1713BD2D-F4B7-154F-9113-F4A1BE1A60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693A4E2" w14:textId="77777777" w:rsidR="00BC764D" w:rsidRDefault="00BC764D" w:rsidP="00346089">
      <w:pPr>
        <w:pStyle w:val="BodyText10"/>
      </w:pPr>
    </w:p>
    <w:p w14:paraId="3ADA3120" w14:textId="77777777" w:rsidR="000F469D" w:rsidRDefault="000F469D" w:rsidP="00346089">
      <w:pPr>
        <w:pStyle w:val="BodyText10"/>
        <w:sectPr w:rsidR="000F469D" w:rsidSect="00E849E0">
          <w:pgSz w:w="16838" w:h="11899" w:orient="landscape" w:code="1"/>
          <w:pgMar w:top="1800" w:right="1526" w:bottom="1800" w:left="1440" w:header="720" w:footer="792" w:gutter="0"/>
          <w:cols w:space="720"/>
          <w:docGrid w:linePitch="326"/>
        </w:sectPr>
      </w:pPr>
    </w:p>
    <w:p w14:paraId="55822219" w14:textId="60858325" w:rsidR="006233E4" w:rsidRDefault="00796574" w:rsidP="00346089">
      <w:pPr>
        <w:pStyle w:val="BodyText10"/>
      </w:pPr>
      <w:r>
        <w:lastRenderedPageBreak/>
        <w:t xml:space="preserve">For halon 1211, </w:t>
      </w:r>
      <w:r w:rsidR="00D055BA">
        <w:t xml:space="preserve">based on </w:t>
      </w:r>
      <w:r w:rsidR="00F44DF8">
        <w:t xml:space="preserve">the </w:t>
      </w:r>
      <w:r w:rsidR="00D055BA">
        <w:t xml:space="preserve">NHB </w:t>
      </w:r>
      <w:r w:rsidR="00780344">
        <w:t>sales</w:t>
      </w:r>
      <w:r w:rsidR="00FE6787">
        <w:t xml:space="preserve"> analysis</w:t>
      </w:r>
      <w:r w:rsidR="00780344">
        <w:t xml:space="preserve">, </w:t>
      </w:r>
      <w:r w:rsidR="007E0B35">
        <w:t xml:space="preserve">between </w:t>
      </w:r>
      <w:r w:rsidR="00D1361E">
        <w:t>7</w:t>
      </w:r>
      <w:r w:rsidR="00D055BA">
        <w:t>.01</w:t>
      </w:r>
      <w:r w:rsidR="00403CFC">
        <w:t xml:space="preserve"> </w:t>
      </w:r>
      <w:r w:rsidR="0051670D">
        <w:t>and</w:t>
      </w:r>
      <w:r w:rsidR="00403CFC">
        <w:t xml:space="preserve"> </w:t>
      </w:r>
      <w:r w:rsidR="00D055BA">
        <w:t>10.35</w:t>
      </w:r>
      <w:r w:rsidR="00403CFC">
        <w:t xml:space="preserve"> tonnes</w:t>
      </w:r>
      <w:r w:rsidR="00B23AFB">
        <w:t>, depending on aircraft lifetime variables</w:t>
      </w:r>
      <w:r w:rsidR="000D0B22">
        <w:t>,</w:t>
      </w:r>
      <w:r w:rsidR="00403CFC">
        <w:t xml:space="preserve"> </w:t>
      </w:r>
      <w:r w:rsidR="00594240">
        <w:t>are</w:t>
      </w:r>
      <w:r w:rsidR="00267EEA">
        <w:t xml:space="preserve"> estimated </w:t>
      </w:r>
      <w:r w:rsidR="00172B2E">
        <w:t xml:space="preserve">to </w:t>
      </w:r>
      <w:r w:rsidR="00FE6787">
        <w:t xml:space="preserve">be needed to </w:t>
      </w:r>
      <w:r w:rsidR="00172B2E">
        <w:t xml:space="preserve">supply </w:t>
      </w:r>
      <w:r w:rsidR="00553B4A">
        <w:t>non-defence</w:t>
      </w:r>
      <w:r w:rsidR="00172B2E">
        <w:t xml:space="preserve"> uses</w:t>
      </w:r>
      <w:r w:rsidR="00C70390">
        <w:t xml:space="preserve"> </w:t>
      </w:r>
      <w:r w:rsidR="00913754">
        <w:t xml:space="preserve">until </w:t>
      </w:r>
      <w:r w:rsidR="000D0B22">
        <w:t>halon 1211 is no longer required</w:t>
      </w:r>
      <w:r w:rsidR="00063976">
        <w:t>.</w:t>
      </w:r>
      <w:r w:rsidR="00FE6787">
        <w:t xml:space="preserve"> </w:t>
      </w:r>
      <w:r w:rsidR="00A2013C">
        <w:t>B</w:t>
      </w:r>
      <w:r w:rsidR="00FE6787">
        <w:t xml:space="preserve">ased on the aviation </w:t>
      </w:r>
      <w:r w:rsidR="00904440">
        <w:t xml:space="preserve">inventory </w:t>
      </w:r>
      <w:r w:rsidR="00FE6787">
        <w:t>analysis</w:t>
      </w:r>
      <w:r w:rsidR="00904440">
        <w:t xml:space="preserve">, between </w:t>
      </w:r>
      <w:r w:rsidR="00F27347">
        <w:t>4.12 and 6.17 tonnes halon 1211</w:t>
      </w:r>
      <w:r w:rsidR="00992669">
        <w:t>, depending on aircraft lifetime variables,</w:t>
      </w:r>
      <w:r w:rsidR="00F27347">
        <w:t xml:space="preserve"> are estimated </w:t>
      </w:r>
      <w:r w:rsidR="00FC2233">
        <w:t>to be needed to supply non-defence uses until phase-out</w:t>
      </w:r>
      <w:r w:rsidR="00E33D50">
        <w:t>.</w:t>
      </w:r>
      <w:r w:rsidR="00E33D50" w:rsidRPr="00E33D50">
        <w:t xml:space="preserve"> </w:t>
      </w:r>
      <w:r w:rsidR="00E505B1">
        <w:t>These estimations</w:t>
      </w:r>
      <w:r w:rsidR="00E33D50">
        <w:t xml:space="preserve"> </w:t>
      </w:r>
      <w:r w:rsidR="003E336F">
        <w:t xml:space="preserve">can be </w:t>
      </w:r>
      <w:r w:rsidR="00E33D50">
        <w:t>compare</w:t>
      </w:r>
      <w:r w:rsidR="003E336F">
        <w:t>d</w:t>
      </w:r>
      <w:r w:rsidR="00E33D50">
        <w:t xml:space="preserve"> with the available </w:t>
      </w:r>
      <w:r w:rsidR="00632152">
        <w:t xml:space="preserve">NHB </w:t>
      </w:r>
      <w:r w:rsidR="00E33D50">
        <w:t>inventory of 93.03 tonnes</w:t>
      </w:r>
      <w:r w:rsidR="00A2013C">
        <w:t xml:space="preserve"> of halon 1211</w:t>
      </w:r>
      <w:r w:rsidR="00085EB5">
        <w:t>.</w:t>
      </w:r>
    </w:p>
    <w:p w14:paraId="555FFE54" w14:textId="632D7768" w:rsidR="007472A1" w:rsidRDefault="006233E4" w:rsidP="00346089">
      <w:pPr>
        <w:pStyle w:val="BodyText10"/>
      </w:pPr>
      <w:r>
        <w:t xml:space="preserve">The different estimated </w:t>
      </w:r>
      <w:r w:rsidR="003E65AE">
        <w:t xml:space="preserve">range of </w:t>
      </w:r>
      <w:r>
        <w:t xml:space="preserve">quantities </w:t>
      </w:r>
      <w:r w:rsidR="003E65AE">
        <w:t xml:space="preserve">resulting </w:t>
      </w:r>
      <w:r>
        <w:t xml:space="preserve">from the two methodologies </w:t>
      </w:r>
      <w:r w:rsidR="003E65AE">
        <w:t xml:space="preserve">for halon 1211 </w:t>
      </w:r>
      <w:r>
        <w:t xml:space="preserve">could be </w:t>
      </w:r>
      <w:r w:rsidR="00C677A7">
        <w:t xml:space="preserve">due to </w:t>
      </w:r>
      <w:r>
        <w:t xml:space="preserve">potential </w:t>
      </w:r>
      <w:r w:rsidR="00805518">
        <w:t>uncertainties</w:t>
      </w:r>
      <w:r w:rsidR="00C677A7">
        <w:t xml:space="preserve"> associated with </w:t>
      </w:r>
      <w:r w:rsidR="00D3683E">
        <w:t>assumptions</w:t>
      </w:r>
      <w:r>
        <w:t>, including</w:t>
      </w:r>
      <w:r w:rsidR="007472A1">
        <w:t>:</w:t>
      </w:r>
    </w:p>
    <w:p w14:paraId="16F808BA" w14:textId="042B05E3" w:rsidR="007472A1" w:rsidRDefault="00C30AD9" w:rsidP="000D0DC0">
      <w:pPr>
        <w:pStyle w:val="BodyText10"/>
        <w:numPr>
          <w:ilvl w:val="0"/>
          <w:numId w:val="37"/>
        </w:numPr>
      </w:pPr>
      <w:r>
        <w:t xml:space="preserve">A portion of </w:t>
      </w:r>
      <w:r w:rsidR="00805518">
        <w:t xml:space="preserve">NHB halon 1211 sales into non-aviation uses </w:t>
      </w:r>
      <w:r w:rsidR="00472DEB">
        <w:t xml:space="preserve">being </w:t>
      </w:r>
      <w:r w:rsidR="007472A1">
        <w:t>mis</w:t>
      </w:r>
      <w:r w:rsidR="001F777D">
        <w:t>-</w:t>
      </w:r>
      <w:r w:rsidR="007472A1">
        <w:t>assigned</w:t>
      </w:r>
      <w:r w:rsidR="00805518">
        <w:t xml:space="preserve"> as aviation</w:t>
      </w:r>
      <w:r w:rsidR="007472A1">
        <w:t xml:space="preserve"> uses</w:t>
      </w:r>
      <w:r w:rsidR="00805518">
        <w:t xml:space="preserve"> (</w:t>
      </w:r>
      <w:r w:rsidR="00DB3E9B">
        <w:t xml:space="preserve">leading to </w:t>
      </w:r>
      <w:r w:rsidR="00805518">
        <w:t>over-estimati</w:t>
      </w:r>
      <w:r w:rsidR="00DB3E9B">
        <w:t>on of</w:t>
      </w:r>
      <w:r w:rsidR="00805518">
        <w:t xml:space="preserve"> </w:t>
      </w:r>
      <w:r w:rsidR="00DB3E9B">
        <w:t>annual average sales into aviation</w:t>
      </w:r>
      <w:r w:rsidR="009A154E">
        <w:t xml:space="preserve"> in the NHB sales analysis</w:t>
      </w:r>
      <w:r w:rsidR="00DB3E9B">
        <w:t>)</w:t>
      </w:r>
      <w:r w:rsidR="00CF603E">
        <w:t>; or</w:t>
      </w:r>
    </w:p>
    <w:p w14:paraId="5B463ED7" w14:textId="517BDA89" w:rsidR="002306A8" w:rsidRDefault="00684AE9" w:rsidP="000D0DC0">
      <w:pPr>
        <w:pStyle w:val="BodyText10"/>
        <w:numPr>
          <w:ilvl w:val="0"/>
          <w:numId w:val="37"/>
        </w:numPr>
      </w:pPr>
      <w:r>
        <w:t>A larger</w:t>
      </w:r>
      <w:r w:rsidR="009A154E">
        <w:t xml:space="preserve"> </w:t>
      </w:r>
      <w:r w:rsidR="009016C7">
        <w:t xml:space="preserve">actual </w:t>
      </w:r>
      <w:r w:rsidR="00073015">
        <w:t xml:space="preserve">aviation </w:t>
      </w:r>
      <w:r w:rsidR="001F777D">
        <w:t xml:space="preserve">inventory of </w:t>
      </w:r>
      <w:r w:rsidR="009A154E">
        <w:t xml:space="preserve">halon 1211 </w:t>
      </w:r>
      <w:r w:rsidR="009016C7">
        <w:t xml:space="preserve">than </w:t>
      </w:r>
      <w:r w:rsidR="001F777D">
        <w:t xml:space="preserve">has been </w:t>
      </w:r>
      <w:r w:rsidR="009016C7">
        <w:t xml:space="preserve">estimated for </w:t>
      </w:r>
      <w:r w:rsidR="009A154E">
        <w:t>smaller aircraft</w:t>
      </w:r>
      <w:r w:rsidR="009016C7">
        <w:t xml:space="preserve"> </w:t>
      </w:r>
      <w:r w:rsidR="007472A1">
        <w:t xml:space="preserve">or </w:t>
      </w:r>
      <w:r w:rsidR="00073015">
        <w:t xml:space="preserve">higher actual annual emissions of halon 1211 from the </w:t>
      </w:r>
      <w:r>
        <w:t xml:space="preserve">aviation </w:t>
      </w:r>
      <w:r w:rsidR="00073015">
        <w:t xml:space="preserve">inventory </w:t>
      </w:r>
      <w:r w:rsidR="009016C7">
        <w:t xml:space="preserve">(leading to under-estimation of </w:t>
      </w:r>
      <w:r w:rsidR="000222B7">
        <w:t xml:space="preserve">consumption </w:t>
      </w:r>
      <w:r w:rsidR="00CB25FF">
        <w:t xml:space="preserve">of halon 1211 </w:t>
      </w:r>
      <w:r w:rsidR="000222B7">
        <w:t xml:space="preserve">in </w:t>
      </w:r>
      <w:r w:rsidR="00956A30">
        <w:t xml:space="preserve">the </w:t>
      </w:r>
      <w:r w:rsidR="000222B7">
        <w:t>aviation</w:t>
      </w:r>
      <w:r w:rsidR="00956A30">
        <w:t xml:space="preserve"> analysis</w:t>
      </w:r>
      <w:r w:rsidR="000222B7">
        <w:t>)</w:t>
      </w:r>
      <w:r w:rsidR="00805518">
        <w:t>.</w:t>
      </w:r>
    </w:p>
    <w:p w14:paraId="78DEF3AB" w14:textId="0398ED51" w:rsidR="009B0591" w:rsidRDefault="009E340B" w:rsidP="00346089">
      <w:pPr>
        <w:pStyle w:val="BodyText10"/>
      </w:pPr>
      <w:r>
        <w:t xml:space="preserve">There would appear to be a wide margin </w:t>
      </w:r>
      <w:r w:rsidR="00816590">
        <w:t xml:space="preserve">within the </w:t>
      </w:r>
      <w:r w:rsidR="007E2D63">
        <w:t xml:space="preserve">limit of </w:t>
      </w:r>
      <w:r w:rsidR="000E2CB7">
        <w:t xml:space="preserve">the </w:t>
      </w:r>
      <w:r w:rsidR="00DA4E98">
        <w:t>NHB</w:t>
      </w:r>
      <w:r w:rsidR="000E2CB7">
        <w:t>’s</w:t>
      </w:r>
      <w:r w:rsidR="00DA4E98">
        <w:t xml:space="preserve"> </w:t>
      </w:r>
      <w:r w:rsidR="000E2CB7">
        <w:t>reserves</w:t>
      </w:r>
      <w:r w:rsidR="00DA4E98">
        <w:t xml:space="preserve"> of halon 1211, </w:t>
      </w:r>
      <w:r w:rsidR="007E2D63">
        <w:t xml:space="preserve">which </w:t>
      </w:r>
      <w:r w:rsidR="00DA4E98">
        <w:t>minimis</w:t>
      </w:r>
      <w:r w:rsidR="007E2D63">
        <w:t>es</w:t>
      </w:r>
      <w:r w:rsidR="00DA4E98">
        <w:t xml:space="preserve"> the risks </w:t>
      </w:r>
      <w:r w:rsidR="00714602">
        <w:t xml:space="preserve">of inadequate supply </w:t>
      </w:r>
      <w:r w:rsidR="00292813">
        <w:t xml:space="preserve">of halon 1211 </w:t>
      </w:r>
      <w:r w:rsidR="00714602">
        <w:t>until replacements are installed.</w:t>
      </w:r>
      <w:r w:rsidR="00816590">
        <w:t xml:space="preserve"> </w:t>
      </w:r>
    </w:p>
    <w:p w14:paraId="595FA338" w14:textId="77792F4F" w:rsidR="00FA5EC4" w:rsidRDefault="0051670D" w:rsidP="00346089">
      <w:pPr>
        <w:pStyle w:val="BodyText10"/>
      </w:pPr>
      <w:r>
        <w:t xml:space="preserve">For halon 1301, </w:t>
      </w:r>
      <w:r w:rsidR="006D46F3">
        <w:t xml:space="preserve">based on the NHB sales analysis, </w:t>
      </w:r>
      <w:r>
        <w:t xml:space="preserve">between </w:t>
      </w:r>
      <w:r w:rsidR="006D46F3">
        <w:t>35.05</w:t>
      </w:r>
      <w:r>
        <w:t xml:space="preserve"> and </w:t>
      </w:r>
      <w:r w:rsidR="006D46F3">
        <w:t>96.81</w:t>
      </w:r>
      <w:r w:rsidR="00B44911">
        <w:t xml:space="preserve"> tonnes are estimated to </w:t>
      </w:r>
      <w:r w:rsidR="00632152">
        <w:t xml:space="preserve">be needed to </w:t>
      </w:r>
      <w:r w:rsidR="00B44911">
        <w:t xml:space="preserve">supply </w:t>
      </w:r>
      <w:r w:rsidR="00553B4A">
        <w:t>non-defence</w:t>
      </w:r>
      <w:r w:rsidR="00B44911">
        <w:t xml:space="preserve"> uses</w:t>
      </w:r>
      <w:r w:rsidR="00913754">
        <w:t xml:space="preserve"> until </w:t>
      </w:r>
      <w:r w:rsidR="000604B7">
        <w:t xml:space="preserve">halon 1301 is no longer required. The range of estimated quantities is dependent </w:t>
      </w:r>
      <w:r w:rsidR="00B44911">
        <w:t xml:space="preserve">on </w:t>
      </w:r>
      <w:r w:rsidR="005744B9">
        <w:t xml:space="preserve">the </w:t>
      </w:r>
      <w:r w:rsidR="00342B3A">
        <w:t xml:space="preserve">variables </w:t>
      </w:r>
      <w:r w:rsidR="005744B9">
        <w:t xml:space="preserve">of </w:t>
      </w:r>
      <w:r w:rsidR="00342B3A">
        <w:t xml:space="preserve">new design aircraft dates, </w:t>
      </w:r>
      <w:r w:rsidR="00B44911">
        <w:t>aircraft lifetime</w:t>
      </w:r>
      <w:r w:rsidR="00342B3A">
        <w:t xml:space="preserve">, </w:t>
      </w:r>
      <w:r w:rsidR="005744B9">
        <w:t xml:space="preserve">and aviation </w:t>
      </w:r>
      <w:r w:rsidR="00342B3A">
        <w:t>industry growth</w:t>
      </w:r>
      <w:r w:rsidR="005744B9">
        <w:t xml:space="preserve"> rates.</w:t>
      </w:r>
      <w:r w:rsidR="00632152">
        <w:t xml:space="preserve"> </w:t>
      </w:r>
      <w:r w:rsidR="006A0313">
        <w:t xml:space="preserve">Based on the aviation inventory analysis, between </w:t>
      </w:r>
      <w:r w:rsidR="00761853">
        <w:t>27.00</w:t>
      </w:r>
      <w:r w:rsidR="00960516">
        <w:t xml:space="preserve"> and </w:t>
      </w:r>
      <w:r w:rsidR="005816ED">
        <w:t>503.62</w:t>
      </w:r>
      <w:r w:rsidR="00960516">
        <w:t xml:space="preserve"> </w:t>
      </w:r>
      <w:r w:rsidR="006A0313">
        <w:t xml:space="preserve">tonnes halon 1301 are estimated to be needed to supply non-defence uses until </w:t>
      </w:r>
      <w:r w:rsidR="00632F28">
        <w:t xml:space="preserve">halon 1301 is no longer required. The range of estimated quantities is dependent </w:t>
      </w:r>
      <w:r w:rsidR="006A777B">
        <w:t xml:space="preserve">on the variables of the starting level of consumption estimated for 2020 </w:t>
      </w:r>
      <w:r w:rsidR="001245E4">
        <w:t>(</w:t>
      </w:r>
      <w:r w:rsidR="008C4332">
        <w:t xml:space="preserve">which are </w:t>
      </w:r>
      <w:r w:rsidR="006A777B">
        <w:t>based on different emission factors for the aviation inventory</w:t>
      </w:r>
      <w:r w:rsidR="001245E4">
        <w:t>)</w:t>
      </w:r>
      <w:r w:rsidR="006A777B">
        <w:t>, new design aircraft dates, aircraft lifetime, and aviation industry growth rates</w:t>
      </w:r>
      <w:r w:rsidR="006A0313">
        <w:t>.</w:t>
      </w:r>
      <w:r w:rsidR="006A777B">
        <w:t xml:space="preserve"> </w:t>
      </w:r>
      <w:r w:rsidR="00632152">
        <w:t xml:space="preserve">These estimations </w:t>
      </w:r>
      <w:r w:rsidR="00587592">
        <w:t xml:space="preserve">can be </w:t>
      </w:r>
      <w:r w:rsidR="00632152">
        <w:t>compare</w:t>
      </w:r>
      <w:r w:rsidR="00587592">
        <w:t>d</w:t>
      </w:r>
      <w:r w:rsidR="00632152">
        <w:t xml:space="preserve"> with the available NHB inventory of 16</w:t>
      </w:r>
      <w:r w:rsidR="00A2013C">
        <w:t>5.87</w:t>
      </w:r>
      <w:r w:rsidR="00632152">
        <w:t xml:space="preserve"> tonnes</w:t>
      </w:r>
      <w:r w:rsidR="00A2013C">
        <w:t xml:space="preserve"> of halon 1301</w:t>
      </w:r>
      <w:r w:rsidR="00632152">
        <w:t>.</w:t>
      </w:r>
    </w:p>
    <w:p w14:paraId="37540CA7" w14:textId="283599C8" w:rsidR="00731B57" w:rsidRDefault="00731B57" w:rsidP="00346089">
      <w:pPr>
        <w:pStyle w:val="BodyText10"/>
      </w:pPr>
      <w:r>
        <w:t>The different estimated range of quantities resulting from the two methodologies for halon 1</w:t>
      </w:r>
      <w:r w:rsidR="001E59FD">
        <w:t>301</w:t>
      </w:r>
      <w:r>
        <w:t xml:space="preserve"> could be due to potential uncertainties associated with assumptions</w:t>
      </w:r>
      <w:r w:rsidR="00FD44DE">
        <w:t xml:space="preserve">. The </w:t>
      </w:r>
      <w:r w:rsidR="002F38DB">
        <w:t xml:space="preserve">comparison between </w:t>
      </w:r>
      <w:r w:rsidR="00BC3C61">
        <w:t>each set of results</w:t>
      </w:r>
      <w:r w:rsidR="00C5503E">
        <w:t xml:space="preserve"> </w:t>
      </w:r>
      <w:r w:rsidR="00FD44DE">
        <w:t>highlight</w:t>
      </w:r>
      <w:r w:rsidR="002F38DB">
        <w:t>s</w:t>
      </w:r>
      <w:r w:rsidR="00FD44DE">
        <w:t xml:space="preserve"> the sensitivity associated with the consumption </w:t>
      </w:r>
      <w:r w:rsidR="00584BFA">
        <w:t>quantity used as starting point in 2020</w:t>
      </w:r>
      <w:r w:rsidR="00074155">
        <w:t xml:space="preserve">, and the importance of </w:t>
      </w:r>
      <w:r w:rsidR="009A35CD">
        <w:t xml:space="preserve">having </w:t>
      </w:r>
      <w:r w:rsidR="00F15D15">
        <w:t xml:space="preserve">an accurate </w:t>
      </w:r>
      <w:r w:rsidR="00A31637">
        <w:t xml:space="preserve">estimate of </w:t>
      </w:r>
      <w:r w:rsidR="00ED0017">
        <w:t xml:space="preserve">current </w:t>
      </w:r>
      <w:r w:rsidR="00F15D15">
        <w:t xml:space="preserve">annual </w:t>
      </w:r>
      <w:r w:rsidR="00ED0017">
        <w:t xml:space="preserve">halon </w:t>
      </w:r>
      <w:r w:rsidR="00F15D15">
        <w:t>consumption into non-defence uses</w:t>
      </w:r>
      <w:r w:rsidR="00C5503E">
        <w:t>.</w:t>
      </w:r>
    </w:p>
    <w:p w14:paraId="6C2E8111" w14:textId="44FA9B29" w:rsidR="005667C2" w:rsidRDefault="005744B9" w:rsidP="00346089">
      <w:pPr>
        <w:pStyle w:val="BodyText10"/>
      </w:pPr>
      <w:r>
        <w:t>Th</w:t>
      </w:r>
      <w:r w:rsidR="006A777B">
        <w:t>e</w:t>
      </w:r>
      <w:r>
        <w:t xml:space="preserve"> broad </w:t>
      </w:r>
      <w:r w:rsidR="00C9262E">
        <w:t xml:space="preserve">range </w:t>
      </w:r>
      <w:r w:rsidR="006A777B">
        <w:t xml:space="preserve">of possible outcomes for halon 1301 </w:t>
      </w:r>
      <w:r w:rsidR="00B528E2">
        <w:t xml:space="preserve">within each set of results </w:t>
      </w:r>
      <w:r w:rsidR="00D23EE7">
        <w:lastRenderedPageBreak/>
        <w:t>indicates</w:t>
      </w:r>
      <w:r w:rsidR="00C9262E">
        <w:t xml:space="preserve"> the </w:t>
      </w:r>
      <w:r w:rsidR="00D23EE7">
        <w:t xml:space="preserve">potential </w:t>
      </w:r>
      <w:r w:rsidR="008219DE">
        <w:t xml:space="preserve">impact of </w:t>
      </w:r>
      <w:r w:rsidR="0037390A">
        <w:t>the different variables</w:t>
      </w:r>
      <w:r w:rsidR="003C66B3">
        <w:t>, including the risks</w:t>
      </w:r>
      <w:r w:rsidR="00D23EE7">
        <w:t xml:space="preserve"> </w:t>
      </w:r>
      <w:r w:rsidR="009569B4">
        <w:t>associated</w:t>
      </w:r>
      <w:r w:rsidR="003C66B3">
        <w:t xml:space="preserve"> </w:t>
      </w:r>
      <w:r w:rsidR="00FA5EC4">
        <w:t xml:space="preserve">with </w:t>
      </w:r>
      <w:r w:rsidR="003C66B3">
        <w:t xml:space="preserve">delays in </w:t>
      </w:r>
      <w:r w:rsidR="009569B4">
        <w:t>implementing halon replacements.</w:t>
      </w:r>
      <w:r w:rsidR="00EF2F80">
        <w:t xml:space="preserve"> </w:t>
      </w:r>
    </w:p>
    <w:p w14:paraId="677BDF80" w14:textId="585F6BDF" w:rsidR="0051670D" w:rsidRDefault="00EF2F80" w:rsidP="00346089">
      <w:pPr>
        <w:pStyle w:val="BodyText10"/>
      </w:pPr>
      <w:r>
        <w:t xml:space="preserve">For example, </w:t>
      </w:r>
      <w:r w:rsidR="008B6DC5">
        <w:t xml:space="preserve">using the NHB sales analysis, </w:t>
      </w:r>
      <w:r>
        <w:t xml:space="preserve">a 10-year delay in </w:t>
      </w:r>
      <w:r w:rsidR="00266823">
        <w:t>implementing halon replacements</w:t>
      </w:r>
      <w:r w:rsidR="00B97EF8">
        <w:t>,</w:t>
      </w:r>
      <w:r w:rsidR="00266823">
        <w:t xml:space="preserve"> beyond the </w:t>
      </w:r>
      <w:r w:rsidR="00B1488C">
        <w:t xml:space="preserve">current </w:t>
      </w:r>
      <w:r w:rsidR="00413EBD">
        <w:t>International Civil Aviation Organization</w:t>
      </w:r>
      <w:r w:rsidR="00B1488C">
        <w:t xml:space="preserve"> </w:t>
      </w:r>
      <w:r w:rsidR="00B97EF8">
        <w:t xml:space="preserve">2024 </w:t>
      </w:r>
      <w:r w:rsidR="00B1488C">
        <w:t>date</w:t>
      </w:r>
      <w:r w:rsidR="00B97EF8">
        <w:t>,</w:t>
      </w:r>
      <w:r w:rsidR="00357712">
        <w:t xml:space="preserve"> </w:t>
      </w:r>
      <w:r w:rsidR="009A7021">
        <w:t xml:space="preserve">could </w:t>
      </w:r>
      <w:r w:rsidR="00357712">
        <w:t xml:space="preserve">nearly double the quantity of halon </w:t>
      </w:r>
      <w:r w:rsidR="004C4B2E">
        <w:t xml:space="preserve">1301 </w:t>
      </w:r>
      <w:r w:rsidR="00357712">
        <w:t xml:space="preserve">that would be required to supply </w:t>
      </w:r>
      <w:r w:rsidR="00553B4A">
        <w:t>non-defence</w:t>
      </w:r>
      <w:r w:rsidR="00357712">
        <w:t xml:space="preserve"> uses</w:t>
      </w:r>
      <w:r w:rsidR="000C402D">
        <w:t xml:space="preserve"> until replacements are available</w:t>
      </w:r>
      <w:r w:rsidR="00844918">
        <w:t>; a</w:t>
      </w:r>
      <w:r w:rsidR="00A97ABB">
        <w:t xml:space="preserve"> 15-year delay</w:t>
      </w:r>
      <w:r w:rsidR="00AF4A88">
        <w:t xml:space="preserve"> could more than double the </w:t>
      </w:r>
      <w:r w:rsidR="005667C2">
        <w:t xml:space="preserve">total </w:t>
      </w:r>
      <w:r w:rsidR="00844918">
        <w:t>demand for</w:t>
      </w:r>
      <w:r w:rsidR="000C402D">
        <w:t xml:space="preserve"> halon 1301.</w:t>
      </w:r>
      <w:r w:rsidR="00844918">
        <w:t xml:space="preserve"> </w:t>
      </w:r>
      <w:r w:rsidR="00FF1F3D">
        <w:t xml:space="preserve">Longer delays </w:t>
      </w:r>
      <w:r w:rsidR="00544EAE">
        <w:t>will increase</w:t>
      </w:r>
      <w:r w:rsidR="00277DF8">
        <w:t xml:space="preserve"> the total demand for halon 1301 and </w:t>
      </w:r>
      <w:r w:rsidR="00544EAE">
        <w:t>narrow</w:t>
      </w:r>
      <w:r w:rsidR="00277DF8">
        <w:t xml:space="preserve"> </w:t>
      </w:r>
      <w:r w:rsidR="00544EAE">
        <w:t xml:space="preserve">the </w:t>
      </w:r>
      <w:r w:rsidR="00277DF8">
        <w:t xml:space="preserve">margin within the limit of </w:t>
      </w:r>
      <w:r w:rsidR="00292813">
        <w:t>the NHB’s reserves of halon 1301, which increases the risks of inadequate supply of halon 1301 until replacements are installed.</w:t>
      </w:r>
      <w:r w:rsidR="00CF4659">
        <w:t xml:space="preserve"> </w:t>
      </w:r>
    </w:p>
    <w:p w14:paraId="0B970015" w14:textId="7F18D5AB" w:rsidR="00794DB7" w:rsidRDefault="00CF4659" w:rsidP="00346089">
      <w:pPr>
        <w:pStyle w:val="BodyText10"/>
      </w:pPr>
      <w:r>
        <w:t xml:space="preserve">The </w:t>
      </w:r>
      <w:r w:rsidR="00B626C6">
        <w:t xml:space="preserve">aviation analysis for halon 1301 brings the </w:t>
      </w:r>
      <w:r w:rsidR="007C586E">
        <w:t xml:space="preserve">potential </w:t>
      </w:r>
      <w:r w:rsidR="00B33912">
        <w:t>increased</w:t>
      </w:r>
      <w:r w:rsidR="00B626C6">
        <w:t xml:space="preserve"> risks into </w:t>
      </w:r>
      <w:r w:rsidR="004076ED">
        <w:t xml:space="preserve">sharp </w:t>
      </w:r>
      <w:r w:rsidR="00B626C6">
        <w:t xml:space="preserve">focus. Using the same variables </w:t>
      </w:r>
      <w:r w:rsidR="00E5479D">
        <w:t>as for the NHB sales analysis (</w:t>
      </w:r>
      <w:r w:rsidR="00CC409A">
        <w:t xml:space="preserve">date of introduction of new aircraft design, </w:t>
      </w:r>
      <w:r w:rsidR="00E5479D">
        <w:t xml:space="preserve">aircraft lifetimes, and aviation growth rates), </w:t>
      </w:r>
      <w:r w:rsidR="00B626C6">
        <w:t xml:space="preserve">but </w:t>
      </w:r>
      <w:r w:rsidR="00557E7C">
        <w:t xml:space="preserve">varying the </w:t>
      </w:r>
      <w:r w:rsidR="006E7FE1">
        <w:t xml:space="preserve">annual consumption </w:t>
      </w:r>
      <w:r w:rsidR="00CF6FEB">
        <w:t xml:space="preserve">quantity </w:t>
      </w:r>
      <w:r w:rsidR="00557E7C">
        <w:t>o</w:t>
      </w:r>
      <w:r w:rsidR="006E7FE1">
        <w:t>f</w:t>
      </w:r>
      <w:r w:rsidR="00557E7C">
        <w:t xml:space="preserve"> halon 1301 </w:t>
      </w:r>
      <w:r w:rsidR="00AC42D2">
        <w:t xml:space="preserve">in 2020 </w:t>
      </w:r>
      <w:r w:rsidR="00557E7C">
        <w:t>(</w:t>
      </w:r>
      <w:r w:rsidR="00CF6FEB">
        <w:t xml:space="preserve">based on </w:t>
      </w:r>
      <w:r w:rsidR="00557E7C">
        <w:t>different</w:t>
      </w:r>
      <w:r w:rsidR="00CF6FEB">
        <w:t xml:space="preserve"> rates of emissions from the aviation inventory</w:t>
      </w:r>
      <w:r w:rsidR="00557E7C">
        <w:t>)</w:t>
      </w:r>
      <w:r w:rsidR="00CF6FEB">
        <w:t xml:space="preserve">, a much broader spread of </w:t>
      </w:r>
      <w:r w:rsidR="00B33912">
        <w:t xml:space="preserve">future </w:t>
      </w:r>
      <w:r w:rsidR="00CF6FEB">
        <w:t>halon 1301 demand is</w:t>
      </w:r>
      <w:r w:rsidR="00B33912">
        <w:t xml:space="preserve"> estimated.</w:t>
      </w:r>
      <w:r w:rsidR="004076ED">
        <w:t xml:space="preserve"> </w:t>
      </w:r>
      <w:r w:rsidR="00B663D3">
        <w:t>W</w:t>
      </w:r>
      <w:r w:rsidR="004076ED">
        <w:t xml:space="preserve">ith lower </w:t>
      </w:r>
      <w:r w:rsidR="00B663D3">
        <w:t>annual emissions (2.3%)</w:t>
      </w:r>
      <w:r w:rsidR="001142E8">
        <w:t xml:space="preserve"> from the estimated aviation inventory, </w:t>
      </w:r>
      <w:r w:rsidR="00AE01E2">
        <w:t xml:space="preserve">future </w:t>
      </w:r>
      <w:r w:rsidR="000768E5">
        <w:t xml:space="preserve">total </w:t>
      </w:r>
      <w:r w:rsidR="00AE01E2">
        <w:t>halon demand remains within the limits of the NHB’s reserves of</w:t>
      </w:r>
      <w:r w:rsidR="000768E5">
        <w:t xml:space="preserve"> halon 1301. However, at higher annual emission rates (e.g., 7.6%), </w:t>
      </w:r>
      <w:r w:rsidR="00F41C37">
        <w:t xml:space="preserve">future total </w:t>
      </w:r>
      <w:r w:rsidR="00D03570">
        <w:t xml:space="preserve">halon 1301 demand can </w:t>
      </w:r>
      <w:r w:rsidR="00FF146D">
        <w:t>exceed the available supply from the NHB.</w:t>
      </w:r>
      <w:r w:rsidR="00D03570">
        <w:t xml:space="preserve"> </w:t>
      </w:r>
      <w:r w:rsidR="00DB1C92">
        <w:t xml:space="preserve">At </w:t>
      </w:r>
      <w:r w:rsidR="006F0D9E">
        <w:t xml:space="preserve">the highest </w:t>
      </w:r>
      <w:r w:rsidR="00DB1C92">
        <w:t xml:space="preserve">15% annual emission rate, </w:t>
      </w:r>
      <w:r w:rsidR="005D345A">
        <w:t>all scenarios exceed the available supply</w:t>
      </w:r>
      <w:r w:rsidR="00757A02">
        <w:t xml:space="preserve"> of halon 1301 from the NHB.</w:t>
      </w:r>
      <w:r w:rsidR="00394260">
        <w:t xml:space="preserve"> The 15% emission rate was one possible estimate based on actual international industry feedback.</w:t>
      </w:r>
      <w:r w:rsidR="00F31396">
        <w:t xml:space="preserve"> </w:t>
      </w:r>
      <w:r w:rsidR="00BB4BAA">
        <w:t>From a risk perspective, t</w:t>
      </w:r>
      <w:r w:rsidR="00F31396">
        <w:t xml:space="preserve">his </w:t>
      </w:r>
      <w:r w:rsidR="00F33044">
        <w:t xml:space="preserve">clearly </w:t>
      </w:r>
      <w:r w:rsidR="009955C1">
        <w:t>underlines</w:t>
      </w:r>
      <w:r w:rsidR="00F31396">
        <w:t xml:space="preserve"> the importance of </w:t>
      </w:r>
      <w:r w:rsidR="00AF7449">
        <w:t xml:space="preserve">Australia’s suite of </w:t>
      </w:r>
      <w:r w:rsidR="00FD0238">
        <w:t xml:space="preserve">halon management </w:t>
      </w:r>
      <w:r w:rsidR="00D601E3">
        <w:t xml:space="preserve">controls </w:t>
      </w:r>
      <w:r w:rsidR="00AF7449">
        <w:t>aimed at</w:t>
      </w:r>
      <w:r w:rsidR="00D5512F">
        <w:t xml:space="preserve"> minimis</w:t>
      </w:r>
      <w:r w:rsidR="00E67B6F">
        <w:t>ing</w:t>
      </w:r>
      <w:r w:rsidR="00D5512F">
        <w:t xml:space="preserve"> emissions in fire protection</w:t>
      </w:r>
      <w:r w:rsidR="00E67B6F">
        <w:t xml:space="preserve"> applications.</w:t>
      </w:r>
    </w:p>
    <w:p w14:paraId="3F0FDFB9" w14:textId="184B1F6F" w:rsidR="00252C73" w:rsidRDefault="00794DB7" w:rsidP="00346089">
      <w:pPr>
        <w:pStyle w:val="BodyText10"/>
      </w:pPr>
      <w:r>
        <w:t xml:space="preserve">It is interesting to </w:t>
      </w:r>
      <w:r w:rsidR="003905B1">
        <w:t>recall</w:t>
      </w:r>
      <w:r>
        <w:t xml:space="preserve"> t</w:t>
      </w:r>
      <w:r w:rsidR="00186F9E">
        <w:t xml:space="preserve">he previous </w:t>
      </w:r>
      <w:r w:rsidR="003905B1">
        <w:t xml:space="preserve">advice from international experts that halon consumption may not reduce until at least 2050. This </w:t>
      </w:r>
      <w:r w:rsidR="00465EDC">
        <w:t xml:space="preserve">advice </w:t>
      </w:r>
      <w:r w:rsidR="003905B1">
        <w:t>would be consistent with the scenario</w:t>
      </w:r>
      <w:r w:rsidR="00A95E0F">
        <w:t>s</w:t>
      </w:r>
      <w:r w:rsidR="003905B1">
        <w:t xml:space="preserve"> </w:t>
      </w:r>
      <w:r w:rsidR="0088488F">
        <w:t>for halon 1301</w:t>
      </w:r>
      <w:r w:rsidR="00C22B58">
        <w:t xml:space="preserve"> </w:t>
      </w:r>
      <w:r w:rsidR="00A95E0F">
        <w:t>with</w:t>
      </w:r>
      <w:r w:rsidR="00C22B58">
        <w:t xml:space="preserve"> a 2040 new design aircraft</w:t>
      </w:r>
      <w:r w:rsidR="00CF486E">
        <w:t xml:space="preserve"> implementation date and 10-year delay</w:t>
      </w:r>
      <w:r w:rsidR="00506E0B">
        <w:t xml:space="preserve"> in production of new aircraft</w:t>
      </w:r>
      <w:r w:rsidR="00F650F5">
        <w:t xml:space="preserve"> without halon from 2050 onwards</w:t>
      </w:r>
      <w:r w:rsidR="00506E0B">
        <w:t>.</w:t>
      </w:r>
      <w:r w:rsidR="00F650F5">
        <w:t xml:space="preserve"> </w:t>
      </w:r>
      <w:r w:rsidR="00FB13CC">
        <w:t xml:space="preserve">In these scenarios, </w:t>
      </w:r>
      <w:r w:rsidR="00000011">
        <w:t>depending</w:t>
      </w:r>
      <w:r w:rsidR="00FB13CC">
        <w:t xml:space="preserve"> on aircraft lifetime, halon </w:t>
      </w:r>
      <w:r w:rsidR="00F75E7B">
        <w:t xml:space="preserve">requirements do not cease until 2070 or 2080. </w:t>
      </w:r>
      <w:r w:rsidR="003344F7">
        <w:t>In the aviation analysis, a</w:t>
      </w:r>
      <w:r w:rsidR="00D95432">
        <w:t xml:space="preserve">t </w:t>
      </w:r>
      <w:r w:rsidR="003344F7">
        <w:t xml:space="preserve">medium </w:t>
      </w:r>
      <w:r w:rsidR="0043681B">
        <w:t>or</w:t>
      </w:r>
      <w:r w:rsidR="003344F7">
        <w:t xml:space="preserve"> </w:t>
      </w:r>
      <w:r w:rsidR="00D95432">
        <w:t xml:space="preserve">higher emission rates, </w:t>
      </w:r>
      <w:r w:rsidR="006A4EF4">
        <w:t xml:space="preserve">halon 1301 demand </w:t>
      </w:r>
      <w:r w:rsidR="0062525C">
        <w:t xml:space="preserve">far </w:t>
      </w:r>
      <w:r w:rsidR="006A4EF4">
        <w:t>exceed</w:t>
      </w:r>
      <w:r w:rsidR="003344F7">
        <w:t>s</w:t>
      </w:r>
      <w:r w:rsidR="006A4EF4">
        <w:t xml:space="preserve"> halon availability</w:t>
      </w:r>
      <w:r w:rsidR="001D29FD">
        <w:t xml:space="preserve"> for the scenarios where </w:t>
      </w:r>
      <w:r w:rsidR="00EF610E">
        <w:t>2040 is the new design aircraft date for halon replacements.</w:t>
      </w:r>
      <w:r w:rsidR="000A6854">
        <w:t xml:space="preserve"> </w:t>
      </w:r>
      <w:r w:rsidR="00895AD2">
        <w:t xml:space="preserve">This underlines the </w:t>
      </w:r>
      <w:r w:rsidR="00A54F8A">
        <w:t xml:space="preserve">on-going </w:t>
      </w:r>
      <w:r w:rsidR="00895AD2">
        <w:t xml:space="preserve">importance of </w:t>
      </w:r>
      <w:r w:rsidR="00A91545">
        <w:t xml:space="preserve">active international aviation </w:t>
      </w:r>
      <w:r w:rsidR="00895AD2">
        <w:t xml:space="preserve">industry </w:t>
      </w:r>
      <w:r w:rsidR="00A91545">
        <w:t xml:space="preserve">investigation and implementation of halon </w:t>
      </w:r>
      <w:r w:rsidR="00FF0798">
        <w:t xml:space="preserve">1301 </w:t>
      </w:r>
      <w:r w:rsidR="00A91545">
        <w:t>replacements at the earliest possible date</w:t>
      </w:r>
      <w:r w:rsidR="00FF0798">
        <w:t>s</w:t>
      </w:r>
      <w:r w:rsidR="00A91545">
        <w:t>.</w:t>
      </w:r>
    </w:p>
    <w:p w14:paraId="4176C6E9" w14:textId="3619A9A0" w:rsidR="00D358CF" w:rsidRDefault="00687377" w:rsidP="00346089">
      <w:pPr>
        <w:pStyle w:val="BodyText10"/>
      </w:pPr>
      <w:r>
        <w:t xml:space="preserve">Assuming </w:t>
      </w:r>
      <w:r w:rsidR="00394260">
        <w:t xml:space="preserve">the </w:t>
      </w:r>
      <w:r w:rsidR="002B12A4">
        <w:t xml:space="preserve">average </w:t>
      </w:r>
      <w:r w:rsidR="00B36A91">
        <w:t xml:space="preserve">annual sales of halon 1301 from the NHB </w:t>
      </w:r>
      <w:r w:rsidR="00E14723">
        <w:t>represent</w:t>
      </w:r>
      <w:r w:rsidR="00382D5E">
        <w:t xml:space="preserve"> </w:t>
      </w:r>
      <w:r w:rsidR="001F671C">
        <w:t xml:space="preserve">total annual </w:t>
      </w:r>
      <w:r w:rsidR="004432FE">
        <w:t xml:space="preserve">non-defence </w:t>
      </w:r>
      <w:r w:rsidR="00B36A91">
        <w:t>consumption</w:t>
      </w:r>
      <w:r w:rsidR="004432FE">
        <w:t xml:space="preserve">, </w:t>
      </w:r>
      <w:r w:rsidR="00D26DD8">
        <w:t xml:space="preserve">using the estimated halon 1301 aviation inventory, </w:t>
      </w:r>
      <w:r>
        <w:t xml:space="preserve">an </w:t>
      </w:r>
      <w:r w:rsidR="00EE5286">
        <w:t xml:space="preserve">annual </w:t>
      </w:r>
      <w:r>
        <w:t xml:space="preserve">emission rate of </w:t>
      </w:r>
      <w:r w:rsidR="00EE5286">
        <w:t>3% can be derived</w:t>
      </w:r>
      <w:r w:rsidR="0040368A">
        <w:t xml:space="preserve"> for Australian aviation</w:t>
      </w:r>
      <w:r w:rsidR="00EE5286">
        <w:t>.</w:t>
      </w:r>
      <w:r w:rsidR="0040368A">
        <w:t xml:space="preserve"> </w:t>
      </w:r>
      <w:r w:rsidR="00967D9B">
        <w:t xml:space="preserve">Similarly, assuming the </w:t>
      </w:r>
      <w:r w:rsidR="002B12A4">
        <w:t xml:space="preserve">average </w:t>
      </w:r>
      <w:r w:rsidR="00967D9B">
        <w:t xml:space="preserve">annual sales of halon 1211 from the NHB </w:t>
      </w:r>
      <w:r w:rsidR="00E14723">
        <w:t>represent</w:t>
      </w:r>
      <w:r w:rsidR="0058166F">
        <w:t xml:space="preserve"> </w:t>
      </w:r>
      <w:r w:rsidR="001F671C">
        <w:t xml:space="preserve">total annual </w:t>
      </w:r>
      <w:r w:rsidR="00967D9B">
        <w:t xml:space="preserve">non-defence consumption, using </w:t>
      </w:r>
      <w:r w:rsidR="00967D9B">
        <w:lastRenderedPageBreak/>
        <w:t>the estimated halon 1211 aviation inventory, an annual emission rate of 10% can be derived for Australian aviation.</w:t>
      </w:r>
    </w:p>
    <w:p w14:paraId="176E5EE4" w14:textId="6EC15094" w:rsidR="00ED3E8D" w:rsidRDefault="00777836" w:rsidP="00346089">
      <w:pPr>
        <w:pStyle w:val="BodyText10"/>
      </w:pPr>
      <w:r>
        <w:t xml:space="preserve">The </w:t>
      </w:r>
      <w:r w:rsidR="00503276">
        <w:t>2020 Halon Review</w:t>
      </w:r>
      <w:r w:rsidR="00B12D21">
        <w:t xml:space="preserve"> estimates </w:t>
      </w:r>
      <w:r w:rsidR="00041E99">
        <w:t xml:space="preserve">of halon requirements </w:t>
      </w:r>
      <w:r w:rsidR="00B12D21">
        <w:t xml:space="preserve">differ from the </w:t>
      </w:r>
      <w:r w:rsidR="001457BB">
        <w:t xml:space="preserve">estimates </w:t>
      </w:r>
      <w:r w:rsidR="007326B2">
        <w:t>derived</w:t>
      </w:r>
      <w:r w:rsidR="001457BB">
        <w:t xml:space="preserve"> </w:t>
      </w:r>
      <w:r w:rsidR="009279EC">
        <w:t xml:space="preserve">in the </w:t>
      </w:r>
      <w:r w:rsidR="001E11DB">
        <w:t xml:space="preserve">2012 </w:t>
      </w:r>
      <w:r>
        <w:t xml:space="preserve">Halon </w:t>
      </w:r>
      <w:r w:rsidR="001E11DB">
        <w:t>Review</w:t>
      </w:r>
      <w:r w:rsidR="0009129F">
        <w:rPr>
          <w:rStyle w:val="FootnoteReference"/>
        </w:rPr>
        <w:footnoteReference w:id="55"/>
      </w:r>
      <w:r w:rsidR="00041E99">
        <w:t>. While different scenarios</w:t>
      </w:r>
      <w:r w:rsidR="0034219B">
        <w:t>,</w:t>
      </w:r>
      <w:r w:rsidR="00041E99">
        <w:t xml:space="preserve"> </w:t>
      </w:r>
      <w:r w:rsidR="00D40193">
        <w:t xml:space="preserve">assumptions </w:t>
      </w:r>
      <w:r w:rsidR="0034219B">
        <w:t xml:space="preserve">and methodologies </w:t>
      </w:r>
      <w:r w:rsidR="00041E99">
        <w:t>have been</w:t>
      </w:r>
      <w:r w:rsidR="00D40193">
        <w:t xml:space="preserve"> applied, such as </w:t>
      </w:r>
      <w:r w:rsidR="007326B2">
        <w:t xml:space="preserve">using </w:t>
      </w:r>
      <w:r w:rsidR="00D40193">
        <w:t xml:space="preserve">lower </w:t>
      </w:r>
      <w:r w:rsidR="00FE6B9A">
        <w:t>average annual growth rates</w:t>
      </w:r>
      <w:r w:rsidR="00B0598F">
        <w:t xml:space="preserve">, </w:t>
      </w:r>
      <w:r w:rsidR="0034219B">
        <w:t>a</w:t>
      </w:r>
      <w:r w:rsidR="007326B2">
        <w:t xml:space="preserve"> significant</w:t>
      </w:r>
      <w:r w:rsidR="00B0598F">
        <w:t xml:space="preserve"> </w:t>
      </w:r>
      <w:r w:rsidR="002E2A5E">
        <w:t xml:space="preserve">methodological </w:t>
      </w:r>
      <w:r w:rsidR="00B0598F">
        <w:t xml:space="preserve">difference is </w:t>
      </w:r>
      <w:r w:rsidR="002E2A5E">
        <w:t xml:space="preserve">that </w:t>
      </w:r>
      <w:r w:rsidR="00F97E0B">
        <w:t xml:space="preserve">the 2012 </w:t>
      </w:r>
      <w:r>
        <w:t xml:space="preserve">Halon </w:t>
      </w:r>
      <w:r w:rsidR="00F97E0B">
        <w:t xml:space="preserve">Review included </w:t>
      </w:r>
      <w:r w:rsidR="00FB516C">
        <w:t xml:space="preserve">halon consumption </w:t>
      </w:r>
      <w:r w:rsidR="009476D0">
        <w:t xml:space="preserve">from the </w:t>
      </w:r>
      <w:r w:rsidR="00443BA5">
        <w:t xml:space="preserve">NHB </w:t>
      </w:r>
      <w:r w:rsidR="009476D0">
        <w:t xml:space="preserve">reserve </w:t>
      </w:r>
      <w:r w:rsidR="00FB516C">
        <w:t xml:space="preserve">for all purposes, </w:t>
      </w:r>
      <w:r w:rsidR="00383927">
        <w:t>non-defence</w:t>
      </w:r>
      <w:r w:rsidR="00FB516C">
        <w:t xml:space="preserve"> and </w:t>
      </w:r>
      <w:r w:rsidR="007326B2">
        <w:t>defence uses</w:t>
      </w:r>
      <w:r w:rsidR="0034219B">
        <w:t xml:space="preserve">, </w:t>
      </w:r>
      <w:r w:rsidR="004B76AB">
        <w:t>as a</w:t>
      </w:r>
      <w:r w:rsidR="00AC45C3">
        <w:t>n</w:t>
      </w:r>
      <w:r w:rsidR="004B76AB">
        <w:t xml:space="preserve"> </w:t>
      </w:r>
      <w:r w:rsidR="00AC45C3">
        <w:t xml:space="preserve">unavoidable </w:t>
      </w:r>
      <w:r w:rsidR="004B76AB">
        <w:t xml:space="preserve">result of limitations </w:t>
      </w:r>
      <w:r w:rsidR="00C26B84">
        <w:t>with</w:t>
      </w:r>
      <w:r w:rsidR="004B76AB">
        <w:t xml:space="preserve"> the </w:t>
      </w:r>
      <w:r w:rsidR="00500034">
        <w:t xml:space="preserve">then </w:t>
      </w:r>
      <w:r w:rsidR="004B76AB">
        <w:t xml:space="preserve">available data, </w:t>
      </w:r>
      <w:r w:rsidR="0034219B">
        <w:t>wher</w:t>
      </w:r>
      <w:r w:rsidR="00F51EED">
        <w:t>e</w:t>
      </w:r>
      <w:r w:rsidR="0034219B">
        <w:t xml:space="preserve">as the </w:t>
      </w:r>
      <w:r w:rsidR="00503276">
        <w:t>2020 Halon Review</w:t>
      </w:r>
      <w:r w:rsidR="0034219B">
        <w:t xml:space="preserve"> </w:t>
      </w:r>
      <w:r w:rsidR="0011052E">
        <w:t xml:space="preserve">has only considered designated </w:t>
      </w:r>
      <w:r w:rsidR="00F51EED">
        <w:t>(</w:t>
      </w:r>
      <w:r w:rsidR="00E37673">
        <w:t xml:space="preserve">NHB </w:t>
      </w:r>
      <w:r w:rsidR="00F51EED">
        <w:t>sales analysis</w:t>
      </w:r>
      <w:r w:rsidR="00E37673">
        <w:t xml:space="preserve"> using </w:t>
      </w:r>
      <w:r w:rsidR="007776F8">
        <w:t xml:space="preserve">only </w:t>
      </w:r>
      <w:r w:rsidR="00BD0F08">
        <w:t xml:space="preserve">NHB </w:t>
      </w:r>
      <w:r w:rsidR="007776F8">
        <w:t>sales</w:t>
      </w:r>
      <w:r w:rsidR="00E37673">
        <w:t xml:space="preserve"> designated as </w:t>
      </w:r>
      <w:r w:rsidR="007776F8">
        <w:t>non-defence</w:t>
      </w:r>
      <w:r w:rsidR="00F51EED">
        <w:t xml:space="preserve">) </w:t>
      </w:r>
      <w:r w:rsidR="0011052E">
        <w:t xml:space="preserve">or </w:t>
      </w:r>
      <w:r w:rsidR="00F51EED">
        <w:t>estimated</w:t>
      </w:r>
      <w:r w:rsidR="00130276">
        <w:t xml:space="preserve"> </w:t>
      </w:r>
      <w:r w:rsidR="00F51EED">
        <w:t xml:space="preserve">(aviation analysis) </w:t>
      </w:r>
      <w:r w:rsidR="00443BA5">
        <w:t xml:space="preserve">halon consumption in non-defence uses (primarily </w:t>
      </w:r>
      <w:r w:rsidR="0011052E">
        <w:t>aviation</w:t>
      </w:r>
      <w:r w:rsidR="00443BA5">
        <w:t>)</w:t>
      </w:r>
      <w:r w:rsidR="007326B2">
        <w:t>.</w:t>
      </w:r>
      <w:r w:rsidR="00B0598F">
        <w:t xml:space="preserve"> </w:t>
      </w:r>
    </w:p>
    <w:p w14:paraId="4A8263E5" w14:textId="4F5581B1" w:rsidR="00E27B2B" w:rsidRPr="002518AB" w:rsidRDefault="00777836" w:rsidP="00346089">
      <w:pPr>
        <w:pStyle w:val="BodyText10"/>
      </w:pPr>
      <w:r>
        <w:t>U</w:t>
      </w:r>
      <w:r w:rsidR="00C77663">
        <w:t xml:space="preserve">ncertainties </w:t>
      </w:r>
      <w:r w:rsidR="00291FC0">
        <w:t xml:space="preserve">in the </w:t>
      </w:r>
      <w:r w:rsidR="00EC4662">
        <w:t>analysis</w:t>
      </w:r>
      <w:r w:rsidR="00291FC0">
        <w:t xml:space="preserve"> </w:t>
      </w:r>
      <w:r>
        <w:t>surround</w:t>
      </w:r>
      <w:r w:rsidR="00A84877">
        <w:t xml:space="preserve"> </w:t>
      </w:r>
      <w:r w:rsidR="00F10700">
        <w:t>halon special permit</w:t>
      </w:r>
      <w:r w:rsidR="00A84877">
        <w:t xml:space="preserve"> holder activity</w:t>
      </w:r>
      <w:r w:rsidR="00DE52A7">
        <w:t xml:space="preserve"> </w:t>
      </w:r>
      <w:r w:rsidR="00DA42F1">
        <w:t xml:space="preserve">that is unable to be accurately quantified </w:t>
      </w:r>
      <w:r w:rsidR="00B465B8">
        <w:t>(such as potential reuse</w:t>
      </w:r>
      <w:r w:rsidR="00DA42F1">
        <w:t xml:space="preserve"> and supply</w:t>
      </w:r>
      <w:r w:rsidR="00B465B8">
        <w:t xml:space="preserve"> of recovered halon by industry stakeholders that could add to overall halon consumption in non-defence uses) </w:t>
      </w:r>
      <w:r w:rsidR="00DE52A7">
        <w:t>and reporting</w:t>
      </w:r>
      <w:r w:rsidR="005B7EB7">
        <w:t xml:space="preserve"> </w:t>
      </w:r>
      <w:r w:rsidR="00B465B8">
        <w:t xml:space="preserve">(such as NHB sales designated by purchasers into a certain halon end-use category potentially being used in a different end-use category). These uncertainties </w:t>
      </w:r>
      <w:r>
        <w:t>could</w:t>
      </w:r>
      <w:r w:rsidR="00A84877">
        <w:t xml:space="preserve"> </w:t>
      </w:r>
      <w:r w:rsidR="00DE52A7">
        <w:t>increase or decrease</w:t>
      </w:r>
      <w:r w:rsidR="00435FE7">
        <w:t xml:space="preserve"> the </w:t>
      </w:r>
      <w:r>
        <w:t xml:space="preserve">total </w:t>
      </w:r>
      <w:r w:rsidR="00435FE7">
        <w:t xml:space="preserve">halon requirements </w:t>
      </w:r>
      <w:r w:rsidR="00D42FE2">
        <w:t xml:space="preserve">for non-defence uses </w:t>
      </w:r>
      <w:r w:rsidR="00435FE7">
        <w:t xml:space="preserve">estimated </w:t>
      </w:r>
      <w:r w:rsidR="00713535">
        <w:t>from NHB sales</w:t>
      </w:r>
      <w:r w:rsidR="00435FE7">
        <w:t xml:space="preserve">. </w:t>
      </w:r>
      <w:r w:rsidR="00B74B79">
        <w:t>Improved or validated</w:t>
      </w:r>
      <w:r w:rsidR="00435FE7">
        <w:t xml:space="preserve"> reporting </w:t>
      </w:r>
      <w:r w:rsidR="00B74B79">
        <w:t>t</w:t>
      </w:r>
      <w:r w:rsidR="00560F0A">
        <w:t>hat</w:t>
      </w:r>
      <w:r w:rsidR="00FA6217">
        <w:t xml:space="preserve"> </w:t>
      </w:r>
      <w:r w:rsidR="003D716A">
        <w:t>more accurately</w:t>
      </w:r>
      <w:r w:rsidR="00B74B79">
        <w:t xml:space="preserve"> capture</w:t>
      </w:r>
      <w:r w:rsidR="00560F0A">
        <w:t>s</w:t>
      </w:r>
      <w:r w:rsidR="00DB2556">
        <w:t xml:space="preserve"> </w:t>
      </w:r>
      <w:r w:rsidR="004570F6">
        <w:t xml:space="preserve">halon </w:t>
      </w:r>
      <w:r w:rsidR="005C63DF">
        <w:t>usage</w:t>
      </w:r>
      <w:r w:rsidR="00B74B79">
        <w:t xml:space="preserve"> activities</w:t>
      </w:r>
      <w:r w:rsidR="00DB2556">
        <w:t xml:space="preserve"> </w:t>
      </w:r>
      <w:r w:rsidR="009F32A4">
        <w:t>w</w:t>
      </w:r>
      <w:r w:rsidR="007A1055">
        <w:t xml:space="preserve">ould meaningfully </w:t>
      </w:r>
      <w:r w:rsidR="0055701D">
        <w:t xml:space="preserve">inform </w:t>
      </w:r>
      <w:r w:rsidR="00B74B79">
        <w:t xml:space="preserve">future </w:t>
      </w:r>
      <w:r w:rsidR="00BC09F9">
        <w:t>estimations of halon requirements.</w:t>
      </w:r>
    </w:p>
    <w:p w14:paraId="1B6A18D4" w14:textId="1E5D3F64" w:rsidR="00973D30" w:rsidRPr="00973D30" w:rsidRDefault="003B4275" w:rsidP="00324056">
      <w:pPr>
        <w:pStyle w:val="Heading3"/>
      </w:pPr>
      <w:bookmarkStart w:id="64" w:name="_Toc38190367"/>
      <w:r>
        <w:t>Halon Quan</w:t>
      </w:r>
      <w:r w:rsidR="007B4914">
        <w:t>tity and Quality</w:t>
      </w:r>
      <w:bookmarkEnd w:id="64"/>
    </w:p>
    <w:p w14:paraId="50DD6C3F" w14:textId="3F262C0B" w:rsidR="00240CC0" w:rsidRDefault="00867637" w:rsidP="000D0DC0">
      <w:pPr>
        <w:pStyle w:val="BodyText10"/>
      </w:pPr>
      <w:r>
        <w:t>As h</w:t>
      </w:r>
      <w:r w:rsidR="00E559ED">
        <w:t>alon is no</w:t>
      </w:r>
      <w:r>
        <w:t xml:space="preserve"> longer being </w:t>
      </w:r>
      <w:r w:rsidR="00705E9D">
        <w:t xml:space="preserve">manufactured, the </w:t>
      </w:r>
      <w:r w:rsidR="00E20C27">
        <w:t>quality of</w:t>
      </w:r>
      <w:r w:rsidR="00705E9D">
        <w:t xml:space="preserve"> </w:t>
      </w:r>
      <w:r w:rsidR="001207D7">
        <w:t>recovered</w:t>
      </w:r>
      <w:r w:rsidR="00705E9D">
        <w:t xml:space="preserve"> halon used for </w:t>
      </w:r>
      <w:r w:rsidR="00734FD1">
        <w:t xml:space="preserve">filling new equipment or </w:t>
      </w:r>
      <w:r w:rsidR="00705E9D">
        <w:t xml:space="preserve">refilling </w:t>
      </w:r>
      <w:r w:rsidR="003D5E64">
        <w:t>or</w:t>
      </w:r>
      <w:r w:rsidR="00705E9D">
        <w:t xml:space="preserve"> replacing</w:t>
      </w:r>
      <w:r w:rsidR="00E559ED">
        <w:t xml:space="preserve"> </w:t>
      </w:r>
      <w:r w:rsidR="003D5E64">
        <w:t>existing</w:t>
      </w:r>
      <w:r w:rsidR="00E559ED">
        <w:t xml:space="preserve"> </w:t>
      </w:r>
      <w:r w:rsidR="004B2655">
        <w:t>equipment</w:t>
      </w:r>
      <w:r w:rsidR="002954AB">
        <w:t xml:space="preserve"> </w:t>
      </w:r>
      <w:r w:rsidR="00911CEA">
        <w:t>is becoming</w:t>
      </w:r>
      <w:r w:rsidR="001F0030">
        <w:t xml:space="preserve"> </w:t>
      </w:r>
      <w:r w:rsidR="009D252D">
        <w:t xml:space="preserve">a </w:t>
      </w:r>
      <w:r w:rsidR="001F0030">
        <w:t>more</w:t>
      </w:r>
      <w:r w:rsidR="009E6388">
        <w:t xml:space="preserve"> </w:t>
      </w:r>
      <w:r w:rsidR="00911CEA">
        <w:t>important</w:t>
      </w:r>
      <w:r w:rsidR="001F0030">
        <w:t xml:space="preserve"> </w:t>
      </w:r>
      <w:r w:rsidR="009D252D">
        <w:t>issue</w:t>
      </w:r>
      <w:r w:rsidR="002816CF">
        <w:t>,</w:t>
      </w:r>
      <w:r w:rsidR="00FF698C">
        <w:t xml:space="preserve"> </w:t>
      </w:r>
      <w:r w:rsidR="001F0030">
        <w:t>particular</w:t>
      </w:r>
      <w:r w:rsidR="00911CEA">
        <w:t xml:space="preserve">ly for </w:t>
      </w:r>
      <w:r w:rsidR="009E6388">
        <w:t xml:space="preserve">critical </w:t>
      </w:r>
      <w:r w:rsidR="00911CEA">
        <w:t>applications such as civil aviation.</w:t>
      </w:r>
      <w:r w:rsidR="00F10700">
        <w:t xml:space="preserve"> </w:t>
      </w:r>
      <w:r w:rsidR="007B56D1">
        <w:t>Uncertainties therefore also surround the available quantities of halon of appropriate quality for use in civil aviation.</w:t>
      </w:r>
    </w:p>
    <w:p w14:paraId="5E4A69EC" w14:textId="0A14FD9B" w:rsidR="00D078F7" w:rsidRDefault="009056FA" w:rsidP="000D0DC0">
      <w:pPr>
        <w:pStyle w:val="BodyText10"/>
      </w:pPr>
      <w:r>
        <w:t>Recycled halon often refe</w:t>
      </w:r>
      <w:r w:rsidR="00E10157">
        <w:t>rs to halon</w:t>
      </w:r>
      <w:r w:rsidR="002E24BC">
        <w:t xml:space="preserve"> that has been </w:t>
      </w:r>
      <w:r w:rsidR="002D4D75">
        <w:t>decanted from the original equipment</w:t>
      </w:r>
      <w:r w:rsidR="00540716">
        <w:t>,</w:t>
      </w:r>
      <w:r w:rsidR="002D4D75">
        <w:t xml:space="preserve"> </w:t>
      </w:r>
      <w:r w:rsidR="00240CC0">
        <w:t xml:space="preserve">processed </w:t>
      </w:r>
      <w:r w:rsidR="002D4D75">
        <w:t xml:space="preserve">and </w:t>
      </w:r>
      <w:r w:rsidR="002A1AEA">
        <w:t>cleaned</w:t>
      </w:r>
      <w:r w:rsidR="006C4D8C">
        <w:t>.</w:t>
      </w:r>
      <w:r w:rsidR="00F10700">
        <w:t xml:space="preserve"> </w:t>
      </w:r>
      <w:r w:rsidR="00240CC0">
        <w:t>C</w:t>
      </w:r>
      <w:r w:rsidR="006C4D8C">
        <w:t xml:space="preserve">ivil aviation </w:t>
      </w:r>
      <w:r w:rsidR="00B26633">
        <w:t xml:space="preserve">procedures </w:t>
      </w:r>
      <w:r w:rsidR="00240CC0">
        <w:t>specify</w:t>
      </w:r>
      <w:r w:rsidR="00B26633">
        <w:t xml:space="preserve"> </w:t>
      </w:r>
      <w:r w:rsidR="002B59C0">
        <w:t xml:space="preserve">halon </w:t>
      </w:r>
      <w:r w:rsidR="008C5A38">
        <w:t xml:space="preserve">certified to meet </w:t>
      </w:r>
      <w:r w:rsidR="009A5CD6">
        <w:t xml:space="preserve">international standards (either </w:t>
      </w:r>
      <w:r w:rsidR="009A5CD6">
        <w:rPr>
          <w:lang w:val="en-US"/>
        </w:rPr>
        <w:t xml:space="preserve">ASTM D 5632 Type 2 for </w:t>
      </w:r>
      <w:r w:rsidR="00F94F8D">
        <w:rPr>
          <w:lang w:val="en-US"/>
        </w:rPr>
        <w:t>h</w:t>
      </w:r>
      <w:r w:rsidR="009A5CD6">
        <w:rPr>
          <w:lang w:val="en-US"/>
        </w:rPr>
        <w:t xml:space="preserve">alon 1301 or ISO 7201 for </w:t>
      </w:r>
      <w:r w:rsidR="00F94F8D">
        <w:rPr>
          <w:lang w:val="en-US"/>
        </w:rPr>
        <w:t>h</w:t>
      </w:r>
      <w:r w:rsidR="009A5CD6">
        <w:rPr>
          <w:lang w:val="en-US"/>
        </w:rPr>
        <w:t>alon 1211)</w:t>
      </w:r>
      <w:r w:rsidR="00A369D4">
        <w:t xml:space="preserve">, essentially </w:t>
      </w:r>
      <w:r w:rsidR="008C5A38">
        <w:t xml:space="preserve">the same </w:t>
      </w:r>
      <w:r w:rsidR="00C46BF8">
        <w:t>specification as newly manufactured halo</w:t>
      </w:r>
      <w:r w:rsidR="00A369D4">
        <w:t>n.</w:t>
      </w:r>
      <w:r w:rsidR="00343730">
        <w:t xml:space="preserve"> </w:t>
      </w:r>
      <w:r w:rsidR="00E547BB">
        <w:t xml:space="preserve">Halon </w:t>
      </w:r>
      <w:r w:rsidR="00540716">
        <w:t>recovered and recycled</w:t>
      </w:r>
      <w:r w:rsidR="00E547BB">
        <w:t xml:space="preserve"> from </w:t>
      </w:r>
      <w:r w:rsidR="00540716">
        <w:t>original</w:t>
      </w:r>
      <w:r w:rsidR="00E547BB">
        <w:t xml:space="preserve"> equipment may not necessarily meet international standards because of contamination or non-condensable gas content. A </w:t>
      </w:r>
      <w:r w:rsidR="00270F19">
        <w:t xml:space="preserve">small </w:t>
      </w:r>
      <w:r w:rsidR="00E547BB">
        <w:t xml:space="preserve">number of service providers have indicated that they are able to reclaim halon to ISO 7201 or </w:t>
      </w:r>
      <w:r w:rsidR="00E547BB">
        <w:lastRenderedPageBreak/>
        <w:t>ASTM D5632 Type 1 or Type 2, while others are not.</w:t>
      </w:r>
      <w:r w:rsidR="008F6040">
        <w:t xml:space="preserve"> </w:t>
      </w:r>
    </w:p>
    <w:p w14:paraId="67128F62" w14:textId="3981F944" w:rsidR="00E547BB" w:rsidRDefault="00E547BB" w:rsidP="000D0DC0">
      <w:pPr>
        <w:pStyle w:val="BodyText10"/>
      </w:pPr>
      <w:r>
        <w:t>There is some uncertainty about the effects of long-term storage (30+ years), particularly whether the storage containers, seals, valves and fittings could degrade and contaminate the halon. If there was substantial contamination in stocks of halon held either by the NHB or other halon special permit holders due to the extraordinary length of time it is stored for, this could materially reduce the net amount of ISO 7201 or ASTM D5632 Type 2 halon that can be produced from halon stocks.</w:t>
      </w:r>
    </w:p>
    <w:p w14:paraId="7AEBDCF1" w14:textId="084635BB" w:rsidR="002A42D5" w:rsidRDefault="00BF5A9A" w:rsidP="000D0DC0">
      <w:pPr>
        <w:pStyle w:val="BodyText10"/>
      </w:pPr>
      <w:r>
        <w:t>E</w:t>
      </w:r>
      <w:r w:rsidR="0085080E">
        <w:t>stimat</w:t>
      </w:r>
      <w:r>
        <w:t>es</w:t>
      </w:r>
      <w:r w:rsidR="0085080E">
        <w:t xml:space="preserve"> of </w:t>
      </w:r>
      <w:r w:rsidR="00F27631">
        <w:t>the quantity</w:t>
      </w:r>
      <w:r w:rsidR="0085080E">
        <w:t xml:space="preserve"> of </w:t>
      </w:r>
      <w:r w:rsidR="00D23C50">
        <w:t>future halon requir</w:t>
      </w:r>
      <w:r w:rsidR="00301D33">
        <w:t>ed</w:t>
      </w:r>
      <w:r w:rsidR="00D23C50">
        <w:t xml:space="preserve"> </w:t>
      </w:r>
      <w:r w:rsidR="002A5D4F">
        <w:t>for</w:t>
      </w:r>
      <w:r w:rsidR="006C4801">
        <w:t xml:space="preserve"> civil aviation </w:t>
      </w:r>
      <w:r w:rsidR="00FC7E5E">
        <w:t xml:space="preserve">should </w:t>
      </w:r>
      <w:r w:rsidR="00724EAB">
        <w:t>provide valu</w:t>
      </w:r>
      <w:r w:rsidR="00FC7E5E">
        <w:t>e as an</w:t>
      </w:r>
      <w:r w:rsidR="00301D33">
        <w:t xml:space="preserve"> input to policy</w:t>
      </w:r>
      <w:r w:rsidR="00FC7E5E">
        <w:t xml:space="preserve"> considerations</w:t>
      </w:r>
      <w:r w:rsidR="00605F94">
        <w:t xml:space="preserve">. </w:t>
      </w:r>
      <w:r w:rsidR="00D75A9E">
        <w:t>T</w:t>
      </w:r>
      <w:r w:rsidR="00D23C50">
        <w:t>he</w:t>
      </w:r>
      <w:r w:rsidR="000A4954">
        <w:t xml:space="preserve"> </w:t>
      </w:r>
      <w:r w:rsidR="008E2140">
        <w:t xml:space="preserve">quality of </w:t>
      </w:r>
      <w:r w:rsidR="002A1BCF">
        <w:t xml:space="preserve">available </w:t>
      </w:r>
      <w:r w:rsidR="008E2140">
        <w:t>stocks of halon and</w:t>
      </w:r>
      <w:r w:rsidR="00D23C50">
        <w:t xml:space="preserve"> the</w:t>
      </w:r>
      <w:r w:rsidR="000A4954">
        <w:t xml:space="preserve"> capacity of the industry to meet </w:t>
      </w:r>
      <w:r w:rsidR="00761D3B">
        <w:t xml:space="preserve">demand for </w:t>
      </w:r>
      <w:r w:rsidR="00CE5FBA">
        <w:t>ISO</w:t>
      </w:r>
      <w:r w:rsidR="00463036">
        <w:t xml:space="preserve"> </w:t>
      </w:r>
      <w:r w:rsidR="00CE5FBA">
        <w:t xml:space="preserve">7201 </w:t>
      </w:r>
      <w:r w:rsidR="009667B1">
        <w:t xml:space="preserve">or ASTM D5632 </w:t>
      </w:r>
      <w:r w:rsidR="00CE5FBA">
        <w:t>Type 2</w:t>
      </w:r>
      <w:r w:rsidR="005C2430">
        <w:t xml:space="preserve"> </w:t>
      </w:r>
      <w:r w:rsidR="00F40073">
        <w:t>will become increasing</w:t>
      </w:r>
      <w:r w:rsidR="008A073C">
        <w:t>ly importan</w:t>
      </w:r>
      <w:r w:rsidR="00934E98">
        <w:t>t</w:t>
      </w:r>
      <w:r w:rsidR="001E7436">
        <w:t>.</w:t>
      </w:r>
      <w:r w:rsidR="00241CF7">
        <w:t xml:space="preserve"> If there </w:t>
      </w:r>
      <w:r w:rsidR="002A1BCF">
        <w:t xml:space="preserve">were </w:t>
      </w:r>
      <w:r w:rsidR="00241CF7">
        <w:t xml:space="preserve">substantial contamination in stocks of halon held either by the NHB or other halon special permit holders, </w:t>
      </w:r>
      <w:r w:rsidR="00244FBE">
        <w:t xml:space="preserve">or any significant losses of agent due to processing used to meet the required standards, these </w:t>
      </w:r>
      <w:r w:rsidR="00241CF7">
        <w:t>could materially reduce the net amount of ISO</w:t>
      </w:r>
      <w:r w:rsidR="00463036">
        <w:t xml:space="preserve"> </w:t>
      </w:r>
      <w:r w:rsidR="00241CF7">
        <w:t xml:space="preserve">7201 </w:t>
      </w:r>
      <w:r w:rsidR="00927784">
        <w:t xml:space="preserve">or ASTM D5632 </w:t>
      </w:r>
      <w:r w:rsidR="00241CF7">
        <w:t xml:space="preserve">Type 2 halon that </w:t>
      </w:r>
      <w:r w:rsidR="00927784">
        <w:t xml:space="preserve">could </w:t>
      </w:r>
      <w:r w:rsidR="00241CF7">
        <w:t xml:space="preserve">be produced from halon stocks. </w:t>
      </w:r>
    </w:p>
    <w:p w14:paraId="3B2536B9" w14:textId="5EDF65FE" w:rsidR="00BE2B00" w:rsidRPr="000D0DC0" w:rsidRDefault="00BE2B00" w:rsidP="000D0DC0">
      <w:pPr>
        <w:pStyle w:val="BodyText10"/>
      </w:pPr>
      <w:r>
        <w:t>To maximise future available halon, any methods or equipment implemented to reclaim halon to meet international standards should be designed to be efficient</w:t>
      </w:r>
      <w:r w:rsidR="008B5BCB">
        <w:t xml:space="preserve"> and </w:t>
      </w:r>
      <w:r>
        <w:t>minimise any potential loss of halon</w:t>
      </w:r>
      <w:r w:rsidR="008B5BCB">
        <w:t xml:space="preserve"> during the process and</w:t>
      </w:r>
      <w:r>
        <w:t xml:space="preserve"> any potential contamination.</w:t>
      </w:r>
    </w:p>
    <w:p w14:paraId="30791D1E" w14:textId="77777777" w:rsidR="00074A4C" w:rsidRDefault="00074A4C">
      <w:pPr>
        <w:rPr>
          <w:b/>
          <w:sz w:val="28"/>
        </w:rPr>
      </w:pPr>
      <w:r>
        <w:br w:type="page"/>
      </w:r>
    </w:p>
    <w:p w14:paraId="53A3D8F4" w14:textId="4D00BDAB" w:rsidR="00E51F07" w:rsidRPr="002451FC" w:rsidRDefault="006068C4" w:rsidP="002451FC">
      <w:pPr>
        <w:pStyle w:val="Heading1"/>
      </w:pPr>
      <w:bookmarkStart w:id="65" w:name="_Toc38190368"/>
      <w:r w:rsidRPr="002451FC">
        <w:lastRenderedPageBreak/>
        <w:t xml:space="preserve">International </w:t>
      </w:r>
      <w:r w:rsidR="002A42D5" w:rsidRPr="002451FC">
        <w:t>S</w:t>
      </w:r>
      <w:r w:rsidR="00E51F07" w:rsidRPr="002451FC">
        <w:t xml:space="preserve">ale </w:t>
      </w:r>
      <w:r w:rsidR="002A42D5" w:rsidRPr="002451FC">
        <w:t>P</w:t>
      </w:r>
      <w:r w:rsidR="00E51F07" w:rsidRPr="002451FC">
        <w:t xml:space="preserve">rice of </w:t>
      </w:r>
      <w:r w:rsidR="002A42D5" w:rsidRPr="002451FC">
        <w:t>H</w:t>
      </w:r>
      <w:r w:rsidR="00E51F07" w:rsidRPr="002451FC">
        <w:t>alon</w:t>
      </w:r>
      <w:bookmarkEnd w:id="65"/>
    </w:p>
    <w:p w14:paraId="06768CFF" w14:textId="51F9407D" w:rsidR="00484491" w:rsidRPr="001B3A85" w:rsidRDefault="00AD4C8D" w:rsidP="00AC563D">
      <w:pPr>
        <w:pStyle w:val="BodyText10"/>
      </w:pPr>
      <w:r>
        <w:t>Internationally t</w:t>
      </w:r>
      <w:r w:rsidR="00505722" w:rsidRPr="001B3A85">
        <w:t xml:space="preserve">he sale price of halon </w:t>
      </w:r>
      <w:r w:rsidR="00484491" w:rsidRPr="001B3A85">
        <w:t xml:space="preserve">can </w:t>
      </w:r>
      <w:r w:rsidR="00505722" w:rsidRPr="001B3A85">
        <w:t>var</w:t>
      </w:r>
      <w:r w:rsidR="00484491" w:rsidRPr="001B3A85">
        <w:t>y</w:t>
      </w:r>
      <w:r w:rsidR="00505722" w:rsidRPr="001B3A85">
        <w:t xml:space="preserve"> greatly depending on</w:t>
      </w:r>
      <w:r w:rsidR="00484491" w:rsidRPr="001B3A85">
        <w:t>:</w:t>
      </w:r>
      <w:r w:rsidR="00505722" w:rsidRPr="001B3A85">
        <w:t xml:space="preserve"> </w:t>
      </w:r>
    </w:p>
    <w:p w14:paraId="1666079A" w14:textId="03E3682C" w:rsidR="00484491" w:rsidRPr="001B3A85" w:rsidRDefault="00484491" w:rsidP="00AC563D">
      <w:pPr>
        <w:pStyle w:val="BodyText10"/>
        <w:numPr>
          <w:ilvl w:val="0"/>
          <w:numId w:val="33"/>
        </w:numPr>
      </w:pPr>
      <w:r w:rsidRPr="001B3A85">
        <w:t>L</w:t>
      </w:r>
      <w:r w:rsidR="00505722" w:rsidRPr="001B3A85">
        <w:t>ocation</w:t>
      </w:r>
      <w:r w:rsidR="00AD4C8D">
        <w:t xml:space="preserve"> of </w:t>
      </w:r>
      <w:r w:rsidR="00B10A27">
        <w:t>vendor</w:t>
      </w:r>
      <w:r w:rsidR="00AD4C8D">
        <w:t xml:space="preserve"> and </w:t>
      </w:r>
      <w:r w:rsidR="00B10A27">
        <w:t>purchaser</w:t>
      </w:r>
    </w:p>
    <w:p w14:paraId="1D07BF31" w14:textId="622BCC42" w:rsidR="000173EB" w:rsidRPr="001B3A85" w:rsidRDefault="000173EB" w:rsidP="00AC563D">
      <w:pPr>
        <w:pStyle w:val="BodyText10"/>
        <w:numPr>
          <w:ilvl w:val="0"/>
          <w:numId w:val="33"/>
        </w:numPr>
      </w:pPr>
      <w:r w:rsidRPr="001B3A85">
        <w:t xml:space="preserve">Momentary </w:t>
      </w:r>
      <w:r w:rsidR="00F40619" w:rsidRPr="001B3A85">
        <w:t xml:space="preserve">supply and </w:t>
      </w:r>
      <w:r w:rsidR="00505722" w:rsidRPr="001B3A85">
        <w:t>demand</w:t>
      </w:r>
      <w:r w:rsidR="00B10A27">
        <w:t xml:space="preserve"> considerations</w:t>
      </w:r>
    </w:p>
    <w:p w14:paraId="68D51636" w14:textId="706D993E" w:rsidR="00940141" w:rsidRPr="001B3A85" w:rsidRDefault="000173EB" w:rsidP="00AC563D">
      <w:pPr>
        <w:pStyle w:val="BodyText10"/>
        <w:numPr>
          <w:ilvl w:val="0"/>
          <w:numId w:val="33"/>
        </w:numPr>
      </w:pPr>
      <w:r w:rsidRPr="001B3A85">
        <w:t>C</w:t>
      </w:r>
      <w:r w:rsidR="00F40619" w:rsidRPr="001B3A85">
        <w:t>ontamination levels</w:t>
      </w:r>
    </w:p>
    <w:p w14:paraId="1D6A2F5C" w14:textId="379CCD85" w:rsidR="00940141" w:rsidRPr="001B3A85" w:rsidRDefault="00B10A27" w:rsidP="00AC563D">
      <w:pPr>
        <w:pStyle w:val="BodyText10"/>
        <w:numPr>
          <w:ilvl w:val="0"/>
          <w:numId w:val="33"/>
        </w:numPr>
        <w:rPr>
          <w:rFonts w:cs="Calibri"/>
          <w:sz w:val="20"/>
          <w:szCs w:val="24"/>
        </w:rPr>
      </w:pPr>
      <w:r>
        <w:t>W</w:t>
      </w:r>
      <w:r w:rsidR="00370386" w:rsidRPr="001B3A85">
        <w:t xml:space="preserve">hether </w:t>
      </w:r>
      <w:r w:rsidR="00370386" w:rsidRPr="001B3A85">
        <w:rPr>
          <w:rFonts w:cs="Calibri"/>
          <w:szCs w:val="24"/>
        </w:rPr>
        <w:t xml:space="preserve">halon is laboratory certified </w:t>
      </w:r>
    </w:p>
    <w:p w14:paraId="1F377DAD" w14:textId="7C92CFF9" w:rsidR="00940141" w:rsidRPr="001B3A85" w:rsidRDefault="00CA19EC" w:rsidP="00AC563D">
      <w:pPr>
        <w:pStyle w:val="BodyText10"/>
        <w:numPr>
          <w:ilvl w:val="0"/>
          <w:numId w:val="33"/>
        </w:numPr>
        <w:rPr>
          <w:rFonts w:cs="Calibri"/>
          <w:sz w:val="20"/>
          <w:szCs w:val="24"/>
        </w:rPr>
      </w:pPr>
      <w:r>
        <w:rPr>
          <w:rFonts w:cs="Calibri"/>
        </w:rPr>
        <w:t>W</w:t>
      </w:r>
      <w:r w:rsidR="00940141" w:rsidRPr="001B3A85">
        <w:rPr>
          <w:rFonts w:cs="Calibri"/>
        </w:rPr>
        <w:t>hether</w:t>
      </w:r>
      <w:r w:rsidR="00940141" w:rsidRPr="001B3A85">
        <w:rPr>
          <w:rFonts w:cs="Calibri"/>
          <w:szCs w:val="24"/>
        </w:rPr>
        <w:t xml:space="preserve"> the sale is occurring from a reputable source</w:t>
      </w:r>
    </w:p>
    <w:p w14:paraId="667B7892" w14:textId="326A872A" w:rsidR="00940141" w:rsidRDefault="00CA19EC" w:rsidP="00AC563D">
      <w:pPr>
        <w:pStyle w:val="BodyText10"/>
        <w:numPr>
          <w:ilvl w:val="0"/>
          <w:numId w:val="33"/>
        </w:numPr>
        <w:rPr>
          <w:rFonts w:cs="Calibri"/>
        </w:rPr>
      </w:pPr>
      <w:r>
        <w:rPr>
          <w:rFonts w:cs="Calibri"/>
        </w:rPr>
        <w:t>B</w:t>
      </w:r>
      <w:r w:rsidR="00940141" w:rsidRPr="001B3A85">
        <w:rPr>
          <w:rFonts w:cs="Calibri"/>
        </w:rPr>
        <w:t>ulk</w:t>
      </w:r>
      <w:r w:rsidR="00940141" w:rsidRPr="001B3A85">
        <w:rPr>
          <w:rFonts w:cs="Calibri"/>
          <w:szCs w:val="24"/>
        </w:rPr>
        <w:t xml:space="preserve"> quantities </w:t>
      </w:r>
      <w:r w:rsidR="00712561">
        <w:rPr>
          <w:rFonts w:cs="Calibri"/>
        </w:rPr>
        <w:t>vs</w:t>
      </w:r>
      <w:r w:rsidR="000B66DD" w:rsidRPr="001B3A85">
        <w:rPr>
          <w:rFonts w:cs="Calibri"/>
          <w:szCs w:val="24"/>
        </w:rPr>
        <w:t xml:space="preserve"> single fill quantities vs filled</w:t>
      </w:r>
      <w:r w:rsidR="005E4BFE" w:rsidRPr="001B3A85">
        <w:rPr>
          <w:rFonts w:cs="Calibri"/>
          <w:szCs w:val="24"/>
        </w:rPr>
        <w:t xml:space="preserve"> systems vs filled extinguishers </w:t>
      </w:r>
    </w:p>
    <w:p w14:paraId="0E0B5A32" w14:textId="4503F169" w:rsidR="0007434A" w:rsidRPr="001B3A85" w:rsidRDefault="00732979" w:rsidP="00AC563D">
      <w:pPr>
        <w:pStyle w:val="BodyText10"/>
      </w:pPr>
      <w:r>
        <w:t xml:space="preserve">Unless otherwise </w:t>
      </w:r>
      <w:r w:rsidR="00E277CA">
        <w:t>described, t</w:t>
      </w:r>
      <w:r w:rsidR="0007434A" w:rsidRPr="001B3A85">
        <w:t>he</w:t>
      </w:r>
      <w:r w:rsidR="00E277CA">
        <w:t xml:space="preserve"> following price</w:t>
      </w:r>
      <w:r w:rsidR="0007434A" w:rsidRPr="001B3A85">
        <w:t xml:space="preserve"> estimates are for bulk purchases where the smallest bulk tank was 0.5 tonne. Most bulk purchases are by either large users, such as aircraft manufacturers or fire protection service companies. The latter would use the material to re-charge system cylinders (halon 1301) or portable extinguishers (halon 1211). The price charged to the end customer would be significantly higher than the bulk price.</w:t>
      </w:r>
    </w:p>
    <w:p w14:paraId="5C046F78" w14:textId="3356938A" w:rsidR="005D4CED" w:rsidRPr="002451FC" w:rsidRDefault="005D4CED" w:rsidP="00324056">
      <w:pPr>
        <w:pStyle w:val="Heading2"/>
      </w:pPr>
      <w:bookmarkStart w:id="66" w:name="_Toc38190369"/>
      <w:r w:rsidRPr="002451FC">
        <w:t>Sale Price of Halon 1301</w:t>
      </w:r>
      <w:bookmarkEnd w:id="66"/>
    </w:p>
    <w:p w14:paraId="250B4505" w14:textId="162F6BC9" w:rsidR="00370386" w:rsidRDefault="00475ACA" w:rsidP="002451FC">
      <w:pPr>
        <w:pStyle w:val="BodyText10"/>
      </w:pPr>
      <w:r>
        <w:t>One</w:t>
      </w:r>
      <w:r w:rsidR="00370386" w:rsidRPr="001B3A85">
        <w:rPr>
          <w:szCs w:val="24"/>
        </w:rPr>
        <w:t xml:space="preserve"> </w:t>
      </w:r>
      <w:r w:rsidR="007C5C48">
        <w:rPr>
          <w:szCs w:val="24"/>
        </w:rPr>
        <w:t xml:space="preserve">industry </w:t>
      </w:r>
      <w:r w:rsidR="00370386">
        <w:t>source</w:t>
      </w:r>
      <w:r w:rsidR="00B575D1">
        <w:t xml:space="preserve"> suggests that</w:t>
      </w:r>
      <w:r w:rsidR="00370386">
        <w:t xml:space="preserve"> </w:t>
      </w:r>
      <w:r w:rsidR="00370386" w:rsidRPr="001B3A85">
        <w:rPr>
          <w:szCs w:val="24"/>
        </w:rPr>
        <w:t xml:space="preserve">international market pricing for bulk </w:t>
      </w:r>
      <w:r w:rsidR="00B575D1">
        <w:t xml:space="preserve">halon 1301 </w:t>
      </w:r>
      <w:r w:rsidR="00370386" w:rsidRPr="001B3A85">
        <w:rPr>
          <w:szCs w:val="24"/>
        </w:rPr>
        <w:t>can vary from US</w:t>
      </w:r>
      <w:r w:rsidR="008B7ADC">
        <w:t>$</w:t>
      </w:r>
      <w:r w:rsidR="00370386" w:rsidRPr="001B3A85">
        <w:rPr>
          <w:szCs w:val="24"/>
        </w:rPr>
        <w:t xml:space="preserve">40/kg to </w:t>
      </w:r>
      <w:r w:rsidR="008B7ADC" w:rsidRPr="004D004C">
        <w:t>US</w:t>
      </w:r>
      <w:r w:rsidR="00C77AD2">
        <w:t>$</w:t>
      </w:r>
      <w:r w:rsidR="00370386" w:rsidRPr="001B3A85">
        <w:rPr>
          <w:szCs w:val="24"/>
        </w:rPr>
        <w:t>140/kg</w:t>
      </w:r>
      <w:r w:rsidR="00CD56DD">
        <w:t xml:space="preserve"> depending on location, reputation of supplier and whether the halon quality is laboratory certified</w:t>
      </w:r>
      <w:r w:rsidR="00B575D1">
        <w:t>.</w:t>
      </w:r>
    </w:p>
    <w:p w14:paraId="079D7040" w14:textId="5A0EFB50" w:rsidR="00CC455F" w:rsidRDefault="00CC455F" w:rsidP="002451FC">
      <w:pPr>
        <w:pStyle w:val="BodyText10"/>
      </w:pPr>
      <w:r>
        <w:t xml:space="preserve">Another </w:t>
      </w:r>
      <w:r w:rsidR="007C5C48">
        <w:t xml:space="preserve">industry </w:t>
      </w:r>
      <w:r>
        <w:t>source</w:t>
      </w:r>
      <w:r w:rsidR="007C5C48">
        <w:rPr>
          <w:rStyle w:val="FootnoteReference"/>
        </w:rPr>
        <w:footnoteReference w:id="56"/>
      </w:r>
      <w:r>
        <w:t xml:space="preserve"> </w:t>
      </w:r>
      <w:r w:rsidR="00A04B8D">
        <w:t xml:space="preserve">has provided an observed </w:t>
      </w:r>
      <w:r w:rsidR="006264F5">
        <w:t xml:space="preserve">price </w:t>
      </w:r>
      <w:r w:rsidR="00F6670C">
        <w:t xml:space="preserve">trend for </w:t>
      </w:r>
      <w:r w:rsidR="005310D8">
        <w:t>2006 to 2018 data</w:t>
      </w:r>
      <w:r w:rsidR="00893EEB">
        <w:t xml:space="preserve"> </w:t>
      </w:r>
      <w:r w:rsidR="00A04B8D">
        <w:t>and</w:t>
      </w:r>
      <w:r w:rsidR="00F6670C">
        <w:t xml:space="preserve"> forecast</w:t>
      </w:r>
      <w:r w:rsidR="00893EEB">
        <w:t>s for 2019</w:t>
      </w:r>
      <w:r w:rsidR="00F6670C">
        <w:t xml:space="preserve"> </w:t>
      </w:r>
      <w:r w:rsidR="00DF60B4">
        <w:t>and 2020</w:t>
      </w:r>
      <w:r w:rsidR="002045F5">
        <w:t xml:space="preserve"> based on US$ prices</w:t>
      </w:r>
      <w:r w:rsidR="00DC2640">
        <w:t>. This data suggests that</w:t>
      </w:r>
      <w:r w:rsidR="007C5C48">
        <w:t>,</w:t>
      </w:r>
      <w:r w:rsidR="00DC2640">
        <w:t xml:space="preserve"> </w:t>
      </w:r>
      <w:r w:rsidR="00E736B6">
        <w:t xml:space="preserve">while halon 1301 </w:t>
      </w:r>
      <w:r w:rsidR="009740D9">
        <w:t xml:space="preserve">prices remained relatively stable </w:t>
      </w:r>
      <w:r w:rsidR="00C25AE8">
        <w:t xml:space="preserve">between 2006 and </w:t>
      </w:r>
      <w:r w:rsidR="00A42C3C">
        <w:t>2011</w:t>
      </w:r>
      <w:r w:rsidR="00D37407">
        <w:t xml:space="preserve">, </w:t>
      </w:r>
      <w:r w:rsidR="00992B6D">
        <w:t>there has been</w:t>
      </w:r>
      <w:r w:rsidR="001B2BAE">
        <w:t xml:space="preserve"> a year on </w:t>
      </w:r>
      <w:r w:rsidR="00D561F7">
        <w:t xml:space="preserve">year </w:t>
      </w:r>
      <w:r w:rsidR="00E546FF">
        <w:t xml:space="preserve">increase </w:t>
      </w:r>
      <w:r w:rsidR="00ED1309">
        <w:t>since then and</w:t>
      </w:r>
      <w:r>
        <w:t xml:space="preserve"> the price of </w:t>
      </w:r>
      <w:r w:rsidR="00CD56DD">
        <w:t xml:space="preserve">bulk </w:t>
      </w:r>
      <w:r>
        <w:t>halon</w:t>
      </w:r>
      <w:r w:rsidR="00CD56DD">
        <w:t xml:space="preserve"> </w:t>
      </w:r>
      <w:r w:rsidR="003C709C">
        <w:t>in 2020</w:t>
      </w:r>
      <w:r w:rsidR="00CD56DD">
        <w:t xml:space="preserve"> </w:t>
      </w:r>
      <w:r w:rsidR="00FD1A5C">
        <w:t xml:space="preserve">will </w:t>
      </w:r>
      <w:r w:rsidR="002778BF">
        <w:t>reach</w:t>
      </w:r>
      <w:r w:rsidR="00FD1A5C">
        <w:t xml:space="preserve"> </w:t>
      </w:r>
      <w:r w:rsidR="00E7204C">
        <w:t>almost</w:t>
      </w:r>
      <w:r w:rsidR="00CD56DD">
        <w:t xml:space="preserve"> </w:t>
      </w:r>
      <w:r w:rsidR="005B18EB">
        <w:t>five times</w:t>
      </w:r>
      <w:r w:rsidR="00FE0914">
        <w:t xml:space="preserve"> the 2011 </w:t>
      </w:r>
      <w:r w:rsidR="00D60A57">
        <w:rPr>
          <w:rFonts w:cs="Calibri"/>
        </w:rPr>
        <w:t xml:space="preserve">US$ </w:t>
      </w:r>
      <w:r w:rsidR="00FE0914">
        <w:t>price.</w:t>
      </w:r>
    </w:p>
    <w:p w14:paraId="1F20CCD0" w14:textId="64451850" w:rsidR="002B0A1B" w:rsidRDefault="002B0A1B" w:rsidP="002451FC">
      <w:pPr>
        <w:pStyle w:val="BodyText10"/>
      </w:pPr>
      <w:r>
        <w:t xml:space="preserve">The 2012 </w:t>
      </w:r>
      <w:r w:rsidR="001718DC">
        <w:t>H</w:t>
      </w:r>
      <w:r>
        <w:t xml:space="preserve">alon </w:t>
      </w:r>
      <w:r w:rsidR="001718DC">
        <w:t>R</w:t>
      </w:r>
      <w:r>
        <w:t>eview</w:t>
      </w:r>
      <w:r w:rsidR="001969F5">
        <w:rPr>
          <w:rStyle w:val="FootnoteReference"/>
        </w:rPr>
        <w:footnoteReference w:id="57"/>
      </w:r>
      <w:r>
        <w:t xml:space="preserve"> reported an estimated price in 2011 for bulk purchases of halon 1301, where the smallest bulk tank is 0.5 tonne, of </w:t>
      </w:r>
      <w:r w:rsidR="001969F5">
        <w:t>US</w:t>
      </w:r>
      <w:r>
        <w:t>$20</w:t>
      </w:r>
      <w:r w:rsidR="001969F5">
        <w:t>/kg</w:t>
      </w:r>
      <w:r>
        <w:t xml:space="preserve"> to </w:t>
      </w:r>
      <w:r w:rsidR="001969F5">
        <w:t>US</w:t>
      </w:r>
      <w:r>
        <w:t>$39</w:t>
      </w:r>
      <w:r w:rsidR="00D02098">
        <w:t>/</w:t>
      </w:r>
      <w:r w:rsidR="001969F5">
        <w:t>kg</w:t>
      </w:r>
      <w:r>
        <w:t>. Applying the observed trend</w:t>
      </w:r>
      <w:r w:rsidR="001969F5">
        <w:t xml:space="preserve"> to this 2011 base year price leads to an estimated </w:t>
      </w:r>
      <w:r w:rsidR="006C25A2">
        <w:t xml:space="preserve">implied </w:t>
      </w:r>
      <w:r w:rsidR="001969F5">
        <w:t xml:space="preserve">current price of between US$100/kg and </w:t>
      </w:r>
      <w:r w:rsidR="001969F5">
        <w:lastRenderedPageBreak/>
        <w:t>US$195/kg.</w:t>
      </w:r>
    </w:p>
    <w:p w14:paraId="7B810105" w14:textId="212001B8" w:rsidR="00057530" w:rsidRPr="00057530" w:rsidRDefault="00057530" w:rsidP="00F216C5">
      <w:pPr>
        <w:pStyle w:val="BodyText10"/>
        <w:keepNext/>
        <w:widowControl/>
        <w:tabs>
          <w:tab w:val="left" w:pos="1418"/>
        </w:tabs>
        <w:ind w:left="1559" w:hanging="1559"/>
        <w:rPr>
          <w:b/>
          <w:bCs/>
          <w:i/>
          <w:iCs/>
        </w:rPr>
      </w:pPr>
      <w:r w:rsidRPr="00057530">
        <w:rPr>
          <w:b/>
          <w:bCs/>
          <w:i/>
          <w:iCs/>
        </w:rPr>
        <w:t>Figure 5.1</w:t>
      </w:r>
      <w:r w:rsidRPr="00057530">
        <w:rPr>
          <w:b/>
          <w:bCs/>
          <w:i/>
          <w:iCs/>
        </w:rPr>
        <w:tab/>
      </w:r>
      <w:r w:rsidR="00F216C5">
        <w:rPr>
          <w:b/>
          <w:bCs/>
          <w:i/>
          <w:iCs/>
        </w:rPr>
        <w:t>Relative Halon 1301 Price for the Years 2006-2020</w:t>
      </w:r>
    </w:p>
    <w:p w14:paraId="4FC6F0B7" w14:textId="2BC805C6" w:rsidR="00505722" w:rsidRDefault="008E41E6" w:rsidP="00BD75CA">
      <w:pPr>
        <w:rPr>
          <w:rFonts w:ascii="Book Antiqua" w:hAnsi="Book Antiqua"/>
        </w:rPr>
      </w:pPr>
      <w:r>
        <w:rPr>
          <w:rFonts w:ascii="Book Antiqua" w:hAnsi="Book Antiqua"/>
          <w:noProof/>
          <w:lang w:eastAsia="en-AU"/>
        </w:rPr>
        <w:drawing>
          <wp:inline distT="0" distB="0" distL="0" distR="0" wp14:anchorId="339239EC" wp14:editId="1BDFDEA6">
            <wp:extent cx="4572000" cy="2781300"/>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png"/>
                    <pic:cNvPicPr/>
                  </pic:nvPicPr>
                  <pic:blipFill>
                    <a:blip r:embed="rId36"/>
                    <a:stretch>
                      <a:fillRect/>
                    </a:stretch>
                  </pic:blipFill>
                  <pic:spPr>
                    <a:xfrm>
                      <a:off x="0" y="0"/>
                      <a:ext cx="4572000" cy="2781300"/>
                    </a:xfrm>
                    <a:prstGeom prst="rect">
                      <a:avLst/>
                    </a:prstGeom>
                  </pic:spPr>
                </pic:pic>
              </a:graphicData>
            </a:graphic>
          </wp:inline>
        </w:drawing>
      </w:r>
    </w:p>
    <w:p w14:paraId="39D8869C" w14:textId="77777777" w:rsidR="00963E74" w:rsidRPr="00877623" w:rsidRDefault="00963E74" w:rsidP="00877623">
      <w:pPr>
        <w:pStyle w:val="BodyText10"/>
      </w:pPr>
    </w:p>
    <w:p w14:paraId="185055B4" w14:textId="68842716" w:rsidR="00963E74" w:rsidRPr="00877623" w:rsidRDefault="00B73520" w:rsidP="00877623">
      <w:pPr>
        <w:pStyle w:val="BodyText10"/>
      </w:pPr>
      <w:r w:rsidRPr="00877623">
        <w:t>On ebay</w:t>
      </w:r>
      <w:r w:rsidR="00B1243B">
        <w:t>,</w:t>
      </w:r>
      <w:r w:rsidR="00937310" w:rsidRPr="00877623">
        <w:t xml:space="preserve"> </w:t>
      </w:r>
      <w:r w:rsidR="00B878DF" w:rsidRPr="00877623">
        <w:t>indi</w:t>
      </w:r>
      <w:r w:rsidR="001D4B5E" w:rsidRPr="00877623">
        <w:t xml:space="preserve">vidual </w:t>
      </w:r>
      <w:r w:rsidR="00955677" w:rsidRPr="00877623">
        <w:t xml:space="preserve">second-hand </w:t>
      </w:r>
      <w:r w:rsidR="00937310" w:rsidRPr="00877623">
        <w:t xml:space="preserve">halon 1301 </w:t>
      </w:r>
      <w:r w:rsidR="00812161" w:rsidRPr="00877623">
        <w:t xml:space="preserve">extinguishers </w:t>
      </w:r>
      <w:r w:rsidR="001D4B5E" w:rsidRPr="00877623">
        <w:t xml:space="preserve">of unknown quality </w:t>
      </w:r>
      <w:r w:rsidR="009B6399" w:rsidRPr="00877623">
        <w:t>are</w:t>
      </w:r>
      <w:r w:rsidR="00812161" w:rsidRPr="00877623">
        <w:t xml:space="preserve"> be</w:t>
      </w:r>
      <w:r w:rsidR="009B6399" w:rsidRPr="00877623">
        <w:t>ing offered for sale</w:t>
      </w:r>
      <w:r w:rsidR="00812161" w:rsidRPr="00877623">
        <w:t xml:space="preserve"> </w:t>
      </w:r>
      <w:r w:rsidR="009B6399" w:rsidRPr="00877623">
        <w:t xml:space="preserve">at prices ranging from </w:t>
      </w:r>
      <w:r w:rsidR="00E82C17" w:rsidRPr="00877623">
        <w:t xml:space="preserve">US$250 for a </w:t>
      </w:r>
      <w:r w:rsidR="00112677" w:rsidRPr="00877623">
        <w:t>0.9</w:t>
      </w:r>
      <w:r w:rsidR="003671E6">
        <w:t xml:space="preserve"> </w:t>
      </w:r>
      <w:r w:rsidR="00112677" w:rsidRPr="00877623">
        <w:t xml:space="preserve">kg extinguisher </w:t>
      </w:r>
      <w:r w:rsidR="00945B76" w:rsidRPr="00877623">
        <w:t xml:space="preserve">to US$395 for a </w:t>
      </w:r>
      <w:r w:rsidR="00B878DF" w:rsidRPr="00877623">
        <w:t>2.25</w:t>
      </w:r>
      <w:r w:rsidR="003671E6">
        <w:t xml:space="preserve"> </w:t>
      </w:r>
      <w:r w:rsidR="00B878DF" w:rsidRPr="00877623">
        <w:t>kg handheld extinguisher</w:t>
      </w:r>
      <w:r w:rsidR="001D4B5E" w:rsidRPr="00877623">
        <w:t xml:space="preserve"> and </w:t>
      </w:r>
      <w:r w:rsidR="00C303B8" w:rsidRPr="00877623">
        <w:t>US$950 for an ex-Boeing</w:t>
      </w:r>
      <w:r w:rsidR="00350F95" w:rsidRPr="00877623">
        <w:t xml:space="preserve"> aircraft </w:t>
      </w:r>
      <w:r w:rsidR="009F5527" w:rsidRPr="00877623">
        <w:t>12.7</w:t>
      </w:r>
      <w:r w:rsidR="003671E6">
        <w:t xml:space="preserve"> </w:t>
      </w:r>
      <w:r w:rsidR="008D4022" w:rsidRPr="00877623">
        <w:t xml:space="preserve">kg </w:t>
      </w:r>
      <w:r w:rsidR="00350F95" w:rsidRPr="00877623">
        <w:t>spherical fire extinguisher</w:t>
      </w:r>
      <w:r w:rsidR="008D4022" w:rsidRPr="00877623">
        <w:t>.</w:t>
      </w:r>
    </w:p>
    <w:p w14:paraId="5FAC128B" w14:textId="4E0138C3" w:rsidR="005D4CED" w:rsidRDefault="005D4CED" w:rsidP="00324056">
      <w:pPr>
        <w:pStyle w:val="Heading2"/>
      </w:pPr>
      <w:bookmarkStart w:id="67" w:name="_Toc38190370"/>
      <w:r w:rsidRPr="004D004C">
        <w:t>Sale Price of Halon</w:t>
      </w:r>
      <w:r>
        <w:t xml:space="preserve"> 1211</w:t>
      </w:r>
      <w:bookmarkEnd w:id="67"/>
    </w:p>
    <w:p w14:paraId="524D7B87" w14:textId="11EE8339" w:rsidR="00370386" w:rsidRPr="00346089" w:rsidRDefault="00FF2998" w:rsidP="00877623">
      <w:pPr>
        <w:pStyle w:val="BodyText10"/>
      </w:pPr>
      <w:r>
        <w:t xml:space="preserve">It has been </w:t>
      </w:r>
      <w:r w:rsidR="00E00FD5">
        <w:t>reported</w:t>
      </w:r>
      <w:r>
        <w:t xml:space="preserve"> that halon supply </w:t>
      </w:r>
      <w:r w:rsidR="00B42ADE">
        <w:t xml:space="preserve">of </w:t>
      </w:r>
      <w:r>
        <w:t xml:space="preserve">1211 is </w:t>
      </w:r>
      <w:r w:rsidR="00B42ADE">
        <w:t xml:space="preserve">generally </w:t>
      </w:r>
      <w:r>
        <w:t>available</w:t>
      </w:r>
      <w:r w:rsidR="00D21116">
        <w:t xml:space="preserve"> </w:t>
      </w:r>
      <w:r w:rsidR="000D1E79">
        <w:t>but there are occasional shortages.</w:t>
      </w:r>
      <w:r w:rsidR="00D21116">
        <w:t xml:space="preserve"> </w:t>
      </w:r>
      <w:r w:rsidR="002F451E">
        <w:t>The</w:t>
      </w:r>
      <w:r w:rsidR="00D21116">
        <w:t xml:space="preserve"> </w:t>
      </w:r>
      <w:r w:rsidR="00A709B8">
        <w:t xml:space="preserve">current </w:t>
      </w:r>
      <w:r w:rsidR="00D21116">
        <w:t xml:space="preserve">price </w:t>
      </w:r>
      <w:r w:rsidR="002F451E">
        <w:t>for bulk supply is approximately</w:t>
      </w:r>
      <w:r w:rsidR="00D21116">
        <w:t xml:space="preserve"> US$31-US$33</w:t>
      </w:r>
      <w:r w:rsidR="001A7B30">
        <w:t>/kg</w:t>
      </w:r>
      <w:r w:rsidR="0008242D">
        <w:t xml:space="preserve"> and </w:t>
      </w:r>
      <w:r w:rsidR="00A44AD1">
        <w:t xml:space="preserve">is </w:t>
      </w:r>
      <w:r w:rsidR="00A709B8">
        <w:t>expected</w:t>
      </w:r>
      <w:r w:rsidR="0008242D">
        <w:t xml:space="preserve"> to </w:t>
      </w:r>
      <w:r w:rsidR="00A709B8">
        <w:t xml:space="preserve">rise </w:t>
      </w:r>
      <w:r w:rsidR="00726649">
        <w:t xml:space="preserve">to </w:t>
      </w:r>
      <w:r w:rsidR="00870B46">
        <w:t>US</w:t>
      </w:r>
      <w:r w:rsidR="00726649">
        <w:t>$</w:t>
      </w:r>
      <w:r w:rsidR="00C41DBB">
        <w:t>37</w:t>
      </w:r>
      <w:r w:rsidR="00870B46">
        <w:t>/kg in 2020.</w:t>
      </w:r>
      <w:r w:rsidR="00F10700">
        <w:t xml:space="preserve"> </w:t>
      </w:r>
      <w:r w:rsidR="00587146">
        <w:t>From 2012 until 2019</w:t>
      </w:r>
      <w:r w:rsidR="00087AEF">
        <w:t>,</w:t>
      </w:r>
      <w:r w:rsidR="00D33562">
        <w:t xml:space="preserve"> </w:t>
      </w:r>
      <w:r w:rsidR="002F451E">
        <w:t xml:space="preserve">it has been reported that </w:t>
      </w:r>
      <w:r w:rsidR="00D33562">
        <w:t xml:space="preserve">the </w:t>
      </w:r>
      <w:r w:rsidR="002F451E">
        <w:t xml:space="preserve">price </w:t>
      </w:r>
      <w:r w:rsidR="00D33562">
        <w:t xml:space="preserve">has risen by approximately </w:t>
      </w:r>
      <w:r w:rsidR="00CD1DEF">
        <w:t>US$</w:t>
      </w:r>
      <w:r w:rsidR="00A75D0F">
        <w:t>2</w:t>
      </w:r>
      <w:r w:rsidR="002F451E">
        <w:t>/</w:t>
      </w:r>
      <w:r w:rsidR="003E317A">
        <w:t>kg</w:t>
      </w:r>
      <w:r w:rsidR="00CD1DEF">
        <w:t xml:space="preserve"> per year.</w:t>
      </w:r>
      <w:r w:rsidR="00F10700">
        <w:t xml:space="preserve"> </w:t>
      </w:r>
    </w:p>
    <w:p w14:paraId="3157CC37" w14:textId="21378394" w:rsidR="00FF2998" w:rsidRPr="00346089" w:rsidRDefault="00C541FF" w:rsidP="00877623">
      <w:pPr>
        <w:pStyle w:val="BodyText10"/>
      </w:pPr>
      <w:r>
        <w:t>On the Alibaba online portal</w:t>
      </w:r>
      <w:r w:rsidR="00B6797E">
        <w:t>,</w:t>
      </w:r>
      <w:r w:rsidR="00853490">
        <w:t xml:space="preserve"> </w:t>
      </w:r>
      <w:r w:rsidR="00955677">
        <w:t xml:space="preserve">new </w:t>
      </w:r>
      <w:r w:rsidR="00853490">
        <w:t>1-4</w:t>
      </w:r>
      <w:r w:rsidR="00B6797E">
        <w:t xml:space="preserve"> </w:t>
      </w:r>
      <w:r w:rsidR="00853490">
        <w:t>kg</w:t>
      </w:r>
      <w:r w:rsidR="00D20252">
        <w:t xml:space="preserve"> halon handheld extinguishers are being </w:t>
      </w:r>
      <w:r w:rsidR="00665163">
        <w:t xml:space="preserve">offered </w:t>
      </w:r>
      <w:r w:rsidR="00F34698">
        <w:t>ex-</w:t>
      </w:r>
      <w:r w:rsidR="00D62A81">
        <w:t>Nin</w:t>
      </w:r>
      <w:r w:rsidR="00894158">
        <w:t>gbo</w:t>
      </w:r>
      <w:r w:rsidR="00D718FC">
        <w:t xml:space="preserve"> Port</w:t>
      </w:r>
      <w:r w:rsidR="00894158">
        <w:t>/Sha</w:t>
      </w:r>
      <w:r w:rsidR="00983DF3">
        <w:t>n</w:t>
      </w:r>
      <w:r w:rsidR="00D718FC">
        <w:t>g</w:t>
      </w:r>
      <w:r w:rsidR="00983DF3">
        <w:t>hai</w:t>
      </w:r>
      <w:r w:rsidR="00D718FC">
        <w:t xml:space="preserve"> Port</w:t>
      </w:r>
      <w:r w:rsidR="00983DF3">
        <w:t xml:space="preserve"> </w:t>
      </w:r>
      <w:r w:rsidR="00665163">
        <w:t xml:space="preserve">at </w:t>
      </w:r>
      <w:r w:rsidR="002D3587">
        <w:t>US$120 to US$</w:t>
      </w:r>
      <w:r w:rsidR="00D26515">
        <w:t>135 each for a minimum of 100 pieces</w:t>
      </w:r>
      <w:r w:rsidR="00ED3713">
        <w:t>,</w:t>
      </w:r>
      <w:r w:rsidR="00D26515">
        <w:t xml:space="preserve"> excluding freight and insurance.</w:t>
      </w:r>
    </w:p>
    <w:p w14:paraId="63376F9B" w14:textId="77777777" w:rsidR="002A42D5" w:rsidRDefault="002A42D5">
      <w:pPr>
        <w:rPr>
          <w:rStyle w:val="Heading1Char2"/>
        </w:rPr>
      </w:pPr>
      <w:r>
        <w:rPr>
          <w:rStyle w:val="Heading1Char2"/>
          <w:b w:val="0"/>
        </w:rPr>
        <w:br w:type="page"/>
      </w:r>
    </w:p>
    <w:p w14:paraId="47128A3A" w14:textId="15EA93DE" w:rsidR="00D84F54" w:rsidRPr="00346089" w:rsidRDefault="00D84F54" w:rsidP="00F579E3">
      <w:pPr>
        <w:pStyle w:val="Heading1"/>
        <w:rPr>
          <w:rStyle w:val="Heading1Char2"/>
          <w:b/>
        </w:rPr>
      </w:pPr>
      <w:bookmarkStart w:id="68" w:name="_Toc38190371"/>
      <w:r w:rsidRPr="00346089">
        <w:rPr>
          <w:rStyle w:val="Heading1Char2"/>
          <w:b/>
        </w:rPr>
        <w:lastRenderedPageBreak/>
        <w:t>Recommendations</w:t>
      </w:r>
      <w:bookmarkEnd w:id="68"/>
    </w:p>
    <w:p w14:paraId="6917368C" w14:textId="09974A65" w:rsidR="00B26F17" w:rsidRDefault="00B26F17" w:rsidP="00B26F17">
      <w:pPr>
        <w:pStyle w:val="BodyText10"/>
      </w:pPr>
      <w:r>
        <w:t>Recommendation 1 (</w:t>
      </w:r>
      <w:r w:rsidR="00661F52">
        <w:t>Monitor</w:t>
      </w:r>
      <w:r>
        <w:t xml:space="preserve"> Halon Consumption and Periodic Halon Review): </w:t>
      </w:r>
    </w:p>
    <w:p w14:paraId="3A947F70" w14:textId="3DE76612" w:rsidR="00B26F17" w:rsidRDefault="00B26F17" w:rsidP="00B26F17">
      <w:pPr>
        <w:pStyle w:val="BodyText10"/>
        <w:numPr>
          <w:ilvl w:val="0"/>
          <w:numId w:val="40"/>
        </w:numPr>
      </w:pPr>
      <w:r>
        <w:t xml:space="preserve">It is recommended that halon </w:t>
      </w:r>
      <w:r w:rsidR="00661F52">
        <w:t xml:space="preserve">consumption </w:t>
      </w:r>
      <w:r w:rsidR="00FA3662">
        <w:t>(e.g.,</w:t>
      </w:r>
      <w:r w:rsidR="006576D1">
        <w:t xml:space="preserve"> </w:t>
      </w:r>
      <w:r>
        <w:t>purchases from the NHB</w:t>
      </w:r>
      <w:r w:rsidR="00FA3662">
        <w:t>) is monitored</w:t>
      </w:r>
      <w:r>
        <w:t xml:space="preserve"> and if usage varies significantly from projections to perform another review of Australian halon requirements, when and as appropriate, taking into account any changed purchasing patterns and any developments in the aviation sector that may have affected consumption.</w:t>
      </w:r>
    </w:p>
    <w:p w14:paraId="55435768" w14:textId="362D1D78" w:rsidR="003A1851" w:rsidRDefault="003A1851" w:rsidP="003A1851">
      <w:pPr>
        <w:pStyle w:val="BodyText10"/>
      </w:pPr>
      <w:r>
        <w:t xml:space="preserve">Recommendation </w:t>
      </w:r>
      <w:r w:rsidR="00B26F17">
        <w:t>2</w:t>
      </w:r>
      <w:r>
        <w:t xml:space="preserve"> (</w:t>
      </w:r>
      <w:r w:rsidR="00661F52">
        <w:t>Monitor</w:t>
      </w:r>
      <w:r>
        <w:t xml:space="preserve"> Developments in Civil Aviation </w:t>
      </w:r>
      <w:r w:rsidR="001875A6">
        <w:t xml:space="preserve">Halon </w:t>
      </w:r>
      <w:r>
        <w:t xml:space="preserve">Use and Alternatives): </w:t>
      </w:r>
    </w:p>
    <w:p w14:paraId="296FA2AC" w14:textId="77777777" w:rsidR="00FE7CF3" w:rsidRDefault="003A1851" w:rsidP="003A1851">
      <w:pPr>
        <w:pStyle w:val="BodyText10"/>
        <w:numPr>
          <w:ilvl w:val="0"/>
          <w:numId w:val="40"/>
        </w:numPr>
      </w:pPr>
      <w:r>
        <w:t xml:space="preserve">It is recommended that </w:t>
      </w:r>
      <w:r w:rsidRPr="00661856">
        <w:t xml:space="preserve">the global situation for </w:t>
      </w:r>
      <w:r w:rsidR="00FA60CB">
        <w:t xml:space="preserve">civil </w:t>
      </w:r>
      <w:r w:rsidRPr="00661856">
        <w:t xml:space="preserve">aviation </w:t>
      </w:r>
      <w:r>
        <w:t>halon use</w:t>
      </w:r>
      <w:r w:rsidR="00661F52">
        <w:t xml:space="preserve"> is monitored</w:t>
      </w:r>
      <w:r>
        <w:t xml:space="preserve"> for engine, auxiliary power unit (</w:t>
      </w:r>
      <w:r w:rsidRPr="00661856">
        <w:t>APU</w:t>
      </w:r>
      <w:r>
        <w:t>)</w:t>
      </w:r>
      <w:r w:rsidRPr="00661856">
        <w:t xml:space="preserve">, and cargo </w:t>
      </w:r>
      <w:r>
        <w:t>applications,</w:t>
      </w:r>
      <w:r w:rsidRPr="00661856">
        <w:t xml:space="preserve"> </w:t>
      </w:r>
      <w:r w:rsidR="00FA60CB">
        <w:t>including</w:t>
      </w:r>
      <w:r w:rsidRPr="00661856">
        <w:t xml:space="preserve"> the pace of introduction of alternatives </w:t>
      </w:r>
      <w:r>
        <w:t>in response to</w:t>
      </w:r>
      <w:r w:rsidRPr="00661856">
        <w:t xml:space="preserve"> </w:t>
      </w:r>
      <w:r>
        <w:t>the International Civil Aviation Organization</w:t>
      </w:r>
      <w:r w:rsidRPr="00661856">
        <w:t xml:space="preserve"> </w:t>
      </w:r>
      <w:r>
        <w:t xml:space="preserve">and/or European Union </w:t>
      </w:r>
      <w:r w:rsidRPr="00661856">
        <w:t>requirements</w:t>
      </w:r>
      <w:r>
        <w:t>, to ensure that the risk of long-term halon shortages can be avoided</w:t>
      </w:r>
      <w:r w:rsidRPr="00661856">
        <w:t>.</w:t>
      </w:r>
      <w:r>
        <w:t xml:space="preserve"> </w:t>
      </w:r>
    </w:p>
    <w:p w14:paraId="137D01B5" w14:textId="4473CC41" w:rsidR="003A1851" w:rsidRDefault="003A1851" w:rsidP="003A1851">
      <w:pPr>
        <w:pStyle w:val="BodyText10"/>
        <w:numPr>
          <w:ilvl w:val="0"/>
          <w:numId w:val="40"/>
        </w:numPr>
      </w:pPr>
      <w:r>
        <w:t>The triennial International Civil Aviation Organization General Assembly is scheduled to convene before the end of 2022</w:t>
      </w:r>
      <w:r w:rsidR="006D6260">
        <w:t>, with</w:t>
      </w:r>
      <w:r>
        <w:t xml:space="preserve"> </w:t>
      </w:r>
      <w:r w:rsidR="006D6260">
        <w:t>updates</w:t>
      </w:r>
      <w:r>
        <w:t xml:space="preserve"> expected from working groups investigating non-halon replacement systems for cargo, engine and auxiliary power units, including on the ability to meet already scheduled deadlines.</w:t>
      </w:r>
    </w:p>
    <w:p w14:paraId="543E6391" w14:textId="49C2ABF9" w:rsidR="003400EB" w:rsidRDefault="00047026" w:rsidP="000D0DC0">
      <w:pPr>
        <w:pStyle w:val="BodyText10"/>
      </w:pPr>
      <w:r w:rsidRPr="003D4713">
        <w:t>Recommendation</w:t>
      </w:r>
      <w:r>
        <w:t xml:space="preserve"> </w:t>
      </w:r>
      <w:r w:rsidR="00571F5A">
        <w:t>3</w:t>
      </w:r>
      <w:r w:rsidRPr="003D4713">
        <w:t xml:space="preserve"> (Halon</w:t>
      </w:r>
      <w:r>
        <w:t xml:space="preserve"> </w:t>
      </w:r>
      <w:r w:rsidR="00CA3706">
        <w:t xml:space="preserve">Quality for </w:t>
      </w:r>
      <w:r w:rsidR="00E11E5E">
        <w:t xml:space="preserve">Civil </w:t>
      </w:r>
      <w:r w:rsidR="00CA3706">
        <w:t>Aviation</w:t>
      </w:r>
      <w:r w:rsidRPr="003D4713">
        <w:t>):</w:t>
      </w:r>
      <w:r w:rsidR="00F20EE7">
        <w:t xml:space="preserve"> </w:t>
      </w:r>
      <w:r w:rsidR="00A6615C">
        <w:t xml:space="preserve">It is expected that demand for </w:t>
      </w:r>
      <w:r w:rsidR="00A6615C">
        <w:rPr>
          <w:lang w:val="en-US"/>
        </w:rPr>
        <w:t xml:space="preserve">ASTM D 5632 </w:t>
      </w:r>
      <w:r w:rsidR="00A6615C">
        <w:t>Type 2 halon 1301 will become increasingly important for civil aviation.</w:t>
      </w:r>
      <w:r w:rsidR="003A3A3B">
        <w:t xml:space="preserve"> </w:t>
      </w:r>
    </w:p>
    <w:p w14:paraId="27C0C9C6" w14:textId="16B46ED7" w:rsidR="009803C8" w:rsidRDefault="00F85A78" w:rsidP="00AD13D9">
      <w:pPr>
        <w:pStyle w:val="BodyText10"/>
        <w:numPr>
          <w:ilvl w:val="0"/>
          <w:numId w:val="39"/>
        </w:numPr>
      </w:pPr>
      <w:r>
        <w:t xml:space="preserve">It is recommended that </w:t>
      </w:r>
      <w:r w:rsidR="00FC7520">
        <w:t>t</w:t>
      </w:r>
      <w:r w:rsidR="006E2E26">
        <w:t>he capacity</w:t>
      </w:r>
      <w:r w:rsidR="009803C8">
        <w:t xml:space="preserve"> of </w:t>
      </w:r>
      <w:r w:rsidR="00DD14DB">
        <w:t xml:space="preserve">the NHB </w:t>
      </w:r>
      <w:r w:rsidR="00F8669A">
        <w:t xml:space="preserve">and </w:t>
      </w:r>
      <w:r w:rsidR="00DD14DB">
        <w:t xml:space="preserve">industry </w:t>
      </w:r>
      <w:r w:rsidR="006E2E26">
        <w:t xml:space="preserve">to meet </w:t>
      </w:r>
      <w:r w:rsidR="00E1022A">
        <w:t xml:space="preserve">demand for </w:t>
      </w:r>
      <w:r w:rsidR="004E2C47" w:rsidRPr="00AD13D9">
        <w:rPr>
          <w:lang w:val="en-US"/>
        </w:rPr>
        <w:t>ASTM D 5632</w:t>
      </w:r>
      <w:r w:rsidR="00E1022A">
        <w:t xml:space="preserve"> Type 2 halon 1301</w:t>
      </w:r>
      <w:r w:rsidRPr="00F85A78">
        <w:t xml:space="preserve"> </w:t>
      </w:r>
      <w:r w:rsidR="00DF7BB3">
        <w:t>is</w:t>
      </w:r>
      <w:r>
        <w:t xml:space="preserve"> monitored</w:t>
      </w:r>
      <w:r w:rsidR="009803C8">
        <w:t>.</w:t>
      </w:r>
      <w:r w:rsidR="00F10700">
        <w:t xml:space="preserve"> </w:t>
      </w:r>
    </w:p>
    <w:p w14:paraId="7808BF2C" w14:textId="3155C3E2" w:rsidR="00D54C99" w:rsidRDefault="000510C3" w:rsidP="00324056">
      <w:pPr>
        <w:pStyle w:val="BodyText10"/>
        <w:numPr>
          <w:ilvl w:val="0"/>
          <w:numId w:val="39"/>
        </w:numPr>
      </w:pPr>
      <w:r>
        <w:rPr>
          <w:rFonts w:cs="AppleSystemUIFont"/>
        </w:rPr>
        <w:t xml:space="preserve">It is recommended that </w:t>
      </w:r>
      <w:r w:rsidR="00542B6B">
        <w:rPr>
          <w:rFonts w:cs="AppleSystemUIFont"/>
        </w:rPr>
        <w:t xml:space="preserve">the Department </w:t>
      </w:r>
      <w:r w:rsidR="00774EC4">
        <w:rPr>
          <w:rFonts w:cs="AppleSystemUIFont"/>
        </w:rPr>
        <w:t>explore</w:t>
      </w:r>
      <w:r w:rsidR="00542B6B">
        <w:rPr>
          <w:rFonts w:cs="AppleSystemUIFont"/>
        </w:rPr>
        <w:t xml:space="preserve"> </w:t>
      </w:r>
      <w:r w:rsidRPr="0050424D">
        <w:rPr>
          <w:rFonts w:cs="AppleSystemUIFont"/>
        </w:rPr>
        <w:t xml:space="preserve">the </w:t>
      </w:r>
      <w:r w:rsidR="00774EC4">
        <w:rPr>
          <w:rFonts w:cs="AppleSystemUIFont"/>
        </w:rPr>
        <w:t>ability</w:t>
      </w:r>
      <w:r w:rsidRPr="0050424D">
        <w:rPr>
          <w:rFonts w:cs="AppleSystemUIFont"/>
        </w:rPr>
        <w:t xml:space="preserve"> of </w:t>
      </w:r>
      <w:r w:rsidR="00E17710">
        <w:rPr>
          <w:rFonts w:cs="AppleSystemUIFont"/>
        </w:rPr>
        <w:t xml:space="preserve">reclamation </w:t>
      </w:r>
      <w:r w:rsidRPr="0050424D">
        <w:rPr>
          <w:rFonts w:cs="AppleSystemUIFont"/>
        </w:rPr>
        <w:t>equipment/techniques to minimise loss</w:t>
      </w:r>
      <w:r w:rsidR="00E17710">
        <w:rPr>
          <w:rFonts w:cs="AppleSystemUIFont"/>
        </w:rPr>
        <w:t>es</w:t>
      </w:r>
      <w:r w:rsidRPr="0050424D">
        <w:rPr>
          <w:rFonts w:cs="AppleSystemUIFont"/>
        </w:rPr>
        <w:t xml:space="preserve"> of </w:t>
      </w:r>
      <w:r w:rsidR="007909C8">
        <w:rPr>
          <w:rFonts w:cs="AppleSystemUIFont"/>
        </w:rPr>
        <w:t xml:space="preserve">halon </w:t>
      </w:r>
      <w:r w:rsidRPr="0050424D">
        <w:rPr>
          <w:rFonts w:cs="AppleSystemUIFont"/>
        </w:rPr>
        <w:t xml:space="preserve">1301 and </w:t>
      </w:r>
      <w:r w:rsidR="007909C8">
        <w:rPr>
          <w:rFonts w:cs="AppleSystemUIFont"/>
        </w:rPr>
        <w:t xml:space="preserve">to </w:t>
      </w:r>
      <w:r w:rsidRPr="0050424D">
        <w:rPr>
          <w:rFonts w:cs="AppleSystemUIFont"/>
        </w:rPr>
        <w:t>maintain purity (</w:t>
      </w:r>
      <w:r w:rsidR="00F10B87">
        <w:rPr>
          <w:rFonts w:cs="AppleSystemUIFont"/>
        </w:rPr>
        <w:t xml:space="preserve">e.g., </w:t>
      </w:r>
      <w:r w:rsidRPr="0050424D">
        <w:rPr>
          <w:rFonts w:cs="AppleSystemUIFont"/>
        </w:rPr>
        <w:t>ensur</w:t>
      </w:r>
      <w:r>
        <w:rPr>
          <w:rFonts w:cs="AppleSystemUIFont"/>
        </w:rPr>
        <w:t>ing halon</w:t>
      </w:r>
      <w:r w:rsidRPr="0050424D">
        <w:rPr>
          <w:rFonts w:cs="AppleSystemUIFont"/>
        </w:rPr>
        <w:t xml:space="preserve"> 1211 contamination levels </w:t>
      </w:r>
      <w:r>
        <w:rPr>
          <w:rFonts w:cs="AppleSystemUIFont"/>
        </w:rPr>
        <w:t xml:space="preserve">in halon 1301 </w:t>
      </w:r>
      <w:r w:rsidRPr="0050424D">
        <w:rPr>
          <w:rFonts w:cs="AppleSystemUIFont"/>
        </w:rPr>
        <w:t xml:space="preserve">remain </w:t>
      </w:r>
      <w:r w:rsidR="00F10B87">
        <w:rPr>
          <w:rFonts w:cs="AppleSystemUIFont"/>
        </w:rPr>
        <w:t>with</w:t>
      </w:r>
      <w:r w:rsidRPr="0050424D">
        <w:rPr>
          <w:rFonts w:cs="AppleSystemUIFont"/>
        </w:rPr>
        <w:t>in spec</w:t>
      </w:r>
      <w:r>
        <w:rPr>
          <w:rFonts w:cs="AppleSystemUIFont"/>
        </w:rPr>
        <w:t>ification</w:t>
      </w:r>
      <w:r w:rsidR="00542B6B">
        <w:rPr>
          <w:rFonts w:cs="AppleSystemUIFont"/>
        </w:rPr>
        <w:t>)</w:t>
      </w:r>
      <w:r w:rsidR="00A67501">
        <w:rPr>
          <w:rFonts w:cs="AppleSystemUIFont"/>
        </w:rPr>
        <w:t>, and</w:t>
      </w:r>
      <w:r w:rsidR="00510A3E">
        <w:rPr>
          <w:rFonts w:cs="AppleSystemUIFont"/>
        </w:rPr>
        <w:t xml:space="preserve"> that</w:t>
      </w:r>
      <w:r w:rsidR="00A67501">
        <w:rPr>
          <w:rFonts w:cs="AppleSystemUIFont"/>
        </w:rPr>
        <w:t xml:space="preserve"> </w:t>
      </w:r>
      <w:r w:rsidR="00D54C99">
        <w:t xml:space="preserve">any </w:t>
      </w:r>
      <w:r w:rsidR="00D54C99" w:rsidRPr="00A67501">
        <w:rPr>
          <w:rFonts w:cs="AppleSystemUIFont"/>
        </w:rPr>
        <w:t xml:space="preserve">identified material risk </w:t>
      </w:r>
      <w:r w:rsidR="00510A3E">
        <w:rPr>
          <w:rFonts w:cs="AppleSystemUIFont"/>
        </w:rPr>
        <w:t xml:space="preserve">is </w:t>
      </w:r>
      <w:r w:rsidR="00D54C99" w:rsidRPr="00A67501">
        <w:rPr>
          <w:rFonts w:cs="AppleSystemUIFont"/>
        </w:rPr>
        <w:t xml:space="preserve">investigated further and quantified and, if deemed necessary, guidelines </w:t>
      </w:r>
      <w:r w:rsidR="00510A3E">
        <w:rPr>
          <w:rFonts w:cs="AppleSystemUIFont"/>
        </w:rPr>
        <w:t xml:space="preserve">are </w:t>
      </w:r>
      <w:r w:rsidR="00D422AE" w:rsidRPr="00510A3E">
        <w:rPr>
          <w:rFonts w:cs="AppleSystemUIFont"/>
        </w:rPr>
        <w:t xml:space="preserve">considered </w:t>
      </w:r>
      <w:r w:rsidR="005743B6" w:rsidRPr="00510A3E">
        <w:rPr>
          <w:rFonts w:cs="AppleSystemUIFont"/>
        </w:rPr>
        <w:t>for</w:t>
      </w:r>
      <w:r w:rsidR="00D54C99" w:rsidRPr="00510A3E">
        <w:rPr>
          <w:rFonts w:cs="AppleSystemUIFont"/>
        </w:rPr>
        <w:t xml:space="preserve"> </w:t>
      </w:r>
      <w:r w:rsidR="00D422AE" w:rsidRPr="00510A3E">
        <w:rPr>
          <w:rFonts w:cs="AppleSystemUIFont"/>
        </w:rPr>
        <w:t xml:space="preserve">the </w:t>
      </w:r>
      <w:r w:rsidR="00D54C99" w:rsidRPr="00510A3E">
        <w:rPr>
          <w:rFonts w:cs="AppleSystemUIFont"/>
        </w:rPr>
        <w:t xml:space="preserve">reclamation </w:t>
      </w:r>
      <w:r w:rsidR="00D422AE" w:rsidRPr="00E17710">
        <w:rPr>
          <w:rFonts w:cs="AppleSystemUIFont"/>
        </w:rPr>
        <w:t xml:space="preserve">process </w:t>
      </w:r>
      <w:r w:rsidR="00D54C99" w:rsidRPr="00E17710">
        <w:rPr>
          <w:rFonts w:cs="AppleSystemUIFont"/>
        </w:rPr>
        <w:t>to minimise potential loss</w:t>
      </w:r>
      <w:r w:rsidR="00D422AE" w:rsidRPr="00A97DC6">
        <w:rPr>
          <w:rFonts w:cs="AppleSystemUIFont"/>
        </w:rPr>
        <w:t>es</w:t>
      </w:r>
      <w:r w:rsidR="00D54C99" w:rsidRPr="00F7309B">
        <w:rPr>
          <w:rFonts w:cs="AppleSystemUIFont"/>
        </w:rPr>
        <w:t xml:space="preserve"> of </w:t>
      </w:r>
      <w:r w:rsidR="00D54C99" w:rsidRPr="003E17CF">
        <w:rPr>
          <w:rFonts w:cs="AppleSystemUIFont"/>
        </w:rPr>
        <w:t xml:space="preserve">halon </w:t>
      </w:r>
      <w:r w:rsidR="00D54C99" w:rsidRPr="00B76960">
        <w:rPr>
          <w:rFonts w:cs="AppleSystemUIFont"/>
        </w:rPr>
        <w:t>1301</w:t>
      </w:r>
      <w:r w:rsidR="00D54C99" w:rsidRPr="00B47F9D">
        <w:rPr>
          <w:rFonts w:cs="AppleSystemUIFont"/>
        </w:rPr>
        <w:t>.</w:t>
      </w:r>
    </w:p>
    <w:p w14:paraId="321A6653" w14:textId="230CF12B" w:rsidR="00CB55D2" w:rsidRDefault="00B12DE6" w:rsidP="006E2E26">
      <w:pPr>
        <w:pStyle w:val="BodyText10"/>
      </w:pPr>
      <w:r w:rsidRPr="003D4713">
        <w:t>Recommendation</w:t>
      </w:r>
      <w:r>
        <w:t xml:space="preserve"> </w:t>
      </w:r>
      <w:r w:rsidR="00C06D43">
        <w:t>4</w:t>
      </w:r>
      <w:r w:rsidRPr="003D4713">
        <w:t xml:space="preserve"> (</w:t>
      </w:r>
      <w:r w:rsidR="00D02098" w:rsidRPr="003D4713">
        <w:t>Halon</w:t>
      </w:r>
      <w:r w:rsidR="00D02098">
        <w:t xml:space="preserve"> Special Permit Holders’ Record K</w:t>
      </w:r>
      <w:r w:rsidR="00D02098" w:rsidRPr="003D4713">
        <w:t xml:space="preserve">eeping): </w:t>
      </w:r>
    </w:p>
    <w:p w14:paraId="3374DCE6" w14:textId="2E6AF050" w:rsidR="00286C06" w:rsidRDefault="00F85A78" w:rsidP="00324056">
      <w:pPr>
        <w:pStyle w:val="BodyText10"/>
        <w:numPr>
          <w:ilvl w:val="0"/>
          <w:numId w:val="40"/>
        </w:numPr>
      </w:pPr>
      <w:r>
        <w:t xml:space="preserve">It is recommended that </w:t>
      </w:r>
      <w:r w:rsidR="00D02098">
        <w:t xml:space="preserve">measures </w:t>
      </w:r>
      <w:r w:rsidR="00DF7BB3">
        <w:t>are</w:t>
      </w:r>
      <w:r>
        <w:t xml:space="preserve"> considered </w:t>
      </w:r>
      <w:r w:rsidR="00D02098">
        <w:t xml:space="preserve">to </w:t>
      </w:r>
      <w:r w:rsidR="007100A0">
        <w:t xml:space="preserve">validate </w:t>
      </w:r>
      <w:r w:rsidR="001B6E85">
        <w:t>and</w:t>
      </w:r>
      <w:r w:rsidR="00526EBF">
        <w:t>/</w:t>
      </w:r>
      <w:r w:rsidR="007100A0">
        <w:t xml:space="preserve">or </w:t>
      </w:r>
      <w:r w:rsidR="00D02098">
        <w:t xml:space="preserve">improve </w:t>
      </w:r>
      <w:r w:rsidR="00A32F2E">
        <w:t xml:space="preserve">halon special permit holder </w:t>
      </w:r>
      <w:r w:rsidR="00D02098">
        <w:t>reporting</w:t>
      </w:r>
      <w:r w:rsidR="00526EBF">
        <w:t xml:space="preserve"> </w:t>
      </w:r>
      <w:r w:rsidR="00BD4DA0">
        <w:t xml:space="preserve">to </w:t>
      </w:r>
      <w:r w:rsidR="00DE33E3">
        <w:t>a</w:t>
      </w:r>
      <w:r w:rsidR="00C46944">
        <w:t>ttain</w:t>
      </w:r>
      <w:r w:rsidR="00D02098">
        <w:t xml:space="preserve"> more </w:t>
      </w:r>
      <w:r w:rsidR="008C4DD3">
        <w:t>accurate</w:t>
      </w:r>
      <w:r w:rsidR="00B80C44">
        <w:t xml:space="preserve"> </w:t>
      </w:r>
      <w:r w:rsidR="00F75739">
        <w:lastRenderedPageBreak/>
        <w:t>data</w:t>
      </w:r>
      <w:r w:rsidR="00D02098">
        <w:t xml:space="preserve"> </w:t>
      </w:r>
      <w:r w:rsidR="00E34A26">
        <w:t>on halon usage activities</w:t>
      </w:r>
      <w:r w:rsidR="00A32F2E">
        <w:t xml:space="preserve"> </w:t>
      </w:r>
      <w:r w:rsidR="00D02098">
        <w:t xml:space="preserve">(to allow for better </w:t>
      </w:r>
      <w:r w:rsidR="007100A0">
        <w:t xml:space="preserve">quantitative </w:t>
      </w:r>
      <w:r w:rsidR="00D02098">
        <w:t>analysis, eliminating double counting for data accuracy and better identifying sources and end</w:t>
      </w:r>
      <w:r w:rsidR="00F10700">
        <w:t>-</w:t>
      </w:r>
      <w:r w:rsidR="00D02098">
        <w:t>uses for sector</w:t>
      </w:r>
      <w:r w:rsidR="00F57B7A">
        <w:t>al</w:t>
      </w:r>
      <w:r w:rsidR="00D02098">
        <w:t xml:space="preserve"> analysis).</w:t>
      </w:r>
    </w:p>
    <w:p w14:paraId="059B6B94" w14:textId="6FA7E0E3" w:rsidR="00CB55D2" w:rsidRDefault="002869D3" w:rsidP="002869D3">
      <w:pPr>
        <w:pStyle w:val="BodyText10"/>
      </w:pPr>
      <w:r w:rsidRPr="00286C06">
        <w:t xml:space="preserve">Recommendation </w:t>
      </w:r>
      <w:r w:rsidR="00C06D43">
        <w:t>5</w:t>
      </w:r>
      <w:r>
        <w:t xml:space="preserve"> </w:t>
      </w:r>
      <w:r w:rsidRPr="00286C06">
        <w:t>(</w:t>
      </w:r>
      <w:r>
        <w:t>Halon Special Permit Holder</w:t>
      </w:r>
      <w:r w:rsidRPr="00286C06">
        <w:t xml:space="preserve"> </w:t>
      </w:r>
      <w:r>
        <w:t xml:space="preserve">Historic </w:t>
      </w:r>
      <w:r w:rsidRPr="00286C06">
        <w:t xml:space="preserve">and Future Dataset): </w:t>
      </w:r>
    </w:p>
    <w:p w14:paraId="251EE0D6" w14:textId="1359A518" w:rsidR="002869D3" w:rsidRDefault="002869D3" w:rsidP="00324056">
      <w:pPr>
        <w:pStyle w:val="BodyText10"/>
        <w:numPr>
          <w:ilvl w:val="0"/>
          <w:numId w:val="40"/>
        </w:numPr>
      </w:pPr>
      <w:r>
        <w:t>If reporting practi</w:t>
      </w:r>
      <w:r w:rsidR="001825E3">
        <w:t>c</w:t>
      </w:r>
      <w:r>
        <w:t xml:space="preserve">es were to be modified, </w:t>
      </w:r>
      <w:r w:rsidR="00C46944">
        <w:t xml:space="preserve">it is recommended </w:t>
      </w:r>
      <w:r>
        <w:t>that these changes are well documented and selected</w:t>
      </w:r>
      <w:r w:rsidR="0075277E">
        <w:t>,</w:t>
      </w:r>
      <w:r>
        <w:t xml:space="preserve"> where possible</w:t>
      </w:r>
      <w:r w:rsidR="0075277E">
        <w:t>,</w:t>
      </w:r>
      <w:r>
        <w:t xml:space="preserve"> to preserve</w:t>
      </w:r>
      <w:r w:rsidRPr="00286C06">
        <w:t xml:space="preserve"> </w:t>
      </w:r>
      <w:r>
        <w:t xml:space="preserve">comparability and continuity with the </w:t>
      </w:r>
      <w:r w:rsidRPr="00286C06">
        <w:t>historic dataset</w:t>
      </w:r>
      <w:r>
        <w:t>.</w:t>
      </w:r>
    </w:p>
    <w:p w14:paraId="4017E614" w14:textId="579201E2" w:rsidR="009769F4" w:rsidRDefault="00B12DE6" w:rsidP="00B12DE6">
      <w:pPr>
        <w:pStyle w:val="BodyText10"/>
      </w:pPr>
      <w:r w:rsidRPr="003D4713">
        <w:t>Recommendation</w:t>
      </w:r>
      <w:r>
        <w:t xml:space="preserve"> </w:t>
      </w:r>
      <w:r w:rsidR="00C06D43">
        <w:t>6</w:t>
      </w:r>
      <w:r>
        <w:t xml:space="preserve"> </w:t>
      </w:r>
      <w:r w:rsidRPr="00286C06">
        <w:t xml:space="preserve">(NHB Historic and Future Dataset): </w:t>
      </w:r>
    </w:p>
    <w:p w14:paraId="5B67119D" w14:textId="397F3EA4" w:rsidR="00F64353" w:rsidRDefault="00C46944" w:rsidP="00324056">
      <w:pPr>
        <w:pStyle w:val="BodyText10"/>
        <w:numPr>
          <w:ilvl w:val="0"/>
          <w:numId w:val="40"/>
        </w:numPr>
      </w:pPr>
      <w:r>
        <w:t>It is recommended that</w:t>
      </w:r>
      <w:r w:rsidR="00B12DE6" w:rsidRPr="00286C06">
        <w:t xml:space="preserve"> consistent </w:t>
      </w:r>
      <w:r w:rsidR="001825E3" w:rsidRPr="00286C06">
        <w:t xml:space="preserve">practices </w:t>
      </w:r>
      <w:r w:rsidR="001825E3">
        <w:t xml:space="preserve">in </w:t>
      </w:r>
      <w:r w:rsidR="00B12DE6" w:rsidRPr="00286C06">
        <w:t xml:space="preserve">record keeping and reporting </w:t>
      </w:r>
      <w:r w:rsidR="001825E3">
        <w:t>are</w:t>
      </w:r>
      <w:r>
        <w:t xml:space="preserve"> maintained </w:t>
      </w:r>
      <w:r w:rsidR="00B12DE6" w:rsidRPr="00286C06">
        <w:t xml:space="preserve">in the </w:t>
      </w:r>
      <w:r w:rsidR="00B12DE6">
        <w:t>operation of the</w:t>
      </w:r>
      <w:r w:rsidR="00B12DE6" w:rsidRPr="00286C06">
        <w:t xml:space="preserve"> NHB</w:t>
      </w:r>
      <w:r w:rsidR="00D62F3F">
        <w:t>, and i</w:t>
      </w:r>
      <w:r w:rsidR="000D720F">
        <w:t xml:space="preserve">f reporting practises </w:t>
      </w:r>
      <w:r w:rsidR="003E5D0F">
        <w:t>we</w:t>
      </w:r>
      <w:r w:rsidR="000D720F">
        <w:t>re to be modified</w:t>
      </w:r>
      <w:r w:rsidR="008355B0">
        <w:t xml:space="preserve"> </w:t>
      </w:r>
      <w:r w:rsidR="00040C59">
        <w:t xml:space="preserve">to </w:t>
      </w:r>
      <w:r w:rsidR="006A0E73">
        <w:t xml:space="preserve">ensure </w:t>
      </w:r>
      <w:r w:rsidR="00D62F3F">
        <w:t xml:space="preserve">that </w:t>
      </w:r>
      <w:r w:rsidR="00ED380B">
        <w:t xml:space="preserve">these are well documented and selected </w:t>
      </w:r>
      <w:r w:rsidR="00B12DE6">
        <w:t>so as to preserve</w:t>
      </w:r>
      <w:r w:rsidR="00B12DE6" w:rsidRPr="00286C06">
        <w:t xml:space="preserve"> </w:t>
      </w:r>
      <w:r w:rsidR="00DE494B">
        <w:t>compar</w:t>
      </w:r>
      <w:r w:rsidR="003E5D0F">
        <w:t>a</w:t>
      </w:r>
      <w:r w:rsidR="00DE494B">
        <w:t xml:space="preserve">bility and </w:t>
      </w:r>
      <w:r w:rsidR="003E5D0F">
        <w:t xml:space="preserve">continuity with </w:t>
      </w:r>
      <w:r w:rsidR="00B12DE6">
        <w:t xml:space="preserve">the </w:t>
      </w:r>
      <w:r w:rsidR="00B12DE6" w:rsidRPr="00286C06">
        <w:t>historic dataset</w:t>
      </w:r>
      <w:r w:rsidR="00B12DE6">
        <w:t>.</w:t>
      </w:r>
    </w:p>
    <w:p w14:paraId="39F8E8F4" w14:textId="77777777" w:rsidR="00B04332" w:rsidRPr="00B04332" w:rsidRDefault="00B04332" w:rsidP="004307C1">
      <w:pPr>
        <w:pStyle w:val="BodyText10"/>
      </w:pPr>
    </w:p>
    <w:sectPr w:rsidR="00B04332" w:rsidRPr="00B04332" w:rsidSect="00CF0735">
      <w:pgSz w:w="11899" w:h="16838" w:code="1"/>
      <w:pgMar w:top="1440" w:right="1800" w:bottom="1526" w:left="1800" w:header="72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B6D76" w14:textId="77777777" w:rsidR="005066BD" w:rsidRDefault="005066BD">
      <w:r>
        <w:separator/>
      </w:r>
    </w:p>
    <w:p w14:paraId="24930D8D" w14:textId="77777777" w:rsidR="005066BD" w:rsidRDefault="005066BD"/>
  </w:endnote>
  <w:endnote w:type="continuationSeparator" w:id="0">
    <w:p w14:paraId="7C4A6065" w14:textId="77777777" w:rsidR="005066BD" w:rsidRDefault="005066BD">
      <w:r>
        <w:continuationSeparator/>
      </w:r>
    </w:p>
    <w:p w14:paraId="4C610597" w14:textId="77777777" w:rsidR="005066BD" w:rsidRDefault="005066BD"/>
  </w:endnote>
  <w:endnote w:type="continuationNotice" w:id="1">
    <w:p w14:paraId="10E7A79D" w14:textId="77777777" w:rsidR="005066BD" w:rsidRDefault="00506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w:altName w:val="Times New Roman"/>
    <w:panose1 w:val="00000000000000000000"/>
    <w:charset w:val="FF"/>
    <w:family w:val="roman"/>
    <w:notTrueType/>
    <w:pitch w:val="variable"/>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hicago">
    <w:altName w:val="Arial"/>
    <w:charset w:val="00"/>
    <w:family w:val="auto"/>
    <w:pitch w:val="variable"/>
    <w:sig w:usb0="03000000"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utura">
    <w:charset w:val="00"/>
    <w:family w:val="swiss"/>
    <w:pitch w:val="variable"/>
    <w:sig w:usb0="A00002AF" w:usb1="500021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lliard">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swiss"/>
    <w:pitch w:val="variable"/>
    <w:sig w:usb0="E00002FF"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ppleSystemUIFont">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9101099"/>
      <w:docPartObj>
        <w:docPartGallery w:val="Page Numbers (Bottom of Page)"/>
        <w:docPartUnique/>
      </w:docPartObj>
    </w:sdtPr>
    <w:sdtEndPr>
      <w:rPr>
        <w:rStyle w:val="PageNumber"/>
      </w:rPr>
    </w:sdtEndPr>
    <w:sdtContent>
      <w:p w14:paraId="4364F9FD" w14:textId="42A60F8D" w:rsidR="009D1EAA" w:rsidRDefault="009D1EAA" w:rsidP="000D0D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00349605"/>
      <w:docPartObj>
        <w:docPartGallery w:val="Page Numbers (Bottom of Page)"/>
        <w:docPartUnique/>
      </w:docPartObj>
    </w:sdtPr>
    <w:sdtEndPr>
      <w:rPr>
        <w:rStyle w:val="PageNumber"/>
      </w:rPr>
    </w:sdtEndPr>
    <w:sdtContent>
      <w:p w14:paraId="42E84437" w14:textId="51277097" w:rsidR="009D1EAA" w:rsidRDefault="009D1EAA" w:rsidP="000D0DC0">
        <w:pPr>
          <w:pStyle w:val="Foote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82EF61" w14:textId="77777777" w:rsidR="009D1EAA" w:rsidRDefault="009D1EAA" w:rsidP="000D0DC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5982" w14:textId="77777777" w:rsidR="009D1EAA" w:rsidRDefault="009D1EAA" w:rsidP="009F643E">
    <w:pPr>
      <w:tabs>
        <w:tab w:val="left" w:pos="8505"/>
      </w:tabs>
      <w:ind w:left="2552" w:right="-490"/>
      <w:rPr>
        <w:rStyle w:val="PageNumber"/>
        <w:b/>
        <w:sz w:val="20"/>
      </w:rPr>
    </w:pPr>
  </w:p>
  <w:p w14:paraId="30B2A68C" w14:textId="77777777" w:rsidR="009D1EAA" w:rsidRPr="009F643E" w:rsidRDefault="009D1EAA" w:rsidP="009F643E">
    <w:pPr>
      <w:tabs>
        <w:tab w:val="left" w:pos="6663"/>
      </w:tabs>
      <w:ind w:right="-632"/>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305C" w14:textId="79A39416" w:rsidR="009D1EAA" w:rsidRDefault="009D1EAA" w:rsidP="009F643E">
    <w:pPr>
      <w:tabs>
        <w:tab w:val="left" w:pos="8505"/>
      </w:tabs>
      <w:ind w:left="2552" w:right="-490"/>
      <w:rPr>
        <w:rStyle w:val="PageNumber"/>
        <w:b/>
        <w:sz w:val="20"/>
      </w:rPr>
    </w:pPr>
  </w:p>
  <w:p w14:paraId="3B881C67" w14:textId="3C98BD95" w:rsidR="009D1EAA" w:rsidRDefault="009D1EAA" w:rsidP="009F643E">
    <w:pPr>
      <w:tabs>
        <w:tab w:val="left" w:pos="6663"/>
      </w:tabs>
      <w:spacing w:after="120"/>
      <w:ind w:right="-629"/>
      <w:rPr>
        <w:rStyle w:val="PageNumber"/>
      </w:rPr>
    </w:pPr>
    <w:r>
      <w:rPr>
        <w:rStyle w:val="PageNumber"/>
        <w:b/>
        <w:sz w:val="20"/>
      </w:rPr>
      <w:t>Review of Australia’s Civilian Halon Requirements: Final Report</w:t>
    </w:r>
    <w:r>
      <w:rPr>
        <w:rStyle w:val="PageNumber"/>
      </w:rPr>
      <w:tab/>
    </w:r>
    <w:r>
      <w:rPr>
        <w:rStyle w:val="PageNumber"/>
      </w:rPr>
      <w:tab/>
    </w:r>
    <w:r>
      <w:rPr>
        <w:rStyle w:val="PageNumber"/>
      </w:rPr>
      <w:tab/>
    </w:r>
  </w:p>
  <w:p w14:paraId="6FB6734E" w14:textId="77777777" w:rsidR="009D1EAA" w:rsidRPr="009F643E" w:rsidRDefault="009D1EAA" w:rsidP="009F643E">
    <w:pPr>
      <w:tabs>
        <w:tab w:val="left" w:pos="6663"/>
      </w:tabs>
      <w:ind w:right="-632"/>
      <w:rPr>
        <w:b/>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3864986"/>
      <w:docPartObj>
        <w:docPartGallery w:val="Page Numbers (Bottom of Page)"/>
        <w:docPartUnique/>
      </w:docPartObj>
    </w:sdtPr>
    <w:sdtEndPr>
      <w:rPr>
        <w:rStyle w:val="PageNumber"/>
      </w:rPr>
    </w:sdtEndPr>
    <w:sdtContent>
      <w:p w14:paraId="547D52CF" w14:textId="4D0174C1" w:rsidR="009D1EAA" w:rsidRDefault="009D1EAA" w:rsidP="000D0DC0">
        <w:pPr>
          <w:pStyle w:val="Footer"/>
          <w:framePr w:wrap="none" w:vAnchor="text" w:hAnchor="margin" w:xAlign="right" w:y="1"/>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sdtContent>
  </w:sdt>
  <w:p w14:paraId="0A61B7FE" w14:textId="44C41E32" w:rsidR="009D1EAA" w:rsidRDefault="009D1EAA" w:rsidP="000D0DC0">
    <w:pPr>
      <w:tabs>
        <w:tab w:val="left" w:pos="6663"/>
      </w:tabs>
      <w:spacing w:before="240" w:after="120"/>
      <w:ind w:right="357"/>
      <w:rPr>
        <w:rStyle w:val="PageNumber"/>
        <w:b/>
        <w:sz w:val="20"/>
      </w:rPr>
    </w:pPr>
    <w:r>
      <w:rPr>
        <w:rStyle w:val="PageNumber"/>
        <w:b/>
        <w:sz w:val="20"/>
      </w:rPr>
      <w:t>Review of Australia’s Civilian Halon Requirements: Final Report</w:t>
    </w:r>
  </w:p>
  <w:p w14:paraId="571B778B" w14:textId="7407B43F" w:rsidR="009D1EAA" w:rsidRPr="009F643E" w:rsidRDefault="009D1EAA" w:rsidP="00EA333A">
    <w:pPr>
      <w:tabs>
        <w:tab w:val="left" w:pos="6663"/>
      </w:tabs>
      <w:spacing w:after="120"/>
      <w:ind w:right="-587"/>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A679B" w14:textId="77777777" w:rsidR="005066BD" w:rsidRDefault="005066BD">
      <w:r>
        <w:separator/>
      </w:r>
    </w:p>
  </w:footnote>
  <w:footnote w:type="continuationSeparator" w:id="0">
    <w:p w14:paraId="23870B01" w14:textId="77777777" w:rsidR="005066BD" w:rsidRDefault="005066BD">
      <w:r>
        <w:continuationSeparator/>
      </w:r>
    </w:p>
  </w:footnote>
  <w:footnote w:type="continuationNotice" w:id="1">
    <w:p w14:paraId="2881703F" w14:textId="77777777" w:rsidR="005066BD" w:rsidRPr="00EE1C27" w:rsidRDefault="005066BD">
      <w:pPr>
        <w:rPr>
          <w:i/>
          <w:sz w:val="20"/>
          <w:szCs w:val="20"/>
        </w:rPr>
      </w:pPr>
      <w:r w:rsidRPr="00EE1C27">
        <w:rPr>
          <w:i/>
          <w:sz w:val="20"/>
          <w:szCs w:val="20"/>
        </w:rPr>
        <w:t>(Continued next page)</w:t>
      </w:r>
    </w:p>
  </w:footnote>
  <w:footnote w:id="2">
    <w:p w14:paraId="49E47554" w14:textId="4512D45C" w:rsidR="009D1EAA" w:rsidRDefault="009D1EAA">
      <w:pPr>
        <w:pStyle w:val="FootnoteText"/>
      </w:pPr>
      <w:r>
        <w:rPr>
          <w:rStyle w:val="FootnoteReference"/>
        </w:rPr>
        <w:footnoteRef/>
      </w:r>
      <w:r>
        <w:t xml:space="preserve"> Under the Montreal Protocol, consumption is defined as </w:t>
      </w:r>
      <w:r w:rsidRPr="00B61BF7">
        <w:t>production plus imports minus exports of controlled substances.</w:t>
      </w:r>
    </w:p>
  </w:footnote>
  <w:footnote w:id="3">
    <w:p w14:paraId="15089014" w14:textId="336E6DE7" w:rsidR="009D1EAA" w:rsidRDefault="009D1EAA" w:rsidP="00B61BF7">
      <w:pPr>
        <w:pStyle w:val="FootnoteText"/>
      </w:pPr>
      <w:r>
        <w:rPr>
          <w:rStyle w:val="FootnoteReference"/>
        </w:rPr>
        <w:footnoteRef/>
      </w:r>
      <w:r>
        <w:t xml:space="preserve"> Article 2G sets out halon phase-out requirements and exceptions for essential uses for non-Article 5 parties, and Article 5 sets out halon phase-out requirements and exceptions for essential uses for Article 5 parties. Decision IV/25 sets out the criteria for assessment of an essential use for the purposes of these control measures for the phase out of halons and other ozone-depleting substances.</w:t>
      </w:r>
    </w:p>
  </w:footnote>
  <w:footnote w:id="4">
    <w:p w14:paraId="032B6A11" w14:textId="11041513" w:rsidR="009D1EAA" w:rsidRPr="0089712B" w:rsidRDefault="009D1EAA" w:rsidP="00C1140B">
      <w:pPr>
        <w:pStyle w:val="FootnoteText"/>
      </w:pPr>
      <w:r>
        <w:rPr>
          <w:rStyle w:val="FootnoteReference"/>
        </w:rPr>
        <w:footnoteRef/>
      </w:r>
      <w:r>
        <w:t xml:space="preserve"> Decisions V/14 and VI/8, e.g., decision V/14 at </w:t>
      </w:r>
      <w:hyperlink r:id="rId1" w:history="1">
        <w:r w:rsidRPr="00DB4C33">
          <w:rPr>
            <w:rStyle w:val="Hyperlink"/>
          </w:rPr>
          <w:t>https://ozone.unep.org/treaties/montreal-protocol/meetings/fifth-meeting-parties-montreal-protocol/decisions/decision-v14?q=treaties/montreal-protocol/meetings/eighth-meeting-parties/decisions/decision-viii9-essential-use&amp;source=decisions_by_issue&amp;args%5B0%5D=454&amp;parent=3012&amp;nextParent=3011</w:t>
        </w:r>
      </w:hyperlink>
      <w:r>
        <w:t xml:space="preserve"> .</w:t>
      </w:r>
    </w:p>
  </w:footnote>
  <w:footnote w:id="5">
    <w:p w14:paraId="6810D508" w14:textId="77777777" w:rsidR="009D1EAA" w:rsidRPr="00D937D3" w:rsidRDefault="009D1EAA" w:rsidP="00774887">
      <w:pPr>
        <w:pStyle w:val="FootnoteText"/>
        <w:rPr>
          <w:lang w:val="en-US"/>
        </w:rPr>
      </w:pPr>
      <w:r w:rsidRPr="00F72790">
        <w:rPr>
          <w:rStyle w:val="FootnoteReference"/>
          <w:sz w:val="16"/>
          <w:szCs w:val="16"/>
        </w:rPr>
        <w:footnoteRef/>
      </w:r>
      <w:r w:rsidRPr="00F72790">
        <w:rPr>
          <w:sz w:val="16"/>
          <w:szCs w:val="16"/>
        </w:rPr>
        <w:t xml:space="preserve"> </w:t>
      </w:r>
      <w:r w:rsidRPr="00127274">
        <w:rPr>
          <w:i/>
        </w:rPr>
        <w:t>Australian Halon Management Strategy</w:t>
      </w:r>
      <w:r w:rsidRPr="00127274">
        <w:t>, Environment Australia, February 2019 https://www.environment.gov.au/protection/ozone/publications/australian-halon-management-strategy</w:t>
      </w:r>
      <w:r w:rsidRPr="00F4370E">
        <w:t>.</w:t>
      </w:r>
    </w:p>
  </w:footnote>
  <w:footnote w:id="6">
    <w:p w14:paraId="03B9A586" w14:textId="2B88F27C" w:rsidR="009D1EAA" w:rsidRPr="00AA7AFD" w:rsidRDefault="009D1EAA" w:rsidP="00C1140B">
      <w:pPr>
        <w:pStyle w:val="FootnoteText"/>
      </w:pPr>
      <w:r>
        <w:rPr>
          <w:rStyle w:val="FootnoteReference"/>
        </w:rPr>
        <w:footnoteRef/>
      </w:r>
      <w:r>
        <w:t xml:space="preserve"> </w:t>
      </w:r>
      <w:r w:rsidRPr="00AA7AFD">
        <w:rPr>
          <w:i/>
          <w:iCs/>
        </w:rPr>
        <w:t>National Halon Inventory and Essential Use Requirements</w:t>
      </w:r>
      <w:r w:rsidRPr="00AA7AFD">
        <w:t>, Final Report, Sustainable Solutions Pty. Ltd., August 1998.</w:t>
      </w:r>
    </w:p>
  </w:footnote>
  <w:footnote w:id="7">
    <w:p w14:paraId="14D82381" w14:textId="32C7359D" w:rsidR="009D1EAA" w:rsidRPr="00127274" w:rsidRDefault="009D1EAA" w:rsidP="00C1140B">
      <w:pPr>
        <w:pStyle w:val="FootnoteText"/>
      </w:pPr>
      <w:r>
        <w:rPr>
          <w:rStyle w:val="FootnoteReference"/>
        </w:rPr>
        <w:footnoteRef/>
      </w:r>
      <w:r>
        <w:t xml:space="preserve"> </w:t>
      </w:r>
      <w:r w:rsidRPr="00741AB1">
        <w:rPr>
          <w:i/>
          <w:iCs/>
        </w:rPr>
        <w:t>Review of Australia’s Halon Essential Use Requirements 2012</w:t>
      </w:r>
      <w:r w:rsidRPr="001D520A">
        <w:t xml:space="preserve">, </w:t>
      </w:r>
      <w:r>
        <w:t xml:space="preserve">by </w:t>
      </w:r>
      <w:r w:rsidRPr="00CA7427">
        <w:t>Energy International Australia</w:t>
      </w:r>
      <w:r w:rsidRPr="00907376">
        <w:t xml:space="preserve"> </w:t>
      </w:r>
      <w:r>
        <w:t xml:space="preserve">for the Department of Environment and Energy, May 2012, </w:t>
      </w:r>
      <w:hyperlink r:id="rId2" w:history="1">
        <w:r w:rsidRPr="00F24B59">
          <w:rPr>
            <w:rStyle w:val="Hyperlink"/>
          </w:rPr>
          <w:t>https://www.environment.gov.au/protection/ozone</w:t>
        </w:r>
        <w:r w:rsidRPr="004E55E0">
          <w:rPr>
            <w:rStyle w:val="Hyperlink"/>
          </w:rPr>
          <w:t>/publications/review-australias-halon-essential-uses-requirements</w:t>
        </w:r>
      </w:hyperlink>
      <w:r>
        <w:rPr>
          <w:szCs w:val="20"/>
        </w:rPr>
        <w:t>.</w:t>
      </w:r>
    </w:p>
  </w:footnote>
  <w:footnote w:id="8">
    <w:p w14:paraId="287CB4DB" w14:textId="7666AD5E" w:rsidR="009D1EAA" w:rsidRDefault="009D1EAA">
      <w:pPr>
        <w:pStyle w:val="FootnoteText"/>
      </w:pPr>
      <w:r>
        <w:rPr>
          <w:rStyle w:val="FootnoteReference"/>
        </w:rPr>
        <w:footnoteRef/>
      </w:r>
      <w:r>
        <w:t xml:space="preserve"> </w:t>
      </w:r>
      <w:r w:rsidRPr="00741AB1">
        <w:rPr>
          <w:i/>
          <w:iCs/>
        </w:rPr>
        <w:t>Review of Australia’s Halon Essential Use Requirements 2012</w:t>
      </w:r>
      <w:r w:rsidRPr="001D520A">
        <w:t xml:space="preserve">, </w:t>
      </w:r>
      <w:r>
        <w:t xml:space="preserve">by </w:t>
      </w:r>
      <w:r w:rsidRPr="00CA7427">
        <w:t>Energy International Australia</w:t>
      </w:r>
      <w:r w:rsidRPr="00907376">
        <w:t xml:space="preserve"> </w:t>
      </w:r>
      <w:r>
        <w:t xml:space="preserve">for the Department of Environment and Energy, May 2012, </w:t>
      </w:r>
      <w:hyperlink r:id="rId3" w:history="1">
        <w:r w:rsidRPr="00F24B59">
          <w:rPr>
            <w:rStyle w:val="Hyperlink"/>
          </w:rPr>
          <w:t>https://www.environment.gov.au/protection/ozone</w:t>
        </w:r>
        <w:r w:rsidRPr="004E55E0">
          <w:rPr>
            <w:rStyle w:val="Hyperlink"/>
          </w:rPr>
          <w:t>/publications/review-australias-halon-essential-uses-requirements</w:t>
        </w:r>
      </w:hyperlink>
    </w:p>
  </w:footnote>
  <w:footnote w:id="9">
    <w:p w14:paraId="01A57366" w14:textId="55FBA4E7" w:rsidR="009D1EAA" w:rsidRDefault="009D1EAA">
      <w:pPr>
        <w:pStyle w:val="FootnoteText"/>
      </w:pPr>
      <w:r>
        <w:rPr>
          <w:rStyle w:val="FootnoteReference"/>
        </w:rPr>
        <w:footnoteRef/>
      </w:r>
      <w:r>
        <w:t xml:space="preserve"> Halon requirements were based on NHB halon sales. End use data were based on assumptions about the business of fire protection service providers purchasing the halon. </w:t>
      </w:r>
      <w:r w:rsidRPr="00CB272A">
        <w:t>At that time</w:t>
      </w:r>
      <w:r w:rsidRPr="00E21697">
        <w:t xml:space="preserve">, the NHB halon reserve was being used for authorised uses other than non-defence uses. This was occurring through fire protection companies </w:t>
      </w:r>
      <w:r w:rsidRPr="00B87D88">
        <w:t>purchas</w:t>
      </w:r>
      <w:r w:rsidRPr="00324056">
        <w:t>ing</w:t>
      </w:r>
      <w:r w:rsidRPr="00CB272A">
        <w:t xml:space="preserve"> halon from the </w:t>
      </w:r>
      <w:r w:rsidRPr="00324056">
        <w:t xml:space="preserve">NHB </w:t>
      </w:r>
      <w:r w:rsidRPr="00CB272A">
        <w:t>halon reserves t</w:t>
      </w:r>
      <w:r w:rsidRPr="00B87D88">
        <w:t xml:space="preserve">o service </w:t>
      </w:r>
      <w:r w:rsidRPr="00784F7F">
        <w:t>a range of</w:t>
      </w:r>
      <w:r w:rsidRPr="00CB55D2">
        <w:t xml:space="preserve"> fire protection equipment</w:t>
      </w:r>
      <w:r w:rsidRPr="00324056">
        <w:t>,</w:t>
      </w:r>
      <w:r w:rsidRPr="00CB272A">
        <w:t xml:space="preserve"> including for uses oth</w:t>
      </w:r>
      <w:r w:rsidRPr="00B87D88">
        <w:t>er than non-defence</w:t>
      </w:r>
      <w:r w:rsidRPr="00784F7F">
        <w:t xml:space="preserve">. The relative extent of this activity </w:t>
      </w:r>
      <w:r w:rsidRPr="00CB55D2">
        <w:t>could not be quantified</w:t>
      </w:r>
      <w:r w:rsidRPr="009769F4">
        <w:t xml:space="preserve"> at that time. Hence, the estimated non-defence (civilian) halon requirements </w:t>
      </w:r>
      <w:r w:rsidRPr="00324056">
        <w:t xml:space="preserve">based on NHB halon sales </w:t>
      </w:r>
      <w:r w:rsidRPr="00CB272A">
        <w:t>were likely to be over-estimations.</w:t>
      </w:r>
    </w:p>
  </w:footnote>
  <w:footnote w:id="10">
    <w:p w14:paraId="26A6320A" w14:textId="4B26741A" w:rsidR="009D1EAA" w:rsidRDefault="009D1EAA">
      <w:pPr>
        <w:pStyle w:val="FootnoteText"/>
      </w:pPr>
      <w:r>
        <w:rPr>
          <w:rStyle w:val="FootnoteReference"/>
        </w:rPr>
        <w:footnoteRef/>
      </w:r>
      <w:r>
        <w:t xml:space="preserve"> See section 1.2.</w:t>
      </w:r>
    </w:p>
  </w:footnote>
  <w:footnote w:id="11">
    <w:p w14:paraId="159B8229" w14:textId="61106461" w:rsidR="009D1EAA" w:rsidRDefault="009D1EAA">
      <w:pPr>
        <w:pStyle w:val="FootnoteText"/>
      </w:pPr>
      <w:r>
        <w:rPr>
          <w:rStyle w:val="FootnoteReference"/>
        </w:rPr>
        <w:footnoteRef/>
      </w:r>
      <w:r>
        <w:t xml:space="preserve"> </w:t>
      </w:r>
      <w:r w:rsidRPr="00C55500">
        <w:t xml:space="preserve">An engine strangler system works by strangling the air supply to an engine, by injecting an extinguishant into the air intake in circumstances when a fuel combustion engine needs to be shut down quickly. </w:t>
      </w:r>
      <w:r>
        <w:t>Halons</w:t>
      </w:r>
      <w:r w:rsidRPr="00C55500">
        <w:t xml:space="preserve"> were </w:t>
      </w:r>
      <w:r>
        <w:t xml:space="preserve">previously </w:t>
      </w:r>
      <w:r w:rsidRPr="00C55500">
        <w:t xml:space="preserve">used </w:t>
      </w:r>
      <w:r>
        <w:t>for this purpose</w:t>
      </w:r>
      <w:r w:rsidRPr="00C55500">
        <w:t xml:space="preserve"> on trucks and boats.</w:t>
      </w:r>
      <w:r>
        <w:t xml:space="preserve"> </w:t>
      </w:r>
    </w:p>
  </w:footnote>
  <w:footnote w:id="12">
    <w:p w14:paraId="6D2DCF1A" w14:textId="4B494EE8" w:rsidR="009D1EAA" w:rsidRDefault="009D1EAA">
      <w:pPr>
        <w:pStyle w:val="FootnoteText"/>
      </w:pPr>
      <w:r>
        <w:rPr>
          <w:rStyle w:val="FootnoteReference"/>
        </w:rPr>
        <w:footnoteRef/>
      </w:r>
      <w:r>
        <w:t xml:space="preserve"> See also Civil Aviation Safety Authority, </w:t>
      </w:r>
      <w:r w:rsidRPr="00F10738">
        <w:t>Airworthiness Bulletin</w:t>
      </w:r>
      <w:r>
        <w:t>,</w:t>
      </w:r>
      <w:r w:rsidRPr="00F10738">
        <w:t xml:space="preserve"> AWB 26-002</w:t>
      </w:r>
      <w:r>
        <w:t>,</w:t>
      </w:r>
      <w:r w:rsidRPr="00F10738">
        <w:t xml:space="preserve"> Issue 3</w:t>
      </w:r>
      <w:r>
        <w:t>,</w:t>
      </w:r>
      <w:r w:rsidRPr="00F10738">
        <w:t xml:space="preserve"> 11 January 2018, </w:t>
      </w:r>
      <w:r w:rsidRPr="000D0DC0">
        <w:rPr>
          <w:i/>
          <w:iCs/>
        </w:rPr>
        <w:t>Selection and Installation of Handheld Portable Fire Extinguishers</w:t>
      </w:r>
      <w:r>
        <w:t xml:space="preserve">. </w:t>
      </w:r>
      <w:bookmarkStart w:id="14" w:name="_Hlt33351874"/>
      <w:r>
        <w:fldChar w:fldCharType="begin"/>
      </w:r>
      <w:r>
        <w:instrText xml:space="preserve"> HYPERLINK "</w:instrText>
      </w:r>
      <w:r w:rsidRPr="000D0DC0">
        <w:instrText>https://www.casa.gov.au/files/awb-26-002-issue-3-selection-and-installation-handheld-portable-fire-extinguishers</w:instrText>
      </w:r>
      <w:r>
        <w:instrText xml:space="preserve">" </w:instrText>
      </w:r>
      <w:r>
        <w:fldChar w:fldCharType="separate"/>
      </w:r>
      <w:r w:rsidRPr="00DB09F8">
        <w:rPr>
          <w:rStyle w:val="Hyperlink"/>
        </w:rPr>
        <w:t>https://www.casa.gov.au/files/awb-26-002-issue-3-selection-and-installation-handheld-portable-fire-extinguishers</w:t>
      </w:r>
      <w:r>
        <w:fldChar w:fldCharType="end"/>
      </w:r>
      <w:bookmarkEnd w:id="14"/>
      <w:r>
        <w:t>, accessed February 2020.</w:t>
      </w:r>
    </w:p>
  </w:footnote>
  <w:footnote w:id="13">
    <w:p w14:paraId="7269FC6C" w14:textId="2868A2AF" w:rsidR="009D1EAA" w:rsidRDefault="009D1EAA" w:rsidP="008224E7">
      <w:pPr>
        <w:pStyle w:val="FootnoteText"/>
      </w:pPr>
      <w:r>
        <w:rPr>
          <w:rStyle w:val="FootnoteReference"/>
        </w:rPr>
        <w:footnoteRef/>
      </w:r>
      <w:r>
        <w:t xml:space="preserve"> Civil Aviation Safety Authority, Airworthiness Bulletin, AWB 26-002, Issue 3, 11 January 2018, </w:t>
      </w:r>
      <w:r w:rsidRPr="000D0DC0">
        <w:rPr>
          <w:i/>
          <w:iCs/>
        </w:rPr>
        <w:t>Selection and Installation of Handheld Portable Fire Extinguishers</w:t>
      </w:r>
      <w:r>
        <w:t>.</w:t>
      </w:r>
    </w:p>
  </w:footnote>
  <w:footnote w:id="14">
    <w:p w14:paraId="63B9EE18" w14:textId="68E9020E" w:rsidR="009D1EAA" w:rsidRPr="00C1140B" w:rsidRDefault="009D1EAA" w:rsidP="00C1140B">
      <w:pPr>
        <w:pStyle w:val="FootnoteText"/>
      </w:pPr>
      <w:r>
        <w:rPr>
          <w:rStyle w:val="FootnoteReference"/>
        </w:rPr>
        <w:footnoteRef/>
      </w:r>
      <w:r w:rsidRPr="001B3A85">
        <w:t>https://www.nasa.gov/directorates/heo/scan/engineering/technology/txt_</w:t>
      </w:r>
      <w:r w:rsidRPr="00C1140B">
        <w:t>accordion1.html</w:t>
      </w:r>
    </w:p>
  </w:footnote>
  <w:footnote w:id="15">
    <w:p w14:paraId="41450AAF" w14:textId="0DE76D11" w:rsidR="009D1EAA" w:rsidRDefault="009D1EAA" w:rsidP="00C1140B">
      <w:pPr>
        <w:pStyle w:val="FootnoteText"/>
      </w:pPr>
      <w:r>
        <w:rPr>
          <w:rStyle w:val="FootnoteReference"/>
        </w:rPr>
        <w:footnoteRef/>
      </w:r>
      <w:r>
        <w:t xml:space="preserve">UNEP, </w:t>
      </w:r>
      <w:r w:rsidRPr="0097396D">
        <w:rPr>
          <w:i/>
          <w:iCs/>
        </w:rPr>
        <w:t>Report of the UNEP Technology and Economic Assessment Panel, Volume 2, Decision XXIX/8 on the Future Availability of Halons and their Alternatives</w:t>
      </w:r>
      <w:r>
        <w:t>,</w:t>
      </w:r>
      <w:r w:rsidRPr="00811F53">
        <w:t xml:space="preserve"> </w:t>
      </w:r>
      <w:r>
        <w:t>September 2018.</w:t>
      </w:r>
    </w:p>
  </w:footnote>
  <w:footnote w:id="16">
    <w:p w14:paraId="732C3D21" w14:textId="6013772A" w:rsidR="009D1EAA" w:rsidRPr="0089712B" w:rsidRDefault="009D1EAA" w:rsidP="00C1140B">
      <w:pPr>
        <w:pStyle w:val="FootnoteText"/>
      </w:pPr>
      <w:r>
        <w:rPr>
          <w:rStyle w:val="FootnoteReference"/>
        </w:rPr>
        <w:footnoteRef/>
      </w:r>
      <w:r>
        <w:t xml:space="preserve"> </w:t>
      </w:r>
      <w:r w:rsidRPr="0097396D">
        <w:t>UNEP</w:t>
      </w:r>
      <w:r>
        <w:rPr>
          <w:i/>
          <w:iCs/>
        </w:rPr>
        <w:t>,</w:t>
      </w:r>
      <w:r w:rsidRPr="00CD2B30">
        <w:rPr>
          <w:i/>
          <w:iCs/>
        </w:rPr>
        <w:t xml:space="preserve"> Report of the Halons Technical Options Committee, Assessment Report 2018, Volume 1</w:t>
      </w:r>
      <w:r>
        <w:t>, December 2018.</w:t>
      </w:r>
    </w:p>
  </w:footnote>
  <w:footnote w:id="17">
    <w:p w14:paraId="2A81F286" w14:textId="04BFDD1B" w:rsidR="009D1EAA" w:rsidRPr="0089712B" w:rsidRDefault="009D1EAA" w:rsidP="00C1140B">
      <w:pPr>
        <w:pStyle w:val="FootnoteText"/>
      </w:pPr>
      <w:r>
        <w:rPr>
          <w:rStyle w:val="FootnoteReference"/>
        </w:rPr>
        <w:footnoteRef/>
      </w:r>
      <w:r>
        <w:t xml:space="preserve"> A40-WP/93 TE/25, </w:t>
      </w:r>
      <w:r w:rsidRPr="001B3A85">
        <w:rPr>
          <w:i/>
          <w:iCs/>
        </w:rPr>
        <w:t>Halon Replacement – Challenges and Solutions</w:t>
      </w:r>
      <w:r w:rsidRPr="001B3A85">
        <w:t>, p</w:t>
      </w:r>
      <w:r w:rsidRPr="002C6D24">
        <w:rPr>
          <w:rFonts w:ascii="Book Antiqua" w:hAnsi="Book Antiqua"/>
          <w:lang w:eastAsia="zh-CN"/>
        </w:rPr>
        <w:t>resented</w:t>
      </w:r>
      <w:r w:rsidRPr="00C10BAD">
        <w:rPr>
          <w:rFonts w:ascii="Book Antiqua" w:hAnsi="Book Antiqua"/>
          <w:lang w:eastAsia="zh-CN"/>
        </w:rPr>
        <w:t xml:space="preserve"> by the International Coordinating Council of Aerospace Industries Associations</w:t>
      </w:r>
      <w:r>
        <w:t xml:space="preserve">, 26/7/19. </w:t>
      </w:r>
      <w:hyperlink r:id="rId4" w:history="1">
        <w:r w:rsidRPr="00181FD5">
          <w:rPr>
            <w:rStyle w:val="Hyperlink"/>
          </w:rPr>
          <w:t>https://www.icao.int/Meetings/a40/Documents/WP/wp_093_en.pdf</w:t>
        </w:r>
      </w:hyperlink>
      <w:r>
        <w:t>, accessed December 2019.</w:t>
      </w:r>
    </w:p>
  </w:footnote>
  <w:footnote w:id="18">
    <w:p w14:paraId="128F257D" w14:textId="068C764F" w:rsidR="009D1EAA" w:rsidRDefault="009D1EAA" w:rsidP="00C1140B">
      <w:pPr>
        <w:pStyle w:val="FootnoteText"/>
      </w:pPr>
      <w:r>
        <w:rPr>
          <w:rStyle w:val="FootnoteReference"/>
        </w:rPr>
        <w:footnoteRef/>
      </w:r>
      <w:r>
        <w:t xml:space="preserve"> European Union Aviation Safety Agency, </w:t>
      </w:r>
      <w:r w:rsidRPr="001B3A85">
        <w:rPr>
          <w:i/>
          <w:iCs/>
        </w:rPr>
        <w:t>Halon Replacement in the Aviation Industry</w:t>
      </w:r>
      <w:r>
        <w:t xml:space="preserve">, November 2019. </w:t>
      </w:r>
      <w:hyperlink r:id="rId5" w:history="1">
        <w:r w:rsidRPr="00181FD5">
          <w:rPr>
            <w:rStyle w:val="Hyperlink"/>
          </w:rPr>
          <w:t>https://www.easa.europa.eu/document-library/general-publications/halon-replacement-aviation-industry</w:t>
        </w:r>
      </w:hyperlink>
      <w:r>
        <w:t>. Accessed December 2019.</w:t>
      </w:r>
    </w:p>
  </w:footnote>
  <w:footnote w:id="19">
    <w:p w14:paraId="38909A9D" w14:textId="28AAC153" w:rsidR="009D1EAA" w:rsidRPr="000E508F" w:rsidRDefault="009D1EAA" w:rsidP="00C1140B">
      <w:pPr>
        <w:pStyle w:val="FootnoteText"/>
      </w:pPr>
      <w:r>
        <w:rPr>
          <w:rStyle w:val="FootnoteReference"/>
        </w:rPr>
        <w:footnoteRef/>
      </w:r>
      <w:r>
        <w:t xml:space="preserve"> </w:t>
      </w:r>
      <w:r w:rsidRPr="00E545C1">
        <w:t xml:space="preserve">6 </w:t>
      </w:r>
      <w:r>
        <w:t>–</w:t>
      </w:r>
      <w:r w:rsidRPr="00E545C1">
        <w:t xml:space="preserve"> 30 Passengers</w:t>
      </w:r>
      <w:r>
        <w:t>,</w:t>
      </w:r>
      <w:r w:rsidRPr="00E545C1">
        <w:t xml:space="preserve"> 1</w:t>
      </w:r>
      <w:r>
        <w:t xml:space="preserve"> extinguisher (no requirement for halon);</w:t>
      </w:r>
      <w:r w:rsidRPr="00F23FF8">
        <w:t xml:space="preserve"> </w:t>
      </w:r>
      <w:r w:rsidRPr="00E545C1">
        <w:t xml:space="preserve">31 </w:t>
      </w:r>
      <w:r>
        <w:t>–</w:t>
      </w:r>
      <w:r w:rsidRPr="00E545C1">
        <w:t xml:space="preserve"> 60</w:t>
      </w:r>
      <w:r>
        <w:t>,</w:t>
      </w:r>
      <w:r w:rsidRPr="00E545C1">
        <w:t xml:space="preserve"> 2</w:t>
      </w:r>
      <w:r>
        <w:t xml:space="preserve">; </w:t>
      </w:r>
      <w:r w:rsidRPr="00E545C1">
        <w:t xml:space="preserve">61 </w:t>
      </w:r>
      <w:r>
        <w:t>–</w:t>
      </w:r>
      <w:r w:rsidRPr="00E545C1">
        <w:t xml:space="preserve"> 200</w:t>
      </w:r>
      <w:r>
        <w:t>,</w:t>
      </w:r>
      <w:r w:rsidRPr="00E545C1">
        <w:t xml:space="preserve"> 3</w:t>
      </w:r>
      <w:r>
        <w:t xml:space="preserve">; </w:t>
      </w:r>
      <w:r w:rsidRPr="00E545C1">
        <w:t xml:space="preserve">201 </w:t>
      </w:r>
      <w:r>
        <w:t>–</w:t>
      </w:r>
      <w:r w:rsidRPr="00E545C1">
        <w:t xml:space="preserve"> 300</w:t>
      </w:r>
      <w:r>
        <w:t>,</w:t>
      </w:r>
      <w:r w:rsidRPr="00E545C1">
        <w:t xml:space="preserve"> 4</w:t>
      </w:r>
      <w:r>
        <w:t xml:space="preserve">; </w:t>
      </w:r>
      <w:r w:rsidRPr="00E545C1">
        <w:t xml:space="preserve">301 </w:t>
      </w:r>
      <w:r>
        <w:t>–</w:t>
      </w:r>
      <w:r w:rsidRPr="00E545C1">
        <w:t xml:space="preserve"> 400</w:t>
      </w:r>
      <w:r>
        <w:t>,</w:t>
      </w:r>
      <w:r w:rsidRPr="00E545C1">
        <w:t xml:space="preserve"> 5</w:t>
      </w:r>
      <w:r>
        <w:t>;</w:t>
      </w:r>
      <w:r w:rsidRPr="00E545C1">
        <w:t xml:space="preserve"> 401 </w:t>
      </w:r>
      <w:r>
        <w:t>–</w:t>
      </w:r>
      <w:r w:rsidRPr="00E545C1">
        <w:t xml:space="preserve"> 500</w:t>
      </w:r>
      <w:r>
        <w:t xml:space="preserve">, </w:t>
      </w:r>
      <w:r w:rsidRPr="00E545C1">
        <w:t>6</w:t>
      </w:r>
      <w:r>
        <w:t xml:space="preserve">; </w:t>
      </w:r>
      <w:r w:rsidRPr="00E545C1">
        <w:t xml:space="preserve">501 </w:t>
      </w:r>
      <w:r>
        <w:t>–</w:t>
      </w:r>
      <w:r w:rsidRPr="00E545C1">
        <w:t xml:space="preserve"> 600</w:t>
      </w:r>
      <w:r>
        <w:t>,</w:t>
      </w:r>
      <w:r w:rsidRPr="00E545C1">
        <w:t xml:space="preserve"> 7</w:t>
      </w:r>
      <w:r>
        <w:t xml:space="preserve">; </w:t>
      </w:r>
      <w:r w:rsidRPr="00E545C1">
        <w:t>601 or more</w:t>
      </w:r>
      <w:r>
        <w:t>, 8.</w:t>
      </w:r>
      <w:r w:rsidRPr="00E545C1">
        <w:t xml:space="preserve"> </w:t>
      </w:r>
    </w:p>
  </w:footnote>
  <w:footnote w:id="20">
    <w:p w14:paraId="131B5BE0" w14:textId="23B8B8C4" w:rsidR="009D1EAA" w:rsidRDefault="009D1EAA" w:rsidP="00C1140B">
      <w:pPr>
        <w:pStyle w:val="FootnoteText"/>
      </w:pPr>
      <w:r>
        <w:rPr>
          <w:rStyle w:val="FootnoteReference"/>
        </w:rPr>
        <w:footnoteRef/>
      </w:r>
      <w:r>
        <w:t xml:space="preserve"> </w:t>
      </w:r>
      <w:r w:rsidRPr="002B6EBF">
        <w:t xml:space="preserve">David Catchpole and Dan Verdonik, </w:t>
      </w:r>
      <w:r>
        <w:t xml:space="preserve">HTOC co-chairs (2011), </w:t>
      </w:r>
      <w:r w:rsidRPr="002B6EBF">
        <w:t>personal communications 2011</w:t>
      </w:r>
      <w:r>
        <w:t>.</w:t>
      </w:r>
    </w:p>
  </w:footnote>
  <w:footnote w:id="21">
    <w:p w14:paraId="69761D64" w14:textId="1CA09CB7" w:rsidR="009D1EAA" w:rsidRPr="001B3A85" w:rsidRDefault="009D1EAA" w:rsidP="00C1140B">
      <w:pPr>
        <w:pStyle w:val="FootnoteText"/>
        <w:rPr>
          <w:lang w:val="en-US"/>
        </w:rPr>
      </w:pPr>
      <w:r>
        <w:rPr>
          <w:rStyle w:val="FootnoteReference"/>
        </w:rPr>
        <w:footnoteRef/>
      </w:r>
      <w:r>
        <w:t xml:space="preserve"> UNEP, </w:t>
      </w:r>
      <w:r w:rsidRPr="00ED442F">
        <w:rPr>
          <w:i/>
          <w:iCs/>
        </w:rPr>
        <w:t xml:space="preserve">Report of the Technology and Economic Assessment Panel, Volume 2, </w:t>
      </w:r>
      <w:r w:rsidRPr="001B3A85">
        <w:rPr>
          <w:i/>
          <w:iCs/>
          <w:lang w:val="en-US"/>
        </w:rPr>
        <w:t>Decision XXIX/8 Report on the future availability of halons and their alternatives</w:t>
      </w:r>
      <w:r w:rsidRPr="001B3A85">
        <w:rPr>
          <w:lang w:val="en-US"/>
        </w:rPr>
        <w:t>, September 2018.</w:t>
      </w:r>
      <w:r w:rsidRPr="005E4344">
        <w:rPr>
          <w:b/>
          <w:bCs/>
          <w:lang w:val="en-US"/>
        </w:rPr>
        <w:t xml:space="preserve"> </w:t>
      </w:r>
    </w:p>
  </w:footnote>
  <w:footnote w:id="22">
    <w:p w14:paraId="316B3499" w14:textId="3864A8E3" w:rsidR="009D1EAA" w:rsidRPr="00D937D3" w:rsidRDefault="009D1EAA" w:rsidP="00C1140B">
      <w:pPr>
        <w:pStyle w:val="FootnoteText"/>
        <w:rPr>
          <w:lang w:val="en-US"/>
        </w:rPr>
      </w:pPr>
      <w:r w:rsidRPr="002B6EBF">
        <w:rPr>
          <w:rStyle w:val="FootnoteReference"/>
        </w:rPr>
        <w:footnoteRef/>
      </w:r>
      <w:r w:rsidRPr="002B6EBF">
        <w:t xml:space="preserve"> David Catchpole and Dan Verdonik, HTOC </w:t>
      </w:r>
      <w:r>
        <w:t>C</w:t>
      </w:r>
      <w:r w:rsidRPr="002B6EBF">
        <w:t>o-Chairs</w:t>
      </w:r>
      <w:r>
        <w:t xml:space="preserve"> (2011)</w:t>
      </w:r>
      <w:r w:rsidRPr="002B6EBF">
        <w:t>, personal communications 2011</w:t>
      </w:r>
      <w:r>
        <w:t>.</w:t>
      </w:r>
    </w:p>
  </w:footnote>
  <w:footnote w:id="23">
    <w:p w14:paraId="78CD9A2F" w14:textId="24FA7E7A" w:rsidR="009D1EAA" w:rsidRPr="00D42A87" w:rsidRDefault="009D1EAA" w:rsidP="00C1140B">
      <w:pPr>
        <w:pStyle w:val="FootnoteText"/>
      </w:pPr>
      <w:r>
        <w:rPr>
          <w:rStyle w:val="FootnoteReference"/>
        </w:rPr>
        <w:footnoteRef/>
      </w:r>
      <w:r>
        <w:t xml:space="preserve"> </w:t>
      </w:r>
      <w:r w:rsidRPr="002B6EBF">
        <w:t xml:space="preserve">Adam Chattaway and Dan Verdonik, HTOC </w:t>
      </w:r>
      <w:r>
        <w:t>C</w:t>
      </w:r>
      <w:r w:rsidRPr="002B6EBF">
        <w:t>o-Chairs</w:t>
      </w:r>
      <w:r>
        <w:t xml:space="preserve"> (2019)</w:t>
      </w:r>
      <w:r w:rsidRPr="002B6EBF">
        <w:t>, personal communications 2019</w:t>
      </w:r>
      <w:r>
        <w:t>.</w:t>
      </w:r>
    </w:p>
  </w:footnote>
  <w:footnote w:id="24">
    <w:p w14:paraId="5F51E4DC" w14:textId="404C67C7" w:rsidR="009D1EAA" w:rsidRDefault="009D1EAA" w:rsidP="00C1140B">
      <w:pPr>
        <w:pStyle w:val="FootnoteText"/>
      </w:pPr>
      <w:r>
        <w:rPr>
          <w:rStyle w:val="FootnoteReference"/>
        </w:rPr>
        <w:footnoteRef/>
      </w:r>
      <w:r>
        <w:t xml:space="preserve"> </w:t>
      </w:r>
      <w:r w:rsidRPr="001B3A85">
        <w:rPr>
          <w:i/>
          <w:iCs/>
        </w:rPr>
        <w:t>Drawing Down Halon 1301 Inventories: Updated Analysis</w:t>
      </w:r>
      <w:r w:rsidRPr="000A3CEF">
        <w:t xml:space="preserve">, </w:t>
      </w:r>
      <w:r>
        <w:t xml:space="preserve">ICF International Inc. for United States’ Environmental Protection Agency, </w:t>
      </w:r>
      <w:r w:rsidRPr="000A3CEF">
        <w:t>September 2018</w:t>
      </w:r>
      <w:r>
        <w:t>, and through personal communications, ICF, December 2019. The 2018</w:t>
      </w:r>
      <w:r w:rsidRPr="002F3792">
        <w:t xml:space="preserve"> analysis includes company-specific assumptions, a refined methodology and assumptions, and updated activity data. </w:t>
      </w:r>
      <w:r>
        <w:t>It uses</w:t>
      </w:r>
      <w:r w:rsidRPr="002F3792">
        <w:t xml:space="preserve"> aircraft activity data from publicly available Boeing and Airbus sources and applied assumptions of halon used in different applications (e.g., engine, cargo) to the different plane types (e.g., very large, intermediate twin, business jets, turboprops). </w:t>
      </w:r>
      <w:r>
        <w:t>T</w:t>
      </w:r>
      <w:r w:rsidRPr="002F3792">
        <w:t>he mainline and regional assumptions take into account both passenger and freighter aircraft.</w:t>
      </w:r>
    </w:p>
  </w:footnote>
  <w:footnote w:id="25">
    <w:p w14:paraId="3DADCC6E" w14:textId="7D35948C" w:rsidR="009D1EAA" w:rsidRDefault="009D1EAA" w:rsidP="00C1140B">
      <w:pPr>
        <w:pStyle w:val="FootnoteText"/>
      </w:pPr>
      <w:r>
        <w:rPr>
          <w:rStyle w:val="FootnoteReference"/>
        </w:rPr>
        <w:footnoteRef/>
      </w:r>
      <w:r>
        <w:t xml:space="preserve"> </w:t>
      </w:r>
      <w:r w:rsidRPr="00ED442F">
        <w:rPr>
          <w:i/>
          <w:iCs/>
        </w:rPr>
        <w:t>Commercial Market Outlook, 2019-2038</w:t>
      </w:r>
      <w:r>
        <w:t>, Boeing, 2019.</w:t>
      </w:r>
    </w:p>
  </w:footnote>
  <w:footnote w:id="26">
    <w:p w14:paraId="5C2B0C67" w14:textId="0E951795" w:rsidR="009D1EAA" w:rsidRDefault="009D1EAA" w:rsidP="00C1140B">
      <w:pPr>
        <w:pStyle w:val="FootnoteText"/>
      </w:pPr>
      <w:r>
        <w:rPr>
          <w:rStyle w:val="FootnoteReference"/>
        </w:rPr>
        <w:footnoteRef/>
      </w:r>
      <w:r>
        <w:t xml:space="preserve"> </w:t>
      </w:r>
      <w:r w:rsidRPr="00ED442F">
        <w:rPr>
          <w:i/>
          <w:iCs/>
        </w:rPr>
        <w:t>Global Market Forecast, Cities, Airports and Aircraft, 2019-2038</w:t>
      </w:r>
      <w:r>
        <w:t>, Airbus, 2019.</w:t>
      </w:r>
    </w:p>
  </w:footnote>
  <w:footnote w:id="27">
    <w:p w14:paraId="62D23C26" w14:textId="7ADD264B" w:rsidR="009D1EAA" w:rsidRDefault="009D1EAA">
      <w:pPr>
        <w:pStyle w:val="FootnoteText"/>
      </w:pPr>
      <w:r>
        <w:rPr>
          <w:rStyle w:val="FootnoteReference"/>
        </w:rPr>
        <w:footnoteRef/>
      </w:r>
      <w:r>
        <w:t xml:space="preserve"> For every 100 new aircraft deliveries, 56 are for growth or increased demand, and 44 are for replacement of retired aircraft.</w:t>
      </w:r>
    </w:p>
  </w:footnote>
  <w:footnote w:id="28">
    <w:p w14:paraId="723DE0D0" w14:textId="28239EAA" w:rsidR="009D1EAA" w:rsidRDefault="009D1EAA" w:rsidP="00C1140B">
      <w:pPr>
        <w:pStyle w:val="FootnoteText"/>
      </w:pPr>
      <w:r>
        <w:rPr>
          <w:rStyle w:val="FootnoteReference"/>
        </w:rPr>
        <w:footnoteRef/>
      </w:r>
      <w:r>
        <w:t xml:space="preserve"> Bureau of Infrastructure, Transport and Regional Economics Statistical Report, </w:t>
      </w:r>
      <w:r w:rsidRPr="001B3A85">
        <w:rPr>
          <w:i/>
          <w:iCs/>
        </w:rPr>
        <w:t>Australian Aircraft Activity 2014</w:t>
      </w:r>
      <w:r>
        <w:t>, 2017.</w:t>
      </w:r>
    </w:p>
  </w:footnote>
  <w:footnote w:id="29">
    <w:p w14:paraId="20DE253F" w14:textId="798AB77F" w:rsidR="009D1EAA" w:rsidRDefault="009D1EAA" w:rsidP="00C1140B">
      <w:pPr>
        <w:pStyle w:val="FootnoteText"/>
      </w:pPr>
      <w:r>
        <w:rPr>
          <w:rStyle w:val="FootnoteReference"/>
        </w:rPr>
        <w:footnoteRef/>
      </w:r>
      <w:r>
        <w:t xml:space="preserve"> Bureau of Infrastructure, Transport and Regional Economics Statistical Report, </w:t>
      </w:r>
      <w:r w:rsidRPr="001B3A85">
        <w:rPr>
          <w:i/>
          <w:iCs/>
        </w:rPr>
        <w:t>Australian Aircraft Activity 2016</w:t>
      </w:r>
      <w:r>
        <w:t>, 2018.</w:t>
      </w:r>
    </w:p>
  </w:footnote>
  <w:footnote w:id="30">
    <w:p w14:paraId="63D64A90" w14:textId="59AE77E0" w:rsidR="009D1EAA" w:rsidRDefault="009D1EAA" w:rsidP="00C1140B">
      <w:pPr>
        <w:pStyle w:val="FootnoteText"/>
      </w:pPr>
      <w:r>
        <w:rPr>
          <w:rStyle w:val="FootnoteReference"/>
        </w:rPr>
        <w:footnoteRef/>
      </w:r>
      <w:r>
        <w:t xml:space="preserve"> Bureau of Infrastructure, Transport and Regional Economics Statistical Report, </w:t>
      </w:r>
      <w:r w:rsidRPr="00741AB1">
        <w:rPr>
          <w:i/>
          <w:iCs/>
        </w:rPr>
        <w:t>Australian Aircraft Activity 201</w:t>
      </w:r>
      <w:r>
        <w:rPr>
          <w:i/>
          <w:iCs/>
        </w:rPr>
        <w:t>8</w:t>
      </w:r>
      <w:r>
        <w:t>, 2019.</w:t>
      </w:r>
    </w:p>
  </w:footnote>
  <w:footnote w:id="31">
    <w:p w14:paraId="6DD40864" w14:textId="1AA42AB5" w:rsidR="009D1EAA" w:rsidRDefault="009D1EAA" w:rsidP="00C1140B">
      <w:pPr>
        <w:pStyle w:val="FootnoteText"/>
      </w:pPr>
      <w:r>
        <w:rPr>
          <w:rStyle w:val="FootnoteReference"/>
        </w:rPr>
        <w:footnoteRef/>
      </w:r>
      <w:r>
        <w:t xml:space="preserve"> </w:t>
      </w:r>
      <w:r w:rsidRPr="00ED442F">
        <w:rPr>
          <w:i/>
          <w:iCs/>
        </w:rPr>
        <w:t>Activity Forecasts for the Period 2014-2015 to 2020-2021</w:t>
      </w:r>
      <w:r w:rsidRPr="001B3A85">
        <w:t>, International Air Transport Association for Air Services Australia</w:t>
      </w:r>
      <w:r>
        <w:t>, Draft Final Report, 25 February 2015.</w:t>
      </w:r>
    </w:p>
  </w:footnote>
  <w:footnote w:id="32">
    <w:p w14:paraId="790620CE" w14:textId="0F25697E" w:rsidR="009D1EAA" w:rsidRPr="001B3A85" w:rsidRDefault="009D1EAA" w:rsidP="00C1140B">
      <w:pPr>
        <w:pStyle w:val="FootnoteText"/>
        <w:rPr>
          <w:lang w:val="en-US"/>
        </w:rPr>
      </w:pPr>
      <w:r>
        <w:rPr>
          <w:rStyle w:val="FootnoteReference"/>
        </w:rPr>
        <w:footnoteRef/>
      </w:r>
      <w:r>
        <w:t xml:space="preserve"> </w:t>
      </w:r>
      <w:r w:rsidRPr="00923317">
        <w:rPr>
          <w:i/>
          <w:iCs/>
        </w:rPr>
        <w:t>How old is too old? The impact of ageing aircraft on aviation safety</w:t>
      </w:r>
      <w:r>
        <w:t xml:space="preserve">, </w:t>
      </w:r>
      <w:r w:rsidRPr="003659E5">
        <w:t>Australian Transport Safety Bureau</w:t>
      </w:r>
      <w:r>
        <w:t xml:space="preserve">, </w:t>
      </w:r>
      <w:r w:rsidRPr="00DB644D">
        <w:rPr>
          <w:lang w:val="en-US"/>
        </w:rPr>
        <w:t>February 2007</w:t>
      </w:r>
      <w:r>
        <w:rPr>
          <w:lang w:val="en-US"/>
        </w:rPr>
        <w:t>.</w:t>
      </w:r>
    </w:p>
  </w:footnote>
  <w:footnote w:id="33">
    <w:p w14:paraId="1A0D73F2" w14:textId="5D28978D" w:rsidR="009D1EAA" w:rsidRDefault="009D1EAA" w:rsidP="00C1140B">
      <w:pPr>
        <w:pStyle w:val="FootnoteText"/>
      </w:pPr>
      <w:r>
        <w:rPr>
          <w:rStyle w:val="FootnoteReference"/>
        </w:rPr>
        <w:footnoteRef/>
      </w:r>
      <w:r>
        <w:t xml:space="preserve"> </w:t>
      </w:r>
      <w:r w:rsidRPr="00923317">
        <w:rPr>
          <w:i/>
          <w:iCs/>
        </w:rPr>
        <w:t>Commercial Market Outlook, 2019-2038</w:t>
      </w:r>
      <w:r w:rsidRPr="00D47F4D">
        <w:t>, Boeing, 2019.</w:t>
      </w:r>
    </w:p>
  </w:footnote>
  <w:footnote w:id="34">
    <w:p w14:paraId="2A917688" w14:textId="31320FB2" w:rsidR="009D1EAA" w:rsidRDefault="009D1EAA" w:rsidP="00C1140B">
      <w:pPr>
        <w:pStyle w:val="FootnoteText"/>
      </w:pPr>
      <w:r>
        <w:rPr>
          <w:rStyle w:val="FootnoteReference"/>
        </w:rPr>
        <w:footnoteRef/>
      </w:r>
      <w:r>
        <w:t xml:space="preserve"> </w:t>
      </w:r>
      <w:r w:rsidRPr="000D0DC0">
        <w:rPr>
          <w:i/>
          <w:iCs/>
        </w:rPr>
        <w:t>Ibid</w:t>
      </w:r>
      <w:r>
        <w:t xml:space="preserve">., </w:t>
      </w:r>
      <w:r w:rsidRPr="00842069">
        <w:t>Australian Transport Safety Bureau</w:t>
      </w:r>
      <w:r>
        <w:t>.</w:t>
      </w:r>
    </w:p>
  </w:footnote>
  <w:footnote w:id="35">
    <w:p w14:paraId="55E6E523" w14:textId="2AEFF020" w:rsidR="009D1EAA" w:rsidRDefault="009D1EAA">
      <w:pPr>
        <w:pStyle w:val="FootnoteText"/>
      </w:pPr>
      <w:r>
        <w:rPr>
          <w:rStyle w:val="FootnoteReference"/>
        </w:rPr>
        <w:footnoteRef/>
      </w:r>
      <w:r>
        <w:t xml:space="preserve"> </w:t>
      </w:r>
      <w:r w:rsidRPr="00741AB1">
        <w:rPr>
          <w:i/>
          <w:iCs/>
        </w:rPr>
        <w:t>Review of Australia’s Halon Essential Use Requirements 2012</w:t>
      </w:r>
      <w:r w:rsidRPr="001D520A">
        <w:t xml:space="preserve">, </w:t>
      </w:r>
      <w:r>
        <w:t xml:space="preserve">by </w:t>
      </w:r>
      <w:r w:rsidRPr="00CA7427">
        <w:t>Energy International Australia</w:t>
      </w:r>
      <w:r w:rsidRPr="00907376">
        <w:t xml:space="preserve"> </w:t>
      </w:r>
      <w:r>
        <w:t xml:space="preserve">for the Department of Environment and Energy, May 2012, </w:t>
      </w:r>
      <w:hyperlink r:id="rId6" w:history="1">
        <w:r w:rsidRPr="00F24B59">
          <w:rPr>
            <w:rStyle w:val="Hyperlink"/>
          </w:rPr>
          <w:t>https://www.environment.gov.au/protection/ozone</w:t>
        </w:r>
        <w:r w:rsidRPr="004E55E0">
          <w:rPr>
            <w:rStyle w:val="Hyperlink"/>
          </w:rPr>
          <w:t>/publications/review-australias-halon-essential-uses-requirements</w:t>
        </w:r>
      </w:hyperlink>
    </w:p>
  </w:footnote>
  <w:footnote w:id="36">
    <w:p w14:paraId="2B943CC4" w14:textId="7B63D372" w:rsidR="009D1EAA" w:rsidRPr="00305E4F" w:rsidRDefault="009D1EAA" w:rsidP="00C1140B">
      <w:pPr>
        <w:pStyle w:val="FootnoteText"/>
        <w:rPr>
          <w:lang w:val="en-US"/>
        </w:rPr>
      </w:pPr>
      <w:r>
        <w:rPr>
          <w:rStyle w:val="FootnoteReference"/>
        </w:rPr>
        <w:footnoteRef/>
      </w:r>
      <w:r>
        <w:t xml:space="preserve"> </w:t>
      </w:r>
      <w:r w:rsidRPr="00305E4F">
        <w:t xml:space="preserve">ICF International, </w:t>
      </w:r>
      <w:r w:rsidRPr="00305E4F">
        <w:rPr>
          <w:i/>
        </w:rPr>
        <w:t>Revised Draft Report: Estimated Usage and Emissions of Halon 1301, 1211, and 2402 in Civil Aircraft Worldwide</w:t>
      </w:r>
      <w:r w:rsidRPr="00305E4F">
        <w:t>, June 2006</w:t>
      </w:r>
      <w:r>
        <w:t xml:space="preserve">, made available through </w:t>
      </w:r>
      <w:r>
        <w:rPr>
          <w:lang w:val="en-US"/>
        </w:rPr>
        <w:t>personal communication with Ms. Bella Maranion, United States EPA.</w:t>
      </w:r>
    </w:p>
  </w:footnote>
  <w:footnote w:id="37">
    <w:p w14:paraId="5F7EF5FD" w14:textId="2E842A73" w:rsidR="009D1EAA" w:rsidRPr="00066837" w:rsidRDefault="009D1EAA" w:rsidP="00C1140B">
      <w:pPr>
        <w:pStyle w:val="FootnoteText"/>
        <w:rPr>
          <w:lang w:val="en-US"/>
        </w:rPr>
      </w:pPr>
      <w:r>
        <w:rPr>
          <w:rStyle w:val="FootnoteReference"/>
        </w:rPr>
        <w:footnoteRef/>
      </w:r>
      <w:r>
        <w:t xml:space="preserve"> </w:t>
      </w:r>
      <w:r w:rsidRPr="00305E4F">
        <w:t xml:space="preserve">ICF International, </w:t>
      </w:r>
      <w:r w:rsidRPr="00923317">
        <w:rPr>
          <w:i/>
          <w:iCs/>
        </w:rPr>
        <w:t>Revised Draft Report: Estimated Usage and Emissions of Halon 1301, 1211, and 2402 in Civil Aircraft Worldwide</w:t>
      </w:r>
      <w:r w:rsidRPr="0023226A">
        <w:t xml:space="preserve">, </w:t>
      </w:r>
      <w:r w:rsidRPr="00305E4F">
        <w:t>June 2006</w:t>
      </w:r>
      <w:r>
        <w:t>.</w:t>
      </w:r>
    </w:p>
  </w:footnote>
  <w:footnote w:id="38">
    <w:p w14:paraId="24AFE425" w14:textId="77777777" w:rsidR="009D1EAA" w:rsidRPr="00B27361" w:rsidRDefault="009D1EAA" w:rsidP="00C1140B">
      <w:pPr>
        <w:pStyle w:val="FootnoteText"/>
      </w:pPr>
      <w:r>
        <w:rPr>
          <w:rStyle w:val="FootnoteReference"/>
        </w:rPr>
        <w:footnoteRef/>
      </w:r>
      <w:r>
        <w:t xml:space="preserve"> </w:t>
      </w:r>
      <w:r w:rsidRPr="00B27361">
        <w:t xml:space="preserve">O’Sullivan, J., </w:t>
      </w:r>
      <w:r w:rsidRPr="0051106F">
        <w:rPr>
          <w:i/>
          <w:iCs/>
        </w:rPr>
        <w:t>National airlines and halon data</w:t>
      </w:r>
      <w:r w:rsidRPr="00B27361">
        <w:t>, (data compiled by British Airways technical expert), 2005.</w:t>
      </w:r>
    </w:p>
  </w:footnote>
  <w:footnote w:id="39">
    <w:p w14:paraId="7D5A2F53" w14:textId="3DE07473" w:rsidR="009D1EAA" w:rsidRPr="00AB43BB" w:rsidRDefault="009D1EAA">
      <w:pPr>
        <w:pStyle w:val="FootnoteText"/>
      </w:pPr>
      <w:r>
        <w:rPr>
          <w:rStyle w:val="FootnoteReference"/>
        </w:rPr>
        <w:footnoteRef/>
      </w:r>
      <w:r>
        <w:t xml:space="preserve"> </w:t>
      </w:r>
      <w:r w:rsidR="001F7497">
        <w:rPr>
          <w:lang w:val="en-US"/>
        </w:rPr>
        <w:t>For the 2012 Halon Review,</w:t>
      </w:r>
      <w:r w:rsidR="001F7497" w:rsidRPr="009D5A89">
        <w:rPr>
          <w:lang w:val="en-US"/>
        </w:rPr>
        <w:t xml:space="preserve"> </w:t>
      </w:r>
      <w:r w:rsidR="001F7497">
        <w:rPr>
          <w:lang w:val="en-US"/>
        </w:rPr>
        <w:t>e</w:t>
      </w:r>
      <w:r w:rsidRPr="009D5A89">
        <w:rPr>
          <w:lang w:val="en-US"/>
        </w:rPr>
        <w:t xml:space="preserve">stimated emissions from the civil aviation model </w:t>
      </w:r>
      <w:r w:rsidR="001F7497">
        <w:rPr>
          <w:lang w:val="en-US"/>
        </w:rPr>
        <w:t>corresponded to</w:t>
      </w:r>
      <w:r w:rsidRPr="009D5A89">
        <w:rPr>
          <w:lang w:val="en-US"/>
        </w:rPr>
        <w:t xml:space="preserve"> 27% and 43% of the estimated annual consumption </w:t>
      </w:r>
      <w:r w:rsidR="001F7497" w:rsidRPr="009D5A89">
        <w:rPr>
          <w:lang w:val="en-US"/>
        </w:rPr>
        <w:t>for halons 1211 and 1301 respectively</w:t>
      </w:r>
      <w:r>
        <w:rPr>
          <w:lang w:val="en-US"/>
        </w:rPr>
        <w:t xml:space="preserve">, where </w:t>
      </w:r>
      <w:r w:rsidR="003418F4">
        <w:rPr>
          <w:lang w:val="en-US"/>
        </w:rPr>
        <w:t xml:space="preserve">annual NHB halon sales </w:t>
      </w:r>
      <w:r>
        <w:rPr>
          <w:lang w:val="en-US"/>
        </w:rPr>
        <w:t xml:space="preserve">was </w:t>
      </w:r>
      <w:r w:rsidR="001F7497">
        <w:rPr>
          <w:lang w:val="en-US"/>
        </w:rPr>
        <w:t>assumed equivalent to</w:t>
      </w:r>
      <w:r w:rsidR="003418F4" w:rsidRPr="003418F4">
        <w:rPr>
          <w:lang w:val="en-US"/>
        </w:rPr>
        <w:t xml:space="preserve"> </w:t>
      </w:r>
      <w:r w:rsidR="003418F4">
        <w:rPr>
          <w:lang w:val="en-US"/>
        </w:rPr>
        <w:t>total annual consumption</w:t>
      </w:r>
      <w:r w:rsidRPr="009D5A89">
        <w:rPr>
          <w:lang w:val="en-US"/>
        </w:rPr>
        <w:t xml:space="preserve">. Even after </w:t>
      </w:r>
      <w:r w:rsidR="004806C2">
        <w:rPr>
          <w:lang w:val="en-US"/>
        </w:rPr>
        <w:t xml:space="preserve">considering </w:t>
      </w:r>
      <w:r w:rsidR="00AB43BB">
        <w:rPr>
          <w:lang w:val="en-US"/>
        </w:rPr>
        <w:t>unaccounted</w:t>
      </w:r>
      <w:r>
        <w:rPr>
          <w:lang w:val="en-US"/>
        </w:rPr>
        <w:t xml:space="preserve"> </w:t>
      </w:r>
      <w:r w:rsidRPr="009D5A89">
        <w:rPr>
          <w:lang w:val="en-US"/>
        </w:rPr>
        <w:t>general aviation</w:t>
      </w:r>
      <w:r w:rsidR="004806C2">
        <w:rPr>
          <w:lang w:val="en-US"/>
        </w:rPr>
        <w:t xml:space="preserve"> (</w:t>
      </w:r>
      <w:r w:rsidR="00AB43BB">
        <w:rPr>
          <w:lang w:val="en-US"/>
        </w:rPr>
        <w:t xml:space="preserve">the aviation model </w:t>
      </w:r>
      <w:r w:rsidR="003418F4">
        <w:t>estimated halon installed in</w:t>
      </w:r>
      <w:r w:rsidR="00AB43BB" w:rsidRPr="00AB43BB">
        <w:t xml:space="preserve"> commercial passenger and freight</w:t>
      </w:r>
      <w:r w:rsidR="00100339">
        <w:t>er aircraft</w:t>
      </w:r>
      <w:r w:rsidR="00AB43BB">
        <w:t xml:space="preserve"> </w:t>
      </w:r>
      <w:r w:rsidR="00100339">
        <w:t>and</w:t>
      </w:r>
      <w:r w:rsidR="00AB43BB" w:rsidRPr="00AB43BB">
        <w:t xml:space="preserve"> </w:t>
      </w:r>
      <w:r w:rsidR="003418F4">
        <w:t xml:space="preserve">not </w:t>
      </w:r>
      <w:r w:rsidR="00100339">
        <w:t xml:space="preserve">in </w:t>
      </w:r>
      <w:r w:rsidR="00AB43BB" w:rsidRPr="00AB43BB">
        <w:t>general aviation</w:t>
      </w:r>
      <w:r w:rsidR="003418F4">
        <w:t>,</w:t>
      </w:r>
      <w:r w:rsidR="00AB43BB" w:rsidRPr="00AB43BB">
        <w:t xml:space="preserve"> </w:t>
      </w:r>
      <w:r w:rsidR="00AB43BB">
        <w:t>such as</w:t>
      </w:r>
      <w:r w:rsidR="00AB43BB" w:rsidRPr="00AB43BB">
        <w:t xml:space="preserve"> unscheduled private or recreational aviation</w:t>
      </w:r>
      <w:r w:rsidR="004806C2">
        <w:rPr>
          <w:lang w:val="en-US"/>
        </w:rPr>
        <w:t>)</w:t>
      </w:r>
      <w:r w:rsidRPr="009D5A89">
        <w:rPr>
          <w:lang w:val="en-US"/>
        </w:rPr>
        <w:t xml:space="preserve">, defence and maritime halon uses </w:t>
      </w:r>
      <w:r w:rsidR="00AB43BB">
        <w:rPr>
          <w:lang w:val="en-US"/>
        </w:rPr>
        <w:t xml:space="preserve">that </w:t>
      </w:r>
      <w:r w:rsidR="003418F4">
        <w:rPr>
          <w:lang w:val="en-US"/>
        </w:rPr>
        <w:t xml:space="preserve">would have </w:t>
      </w:r>
      <w:r w:rsidR="00AB43BB">
        <w:rPr>
          <w:lang w:val="en-US"/>
        </w:rPr>
        <w:t xml:space="preserve">made </w:t>
      </w:r>
      <w:r w:rsidR="004806C2">
        <w:rPr>
          <w:lang w:val="en-US"/>
        </w:rPr>
        <w:t>up</w:t>
      </w:r>
      <w:r w:rsidRPr="009D5A89">
        <w:rPr>
          <w:lang w:val="en-US"/>
        </w:rPr>
        <w:t xml:space="preserve"> the remainder of </w:t>
      </w:r>
      <w:r w:rsidR="00100339">
        <w:rPr>
          <w:lang w:val="en-US"/>
        </w:rPr>
        <w:t xml:space="preserve">total </w:t>
      </w:r>
      <w:r w:rsidR="004806C2">
        <w:rPr>
          <w:lang w:val="en-US"/>
        </w:rPr>
        <w:t xml:space="preserve">annual </w:t>
      </w:r>
      <w:r>
        <w:rPr>
          <w:lang w:val="en-US"/>
        </w:rPr>
        <w:t xml:space="preserve">halon </w:t>
      </w:r>
      <w:r w:rsidRPr="009D5A89">
        <w:rPr>
          <w:lang w:val="en-US"/>
        </w:rPr>
        <w:t xml:space="preserve">consumption, the </w:t>
      </w:r>
      <w:r>
        <w:rPr>
          <w:lang w:val="en-US"/>
        </w:rPr>
        <w:t xml:space="preserve">2012 Halon Review </w:t>
      </w:r>
      <w:r w:rsidRPr="009D5A89">
        <w:rPr>
          <w:lang w:val="en-US"/>
        </w:rPr>
        <w:t xml:space="preserve">aviation model </w:t>
      </w:r>
      <w:r w:rsidR="003418F4">
        <w:rPr>
          <w:lang w:val="en-US"/>
        </w:rPr>
        <w:t>seemed to</w:t>
      </w:r>
      <w:r>
        <w:rPr>
          <w:lang w:val="en-US"/>
        </w:rPr>
        <w:t xml:space="preserve"> </w:t>
      </w:r>
      <w:r w:rsidRPr="009D5A89">
        <w:rPr>
          <w:lang w:val="en-US"/>
        </w:rPr>
        <w:t>under-estimat</w:t>
      </w:r>
      <w:r w:rsidR="00100339">
        <w:rPr>
          <w:lang w:val="en-US"/>
        </w:rPr>
        <w:t>e</w:t>
      </w:r>
      <w:r w:rsidRPr="009D5A89">
        <w:rPr>
          <w:lang w:val="en-US"/>
        </w:rPr>
        <w:t xml:space="preserve"> halon usage in commercial passenger and freighter aircraft. Further work </w:t>
      </w:r>
      <w:r>
        <w:rPr>
          <w:lang w:val="en-US"/>
        </w:rPr>
        <w:t xml:space="preserve">was considered necessary </w:t>
      </w:r>
      <w:r w:rsidRPr="009D5A89">
        <w:rPr>
          <w:lang w:val="en-US"/>
        </w:rPr>
        <w:t xml:space="preserve">to </w:t>
      </w:r>
      <w:r>
        <w:rPr>
          <w:lang w:val="en-US"/>
        </w:rPr>
        <w:t xml:space="preserve">better </w:t>
      </w:r>
      <w:r w:rsidRPr="009D5A89">
        <w:rPr>
          <w:lang w:val="en-US"/>
        </w:rPr>
        <w:t xml:space="preserve">quantify defence halon usage </w:t>
      </w:r>
      <w:r w:rsidR="004806C2">
        <w:rPr>
          <w:lang w:val="en-US"/>
        </w:rPr>
        <w:t xml:space="preserve">and its contribution to annual NHB halon sales </w:t>
      </w:r>
      <w:r w:rsidRPr="009D5A89">
        <w:rPr>
          <w:lang w:val="en-US"/>
        </w:rPr>
        <w:t xml:space="preserve">to test </w:t>
      </w:r>
      <w:r>
        <w:rPr>
          <w:lang w:val="en-US"/>
        </w:rPr>
        <w:t>implication</w:t>
      </w:r>
      <w:r w:rsidR="00100339">
        <w:rPr>
          <w:lang w:val="en-US"/>
        </w:rPr>
        <w:t>s</w:t>
      </w:r>
      <w:r w:rsidRPr="009D5A89">
        <w:rPr>
          <w:lang w:val="en-US"/>
        </w:rPr>
        <w:t xml:space="preserve">. </w:t>
      </w:r>
      <w:r>
        <w:rPr>
          <w:lang w:val="en-US"/>
        </w:rPr>
        <w:t xml:space="preserve">There was </w:t>
      </w:r>
      <w:r w:rsidR="00D031F3">
        <w:rPr>
          <w:lang w:val="en-US"/>
        </w:rPr>
        <w:t xml:space="preserve">also </w:t>
      </w:r>
      <w:r w:rsidR="004806C2">
        <w:rPr>
          <w:lang w:val="en-US"/>
        </w:rPr>
        <w:t>underlying</w:t>
      </w:r>
      <w:r>
        <w:rPr>
          <w:lang w:val="en-US"/>
        </w:rPr>
        <w:t xml:space="preserve"> uncertainty </w:t>
      </w:r>
      <w:r w:rsidR="004806C2">
        <w:rPr>
          <w:lang w:val="en-US"/>
        </w:rPr>
        <w:t xml:space="preserve">in the aviation model </w:t>
      </w:r>
      <w:r w:rsidRPr="009D5A89">
        <w:rPr>
          <w:lang w:val="en-US"/>
        </w:rPr>
        <w:t>in using global average quantities of installed halon per aircraft type and application</w:t>
      </w:r>
      <w:r>
        <w:rPr>
          <w:lang w:val="en-US"/>
        </w:rPr>
        <w:t xml:space="preserve"> as a surrogate to </w:t>
      </w:r>
      <w:r w:rsidRPr="009D5A89">
        <w:rPr>
          <w:lang w:val="en-US"/>
        </w:rPr>
        <w:t>estimat</w:t>
      </w:r>
      <w:r>
        <w:rPr>
          <w:lang w:val="en-US"/>
        </w:rPr>
        <w:t>e</w:t>
      </w:r>
      <w:r w:rsidRPr="009D5A89">
        <w:rPr>
          <w:lang w:val="en-US"/>
        </w:rPr>
        <w:t xml:space="preserve"> installed halon for the Australian passenger aircraft fleet.</w:t>
      </w:r>
    </w:p>
  </w:footnote>
  <w:footnote w:id="40">
    <w:p w14:paraId="4A3801D8" w14:textId="025C5ECC" w:rsidR="009D1EAA" w:rsidRPr="001C382A" w:rsidRDefault="009D1EAA" w:rsidP="00C1140B">
      <w:pPr>
        <w:pStyle w:val="FootnoteText"/>
        <w:rPr>
          <w:lang w:val="en-US"/>
        </w:rPr>
      </w:pPr>
      <w:r>
        <w:rPr>
          <w:rStyle w:val="FootnoteReference"/>
        </w:rPr>
        <w:footnoteRef/>
      </w:r>
      <w:r>
        <w:t xml:space="preserve"> T</w:t>
      </w:r>
      <w:r w:rsidRPr="001C382A">
        <w:t xml:space="preserve">his is the leakage rate assumed for both </w:t>
      </w:r>
      <w:r>
        <w:t xml:space="preserve">halon </w:t>
      </w:r>
      <w:r w:rsidRPr="001C382A">
        <w:t>total flooding</w:t>
      </w:r>
      <w:r>
        <w:t xml:space="preserve"> and streaming systems in the United States</w:t>
      </w:r>
      <w:r w:rsidRPr="001C382A">
        <w:t xml:space="preserve"> EPA Vintaging Model</w:t>
      </w:r>
      <w:r>
        <w:t xml:space="preserve">, as reported by ICF, 2006. </w:t>
      </w:r>
    </w:p>
  </w:footnote>
  <w:footnote w:id="41">
    <w:p w14:paraId="61AB8E6A" w14:textId="77777777" w:rsidR="009D1EAA" w:rsidRPr="001C382A" w:rsidRDefault="009D1EAA" w:rsidP="00C1140B">
      <w:pPr>
        <w:pStyle w:val="FootnoteText"/>
        <w:rPr>
          <w:lang w:val="en-US"/>
        </w:rPr>
      </w:pPr>
      <w:r>
        <w:rPr>
          <w:rStyle w:val="FootnoteReference"/>
        </w:rPr>
        <w:footnoteRef/>
      </w:r>
      <w:r>
        <w:t xml:space="preserve"> As reported by O’Sullivan, 2005, and used by ICF, 2006.</w:t>
      </w:r>
    </w:p>
  </w:footnote>
  <w:footnote w:id="42">
    <w:p w14:paraId="72CC0B19" w14:textId="164944FE" w:rsidR="009D1EAA" w:rsidRPr="008D3E80" w:rsidRDefault="009D1EAA" w:rsidP="00C1140B">
      <w:pPr>
        <w:pStyle w:val="FootnoteText"/>
      </w:pPr>
      <w:r>
        <w:rPr>
          <w:rStyle w:val="FootnoteReference"/>
        </w:rPr>
        <w:footnoteRef/>
      </w:r>
      <w:r>
        <w:t xml:space="preserve"> </w:t>
      </w:r>
      <w:r w:rsidRPr="00923317">
        <w:rPr>
          <w:i/>
          <w:iCs/>
        </w:rPr>
        <w:t>IPCC/TEAP Special Report, Safeguarding the Ozone Layer and the Global Climate System: Issues Related to Hydrofluorocarbons and Perfluorocarbons</w:t>
      </w:r>
      <w:r w:rsidRPr="008D3E80">
        <w:t>, 2005.</w:t>
      </w:r>
    </w:p>
  </w:footnote>
  <w:footnote w:id="43">
    <w:p w14:paraId="41B7E2CB" w14:textId="3D0EEA1F" w:rsidR="009D1EAA" w:rsidRPr="00F929B6" w:rsidRDefault="009D1EAA" w:rsidP="00C1140B">
      <w:pPr>
        <w:pStyle w:val="FootnoteText"/>
      </w:pPr>
      <w:r>
        <w:rPr>
          <w:rStyle w:val="FootnoteReference"/>
        </w:rPr>
        <w:footnoteRef/>
      </w:r>
      <w:r>
        <w:t xml:space="preserve"> </w:t>
      </w:r>
      <w:r w:rsidRPr="00F929B6">
        <w:t xml:space="preserve">Vollmer, M. K., et al. (2016), Atmospheric histories and global emissions of halons H-1211 (CBrClF2), H-1301 (CBrF3), andH-2402 (CBrF2CBrF2), </w:t>
      </w:r>
      <w:r w:rsidRPr="00F929B6">
        <w:rPr>
          <w:i/>
          <w:iCs/>
        </w:rPr>
        <w:t>J. Geo- phys. Res. Atmos</w:t>
      </w:r>
      <w:r w:rsidRPr="00F929B6">
        <w:t xml:space="preserve">., </w:t>
      </w:r>
      <w:r w:rsidRPr="00F929B6">
        <w:rPr>
          <w:b/>
          <w:bCs/>
        </w:rPr>
        <w:t>121</w:t>
      </w:r>
      <w:r w:rsidRPr="00F929B6">
        <w:t>, 3663–3686, doi:10.1002/2015JD024488</w:t>
      </w:r>
      <w:r>
        <w:t>.</w:t>
      </w:r>
    </w:p>
  </w:footnote>
  <w:footnote w:id="44">
    <w:p w14:paraId="0D835546" w14:textId="5D7D72AC" w:rsidR="009D1EAA" w:rsidRPr="006A7663" w:rsidRDefault="009D1EAA" w:rsidP="00C1140B">
      <w:pPr>
        <w:pStyle w:val="FootnoteText"/>
      </w:pPr>
      <w:r>
        <w:rPr>
          <w:rStyle w:val="FootnoteReference"/>
        </w:rPr>
        <w:footnoteRef/>
      </w:r>
      <w:r>
        <w:t xml:space="preserve"> </w:t>
      </w:r>
      <w:r w:rsidRPr="006A7663">
        <w:t>FAA Halon Aviation Rulemaking Committee Final Report</w:t>
      </w:r>
      <w:r>
        <w:t xml:space="preserve">, 2014, </w:t>
      </w:r>
      <w:r w:rsidRPr="005364D0">
        <w:t>https://www.faa.gov/regulations_policies/rulemaking/committees/documents/media/HRARC-7022013.pdf</w:t>
      </w:r>
      <w:r>
        <w:t>.</w:t>
      </w:r>
    </w:p>
  </w:footnote>
  <w:footnote w:id="45">
    <w:p w14:paraId="29947B99" w14:textId="26169AFE" w:rsidR="009D1EAA" w:rsidRDefault="009D1EAA">
      <w:pPr>
        <w:pStyle w:val="FootnoteText"/>
      </w:pPr>
      <w:r>
        <w:rPr>
          <w:rStyle w:val="FootnoteReference"/>
        </w:rPr>
        <w:footnoteRef/>
      </w:r>
      <w:r>
        <w:t xml:space="preserve"> UNEP, </w:t>
      </w:r>
      <w:r w:rsidRPr="001D0B0E">
        <w:rPr>
          <w:i/>
          <w:iCs/>
        </w:rPr>
        <w:t>Report of the Halons Technical Options Committee, Volume 1, 2018 Assessment Report</w:t>
      </w:r>
      <w:r>
        <w:t xml:space="preserve">, </w:t>
      </w:r>
      <w:r w:rsidRPr="00C5687B">
        <w:t>December 2018</w:t>
      </w:r>
      <w:r>
        <w:t xml:space="preserve">, </w:t>
      </w:r>
      <w:hyperlink r:id="rId7" w:history="1">
        <w:r w:rsidRPr="00002FBF">
          <w:rPr>
            <w:rStyle w:val="Hyperlink"/>
          </w:rPr>
          <w:t>https://ozone.unep.org/sites/default/files/Assessment_Panel/Assessment_Panels/TEAP/Reports/HTOC/HTOC_assessment_2018.pdf</w:t>
        </w:r>
      </w:hyperlink>
      <w:r>
        <w:t>.</w:t>
      </w:r>
    </w:p>
  </w:footnote>
  <w:footnote w:id="46">
    <w:p w14:paraId="215991D8" w14:textId="2545591C" w:rsidR="009D1EAA" w:rsidRPr="001A7624" w:rsidRDefault="009D1EAA" w:rsidP="00C1140B">
      <w:pPr>
        <w:pStyle w:val="FootnoteText"/>
      </w:pPr>
      <w:r>
        <w:rPr>
          <w:rStyle w:val="FootnoteReference"/>
        </w:rPr>
        <w:footnoteRef/>
      </w:r>
      <w:r>
        <w:t xml:space="preserve"> UNEP, </w:t>
      </w:r>
      <w:r w:rsidRPr="001D0B0E">
        <w:rPr>
          <w:i/>
          <w:iCs/>
        </w:rPr>
        <w:t>Report of the UNEP Technology and Economic Assessment Panel, Volume 2, Decision XXIX/8 on the Future Availability of Halons and their Alternatives</w:t>
      </w:r>
      <w:r>
        <w:t>,</w:t>
      </w:r>
      <w:r w:rsidRPr="00811F53">
        <w:t xml:space="preserve"> </w:t>
      </w:r>
      <w:r>
        <w:t>September 2018.</w:t>
      </w:r>
    </w:p>
  </w:footnote>
  <w:footnote w:id="47">
    <w:p w14:paraId="07555DCF" w14:textId="77777777" w:rsidR="009D1EAA" w:rsidRPr="00FD1A0F" w:rsidRDefault="009D1EAA" w:rsidP="00C1140B">
      <w:pPr>
        <w:pStyle w:val="FootnoteText"/>
      </w:pPr>
      <w:r>
        <w:rPr>
          <w:rStyle w:val="FootnoteReference"/>
        </w:rPr>
        <w:footnoteRef/>
      </w:r>
      <w:r>
        <w:t xml:space="preserve"> UNEP, </w:t>
      </w:r>
      <w:r w:rsidRPr="001D0B0E">
        <w:rPr>
          <w:i/>
          <w:iCs/>
        </w:rPr>
        <w:t>Report of the Halons Technical Options Committee, Volume 1, 2018 Assessment Report</w:t>
      </w:r>
      <w:r>
        <w:t xml:space="preserve">, </w:t>
      </w:r>
      <w:r w:rsidRPr="00C5687B">
        <w:t>December 2018</w:t>
      </w:r>
      <w:r>
        <w:t xml:space="preserve">, </w:t>
      </w:r>
      <w:hyperlink r:id="rId8" w:history="1">
        <w:r w:rsidRPr="00002FBF">
          <w:rPr>
            <w:rStyle w:val="Hyperlink"/>
          </w:rPr>
          <w:t>https://ozone.unep.org/sites/default/files/Assessment_Panel/Assessment_Panels/TEAP/Reports/HTOC/HTOC_assessment_2018.pdf</w:t>
        </w:r>
      </w:hyperlink>
      <w:r>
        <w:t>.</w:t>
      </w:r>
    </w:p>
  </w:footnote>
  <w:footnote w:id="48">
    <w:p w14:paraId="70FC711D" w14:textId="77777777" w:rsidR="009D1EAA" w:rsidRPr="00B45CE4" w:rsidRDefault="009D1EAA" w:rsidP="00C1140B">
      <w:pPr>
        <w:pStyle w:val="FootnoteText"/>
      </w:pPr>
      <w:r>
        <w:rPr>
          <w:rStyle w:val="FootnoteReference"/>
        </w:rPr>
        <w:footnoteRef/>
      </w:r>
      <w:r>
        <w:t xml:space="preserve"> ICF International, </w:t>
      </w:r>
      <w:r w:rsidRPr="00477B88">
        <w:rPr>
          <w:i/>
          <w:iCs/>
        </w:rPr>
        <w:t>Projections of Halon 1301 Supply and Demand for Aviation Applications</w:t>
      </w:r>
      <w:r>
        <w:t xml:space="preserve">, May 2015. ICF International, </w:t>
      </w:r>
      <w:r w:rsidRPr="00477B88">
        <w:rPr>
          <w:i/>
          <w:iCs/>
        </w:rPr>
        <w:t>Drawing Down Halon 1301 Inventories: Updated Analysis</w:t>
      </w:r>
      <w:r>
        <w:t>, September 2018.</w:t>
      </w:r>
    </w:p>
  </w:footnote>
  <w:footnote w:id="49">
    <w:p w14:paraId="6C0146C6" w14:textId="35017997" w:rsidR="009D1EAA" w:rsidRPr="00A14723" w:rsidRDefault="009D1EAA" w:rsidP="00C1140B">
      <w:pPr>
        <w:pStyle w:val="FootnoteText"/>
      </w:pPr>
      <w:r>
        <w:rPr>
          <w:rStyle w:val="FootnoteReference"/>
        </w:rPr>
        <w:footnoteRef/>
      </w:r>
      <w:r>
        <w:t xml:space="preserve"> </w:t>
      </w:r>
      <w:r w:rsidRPr="00A14723">
        <w:t xml:space="preserve">UNEP, </w:t>
      </w:r>
      <w:r w:rsidRPr="00125199">
        <w:rPr>
          <w:i/>
          <w:iCs/>
        </w:rPr>
        <w:t>Report of the Halons Technical Options Committee, Volume 1, 2018 Assessment Report</w:t>
      </w:r>
      <w:r w:rsidRPr="00A14723">
        <w:t>, December 2018, https://ozone.unep.org/sites/default/files/Assessment_Panel/Assessment_Panels/TEAP/Reports/HTOC/HTOC_assessment_2018.pdf.</w:t>
      </w:r>
    </w:p>
  </w:footnote>
  <w:footnote w:id="50">
    <w:p w14:paraId="6F1E0ABE" w14:textId="309DCD34" w:rsidR="009D1EAA" w:rsidRPr="00D43A61" w:rsidRDefault="009D1EAA" w:rsidP="00C1140B">
      <w:pPr>
        <w:pStyle w:val="FootnoteText"/>
      </w:pPr>
      <w:r>
        <w:rPr>
          <w:rStyle w:val="FootnoteReference"/>
        </w:rPr>
        <w:footnoteRef/>
      </w:r>
      <w:r>
        <w:t xml:space="preserve"> Adam Chatterway and Daniel Verdonik, HTOC co-chairs (2019), personal communications, 2019.</w:t>
      </w:r>
    </w:p>
  </w:footnote>
  <w:footnote w:id="51">
    <w:p w14:paraId="5AC875E6" w14:textId="38AAF75E" w:rsidR="009D1EAA" w:rsidRDefault="009D1EAA">
      <w:pPr>
        <w:pStyle w:val="FootnoteText"/>
      </w:pPr>
      <w:r>
        <w:rPr>
          <w:rStyle w:val="FootnoteReference"/>
        </w:rPr>
        <w:footnoteRef/>
      </w:r>
      <w:r>
        <w:t xml:space="preserve"> Quarter September 2019 data may be incomplete.</w:t>
      </w:r>
    </w:p>
  </w:footnote>
  <w:footnote w:id="52">
    <w:p w14:paraId="549EB600" w14:textId="70B05E3E" w:rsidR="009D1EAA" w:rsidRDefault="009D1EAA">
      <w:pPr>
        <w:pStyle w:val="FootnoteText"/>
      </w:pPr>
      <w:r>
        <w:rPr>
          <w:rStyle w:val="FootnoteReference"/>
        </w:rPr>
        <w:footnoteRef/>
      </w:r>
      <w:r>
        <w:t xml:space="preserve"> Quarter September 2019 data may be incomplete.</w:t>
      </w:r>
    </w:p>
  </w:footnote>
  <w:footnote w:id="53">
    <w:p w14:paraId="6F59482E" w14:textId="13DB46C4" w:rsidR="009D1EAA" w:rsidRDefault="009D1EAA">
      <w:pPr>
        <w:pStyle w:val="FootnoteText"/>
      </w:pPr>
      <w:r>
        <w:rPr>
          <w:rStyle w:val="FootnoteReference"/>
        </w:rPr>
        <w:footnoteRef/>
      </w:r>
      <w:r>
        <w:t xml:space="preserve"> </w:t>
      </w:r>
      <w:r w:rsidRPr="0076194D">
        <w:t xml:space="preserve">As reported by </w:t>
      </w:r>
      <w:r w:rsidRPr="003E71F6">
        <w:t xml:space="preserve">O’Sullivan, J., </w:t>
      </w:r>
      <w:r w:rsidRPr="000D0DC0">
        <w:rPr>
          <w:i/>
          <w:iCs/>
        </w:rPr>
        <w:t>National airlines and halon data, (data compiled by British Airways technical expert</w:t>
      </w:r>
      <w:r w:rsidRPr="003E71F6">
        <w:t>), 2005</w:t>
      </w:r>
      <w:r>
        <w:t>,</w:t>
      </w:r>
      <w:r w:rsidRPr="003E71F6">
        <w:t xml:space="preserve"> </w:t>
      </w:r>
      <w:r w:rsidRPr="0076194D">
        <w:t>and used by ICF, 2006</w:t>
      </w:r>
      <w:r>
        <w:t xml:space="preserve">, </w:t>
      </w:r>
      <w:r w:rsidRPr="000D0DC0">
        <w:rPr>
          <w:i/>
          <w:iCs/>
        </w:rPr>
        <w:t>ibid</w:t>
      </w:r>
      <w:r>
        <w:t>.</w:t>
      </w:r>
    </w:p>
  </w:footnote>
  <w:footnote w:id="54">
    <w:p w14:paraId="78B12016" w14:textId="190CE03D" w:rsidR="009D1EAA" w:rsidRDefault="009D1EAA">
      <w:pPr>
        <w:pStyle w:val="FootnoteText"/>
      </w:pPr>
      <w:r>
        <w:rPr>
          <w:rStyle w:val="FootnoteReference"/>
        </w:rPr>
        <w:footnoteRef/>
      </w:r>
      <w:r>
        <w:t xml:space="preserve"> </w:t>
      </w:r>
      <w:r w:rsidRPr="00305B36">
        <w:t>UNEP, Report of the Halons Technical Options Committee, Volume 1, 2018 Assessment Report, December 2018, https://ozone.unep.org/sites/default/files/Assessment_Panel/Assessment_Panels/TEAP/Reports/HTOC/HTOC_assessment_2018.pdf.</w:t>
      </w:r>
    </w:p>
  </w:footnote>
  <w:footnote w:id="55">
    <w:p w14:paraId="74AF3DB3" w14:textId="559649A6" w:rsidR="009D1EAA" w:rsidRDefault="009D1EAA">
      <w:pPr>
        <w:pStyle w:val="FootnoteText"/>
      </w:pPr>
      <w:r>
        <w:rPr>
          <w:rStyle w:val="FootnoteReference"/>
        </w:rPr>
        <w:footnoteRef/>
      </w:r>
      <w:r>
        <w:t xml:space="preserve"> </w:t>
      </w:r>
      <w:r w:rsidRPr="000D0DC0">
        <w:rPr>
          <w:i/>
          <w:iCs/>
        </w:rPr>
        <w:t>Review of Australia’s Halon Essential Use Requirements 2012</w:t>
      </w:r>
      <w:r w:rsidRPr="00095240">
        <w:t>, by Energy International Australia for the Department of Environment and Energy, May 2012, https://www.environment.gov.au/protection/ozone/publications/review-australias-halon-essential-uses-requirements</w:t>
      </w:r>
      <w:r>
        <w:t>.</w:t>
      </w:r>
    </w:p>
  </w:footnote>
  <w:footnote w:id="56">
    <w:p w14:paraId="5768839B" w14:textId="1521CD5B" w:rsidR="007C5C48" w:rsidRDefault="007C5C48">
      <w:pPr>
        <w:pStyle w:val="FootnoteText"/>
      </w:pPr>
      <w:r>
        <w:rPr>
          <w:rStyle w:val="FootnoteReference"/>
        </w:rPr>
        <w:footnoteRef/>
      </w:r>
      <w:r>
        <w:t xml:space="preserve"> Adam Chattaway, HTOC co-chair, personal communications, 2019.</w:t>
      </w:r>
    </w:p>
  </w:footnote>
  <w:footnote w:id="57">
    <w:p w14:paraId="5B163530" w14:textId="2C6640DA" w:rsidR="009D1EAA" w:rsidRDefault="009D1EAA">
      <w:pPr>
        <w:pStyle w:val="FootnoteText"/>
      </w:pPr>
      <w:r>
        <w:rPr>
          <w:rStyle w:val="FootnoteReference"/>
        </w:rPr>
        <w:footnoteRef/>
      </w:r>
      <w:r>
        <w:t xml:space="preserve"> </w:t>
      </w:r>
      <w:r w:rsidRPr="00741AB1">
        <w:rPr>
          <w:i/>
          <w:iCs/>
        </w:rPr>
        <w:t>Review of Australia’s Halon Essential Use Requirements 2012</w:t>
      </w:r>
      <w:r w:rsidRPr="001D520A">
        <w:t xml:space="preserve">, </w:t>
      </w:r>
      <w:r>
        <w:t xml:space="preserve">by </w:t>
      </w:r>
      <w:r w:rsidRPr="00CA7427">
        <w:t>Energy International Australia</w:t>
      </w:r>
      <w:r w:rsidRPr="00907376">
        <w:t xml:space="preserve"> </w:t>
      </w:r>
      <w:r>
        <w:t xml:space="preserve">for the Department of Environment and Energy, May 2012, </w:t>
      </w:r>
      <w:hyperlink r:id="rId9" w:history="1">
        <w:r w:rsidRPr="00F24B59">
          <w:rPr>
            <w:rStyle w:val="Hyperlink"/>
          </w:rPr>
          <w:t>https://www.environment.gov.au/protection/ozone</w:t>
        </w:r>
        <w:r w:rsidRPr="004E55E0">
          <w:rPr>
            <w:rStyle w:val="Hyperlink"/>
          </w:rPr>
          <w:t>/publications/review-australias-halon-essential-uses-requirements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0895" w14:textId="77777777" w:rsidR="009D1EAA" w:rsidRDefault="009D1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6AFD" w14:textId="77777777" w:rsidR="009D1EAA" w:rsidRDefault="009D1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3256" w14:textId="77777777" w:rsidR="009D1EAA" w:rsidRDefault="009D1E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35E8F" w14:textId="77777777" w:rsidR="009D1EAA" w:rsidRDefault="009D1E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9689" w14:textId="34581576" w:rsidR="009D1EAA" w:rsidRDefault="009D1E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089E" w14:textId="77777777" w:rsidR="009D1EAA" w:rsidRDefault="009D1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B8AC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2A8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A2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CF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563F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4448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BCB9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3ED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383B43"/>
    <w:multiLevelType w:val="hybridMultilevel"/>
    <w:tmpl w:val="96F6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213B4E"/>
    <w:multiLevelType w:val="hybridMultilevel"/>
    <w:tmpl w:val="A20AD7F4"/>
    <w:lvl w:ilvl="0" w:tplc="7F205276">
      <w:start w:val="1"/>
      <w:numFmt w:val="bullet"/>
      <w:pStyle w:val="Bullet"/>
      <w:lvlText w:val="•"/>
      <w:lvlJc w:val="left"/>
      <w:pPr>
        <w:tabs>
          <w:tab w:val="num" w:pos="1437"/>
        </w:tabs>
        <w:ind w:left="1437" w:hanging="360"/>
      </w:pPr>
      <w:rPr>
        <w:rFonts w:ascii="Times New Roman" w:hAnsi="Times New Roman" w:hint="default"/>
      </w:rPr>
    </w:lvl>
    <w:lvl w:ilvl="1" w:tplc="0AC0D348" w:tentative="1">
      <w:start w:val="1"/>
      <w:numFmt w:val="bullet"/>
      <w:lvlText w:val="o"/>
      <w:lvlJc w:val="left"/>
      <w:pPr>
        <w:tabs>
          <w:tab w:val="num" w:pos="1440"/>
        </w:tabs>
        <w:ind w:left="1440" w:hanging="360"/>
      </w:pPr>
      <w:rPr>
        <w:rFonts w:ascii="Courier New" w:hAnsi="Courier New" w:hint="default"/>
      </w:rPr>
    </w:lvl>
    <w:lvl w:ilvl="2" w:tplc="2736A12E" w:tentative="1">
      <w:start w:val="1"/>
      <w:numFmt w:val="bullet"/>
      <w:lvlText w:val=""/>
      <w:lvlJc w:val="left"/>
      <w:pPr>
        <w:tabs>
          <w:tab w:val="num" w:pos="2160"/>
        </w:tabs>
        <w:ind w:left="2160" w:hanging="360"/>
      </w:pPr>
      <w:rPr>
        <w:rFonts w:ascii="Wingdings" w:hAnsi="Wingdings" w:hint="default"/>
      </w:rPr>
    </w:lvl>
    <w:lvl w:ilvl="3" w:tplc="FF786C4E" w:tentative="1">
      <w:start w:val="1"/>
      <w:numFmt w:val="bullet"/>
      <w:lvlText w:val=""/>
      <w:lvlJc w:val="left"/>
      <w:pPr>
        <w:tabs>
          <w:tab w:val="num" w:pos="2880"/>
        </w:tabs>
        <w:ind w:left="2880" w:hanging="360"/>
      </w:pPr>
      <w:rPr>
        <w:rFonts w:ascii="Symbol" w:hAnsi="Symbol" w:hint="default"/>
      </w:rPr>
    </w:lvl>
    <w:lvl w:ilvl="4" w:tplc="44B07466" w:tentative="1">
      <w:start w:val="1"/>
      <w:numFmt w:val="bullet"/>
      <w:lvlText w:val="o"/>
      <w:lvlJc w:val="left"/>
      <w:pPr>
        <w:tabs>
          <w:tab w:val="num" w:pos="3600"/>
        </w:tabs>
        <w:ind w:left="3600" w:hanging="360"/>
      </w:pPr>
      <w:rPr>
        <w:rFonts w:ascii="Courier New" w:hAnsi="Courier New" w:hint="default"/>
      </w:rPr>
    </w:lvl>
    <w:lvl w:ilvl="5" w:tplc="0E48618A" w:tentative="1">
      <w:start w:val="1"/>
      <w:numFmt w:val="bullet"/>
      <w:lvlText w:val=""/>
      <w:lvlJc w:val="left"/>
      <w:pPr>
        <w:tabs>
          <w:tab w:val="num" w:pos="4320"/>
        </w:tabs>
        <w:ind w:left="4320" w:hanging="360"/>
      </w:pPr>
      <w:rPr>
        <w:rFonts w:ascii="Wingdings" w:hAnsi="Wingdings" w:hint="default"/>
      </w:rPr>
    </w:lvl>
    <w:lvl w:ilvl="6" w:tplc="869CB91A" w:tentative="1">
      <w:start w:val="1"/>
      <w:numFmt w:val="bullet"/>
      <w:lvlText w:val=""/>
      <w:lvlJc w:val="left"/>
      <w:pPr>
        <w:tabs>
          <w:tab w:val="num" w:pos="5040"/>
        </w:tabs>
        <w:ind w:left="5040" w:hanging="360"/>
      </w:pPr>
      <w:rPr>
        <w:rFonts w:ascii="Symbol" w:hAnsi="Symbol" w:hint="default"/>
      </w:rPr>
    </w:lvl>
    <w:lvl w:ilvl="7" w:tplc="C2224426" w:tentative="1">
      <w:start w:val="1"/>
      <w:numFmt w:val="bullet"/>
      <w:lvlText w:val="o"/>
      <w:lvlJc w:val="left"/>
      <w:pPr>
        <w:tabs>
          <w:tab w:val="num" w:pos="5760"/>
        </w:tabs>
        <w:ind w:left="5760" w:hanging="360"/>
      </w:pPr>
      <w:rPr>
        <w:rFonts w:ascii="Courier New" w:hAnsi="Courier New" w:hint="default"/>
      </w:rPr>
    </w:lvl>
    <w:lvl w:ilvl="8" w:tplc="B58E76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965050"/>
    <w:multiLevelType w:val="multilevel"/>
    <w:tmpl w:val="B7E6A91E"/>
    <w:lvl w:ilvl="0">
      <w:start w:val="1"/>
      <w:numFmt w:val="lowerLetter"/>
      <w:pStyle w:val="BodyTextLetterBullets"/>
      <w:lvlText w:val="(%1)"/>
      <w:lvlJc w:val="left"/>
      <w:pPr>
        <w:tabs>
          <w:tab w:val="num" w:pos="539"/>
        </w:tabs>
        <w:ind w:left="539" w:hanging="539"/>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E9F1FD2"/>
    <w:multiLevelType w:val="hybridMultilevel"/>
    <w:tmpl w:val="7FA20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807"/>
    <w:multiLevelType w:val="hybridMultilevel"/>
    <w:tmpl w:val="024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2EB7"/>
    <w:multiLevelType w:val="singleLevel"/>
    <w:tmpl w:val="98E88CC0"/>
    <w:lvl w:ilvl="0">
      <w:start w:val="1"/>
      <w:numFmt w:val="decimal"/>
      <w:pStyle w:val="Paralevel1"/>
      <w:lvlText w:val="%1."/>
      <w:lvlJc w:val="left"/>
      <w:pPr>
        <w:tabs>
          <w:tab w:val="num" w:pos="360"/>
        </w:tabs>
        <w:ind w:left="0" w:firstLine="0"/>
      </w:pPr>
      <w:rPr>
        <w:rFonts w:ascii="Times New Roman" w:hAnsi="Times New Roman" w:hint="default"/>
        <w:b w:val="0"/>
        <w:i w:val="0"/>
        <w:sz w:val="20"/>
        <w:szCs w:val="20"/>
      </w:rPr>
    </w:lvl>
  </w:abstractNum>
  <w:abstractNum w:abstractNumId="14" w15:restartNumberingAfterBreak="0">
    <w:nsid w:val="1C941F5F"/>
    <w:multiLevelType w:val="hybridMultilevel"/>
    <w:tmpl w:val="486C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A21A5"/>
    <w:multiLevelType w:val="multilevel"/>
    <w:tmpl w:val="61FC8D30"/>
    <w:lvl w:ilvl="0">
      <w:start w:val="1"/>
      <w:numFmt w:val="bullet"/>
      <w:pStyle w:val="BodyTextSmallBullets"/>
      <w:lvlText w:val=""/>
      <w:lvlJc w:val="left"/>
      <w:pPr>
        <w:tabs>
          <w:tab w:val="num" w:pos="539"/>
        </w:tabs>
        <w:ind w:left="539" w:hanging="539"/>
      </w:pPr>
      <w:rPr>
        <w:rFonts w:ascii="Symbol" w:hAnsi="Symbol" w:cs="Wingdings" w:hint="default"/>
        <w:sz w:val="18"/>
        <w:szCs w:val="18"/>
      </w:rPr>
    </w:lvl>
    <w:lvl w:ilvl="1">
      <w:start w:val="1"/>
      <w:numFmt w:val="bullet"/>
      <w:pStyle w:val="BodyTextbullet"/>
      <w:lvlText w:val=""/>
      <w:lvlJc w:val="left"/>
      <w:pPr>
        <w:tabs>
          <w:tab w:val="num" w:pos="765"/>
        </w:tabs>
        <w:ind w:left="765" w:hanging="198"/>
      </w:pPr>
      <w:rPr>
        <w:rFonts w:ascii="Symbol" w:hAnsi="Symbol" w:cs="Wingdings" w:hint="default"/>
        <w:sz w:val="18"/>
        <w:szCs w:val="1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0896465"/>
    <w:multiLevelType w:val="hybridMultilevel"/>
    <w:tmpl w:val="634A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682942"/>
    <w:multiLevelType w:val="hybridMultilevel"/>
    <w:tmpl w:val="C89C9FF0"/>
    <w:lvl w:ilvl="0" w:tplc="3A5634A0">
      <w:start w:val="1"/>
      <w:numFmt w:val="decimal"/>
      <w:pStyle w:val="Smallnumberedbullet"/>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24050BDC"/>
    <w:multiLevelType w:val="hybridMultilevel"/>
    <w:tmpl w:val="562097B2"/>
    <w:lvl w:ilvl="0" w:tplc="21EE4EB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83E3B"/>
    <w:multiLevelType w:val="multilevel"/>
    <w:tmpl w:val="2CA8847C"/>
    <w:lvl w:ilvl="0">
      <w:start w:val="1"/>
      <w:numFmt w:val="decimal"/>
      <w:pStyle w:val="Thesisheading1"/>
      <w:lvlText w:val="1.%1"/>
      <w:lvlJc w:val="left"/>
      <w:pPr>
        <w:tabs>
          <w:tab w:val="num" w:pos="720"/>
        </w:tabs>
        <w:ind w:left="720" w:hanging="720"/>
      </w:pPr>
      <w:rPr>
        <w:rFonts w:hint="default"/>
      </w:rPr>
    </w:lvl>
    <w:lvl w:ilvl="1">
      <w:start w:val="1"/>
      <w:numFmt w:val="decimal"/>
      <w:lvlText w:val="%1.%2.1"/>
      <w:lvlJc w:val="left"/>
      <w:pPr>
        <w:tabs>
          <w:tab w:val="num" w:pos="720"/>
        </w:tabs>
        <w:ind w:left="720" w:hanging="720"/>
      </w:pPr>
      <w:rPr>
        <w:rFonts w:hint="default"/>
      </w:rPr>
    </w:lvl>
    <w:lvl w:ilvl="2">
      <w:start w:val="1"/>
      <w:numFmt w:val="lowerLetter"/>
      <w:pStyle w:val="Thesisheading4"/>
      <w:lvlText w:val="(%3)"/>
      <w:lvlJc w:val="left"/>
      <w:pPr>
        <w:tabs>
          <w:tab w:val="num" w:pos="720"/>
        </w:tabs>
        <w:ind w:left="720" w:hanging="720"/>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356A66EF"/>
    <w:multiLevelType w:val="multilevel"/>
    <w:tmpl w:val="5F1A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4350BE"/>
    <w:multiLevelType w:val="hybridMultilevel"/>
    <w:tmpl w:val="AF02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31E04"/>
    <w:multiLevelType w:val="hybridMultilevel"/>
    <w:tmpl w:val="9B745B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C759BE"/>
    <w:multiLevelType w:val="multilevel"/>
    <w:tmpl w:val="1740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330EAC"/>
    <w:multiLevelType w:val="multilevel"/>
    <w:tmpl w:val="0A92EF3C"/>
    <w:lvl w:ilvl="0">
      <w:start w:val="1"/>
      <w:numFmt w:val="bullet"/>
      <w:pStyle w:val="AR4Listbullet1"/>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882BDF"/>
    <w:multiLevelType w:val="hybridMultilevel"/>
    <w:tmpl w:val="ACBC489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172E77"/>
    <w:multiLevelType w:val="hybridMultilevel"/>
    <w:tmpl w:val="91FAD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C2B55"/>
    <w:multiLevelType w:val="hybridMultilevel"/>
    <w:tmpl w:val="4432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9100B"/>
    <w:multiLevelType w:val="multilevel"/>
    <w:tmpl w:val="7834EB9A"/>
    <w:lvl w:ilvl="0">
      <w:start w:val="1"/>
      <w:numFmt w:val="lowerLetter"/>
      <w:pStyle w:val="CH4"/>
      <w:lvlText w:val="(%1)"/>
      <w:lvlJc w:val="left"/>
      <w:pPr>
        <w:tabs>
          <w:tab w:val="num" w:pos="0"/>
        </w:tabs>
        <w:ind w:left="578" w:firstLine="0"/>
      </w:pPr>
      <w:rPr>
        <w:rFonts w:ascii="Times New Roman" w:hAnsi="Times New Roman"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B28641D"/>
    <w:multiLevelType w:val="hybridMultilevel"/>
    <w:tmpl w:val="C504C638"/>
    <w:lvl w:ilvl="0" w:tplc="6F360B94">
      <w:start w:val="1"/>
      <w:numFmt w:val="bullet"/>
      <w:pStyle w:val="Indented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05B5305"/>
    <w:multiLevelType w:val="hybridMultilevel"/>
    <w:tmpl w:val="5394D204"/>
    <w:lvl w:ilvl="0" w:tplc="C19C190A">
      <w:start w:val="1"/>
      <w:numFmt w:val="decimal"/>
      <w:pStyle w:val="Head1"/>
      <w:lvlText w:val="%1."/>
      <w:lvlJc w:val="left"/>
      <w:pPr>
        <w:tabs>
          <w:tab w:val="num" w:pos="720"/>
        </w:tabs>
        <w:ind w:left="720" w:hanging="720"/>
      </w:pPr>
      <w:rPr>
        <w:rFonts w:hint="default"/>
      </w:rPr>
    </w:lvl>
    <w:lvl w:ilvl="1" w:tplc="DB749186">
      <w:start w:val="1"/>
      <w:numFmt w:val="lowerLetter"/>
      <w:lvlText w:val="%2."/>
      <w:lvlJc w:val="left"/>
      <w:pPr>
        <w:tabs>
          <w:tab w:val="num" w:pos="1440"/>
        </w:tabs>
        <w:ind w:left="1440" w:hanging="360"/>
      </w:pPr>
    </w:lvl>
    <w:lvl w:ilvl="2" w:tplc="2ECA3FB6">
      <w:start w:val="1"/>
      <w:numFmt w:val="lowerRoman"/>
      <w:lvlText w:val="%3."/>
      <w:lvlJc w:val="right"/>
      <w:pPr>
        <w:tabs>
          <w:tab w:val="num" w:pos="2160"/>
        </w:tabs>
        <w:ind w:left="2160" w:hanging="180"/>
      </w:pPr>
    </w:lvl>
    <w:lvl w:ilvl="3" w:tplc="76FAF788">
      <w:start w:val="1"/>
      <w:numFmt w:val="decimal"/>
      <w:lvlText w:val="%4."/>
      <w:lvlJc w:val="left"/>
      <w:pPr>
        <w:tabs>
          <w:tab w:val="num" w:pos="2880"/>
        </w:tabs>
        <w:ind w:left="2880" w:hanging="360"/>
      </w:pPr>
    </w:lvl>
    <w:lvl w:ilvl="4" w:tplc="E5A0DF24">
      <w:start w:val="1"/>
      <w:numFmt w:val="lowerLetter"/>
      <w:lvlText w:val="%5."/>
      <w:lvlJc w:val="left"/>
      <w:pPr>
        <w:tabs>
          <w:tab w:val="num" w:pos="3600"/>
        </w:tabs>
        <w:ind w:left="3600" w:hanging="360"/>
      </w:pPr>
    </w:lvl>
    <w:lvl w:ilvl="5" w:tplc="2940CE96">
      <w:start w:val="1"/>
      <w:numFmt w:val="lowerRoman"/>
      <w:lvlText w:val="%6."/>
      <w:lvlJc w:val="right"/>
      <w:pPr>
        <w:tabs>
          <w:tab w:val="num" w:pos="4320"/>
        </w:tabs>
        <w:ind w:left="4320" w:hanging="180"/>
      </w:pPr>
    </w:lvl>
    <w:lvl w:ilvl="6" w:tplc="0F8E19B6">
      <w:start w:val="1"/>
      <w:numFmt w:val="decimal"/>
      <w:lvlText w:val="%7."/>
      <w:lvlJc w:val="left"/>
      <w:pPr>
        <w:tabs>
          <w:tab w:val="num" w:pos="5040"/>
        </w:tabs>
        <w:ind w:left="5040" w:hanging="360"/>
      </w:pPr>
    </w:lvl>
    <w:lvl w:ilvl="7" w:tplc="C26636EA">
      <w:start w:val="1"/>
      <w:numFmt w:val="lowerLetter"/>
      <w:lvlText w:val="%8."/>
      <w:lvlJc w:val="left"/>
      <w:pPr>
        <w:tabs>
          <w:tab w:val="num" w:pos="5760"/>
        </w:tabs>
        <w:ind w:left="5760" w:hanging="360"/>
      </w:pPr>
    </w:lvl>
    <w:lvl w:ilvl="8" w:tplc="41C807FE">
      <w:start w:val="1"/>
      <w:numFmt w:val="lowerRoman"/>
      <w:lvlText w:val="%9."/>
      <w:lvlJc w:val="right"/>
      <w:pPr>
        <w:tabs>
          <w:tab w:val="num" w:pos="6480"/>
        </w:tabs>
        <w:ind w:left="6480" w:hanging="180"/>
      </w:pPr>
    </w:lvl>
  </w:abstractNum>
  <w:abstractNum w:abstractNumId="31" w15:restartNumberingAfterBreak="0">
    <w:nsid w:val="68681992"/>
    <w:multiLevelType w:val="hybridMultilevel"/>
    <w:tmpl w:val="79E4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159DE"/>
    <w:multiLevelType w:val="multilevel"/>
    <w:tmpl w:val="83EEBD5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B5315FF"/>
    <w:multiLevelType w:val="hybridMultilevel"/>
    <w:tmpl w:val="3CE4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23163"/>
    <w:multiLevelType w:val="hybridMultilevel"/>
    <w:tmpl w:val="DF0C8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4392A"/>
    <w:multiLevelType w:val="hybridMultilevel"/>
    <w:tmpl w:val="7E424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9306FA"/>
    <w:multiLevelType w:val="multilevel"/>
    <w:tmpl w:val="6526FC9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6B96D5E"/>
    <w:multiLevelType w:val="hybridMultilevel"/>
    <w:tmpl w:val="0E345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F90E72"/>
    <w:multiLevelType w:val="hybridMultilevel"/>
    <w:tmpl w:val="DEA29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0"/>
  </w:num>
  <w:num w:numId="4">
    <w:abstractNumId w:val="24"/>
  </w:num>
  <w:num w:numId="5">
    <w:abstractNumId w:val="13"/>
  </w:num>
  <w:num w:numId="6">
    <w:abstractNumId w:val="28"/>
  </w:num>
  <w:num w:numId="7">
    <w:abstractNumId w:val="10"/>
  </w:num>
  <w:num w:numId="8">
    <w:abstractNumId w:val="15"/>
  </w:num>
  <w:num w:numId="9">
    <w:abstractNumId w:val="30"/>
  </w:num>
  <w:num w:numId="10">
    <w:abstractNumId w:val="29"/>
  </w:num>
  <w:num w:numId="11">
    <w:abstractNumId w:val="17"/>
  </w:num>
  <w:num w:numId="12">
    <w:abstractNumId w:val="18"/>
  </w:num>
  <w:num w:numId="13">
    <w:abstractNumId w:val="26"/>
  </w:num>
  <w:num w:numId="14">
    <w:abstractNumId w:val="12"/>
  </w:num>
  <w:num w:numId="15">
    <w:abstractNumId w:val="36"/>
  </w:num>
  <w:num w:numId="16">
    <w:abstractNumId w:val="20"/>
  </w:num>
  <w:num w:numId="17">
    <w:abstractNumId w:val="34"/>
  </w:num>
  <w:num w:numId="18">
    <w:abstractNumId w:val="23"/>
  </w:num>
  <w:num w:numId="19">
    <w:abstractNumId w:val="37"/>
  </w:num>
  <w:num w:numId="20">
    <w:abstractNumId w:val="31"/>
  </w:num>
  <w:num w:numId="21">
    <w:abstractNumId w:val="8"/>
  </w:num>
  <w:num w:numId="22">
    <w:abstractNumId w:val="14"/>
  </w:num>
  <w:num w:numId="23">
    <w:abstractNumId w:val="35"/>
  </w:num>
  <w:num w:numId="24">
    <w:abstractNumId w:val="11"/>
  </w:num>
  <w:num w:numId="25">
    <w:abstractNumId w:val="16"/>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27"/>
  </w:num>
  <w:num w:numId="34">
    <w:abstractNumId w:val="38"/>
  </w:num>
  <w:num w:numId="35">
    <w:abstractNumId w:val="3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1"/>
  </w:num>
  <w:num w:numId="39">
    <w:abstractNumId w:val="25"/>
  </w:num>
  <w:num w:numId="4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activeWritingStyle w:appName="MSWord" w:lang="en-GB" w:vendorID="6" w:dllVersion="2" w:checkStyle="1"/>
  <w:activeWritingStyle w:appName="MSWord" w:lang="en-GB" w:vendorID="5" w:dllVersion="2" w:checkStyle="1"/>
  <w:activeWritingStyle w:appName="MSWord" w:lang="en-GB" w:vendorID="8" w:dllVersion="513" w:checkStyle="1"/>
  <w:activeWritingStyle w:appName="MSWord" w:lang="en-US" w:vendorID="8" w:dllVersion="513" w:checkStyle="1"/>
  <w:activeWritingStyle w:appName="MSWord" w:lang="en-AU" w:vendorID="8" w:dllVersion="513" w:checkStyle="1"/>
  <w:activeWritingStyle w:appName="MSWord" w:lang="nl-NL" w:vendorID="1" w:dllVersion="512" w:checkStyle="1"/>
  <w:activeWritingStyle w:appName="MSWord" w:lang="en-NZ" w:vendorID="8" w:dllVersion="513" w:checkStyle="1"/>
  <w:activeWritingStyle w:appName="MSWord" w:lang="en-CA" w:vendorID="8" w:dllVersion="513" w:checkStyle="1"/>
  <w:activeWritingStyle w:appName="MSWord" w:lang="en-AU" w:vendorID="6" w:dllVersion="2" w:checkStyle="1"/>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07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F39"/>
    <w:rsid w:val="00000011"/>
    <w:rsid w:val="00000027"/>
    <w:rsid w:val="00000266"/>
    <w:rsid w:val="00000512"/>
    <w:rsid w:val="000009C3"/>
    <w:rsid w:val="00000A7C"/>
    <w:rsid w:val="00000C71"/>
    <w:rsid w:val="00000D72"/>
    <w:rsid w:val="00000DA8"/>
    <w:rsid w:val="00000E2B"/>
    <w:rsid w:val="00001125"/>
    <w:rsid w:val="00001141"/>
    <w:rsid w:val="000012DD"/>
    <w:rsid w:val="00001333"/>
    <w:rsid w:val="000015F3"/>
    <w:rsid w:val="000016DC"/>
    <w:rsid w:val="000016F9"/>
    <w:rsid w:val="00001E21"/>
    <w:rsid w:val="000020FB"/>
    <w:rsid w:val="000022B3"/>
    <w:rsid w:val="000023C3"/>
    <w:rsid w:val="000026DA"/>
    <w:rsid w:val="00002CBE"/>
    <w:rsid w:val="00002CC1"/>
    <w:rsid w:val="00002CC8"/>
    <w:rsid w:val="00003134"/>
    <w:rsid w:val="000033C9"/>
    <w:rsid w:val="00003427"/>
    <w:rsid w:val="000034D2"/>
    <w:rsid w:val="00003799"/>
    <w:rsid w:val="00003BFE"/>
    <w:rsid w:val="00003F22"/>
    <w:rsid w:val="00003F95"/>
    <w:rsid w:val="000042C9"/>
    <w:rsid w:val="0000469D"/>
    <w:rsid w:val="000048B4"/>
    <w:rsid w:val="00004A15"/>
    <w:rsid w:val="00004CA3"/>
    <w:rsid w:val="00004EED"/>
    <w:rsid w:val="00005244"/>
    <w:rsid w:val="0000527A"/>
    <w:rsid w:val="00005809"/>
    <w:rsid w:val="000058DE"/>
    <w:rsid w:val="00005902"/>
    <w:rsid w:val="00005E44"/>
    <w:rsid w:val="000063BD"/>
    <w:rsid w:val="00006C28"/>
    <w:rsid w:val="00006F26"/>
    <w:rsid w:val="00007153"/>
    <w:rsid w:val="0000717C"/>
    <w:rsid w:val="00007578"/>
    <w:rsid w:val="0000766F"/>
    <w:rsid w:val="000076A4"/>
    <w:rsid w:val="00007F75"/>
    <w:rsid w:val="00010D81"/>
    <w:rsid w:val="00011056"/>
    <w:rsid w:val="000112F6"/>
    <w:rsid w:val="0001180D"/>
    <w:rsid w:val="00011ADF"/>
    <w:rsid w:val="00011BAD"/>
    <w:rsid w:val="00012999"/>
    <w:rsid w:val="00012DC4"/>
    <w:rsid w:val="000130A7"/>
    <w:rsid w:val="00013309"/>
    <w:rsid w:val="000133C2"/>
    <w:rsid w:val="00014003"/>
    <w:rsid w:val="000141E9"/>
    <w:rsid w:val="00014388"/>
    <w:rsid w:val="000144F7"/>
    <w:rsid w:val="00014E3A"/>
    <w:rsid w:val="00014FFB"/>
    <w:rsid w:val="00015068"/>
    <w:rsid w:val="00015965"/>
    <w:rsid w:val="00015CC5"/>
    <w:rsid w:val="00015ED7"/>
    <w:rsid w:val="00015EDA"/>
    <w:rsid w:val="00015F8F"/>
    <w:rsid w:val="000161AC"/>
    <w:rsid w:val="000164A5"/>
    <w:rsid w:val="00016677"/>
    <w:rsid w:val="00016D0F"/>
    <w:rsid w:val="00016F9D"/>
    <w:rsid w:val="00017044"/>
    <w:rsid w:val="00017121"/>
    <w:rsid w:val="000171F1"/>
    <w:rsid w:val="000173EB"/>
    <w:rsid w:val="00017DBF"/>
    <w:rsid w:val="00017EFE"/>
    <w:rsid w:val="0002069C"/>
    <w:rsid w:val="000209D9"/>
    <w:rsid w:val="000210D7"/>
    <w:rsid w:val="00021362"/>
    <w:rsid w:val="0002172C"/>
    <w:rsid w:val="000222B7"/>
    <w:rsid w:val="00022428"/>
    <w:rsid w:val="000224EE"/>
    <w:rsid w:val="00022B7E"/>
    <w:rsid w:val="00022BC2"/>
    <w:rsid w:val="00022CC7"/>
    <w:rsid w:val="00023187"/>
    <w:rsid w:val="000233FD"/>
    <w:rsid w:val="00023D00"/>
    <w:rsid w:val="00023F27"/>
    <w:rsid w:val="00024818"/>
    <w:rsid w:val="00024927"/>
    <w:rsid w:val="00024A4D"/>
    <w:rsid w:val="00024B0F"/>
    <w:rsid w:val="00024CC4"/>
    <w:rsid w:val="00024F9D"/>
    <w:rsid w:val="000253A4"/>
    <w:rsid w:val="00025A00"/>
    <w:rsid w:val="00025FAC"/>
    <w:rsid w:val="000265F2"/>
    <w:rsid w:val="00026649"/>
    <w:rsid w:val="0002690A"/>
    <w:rsid w:val="00026A00"/>
    <w:rsid w:val="00026B29"/>
    <w:rsid w:val="00026E9E"/>
    <w:rsid w:val="00026FE9"/>
    <w:rsid w:val="0002722B"/>
    <w:rsid w:val="00027572"/>
    <w:rsid w:val="0002779B"/>
    <w:rsid w:val="000279DF"/>
    <w:rsid w:val="000279EA"/>
    <w:rsid w:val="00027FCC"/>
    <w:rsid w:val="00030056"/>
    <w:rsid w:val="00030222"/>
    <w:rsid w:val="00030286"/>
    <w:rsid w:val="000302F9"/>
    <w:rsid w:val="00030440"/>
    <w:rsid w:val="0003061E"/>
    <w:rsid w:val="000306AF"/>
    <w:rsid w:val="000306D9"/>
    <w:rsid w:val="00031565"/>
    <w:rsid w:val="0003184A"/>
    <w:rsid w:val="00032024"/>
    <w:rsid w:val="00032913"/>
    <w:rsid w:val="000329FF"/>
    <w:rsid w:val="00032D92"/>
    <w:rsid w:val="00032E8E"/>
    <w:rsid w:val="00033430"/>
    <w:rsid w:val="00033BB3"/>
    <w:rsid w:val="00033CA9"/>
    <w:rsid w:val="00034027"/>
    <w:rsid w:val="0003416C"/>
    <w:rsid w:val="000341E0"/>
    <w:rsid w:val="0003425F"/>
    <w:rsid w:val="0003449A"/>
    <w:rsid w:val="00034A01"/>
    <w:rsid w:val="00034A08"/>
    <w:rsid w:val="00034F10"/>
    <w:rsid w:val="00035BA8"/>
    <w:rsid w:val="0003659E"/>
    <w:rsid w:val="000366E6"/>
    <w:rsid w:val="00036794"/>
    <w:rsid w:val="00036CB1"/>
    <w:rsid w:val="00036E85"/>
    <w:rsid w:val="00036E9B"/>
    <w:rsid w:val="00036EF4"/>
    <w:rsid w:val="00036F1B"/>
    <w:rsid w:val="0003731C"/>
    <w:rsid w:val="0003739C"/>
    <w:rsid w:val="00037570"/>
    <w:rsid w:val="000378FF"/>
    <w:rsid w:val="00037A39"/>
    <w:rsid w:val="00037AD6"/>
    <w:rsid w:val="00037D24"/>
    <w:rsid w:val="00037D3C"/>
    <w:rsid w:val="00037D88"/>
    <w:rsid w:val="00037E4D"/>
    <w:rsid w:val="00040415"/>
    <w:rsid w:val="0004042D"/>
    <w:rsid w:val="000409CD"/>
    <w:rsid w:val="00040C49"/>
    <w:rsid w:val="00040C59"/>
    <w:rsid w:val="00040DA8"/>
    <w:rsid w:val="0004120B"/>
    <w:rsid w:val="00041344"/>
    <w:rsid w:val="000413CF"/>
    <w:rsid w:val="0004171C"/>
    <w:rsid w:val="00041E99"/>
    <w:rsid w:val="00042147"/>
    <w:rsid w:val="0004254A"/>
    <w:rsid w:val="00042798"/>
    <w:rsid w:val="00042DAA"/>
    <w:rsid w:val="00042E47"/>
    <w:rsid w:val="0004381E"/>
    <w:rsid w:val="00043BCF"/>
    <w:rsid w:val="00043C62"/>
    <w:rsid w:val="00043FCC"/>
    <w:rsid w:val="00043FCE"/>
    <w:rsid w:val="00044088"/>
    <w:rsid w:val="00044531"/>
    <w:rsid w:val="000447A1"/>
    <w:rsid w:val="00044B57"/>
    <w:rsid w:val="000452ED"/>
    <w:rsid w:val="00045378"/>
    <w:rsid w:val="000453FF"/>
    <w:rsid w:val="000454D7"/>
    <w:rsid w:val="00045790"/>
    <w:rsid w:val="0004588B"/>
    <w:rsid w:val="00045988"/>
    <w:rsid w:val="00046091"/>
    <w:rsid w:val="00046102"/>
    <w:rsid w:val="00046202"/>
    <w:rsid w:val="0004624A"/>
    <w:rsid w:val="00046605"/>
    <w:rsid w:val="0004663B"/>
    <w:rsid w:val="0004665B"/>
    <w:rsid w:val="00046FF7"/>
    <w:rsid w:val="00047026"/>
    <w:rsid w:val="000473CB"/>
    <w:rsid w:val="00047419"/>
    <w:rsid w:val="00047452"/>
    <w:rsid w:val="000474EA"/>
    <w:rsid w:val="000475E6"/>
    <w:rsid w:val="00047846"/>
    <w:rsid w:val="00047D80"/>
    <w:rsid w:val="00050450"/>
    <w:rsid w:val="00050871"/>
    <w:rsid w:val="000508A7"/>
    <w:rsid w:val="00050B6C"/>
    <w:rsid w:val="000510C3"/>
    <w:rsid w:val="00051568"/>
    <w:rsid w:val="00051CDA"/>
    <w:rsid w:val="00052675"/>
    <w:rsid w:val="000532FC"/>
    <w:rsid w:val="000538EA"/>
    <w:rsid w:val="0005390C"/>
    <w:rsid w:val="00053BB4"/>
    <w:rsid w:val="00054625"/>
    <w:rsid w:val="00054BE1"/>
    <w:rsid w:val="00054F76"/>
    <w:rsid w:val="000550A3"/>
    <w:rsid w:val="000551D8"/>
    <w:rsid w:val="00055291"/>
    <w:rsid w:val="00055B0C"/>
    <w:rsid w:val="00055D53"/>
    <w:rsid w:val="00055DFC"/>
    <w:rsid w:val="000562FD"/>
    <w:rsid w:val="000563BA"/>
    <w:rsid w:val="00056455"/>
    <w:rsid w:val="000566B3"/>
    <w:rsid w:val="00056DFC"/>
    <w:rsid w:val="00056E51"/>
    <w:rsid w:val="00056FD6"/>
    <w:rsid w:val="000570BA"/>
    <w:rsid w:val="00057120"/>
    <w:rsid w:val="00057530"/>
    <w:rsid w:val="00057568"/>
    <w:rsid w:val="000576FA"/>
    <w:rsid w:val="00057FAE"/>
    <w:rsid w:val="0006033F"/>
    <w:rsid w:val="00060462"/>
    <w:rsid w:val="000604B7"/>
    <w:rsid w:val="00060691"/>
    <w:rsid w:val="00061B3B"/>
    <w:rsid w:val="00061E83"/>
    <w:rsid w:val="00062918"/>
    <w:rsid w:val="00062BA8"/>
    <w:rsid w:val="00062F73"/>
    <w:rsid w:val="00062FE4"/>
    <w:rsid w:val="00063734"/>
    <w:rsid w:val="00063976"/>
    <w:rsid w:val="00063A03"/>
    <w:rsid w:val="00064956"/>
    <w:rsid w:val="00064FC6"/>
    <w:rsid w:val="00065096"/>
    <w:rsid w:val="00065353"/>
    <w:rsid w:val="00065678"/>
    <w:rsid w:val="00065725"/>
    <w:rsid w:val="000657B6"/>
    <w:rsid w:val="00065CAB"/>
    <w:rsid w:val="00065E36"/>
    <w:rsid w:val="00065FEB"/>
    <w:rsid w:val="0006601A"/>
    <w:rsid w:val="00066065"/>
    <w:rsid w:val="00066114"/>
    <w:rsid w:val="0006625F"/>
    <w:rsid w:val="00066286"/>
    <w:rsid w:val="00066837"/>
    <w:rsid w:val="00066A4C"/>
    <w:rsid w:val="00066A7A"/>
    <w:rsid w:val="00066ECC"/>
    <w:rsid w:val="00066EEB"/>
    <w:rsid w:val="00067161"/>
    <w:rsid w:val="000671AC"/>
    <w:rsid w:val="00067228"/>
    <w:rsid w:val="0006746C"/>
    <w:rsid w:val="00067880"/>
    <w:rsid w:val="00067A3A"/>
    <w:rsid w:val="00067AF6"/>
    <w:rsid w:val="00067BE0"/>
    <w:rsid w:val="00067C4D"/>
    <w:rsid w:val="00067EB2"/>
    <w:rsid w:val="00067F23"/>
    <w:rsid w:val="00067F36"/>
    <w:rsid w:val="00070120"/>
    <w:rsid w:val="000702B1"/>
    <w:rsid w:val="000702DA"/>
    <w:rsid w:val="000708BF"/>
    <w:rsid w:val="00070919"/>
    <w:rsid w:val="000709B6"/>
    <w:rsid w:val="000709C8"/>
    <w:rsid w:val="000709D0"/>
    <w:rsid w:val="00070A94"/>
    <w:rsid w:val="00070D3C"/>
    <w:rsid w:val="00070EC4"/>
    <w:rsid w:val="0007157A"/>
    <w:rsid w:val="00071C9B"/>
    <w:rsid w:val="00071E45"/>
    <w:rsid w:val="0007200A"/>
    <w:rsid w:val="000721AD"/>
    <w:rsid w:val="00073015"/>
    <w:rsid w:val="00073217"/>
    <w:rsid w:val="000736F7"/>
    <w:rsid w:val="00073756"/>
    <w:rsid w:val="0007376B"/>
    <w:rsid w:val="000739CF"/>
    <w:rsid w:val="00074155"/>
    <w:rsid w:val="00074261"/>
    <w:rsid w:val="0007434A"/>
    <w:rsid w:val="00074626"/>
    <w:rsid w:val="00074A4C"/>
    <w:rsid w:val="00074EFF"/>
    <w:rsid w:val="00074F64"/>
    <w:rsid w:val="0007533B"/>
    <w:rsid w:val="000753E7"/>
    <w:rsid w:val="0007585C"/>
    <w:rsid w:val="00075AD0"/>
    <w:rsid w:val="000760B2"/>
    <w:rsid w:val="000762E7"/>
    <w:rsid w:val="000763D7"/>
    <w:rsid w:val="00076459"/>
    <w:rsid w:val="000768B0"/>
    <w:rsid w:val="000768E5"/>
    <w:rsid w:val="00076973"/>
    <w:rsid w:val="00076E3D"/>
    <w:rsid w:val="00077511"/>
    <w:rsid w:val="00080446"/>
    <w:rsid w:val="00080497"/>
    <w:rsid w:val="0008058D"/>
    <w:rsid w:val="00081081"/>
    <w:rsid w:val="000812B7"/>
    <w:rsid w:val="00081470"/>
    <w:rsid w:val="000815BA"/>
    <w:rsid w:val="000817B2"/>
    <w:rsid w:val="000817DC"/>
    <w:rsid w:val="000818C0"/>
    <w:rsid w:val="00081A11"/>
    <w:rsid w:val="00081AC2"/>
    <w:rsid w:val="00081DC7"/>
    <w:rsid w:val="000821F1"/>
    <w:rsid w:val="0008242D"/>
    <w:rsid w:val="00082658"/>
    <w:rsid w:val="000828B4"/>
    <w:rsid w:val="00082906"/>
    <w:rsid w:val="000830C0"/>
    <w:rsid w:val="000836FB"/>
    <w:rsid w:val="000839C4"/>
    <w:rsid w:val="000839D4"/>
    <w:rsid w:val="00083EF7"/>
    <w:rsid w:val="000844CF"/>
    <w:rsid w:val="0008464A"/>
    <w:rsid w:val="000846C7"/>
    <w:rsid w:val="000847AF"/>
    <w:rsid w:val="00085256"/>
    <w:rsid w:val="000852C9"/>
    <w:rsid w:val="000855BA"/>
    <w:rsid w:val="00085971"/>
    <w:rsid w:val="00085DFB"/>
    <w:rsid w:val="00085EB5"/>
    <w:rsid w:val="000861BE"/>
    <w:rsid w:val="0008642E"/>
    <w:rsid w:val="00086703"/>
    <w:rsid w:val="0008671A"/>
    <w:rsid w:val="00086766"/>
    <w:rsid w:val="0008681E"/>
    <w:rsid w:val="00086AB3"/>
    <w:rsid w:val="00086E5B"/>
    <w:rsid w:val="00086E63"/>
    <w:rsid w:val="000871D0"/>
    <w:rsid w:val="000874C1"/>
    <w:rsid w:val="0008772D"/>
    <w:rsid w:val="000877E8"/>
    <w:rsid w:val="00087866"/>
    <w:rsid w:val="00087A42"/>
    <w:rsid w:val="00087AEF"/>
    <w:rsid w:val="00087D98"/>
    <w:rsid w:val="00090190"/>
    <w:rsid w:val="000903DA"/>
    <w:rsid w:val="000908DA"/>
    <w:rsid w:val="00090923"/>
    <w:rsid w:val="00090C9E"/>
    <w:rsid w:val="00090E12"/>
    <w:rsid w:val="00090F0F"/>
    <w:rsid w:val="00091126"/>
    <w:rsid w:val="000911D5"/>
    <w:rsid w:val="0009122E"/>
    <w:rsid w:val="0009129F"/>
    <w:rsid w:val="000914B9"/>
    <w:rsid w:val="00091B12"/>
    <w:rsid w:val="00091C61"/>
    <w:rsid w:val="00091C81"/>
    <w:rsid w:val="00091CC2"/>
    <w:rsid w:val="00091D79"/>
    <w:rsid w:val="000926A1"/>
    <w:rsid w:val="00093516"/>
    <w:rsid w:val="000936CF"/>
    <w:rsid w:val="00093A25"/>
    <w:rsid w:val="00093A54"/>
    <w:rsid w:val="00093B94"/>
    <w:rsid w:val="00093D42"/>
    <w:rsid w:val="00093F35"/>
    <w:rsid w:val="00094000"/>
    <w:rsid w:val="000948CD"/>
    <w:rsid w:val="00094E06"/>
    <w:rsid w:val="000950EA"/>
    <w:rsid w:val="00095240"/>
    <w:rsid w:val="000959C3"/>
    <w:rsid w:val="00096173"/>
    <w:rsid w:val="0009623E"/>
    <w:rsid w:val="00096451"/>
    <w:rsid w:val="000967E1"/>
    <w:rsid w:val="00096838"/>
    <w:rsid w:val="00096856"/>
    <w:rsid w:val="00096CEE"/>
    <w:rsid w:val="000972A4"/>
    <w:rsid w:val="000972D6"/>
    <w:rsid w:val="00097440"/>
    <w:rsid w:val="000979F2"/>
    <w:rsid w:val="00097A0E"/>
    <w:rsid w:val="00097F26"/>
    <w:rsid w:val="000A0249"/>
    <w:rsid w:val="000A05A7"/>
    <w:rsid w:val="000A0787"/>
    <w:rsid w:val="000A0C4B"/>
    <w:rsid w:val="000A0CE4"/>
    <w:rsid w:val="000A1254"/>
    <w:rsid w:val="000A195D"/>
    <w:rsid w:val="000A19E2"/>
    <w:rsid w:val="000A1A56"/>
    <w:rsid w:val="000A1C63"/>
    <w:rsid w:val="000A2611"/>
    <w:rsid w:val="000A287C"/>
    <w:rsid w:val="000A2A5E"/>
    <w:rsid w:val="000A2F30"/>
    <w:rsid w:val="000A33B3"/>
    <w:rsid w:val="000A33C5"/>
    <w:rsid w:val="000A34B8"/>
    <w:rsid w:val="000A3AC6"/>
    <w:rsid w:val="000A3ADA"/>
    <w:rsid w:val="000A3CEF"/>
    <w:rsid w:val="000A4251"/>
    <w:rsid w:val="000A4393"/>
    <w:rsid w:val="000A463B"/>
    <w:rsid w:val="000A47D5"/>
    <w:rsid w:val="000A4954"/>
    <w:rsid w:val="000A4B34"/>
    <w:rsid w:val="000A4CA4"/>
    <w:rsid w:val="000A4E3A"/>
    <w:rsid w:val="000A4EE1"/>
    <w:rsid w:val="000A5763"/>
    <w:rsid w:val="000A586A"/>
    <w:rsid w:val="000A5A1D"/>
    <w:rsid w:val="000A5A56"/>
    <w:rsid w:val="000A5BFE"/>
    <w:rsid w:val="000A5E6E"/>
    <w:rsid w:val="000A5F30"/>
    <w:rsid w:val="000A6854"/>
    <w:rsid w:val="000A68FE"/>
    <w:rsid w:val="000A6A7C"/>
    <w:rsid w:val="000A6E83"/>
    <w:rsid w:val="000A6F88"/>
    <w:rsid w:val="000A7193"/>
    <w:rsid w:val="000A72BA"/>
    <w:rsid w:val="000A7E43"/>
    <w:rsid w:val="000A7E51"/>
    <w:rsid w:val="000B07B2"/>
    <w:rsid w:val="000B07E1"/>
    <w:rsid w:val="000B0D12"/>
    <w:rsid w:val="000B0EFE"/>
    <w:rsid w:val="000B0FDB"/>
    <w:rsid w:val="000B109B"/>
    <w:rsid w:val="000B10CE"/>
    <w:rsid w:val="000B14B4"/>
    <w:rsid w:val="000B18BF"/>
    <w:rsid w:val="000B18D4"/>
    <w:rsid w:val="000B1BC5"/>
    <w:rsid w:val="000B2381"/>
    <w:rsid w:val="000B2785"/>
    <w:rsid w:val="000B283E"/>
    <w:rsid w:val="000B28AD"/>
    <w:rsid w:val="000B29CD"/>
    <w:rsid w:val="000B29D3"/>
    <w:rsid w:val="000B2A16"/>
    <w:rsid w:val="000B2E2B"/>
    <w:rsid w:val="000B32B0"/>
    <w:rsid w:val="000B32F9"/>
    <w:rsid w:val="000B3546"/>
    <w:rsid w:val="000B38B2"/>
    <w:rsid w:val="000B38FD"/>
    <w:rsid w:val="000B47D2"/>
    <w:rsid w:val="000B4864"/>
    <w:rsid w:val="000B4D6E"/>
    <w:rsid w:val="000B5477"/>
    <w:rsid w:val="000B5583"/>
    <w:rsid w:val="000B5912"/>
    <w:rsid w:val="000B5A82"/>
    <w:rsid w:val="000B6281"/>
    <w:rsid w:val="000B64C8"/>
    <w:rsid w:val="000B66DD"/>
    <w:rsid w:val="000B69AF"/>
    <w:rsid w:val="000B69DD"/>
    <w:rsid w:val="000B6E14"/>
    <w:rsid w:val="000B7105"/>
    <w:rsid w:val="000B71A9"/>
    <w:rsid w:val="000B738E"/>
    <w:rsid w:val="000B73AB"/>
    <w:rsid w:val="000B75BA"/>
    <w:rsid w:val="000B775F"/>
    <w:rsid w:val="000B797F"/>
    <w:rsid w:val="000C03CB"/>
    <w:rsid w:val="000C06AE"/>
    <w:rsid w:val="000C0808"/>
    <w:rsid w:val="000C0A53"/>
    <w:rsid w:val="000C0F10"/>
    <w:rsid w:val="000C109E"/>
    <w:rsid w:val="000C124D"/>
    <w:rsid w:val="000C1266"/>
    <w:rsid w:val="000C1608"/>
    <w:rsid w:val="000C1614"/>
    <w:rsid w:val="000C171C"/>
    <w:rsid w:val="000C193C"/>
    <w:rsid w:val="000C1E0B"/>
    <w:rsid w:val="000C1E29"/>
    <w:rsid w:val="000C203C"/>
    <w:rsid w:val="000C2491"/>
    <w:rsid w:val="000C2B1C"/>
    <w:rsid w:val="000C3203"/>
    <w:rsid w:val="000C3268"/>
    <w:rsid w:val="000C333D"/>
    <w:rsid w:val="000C33E3"/>
    <w:rsid w:val="000C3410"/>
    <w:rsid w:val="000C3644"/>
    <w:rsid w:val="000C3F64"/>
    <w:rsid w:val="000C402D"/>
    <w:rsid w:val="000C404F"/>
    <w:rsid w:val="000C4272"/>
    <w:rsid w:val="000C43EA"/>
    <w:rsid w:val="000C44A7"/>
    <w:rsid w:val="000C467B"/>
    <w:rsid w:val="000C48E9"/>
    <w:rsid w:val="000C4BF6"/>
    <w:rsid w:val="000C4C5C"/>
    <w:rsid w:val="000C5633"/>
    <w:rsid w:val="000C567C"/>
    <w:rsid w:val="000C58C3"/>
    <w:rsid w:val="000C5B44"/>
    <w:rsid w:val="000C5BEB"/>
    <w:rsid w:val="000C5EC7"/>
    <w:rsid w:val="000C627B"/>
    <w:rsid w:val="000C662B"/>
    <w:rsid w:val="000C69AC"/>
    <w:rsid w:val="000C6A6D"/>
    <w:rsid w:val="000C6C01"/>
    <w:rsid w:val="000C6D60"/>
    <w:rsid w:val="000C7050"/>
    <w:rsid w:val="000C7177"/>
    <w:rsid w:val="000C7564"/>
    <w:rsid w:val="000C7DF2"/>
    <w:rsid w:val="000C7E83"/>
    <w:rsid w:val="000C7F10"/>
    <w:rsid w:val="000D018F"/>
    <w:rsid w:val="000D0337"/>
    <w:rsid w:val="000D065A"/>
    <w:rsid w:val="000D0778"/>
    <w:rsid w:val="000D09A8"/>
    <w:rsid w:val="000D0A36"/>
    <w:rsid w:val="000D0A4C"/>
    <w:rsid w:val="000D0ABC"/>
    <w:rsid w:val="000D0B1C"/>
    <w:rsid w:val="000D0B22"/>
    <w:rsid w:val="000D0DC0"/>
    <w:rsid w:val="000D10D3"/>
    <w:rsid w:val="000D1334"/>
    <w:rsid w:val="000D1E79"/>
    <w:rsid w:val="000D1FE2"/>
    <w:rsid w:val="000D2352"/>
    <w:rsid w:val="000D2680"/>
    <w:rsid w:val="000D29C4"/>
    <w:rsid w:val="000D2D95"/>
    <w:rsid w:val="000D2E94"/>
    <w:rsid w:val="000D2F70"/>
    <w:rsid w:val="000D3370"/>
    <w:rsid w:val="000D3383"/>
    <w:rsid w:val="000D3392"/>
    <w:rsid w:val="000D34DE"/>
    <w:rsid w:val="000D3860"/>
    <w:rsid w:val="000D39D5"/>
    <w:rsid w:val="000D3C88"/>
    <w:rsid w:val="000D3EB3"/>
    <w:rsid w:val="000D49EB"/>
    <w:rsid w:val="000D4AF9"/>
    <w:rsid w:val="000D4DEB"/>
    <w:rsid w:val="000D4E41"/>
    <w:rsid w:val="000D56FA"/>
    <w:rsid w:val="000D6008"/>
    <w:rsid w:val="000D620E"/>
    <w:rsid w:val="000D6629"/>
    <w:rsid w:val="000D6AFB"/>
    <w:rsid w:val="000D6B3C"/>
    <w:rsid w:val="000D6C41"/>
    <w:rsid w:val="000D71FA"/>
    <w:rsid w:val="000D720F"/>
    <w:rsid w:val="000D7250"/>
    <w:rsid w:val="000D7E50"/>
    <w:rsid w:val="000E0610"/>
    <w:rsid w:val="000E067F"/>
    <w:rsid w:val="000E0914"/>
    <w:rsid w:val="000E0A06"/>
    <w:rsid w:val="000E0DFE"/>
    <w:rsid w:val="000E0E7C"/>
    <w:rsid w:val="000E1323"/>
    <w:rsid w:val="000E1424"/>
    <w:rsid w:val="000E1533"/>
    <w:rsid w:val="000E157A"/>
    <w:rsid w:val="000E1713"/>
    <w:rsid w:val="000E19F8"/>
    <w:rsid w:val="000E1DB1"/>
    <w:rsid w:val="000E1FB1"/>
    <w:rsid w:val="000E21E5"/>
    <w:rsid w:val="000E2380"/>
    <w:rsid w:val="000E2644"/>
    <w:rsid w:val="000E2991"/>
    <w:rsid w:val="000E29A1"/>
    <w:rsid w:val="000E2C10"/>
    <w:rsid w:val="000E2CB4"/>
    <w:rsid w:val="000E2CB7"/>
    <w:rsid w:val="000E349E"/>
    <w:rsid w:val="000E35D3"/>
    <w:rsid w:val="000E3671"/>
    <w:rsid w:val="000E36F7"/>
    <w:rsid w:val="000E3FD5"/>
    <w:rsid w:val="000E4233"/>
    <w:rsid w:val="000E4638"/>
    <w:rsid w:val="000E4680"/>
    <w:rsid w:val="000E4C6F"/>
    <w:rsid w:val="000E4CE9"/>
    <w:rsid w:val="000E4D43"/>
    <w:rsid w:val="000E4F81"/>
    <w:rsid w:val="000E508F"/>
    <w:rsid w:val="000E5130"/>
    <w:rsid w:val="000E52CA"/>
    <w:rsid w:val="000E53CA"/>
    <w:rsid w:val="000E544F"/>
    <w:rsid w:val="000E5967"/>
    <w:rsid w:val="000E5D63"/>
    <w:rsid w:val="000E5E95"/>
    <w:rsid w:val="000E609E"/>
    <w:rsid w:val="000E612B"/>
    <w:rsid w:val="000E68DB"/>
    <w:rsid w:val="000E699A"/>
    <w:rsid w:val="000E6A42"/>
    <w:rsid w:val="000E6B1B"/>
    <w:rsid w:val="000E6CBB"/>
    <w:rsid w:val="000E7420"/>
    <w:rsid w:val="000E7555"/>
    <w:rsid w:val="000F039A"/>
    <w:rsid w:val="000F04CB"/>
    <w:rsid w:val="000F0A4E"/>
    <w:rsid w:val="000F0C43"/>
    <w:rsid w:val="000F0D79"/>
    <w:rsid w:val="000F0EE1"/>
    <w:rsid w:val="000F1089"/>
    <w:rsid w:val="000F1327"/>
    <w:rsid w:val="000F1B6F"/>
    <w:rsid w:val="000F2002"/>
    <w:rsid w:val="000F2104"/>
    <w:rsid w:val="000F2108"/>
    <w:rsid w:val="000F248E"/>
    <w:rsid w:val="000F25BA"/>
    <w:rsid w:val="000F31BA"/>
    <w:rsid w:val="000F35D6"/>
    <w:rsid w:val="000F3B2A"/>
    <w:rsid w:val="000F3C59"/>
    <w:rsid w:val="000F3CEF"/>
    <w:rsid w:val="000F3ECD"/>
    <w:rsid w:val="000F43BD"/>
    <w:rsid w:val="000F43C5"/>
    <w:rsid w:val="000F44B4"/>
    <w:rsid w:val="000F469D"/>
    <w:rsid w:val="000F4817"/>
    <w:rsid w:val="000F50A9"/>
    <w:rsid w:val="000F51B4"/>
    <w:rsid w:val="000F5258"/>
    <w:rsid w:val="000F5464"/>
    <w:rsid w:val="000F547C"/>
    <w:rsid w:val="000F575F"/>
    <w:rsid w:val="000F579F"/>
    <w:rsid w:val="000F5929"/>
    <w:rsid w:val="000F5D56"/>
    <w:rsid w:val="000F67CD"/>
    <w:rsid w:val="000F685C"/>
    <w:rsid w:val="000F689E"/>
    <w:rsid w:val="000F6C15"/>
    <w:rsid w:val="000F6F0F"/>
    <w:rsid w:val="000F7667"/>
    <w:rsid w:val="000F767A"/>
    <w:rsid w:val="000F77B6"/>
    <w:rsid w:val="000F7898"/>
    <w:rsid w:val="00100339"/>
    <w:rsid w:val="0010060A"/>
    <w:rsid w:val="001007C9"/>
    <w:rsid w:val="00100E76"/>
    <w:rsid w:val="00100EAE"/>
    <w:rsid w:val="001017EE"/>
    <w:rsid w:val="00101A6C"/>
    <w:rsid w:val="00101B2B"/>
    <w:rsid w:val="00101F0E"/>
    <w:rsid w:val="00101F35"/>
    <w:rsid w:val="00101FEE"/>
    <w:rsid w:val="00102267"/>
    <w:rsid w:val="0010255E"/>
    <w:rsid w:val="0010298D"/>
    <w:rsid w:val="00102A3C"/>
    <w:rsid w:val="00102C67"/>
    <w:rsid w:val="001032BC"/>
    <w:rsid w:val="001032E4"/>
    <w:rsid w:val="001038B6"/>
    <w:rsid w:val="00103D67"/>
    <w:rsid w:val="00103E23"/>
    <w:rsid w:val="0010400F"/>
    <w:rsid w:val="00104311"/>
    <w:rsid w:val="001049EB"/>
    <w:rsid w:val="00104A07"/>
    <w:rsid w:val="00104BF7"/>
    <w:rsid w:val="00104C31"/>
    <w:rsid w:val="00104E10"/>
    <w:rsid w:val="00104E20"/>
    <w:rsid w:val="00104FE1"/>
    <w:rsid w:val="00105148"/>
    <w:rsid w:val="00105F13"/>
    <w:rsid w:val="00105F76"/>
    <w:rsid w:val="001062B2"/>
    <w:rsid w:val="001062DE"/>
    <w:rsid w:val="00106417"/>
    <w:rsid w:val="00106526"/>
    <w:rsid w:val="001067B8"/>
    <w:rsid w:val="001068B1"/>
    <w:rsid w:val="00106969"/>
    <w:rsid w:val="00106AE9"/>
    <w:rsid w:val="00106BD6"/>
    <w:rsid w:val="00106D55"/>
    <w:rsid w:val="001070C3"/>
    <w:rsid w:val="001072C4"/>
    <w:rsid w:val="001072FD"/>
    <w:rsid w:val="001076E8"/>
    <w:rsid w:val="00107861"/>
    <w:rsid w:val="00107E0A"/>
    <w:rsid w:val="0011052E"/>
    <w:rsid w:val="00110B4D"/>
    <w:rsid w:val="00110DD6"/>
    <w:rsid w:val="0011123D"/>
    <w:rsid w:val="001117DE"/>
    <w:rsid w:val="0011180D"/>
    <w:rsid w:val="0011184B"/>
    <w:rsid w:val="001118E0"/>
    <w:rsid w:val="00111A7A"/>
    <w:rsid w:val="00111E81"/>
    <w:rsid w:val="00111F67"/>
    <w:rsid w:val="00112065"/>
    <w:rsid w:val="00112188"/>
    <w:rsid w:val="001123F4"/>
    <w:rsid w:val="001125A1"/>
    <w:rsid w:val="001125EF"/>
    <w:rsid w:val="00112677"/>
    <w:rsid w:val="001126DB"/>
    <w:rsid w:val="00112D65"/>
    <w:rsid w:val="00112FA4"/>
    <w:rsid w:val="001135C9"/>
    <w:rsid w:val="00113E38"/>
    <w:rsid w:val="0011401C"/>
    <w:rsid w:val="001142E8"/>
    <w:rsid w:val="001149B5"/>
    <w:rsid w:val="00114C28"/>
    <w:rsid w:val="00115462"/>
    <w:rsid w:val="00115A26"/>
    <w:rsid w:val="00115A2A"/>
    <w:rsid w:val="00115B87"/>
    <w:rsid w:val="00115EB4"/>
    <w:rsid w:val="00115FFC"/>
    <w:rsid w:val="001160AB"/>
    <w:rsid w:val="00116193"/>
    <w:rsid w:val="00116340"/>
    <w:rsid w:val="00116378"/>
    <w:rsid w:val="00116497"/>
    <w:rsid w:val="001164F7"/>
    <w:rsid w:val="001166DA"/>
    <w:rsid w:val="00116C3E"/>
    <w:rsid w:val="001170B7"/>
    <w:rsid w:val="001173CD"/>
    <w:rsid w:val="00117647"/>
    <w:rsid w:val="00117922"/>
    <w:rsid w:val="00117CB8"/>
    <w:rsid w:val="00117D51"/>
    <w:rsid w:val="001201D7"/>
    <w:rsid w:val="001202E7"/>
    <w:rsid w:val="0012034A"/>
    <w:rsid w:val="001206D9"/>
    <w:rsid w:val="0012079A"/>
    <w:rsid w:val="001207D7"/>
    <w:rsid w:val="001208FC"/>
    <w:rsid w:val="00120A64"/>
    <w:rsid w:val="00120C6B"/>
    <w:rsid w:val="00120F04"/>
    <w:rsid w:val="00121517"/>
    <w:rsid w:val="001215D9"/>
    <w:rsid w:val="00121918"/>
    <w:rsid w:val="00121ACE"/>
    <w:rsid w:val="00122271"/>
    <w:rsid w:val="0012246A"/>
    <w:rsid w:val="00122584"/>
    <w:rsid w:val="00122956"/>
    <w:rsid w:val="00122AAE"/>
    <w:rsid w:val="00122BC3"/>
    <w:rsid w:val="00122CBD"/>
    <w:rsid w:val="001230B2"/>
    <w:rsid w:val="00123237"/>
    <w:rsid w:val="001234EE"/>
    <w:rsid w:val="0012352A"/>
    <w:rsid w:val="00123E03"/>
    <w:rsid w:val="001245E4"/>
    <w:rsid w:val="0012474F"/>
    <w:rsid w:val="00124AE2"/>
    <w:rsid w:val="00124E2F"/>
    <w:rsid w:val="00124F0B"/>
    <w:rsid w:val="00125199"/>
    <w:rsid w:val="001252A7"/>
    <w:rsid w:val="0012587A"/>
    <w:rsid w:val="001258A0"/>
    <w:rsid w:val="00125AAA"/>
    <w:rsid w:val="00125C23"/>
    <w:rsid w:val="00126019"/>
    <w:rsid w:val="00126048"/>
    <w:rsid w:val="0012648A"/>
    <w:rsid w:val="00126652"/>
    <w:rsid w:val="00126775"/>
    <w:rsid w:val="001268E0"/>
    <w:rsid w:val="00126927"/>
    <w:rsid w:val="00126A14"/>
    <w:rsid w:val="00127274"/>
    <w:rsid w:val="00127554"/>
    <w:rsid w:val="00127ADB"/>
    <w:rsid w:val="00127EAE"/>
    <w:rsid w:val="00127EB5"/>
    <w:rsid w:val="00127F67"/>
    <w:rsid w:val="00130276"/>
    <w:rsid w:val="001305A7"/>
    <w:rsid w:val="00130936"/>
    <w:rsid w:val="00130DA4"/>
    <w:rsid w:val="00130DD6"/>
    <w:rsid w:val="00131089"/>
    <w:rsid w:val="001310B0"/>
    <w:rsid w:val="00131E4C"/>
    <w:rsid w:val="00132468"/>
    <w:rsid w:val="00132640"/>
    <w:rsid w:val="001327FD"/>
    <w:rsid w:val="00132C9F"/>
    <w:rsid w:val="00133242"/>
    <w:rsid w:val="001333A6"/>
    <w:rsid w:val="0013356E"/>
    <w:rsid w:val="00133B53"/>
    <w:rsid w:val="00133B72"/>
    <w:rsid w:val="001344F0"/>
    <w:rsid w:val="0013479C"/>
    <w:rsid w:val="0013495E"/>
    <w:rsid w:val="00134FF1"/>
    <w:rsid w:val="00134FF9"/>
    <w:rsid w:val="0013511E"/>
    <w:rsid w:val="00135374"/>
    <w:rsid w:val="00135661"/>
    <w:rsid w:val="00135749"/>
    <w:rsid w:val="001357C2"/>
    <w:rsid w:val="00135A3B"/>
    <w:rsid w:val="00135A47"/>
    <w:rsid w:val="00135B4F"/>
    <w:rsid w:val="001367DD"/>
    <w:rsid w:val="0013687C"/>
    <w:rsid w:val="00136C4C"/>
    <w:rsid w:val="00136EB2"/>
    <w:rsid w:val="00136F2B"/>
    <w:rsid w:val="00137319"/>
    <w:rsid w:val="001373E0"/>
    <w:rsid w:val="0013778C"/>
    <w:rsid w:val="0013785F"/>
    <w:rsid w:val="00137E90"/>
    <w:rsid w:val="00140348"/>
    <w:rsid w:val="001407AC"/>
    <w:rsid w:val="00140A17"/>
    <w:rsid w:val="00140C58"/>
    <w:rsid w:val="00141062"/>
    <w:rsid w:val="0014109A"/>
    <w:rsid w:val="001413A2"/>
    <w:rsid w:val="001413AD"/>
    <w:rsid w:val="00141488"/>
    <w:rsid w:val="00141583"/>
    <w:rsid w:val="00141987"/>
    <w:rsid w:val="001419DA"/>
    <w:rsid w:val="00141B0C"/>
    <w:rsid w:val="00141CFA"/>
    <w:rsid w:val="001425B9"/>
    <w:rsid w:val="00143126"/>
    <w:rsid w:val="00143246"/>
    <w:rsid w:val="00143308"/>
    <w:rsid w:val="00143563"/>
    <w:rsid w:val="001439E8"/>
    <w:rsid w:val="00143A67"/>
    <w:rsid w:val="00143CAF"/>
    <w:rsid w:val="00143F94"/>
    <w:rsid w:val="001444EA"/>
    <w:rsid w:val="00144F28"/>
    <w:rsid w:val="00144FF1"/>
    <w:rsid w:val="00145024"/>
    <w:rsid w:val="00145083"/>
    <w:rsid w:val="001454A2"/>
    <w:rsid w:val="001457B6"/>
    <w:rsid w:val="001457BB"/>
    <w:rsid w:val="001457D0"/>
    <w:rsid w:val="00145AB3"/>
    <w:rsid w:val="00145C86"/>
    <w:rsid w:val="00146498"/>
    <w:rsid w:val="001464A0"/>
    <w:rsid w:val="001464A5"/>
    <w:rsid w:val="001464EA"/>
    <w:rsid w:val="00146537"/>
    <w:rsid w:val="00146603"/>
    <w:rsid w:val="001467EC"/>
    <w:rsid w:val="00146CB2"/>
    <w:rsid w:val="00146F10"/>
    <w:rsid w:val="001476EA"/>
    <w:rsid w:val="001477AA"/>
    <w:rsid w:val="00147A50"/>
    <w:rsid w:val="00147AE6"/>
    <w:rsid w:val="00147CDD"/>
    <w:rsid w:val="001503E3"/>
    <w:rsid w:val="0015048C"/>
    <w:rsid w:val="00150699"/>
    <w:rsid w:val="001507F7"/>
    <w:rsid w:val="0015085A"/>
    <w:rsid w:val="00150A50"/>
    <w:rsid w:val="00150CB4"/>
    <w:rsid w:val="00150CC3"/>
    <w:rsid w:val="00150D1C"/>
    <w:rsid w:val="00150ECF"/>
    <w:rsid w:val="00151037"/>
    <w:rsid w:val="001512E5"/>
    <w:rsid w:val="001514F5"/>
    <w:rsid w:val="00151EDF"/>
    <w:rsid w:val="00152787"/>
    <w:rsid w:val="00152859"/>
    <w:rsid w:val="00152938"/>
    <w:rsid w:val="001529E1"/>
    <w:rsid w:val="00152FE4"/>
    <w:rsid w:val="001532FB"/>
    <w:rsid w:val="001534E6"/>
    <w:rsid w:val="00153A9D"/>
    <w:rsid w:val="00153C1D"/>
    <w:rsid w:val="00153C60"/>
    <w:rsid w:val="00153D10"/>
    <w:rsid w:val="00153E56"/>
    <w:rsid w:val="0015428E"/>
    <w:rsid w:val="00154304"/>
    <w:rsid w:val="00154586"/>
    <w:rsid w:val="0015508D"/>
    <w:rsid w:val="00155494"/>
    <w:rsid w:val="00155D5A"/>
    <w:rsid w:val="00155E0B"/>
    <w:rsid w:val="00155F33"/>
    <w:rsid w:val="00155FC1"/>
    <w:rsid w:val="00156227"/>
    <w:rsid w:val="0015664B"/>
    <w:rsid w:val="00156757"/>
    <w:rsid w:val="00156D2F"/>
    <w:rsid w:val="00156D32"/>
    <w:rsid w:val="001574BE"/>
    <w:rsid w:val="00157640"/>
    <w:rsid w:val="00157C3B"/>
    <w:rsid w:val="00157C9D"/>
    <w:rsid w:val="00157D45"/>
    <w:rsid w:val="0016040A"/>
    <w:rsid w:val="001604EB"/>
    <w:rsid w:val="00160507"/>
    <w:rsid w:val="0016055C"/>
    <w:rsid w:val="001607FE"/>
    <w:rsid w:val="00160895"/>
    <w:rsid w:val="00160AAB"/>
    <w:rsid w:val="00160CA1"/>
    <w:rsid w:val="00160CBF"/>
    <w:rsid w:val="00160D8A"/>
    <w:rsid w:val="00160DFC"/>
    <w:rsid w:val="001613E9"/>
    <w:rsid w:val="00161683"/>
    <w:rsid w:val="00161717"/>
    <w:rsid w:val="00161CC7"/>
    <w:rsid w:val="00162765"/>
    <w:rsid w:val="001627D5"/>
    <w:rsid w:val="00162FFB"/>
    <w:rsid w:val="001635AB"/>
    <w:rsid w:val="0016413F"/>
    <w:rsid w:val="00164318"/>
    <w:rsid w:val="00164610"/>
    <w:rsid w:val="0016481B"/>
    <w:rsid w:val="00164937"/>
    <w:rsid w:val="001649D3"/>
    <w:rsid w:val="00164B79"/>
    <w:rsid w:val="00164DC6"/>
    <w:rsid w:val="00165003"/>
    <w:rsid w:val="00165047"/>
    <w:rsid w:val="001650BD"/>
    <w:rsid w:val="001651C4"/>
    <w:rsid w:val="00165218"/>
    <w:rsid w:val="001659D5"/>
    <w:rsid w:val="00165AD1"/>
    <w:rsid w:val="00165C4C"/>
    <w:rsid w:val="00165DDF"/>
    <w:rsid w:val="00165FE9"/>
    <w:rsid w:val="001667C9"/>
    <w:rsid w:val="0016697A"/>
    <w:rsid w:val="001669C2"/>
    <w:rsid w:val="00166C13"/>
    <w:rsid w:val="00166E31"/>
    <w:rsid w:val="001670F4"/>
    <w:rsid w:val="00167529"/>
    <w:rsid w:val="00167859"/>
    <w:rsid w:val="00167925"/>
    <w:rsid w:val="00167AFB"/>
    <w:rsid w:val="00167D85"/>
    <w:rsid w:val="00167DE6"/>
    <w:rsid w:val="00167F2A"/>
    <w:rsid w:val="00170352"/>
    <w:rsid w:val="0017048D"/>
    <w:rsid w:val="00170606"/>
    <w:rsid w:val="00170892"/>
    <w:rsid w:val="00170945"/>
    <w:rsid w:val="00170B6F"/>
    <w:rsid w:val="00170C2C"/>
    <w:rsid w:val="00171239"/>
    <w:rsid w:val="00171406"/>
    <w:rsid w:val="001715CC"/>
    <w:rsid w:val="001718DC"/>
    <w:rsid w:val="00172065"/>
    <w:rsid w:val="00172191"/>
    <w:rsid w:val="001728A4"/>
    <w:rsid w:val="00172960"/>
    <w:rsid w:val="00172B2E"/>
    <w:rsid w:val="00172CA8"/>
    <w:rsid w:val="00172F75"/>
    <w:rsid w:val="0017327D"/>
    <w:rsid w:val="00173513"/>
    <w:rsid w:val="0017359A"/>
    <w:rsid w:val="00173E03"/>
    <w:rsid w:val="001740C8"/>
    <w:rsid w:val="001742D0"/>
    <w:rsid w:val="0017457F"/>
    <w:rsid w:val="0017463A"/>
    <w:rsid w:val="0017477E"/>
    <w:rsid w:val="001748A5"/>
    <w:rsid w:val="0017497B"/>
    <w:rsid w:val="00174A6C"/>
    <w:rsid w:val="00174BD7"/>
    <w:rsid w:val="001750A2"/>
    <w:rsid w:val="00175198"/>
    <w:rsid w:val="00175517"/>
    <w:rsid w:val="00175549"/>
    <w:rsid w:val="00175671"/>
    <w:rsid w:val="001757A4"/>
    <w:rsid w:val="001758B9"/>
    <w:rsid w:val="00175DD7"/>
    <w:rsid w:val="00175E10"/>
    <w:rsid w:val="00176028"/>
    <w:rsid w:val="0017629F"/>
    <w:rsid w:val="00176443"/>
    <w:rsid w:val="00176773"/>
    <w:rsid w:val="0017696F"/>
    <w:rsid w:val="00176D7E"/>
    <w:rsid w:val="00176E6B"/>
    <w:rsid w:val="001771E8"/>
    <w:rsid w:val="0017720B"/>
    <w:rsid w:val="0017760F"/>
    <w:rsid w:val="00177652"/>
    <w:rsid w:val="00177854"/>
    <w:rsid w:val="001779F9"/>
    <w:rsid w:val="00177CC6"/>
    <w:rsid w:val="0018046C"/>
    <w:rsid w:val="00180524"/>
    <w:rsid w:val="00180C0C"/>
    <w:rsid w:val="00180C54"/>
    <w:rsid w:val="00180D17"/>
    <w:rsid w:val="001814FE"/>
    <w:rsid w:val="001815C7"/>
    <w:rsid w:val="00181DB2"/>
    <w:rsid w:val="001822DA"/>
    <w:rsid w:val="001825E3"/>
    <w:rsid w:val="00182994"/>
    <w:rsid w:val="00182E23"/>
    <w:rsid w:val="00182F43"/>
    <w:rsid w:val="00183995"/>
    <w:rsid w:val="00183E37"/>
    <w:rsid w:val="00184481"/>
    <w:rsid w:val="0018461E"/>
    <w:rsid w:val="00184667"/>
    <w:rsid w:val="0018472C"/>
    <w:rsid w:val="001847F8"/>
    <w:rsid w:val="00184CE4"/>
    <w:rsid w:val="001851DF"/>
    <w:rsid w:val="0018538B"/>
    <w:rsid w:val="001856CE"/>
    <w:rsid w:val="0018580C"/>
    <w:rsid w:val="00185A42"/>
    <w:rsid w:val="00185E7B"/>
    <w:rsid w:val="00186034"/>
    <w:rsid w:val="00186500"/>
    <w:rsid w:val="00186954"/>
    <w:rsid w:val="00186F86"/>
    <w:rsid w:val="00186F9E"/>
    <w:rsid w:val="0018705C"/>
    <w:rsid w:val="00187147"/>
    <w:rsid w:val="001874F2"/>
    <w:rsid w:val="001875A6"/>
    <w:rsid w:val="0018797A"/>
    <w:rsid w:val="00187ABF"/>
    <w:rsid w:val="00187F2F"/>
    <w:rsid w:val="001900BD"/>
    <w:rsid w:val="001901A4"/>
    <w:rsid w:val="001907A5"/>
    <w:rsid w:val="001909D0"/>
    <w:rsid w:val="00190C35"/>
    <w:rsid w:val="001910C3"/>
    <w:rsid w:val="00191C75"/>
    <w:rsid w:val="00191E11"/>
    <w:rsid w:val="00192605"/>
    <w:rsid w:val="00192658"/>
    <w:rsid w:val="001928E4"/>
    <w:rsid w:val="00192D17"/>
    <w:rsid w:val="00192D24"/>
    <w:rsid w:val="00193224"/>
    <w:rsid w:val="001932FD"/>
    <w:rsid w:val="001936C4"/>
    <w:rsid w:val="0019384F"/>
    <w:rsid w:val="001939CC"/>
    <w:rsid w:val="00193AB0"/>
    <w:rsid w:val="00193BE6"/>
    <w:rsid w:val="00194136"/>
    <w:rsid w:val="0019434F"/>
    <w:rsid w:val="001943D6"/>
    <w:rsid w:val="00194429"/>
    <w:rsid w:val="0019449C"/>
    <w:rsid w:val="00194952"/>
    <w:rsid w:val="00194C6A"/>
    <w:rsid w:val="00194DBE"/>
    <w:rsid w:val="00194E07"/>
    <w:rsid w:val="00194E6F"/>
    <w:rsid w:val="001950DB"/>
    <w:rsid w:val="00195585"/>
    <w:rsid w:val="00195737"/>
    <w:rsid w:val="00195831"/>
    <w:rsid w:val="00195919"/>
    <w:rsid w:val="00195F49"/>
    <w:rsid w:val="001961C8"/>
    <w:rsid w:val="00196463"/>
    <w:rsid w:val="001964C1"/>
    <w:rsid w:val="001966FD"/>
    <w:rsid w:val="0019688D"/>
    <w:rsid w:val="001969F5"/>
    <w:rsid w:val="00196D8B"/>
    <w:rsid w:val="00196EDA"/>
    <w:rsid w:val="00196FE0"/>
    <w:rsid w:val="0019703E"/>
    <w:rsid w:val="0019714F"/>
    <w:rsid w:val="001974CE"/>
    <w:rsid w:val="001A00C0"/>
    <w:rsid w:val="001A0482"/>
    <w:rsid w:val="001A07A3"/>
    <w:rsid w:val="001A0948"/>
    <w:rsid w:val="001A09B2"/>
    <w:rsid w:val="001A0CC4"/>
    <w:rsid w:val="001A1147"/>
    <w:rsid w:val="001A133D"/>
    <w:rsid w:val="001A194D"/>
    <w:rsid w:val="001A1962"/>
    <w:rsid w:val="001A1CCD"/>
    <w:rsid w:val="001A228A"/>
    <w:rsid w:val="001A24CE"/>
    <w:rsid w:val="001A288B"/>
    <w:rsid w:val="001A2924"/>
    <w:rsid w:val="001A301F"/>
    <w:rsid w:val="001A3056"/>
    <w:rsid w:val="001A3103"/>
    <w:rsid w:val="001A35BB"/>
    <w:rsid w:val="001A3688"/>
    <w:rsid w:val="001A3981"/>
    <w:rsid w:val="001A39E1"/>
    <w:rsid w:val="001A39F5"/>
    <w:rsid w:val="001A3D1A"/>
    <w:rsid w:val="001A42D0"/>
    <w:rsid w:val="001A484E"/>
    <w:rsid w:val="001A490C"/>
    <w:rsid w:val="001A4B65"/>
    <w:rsid w:val="001A4D63"/>
    <w:rsid w:val="001A4E4E"/>
    <w:rsid w:val="001A5099"/>
    <w:rsid w:val="001A5216"/>
    <w:rsid w:val="001A5B0D"/>
    <w:rsid w:val="001A5B4C"/>
    <w:rsid w:val="001A5E9A"/>
    <w:rsid w:val="001A5EEC"/>
    <w:rsid w:val="001A5FCD"/>
    <w:rsid w:val="001A5FD0"/>
    <w:rsid w:val="001A6020"/>
    <w:rsid w:val="001A63DE"/>
    <w:rsid w:val="001A660E"/>
    <w:rsid w:val="001A66A9"/>
    <w:rsid w:val="001A66D3"/>
    <w:rsid w:val="001A67DC"/>
    <w:rsid w:val="001A68DE"/>
    <w:rsid w:val="001A6A43"/>
    <w:rsid w:val="001A6BAE"/>
    <w:rsid w:val="001A6BC8"/>
    <w:rsid w:val="001A7146"/>
    <w:rsid w:val="001A7624"/>
    <w:rsid w:val="001A77AF"/>
    <w:rsid w:val="001A7B30"/>
    <w:rsid w:val="001B0A8D"/>
    <w:rsid w:val="001B0F24"/>
    <w:rsid w:val="001B133B"/>
    <w:rsid w:val="001B1B4C"/>
    <w:rsid w:val="001B1D46"/>
    <w:rsid w:val="001B1DB9"/>
    <w:rsid w:val="001B266F"/>
    <w:rsid w:val="001B2A84"/>
    <w:rsid w:val="001B2BAE"/>
    <w:rsid w:val="001B3301"/>
    <w:rsid w:val="001B3439"/>
    <w:rsid w:val="001B393F"/>
    <w:rsid w:val="001B3A85"/>
    <w:rsid w:val="001B3C49"/>
    <w:rsid w:val="001B3CB5"/>
    <w:rsid w:val="001B3F47"/>
    <w:rsid w:val="001B4056"/>
    <w:rsid w:val="001B408F"/>
    <w:rsid w:val="001B40E7"/>
    <w:rsid w:val="001B4C04"/>
    <w:rsid w:val="001B4F4E"/>
    <w:rsid w:val="001B57FA"/>
    <w:rsid w:val="001B59C8"/>
    <w:rsid w:val="001B5CF6"/>
    <w:rsid w:val="001B5F1E"/>
    <w:rsid w:val="001B648E"/>
    <w:rsid w:val="001B6627"/>
    <w:rsid w:val="001B66F3"/>
    <w:rsid w:val="001B69EC"/>
    <w:rsid w:val="001B6E85"/>
    <w:rsid w:val="001B7054"/>
    <w:rsid w:val="001B747B"/>
    <w:rsid w:val="001B74DF"/>
    <w:rsid w:val="001B7711"/>
    <w:rsid w:val="001B7A4B"/>
    <w:rsid w:val="001B7FAD"/>
    <w:rsid w:val="001C0170"/>
    <w:rsid w:val="001C03F9"/>
    <w:rsid w:val="001C0417"/>
    <w:rsid w:val="001C05A6"/>
    <w:rsid w:val="001C05FF"/>
    <w:rsid w:val="001C06EC"/>
    <w:rsid w:val="001C0944"/>
    <w:rsid w:val="001C0C7A"/>
    <w:rsid w:val="001C0D50"/>
    <w:rsid w:val="001C0FF5"/>
    <w:rsid w:val="001C16A1"/>
    <w:rsid w:val="001C16B2"/>
    <w:rsid w:val="001C17DE"/>
    <w:rsid w:val="001C1860"/>
    <w:rsid w:val="001C1A4E"/>
    <w:rsid w:val="001C1DBB"/>
    <w:rsid w:val="001C1EA8"/>
    <w:rsid w:val="001C1F3A"/>
    <w:rsid w:val="001C20DA"/>
    <w:rsid w:val="001C215D"/>
    <w:rsid w:val="001C2314"/>
    <w:rsid w:val="001C2341"/>
    <w:rsid w:val="001C287C"/>
    <w:rsid w:val="001C2937"/>
    <w:rsid w:val="001C2B04"/>
    <w:rsid w:val="001C2C08"/>
    <w:rsid w:val="001C2DA0"/>
    <w:rsid w:val="001C382A"/>
    <w:rsid w:val="001C3A01"/>
    <w:rsid w:val="001C3A46"/>
    <w:rsid w:val="001C3AA4"/>
    <w:rsid w:val="001C411C"/>
    <w:rsid w:val="001C42D8"/>
    <w:rsid w:val="001C460C"/>
    <w:rsid w:val="001C4C3A"/>
    <w:rsid w:val="001C4DB0"/>
    <w:rsid w:val="001C4F74"/>
    <w:rsid w:val="001C5508"/>
    <w:rsid w:val="001C5647"/>
    <w:rsid w:val="001C56D5"/>
    <w:rsid w:val="001C5723"/>
    <w:rsid w:val="001C5D21"/>
    <w:rsid w:val="001C6105"/>
    <w:rsid w:val="001C6A83"/>
    <w:rsid w:val="001C6C71"/>
    <w:rsid w:val="001C6C72"/>
    <w:rsid w:val="001C6E52"/>
    <w:rsid w:val="001C6F2B"/>
    <w:rsid w:val="001C703F"/>
    <w:rsid w:val="001C733A"/>
    <w:rsid w:val="001C7547"/>
    <w:rsid w:val="001C755D"/>
    <w:rsid w:val="001C7DD4"/>
    <w:rsid w:val="001D0412"/>
    <w:rsid w:val="001D061C"/>
    <w:rsid w:val="001D0AD9"/>
    <w:rsid w:val="001D0B0E"/>
    <w:rsid w:val="001D12E6"/>
    <w:rsid w:val="001D1770"/>
    <w:rsid w:val="001D1800"/>
    <w:rsid w:val="001D1967"/>
    <w:rsid w:val="001D1D10"/>
    <w:rsid w:val="001D217D"/>
    <w:rsid w:val="001D238A"/>
    <w:rsid w:val="001D23DC"/>
    <w:rsid w:val="001D26C6"/>
    <w:rsid w:val="001D29FD"/>
    <w:rsid w:val="001D2B50"/>
    <w:rsid w:val="001D2B96"/>
    <w:rsid w:val="001D30E1"/>
    <w:rsid w:val="001D34ED"/>
    <w:rsid w:val="001D3532"/>
    <w:rsid w:val="001D36C4"/>
    <w:rsid w:val="001D3F8A"/>
    <w:rsid w:val="001D415A"/>
    <w:rsid w:val="001D484A"/>
    <w:rsid w:val="001D4A11"/>
    <w:rsid w:val="001D4A1E"/>
    <w:rsid w:val="001D4B5E"/>
    <w:rsid w:val="001D4EB2"/>
    <w:rsid w:val="001D4EE2"/>
    <w:rsid w:val="001D520A"/>
    <w:rsid w:val="001D5366"/>
    <w:rsid w:val="001D536D"/>
    <w:rsid w:val="001D546D"/>
    <w:rsid w:val="001D5733"/>
    <w:rsid w:val="001D57F6"/>
    <w:rsid w:val="001D5CA0"/>
    <w:rsid w:val="001D5D93"/>
    <w:rsid w:val="001D5DCA"/>
    <w:rsid w:val="001D5DE3"/>
    <w:rsid w:val="001D60CF"/>
    <w:rsid w:val="001D6511"/>
    <w:rsid w:val="001D68F5"/>
    <w:rsid w:val="001D6A24"/>
    <w:rsid w:val="001D6F52"/>
    <w:rsid w:val="001D7C4B"/>
    <w:rsid w:val="001D7E28"/>
    <w:rsid w:val="001E06EE"/>
    <w:rsid w:val="001E0B08"/>
    <w:rsid w:val="001E0EA3"/>
    <w:rsid w:val="001E1051"/>
    <w:rsid w:val="001E11DB"/>
    <w:rsid w:val="001E1774"/>
    <w:rsid w:val="001E1923"/>
    <w:rsid w:val="001E199D"/>
    <w:rsid w:val="001E1E20"/>
    <w:rsid w:val="001E1E97"/>
    <w:rsid w:val="001E1F13"/>
    <w:rsid w:val="001E2032"/>
    <w:rsid w:val="001E2290"/>
    <w:rsid w:val="001E243B"/>
    <w:rsid w:val="001E2691"/>
    <w:rsid w:val="001E28DA"/>
    <w:rsid w:val="001E2AA2"/>
    <w:rsid w:val="001E2AB3"/>
    <w:rsid w:val="001E2E41"/>
    <w:rsid w:val="001E3452"/>
    <w:rsid w:val="001E353B"/>
    <w:rsid w:val="001E3A85"/>
    <w:rsid w:val="001E3F51"/>
    <w:rsid w:val="001E4176"/>
    <w:rsid w:val="001E4248"/>
    <w:rsid w:val="001E43E7"/>
    <w:rsid w:val="001E441B"/>
    <w:rsid w:val="001E44EF"/>
    <w:rsid w:val="001E46CF"/>
    <w:rsid w:val="001E4745"/>
    <w:rsid w:val="001E47E7"/>
    <w:rsid w:val="001E4DCC"/>
    <w:rsid w:val="001E4F2A"/>
    <w:rsid w:val="001E5194"/>
    <w:rsid w:val="001E5316"/>
    <w:rsid w:val="001E5380"/>
    <w:rsid w:val="001E5421"/>
    <w:rsid w:val="001E54BB"/>
    <w:rsid w:val="001E5591"/>
    <w:rsid w:val="001E567B"/>
    <w:rsid w:val="001E5845"/>
    <w:rsid w:val="001E5990"/>
    <w:rsid w:val="001E59FD"/>
    <w:rsid w:val="001E5DE1"/>
    <w:rsid w:val="001E60E5"/>
    <w:rsid w:val="001E6118"/>
    <w:rsid w:val="001E6204"/>
    <w:rsid w:val="001E624C"/>
    <w:rsid w:val="001E64C0"/>
    <w:rsid w:val="001E65F7"/>
    <w:rsid w:val="001E672E"/>
    <w:rsid w:val="001E6FEB"/>
    <w:rsid w:val="001E71B9"/>
    <w:rsid w:val="001E726B"/>
    <w:rsid w:val="001E72C2"/>
    <w:rsid w:val="001E73D3"/>
    <w:rsid w:val="001E7436"/>
    <w:rsid w:val="001E7655"/>
    <w:rsid w:val="001E7ED3"/>
    <w:rsid w:val="001F0030"/>
    <w:rsid w:val="001F01FA"/>
    <w:rsid w:val="001F065E"/>
    <w:rsid w:val="001F06E8"/>
    <w:rsid w:val="001F09D6"/>
    <w:rsid w:val="001F0C01"/>
    <w:rsid w:val="001F0E87"/>
    <w:rsid w:val="001F0FF9"/>
    <w:rsid w:val="001F101C"/>
    <w:rsid w:val="001F11E7"/>
    <w:rsid w:val="001F1382"/>
    <w:rsid w:val="001F13C6"/>
    <w:rsid w:val="001F1583"/>
    <w:rsid w:val="001F1D03"/>
    <w:rsid w:val="001F2422"/>
    <w:rsid w:val="001F2766"/>
    <w:rsid w:val="001F299F"/>
    <w:rsid w:val="001F2F5A"/>
    <w:rsid w:val="001F3885"/>
    <w:rsid w:val="001F39E8"/>
    <w:rsid w:val="001F46EE"/>
    <w:rsid w:val="001F4A4B"/>
    <w:rsid w:val="001F4C11"/>
    <w:rsid w:val="001F4CBC"/>
    <w:rsid w:val="001F5133"/>
    <w:rsid w:val="001F517B"/>
    <w:rsid w:val="001F56D5"/>
    <w:rsid w:val="001F58CD"/>
    <w:rsid w:val="001F5993"/>
    <w:rsid w:val="001F5B13"/>
    <w:rsid w:val="001F5D84"/>
    <w:rsid w:val="001F5D8D"/>
    <w:rsid w:val="001F611D"/>
    <w:rsid w:val="001F6405"/>
    <w:rsid w:val="001F671C"/>
    <w:rsid w:val="001F673E"/>
    <w:rsid w:val="001F7152"/>
    <w:rsid w:val="001F7332"/>
    <w:rsid w:val="001F7497"/>
    <w:rsid w:val="001F74F5"/>
    <w:rsid w:val="001F7675"/>
    <w:rsid w:val="001F777D"/>
    <w:rsid w:val="001F7C23"/>
    <w:rsid w:val="001F7EEF"/>
    <w:rsid w:val="002001F1"/>
    <w:rsid w:val="00200640"/>
    <w:rsid w:val="002008D4"/>
    <w:rsid w:val="00200C9B"/>
    <w:rsid w:val="00200D4C"/>
    <w:rsid w:val="00201178"/>
    <w:rsid w:val="00201180"/>
    <w:rsid w:val="0020131D"/>
    <w:rsid w:val="00201654"/>
    <w:rsid w:val="00201E39"/>
    <w:rsid w:val="002021DA"/>
    <w:rsid w:val="002022D6"/>
    <w:rsid w:val="00202BE6"/>
    <w:rsid w:val="00202CB8"/>
    <w:rsid w:val="00202F45"/>
    <w:rsid w:val="0020320E"/>
    <w:rsid w:val="00203286"/>
    <w:rsid w:val="002034CE"/>
    <w:rsid w:val="00203573"/>
    <w:rsid w:val="00203852"/>
    <w:rsid w:val="00203D44"/>
    <w:rsid w:val="002040E0"/>
    <w:rsid w:val="002041FC"/>
    <w:rsid w:val="002045F5"/>
    <w:rsid w:val="00204BCC"/>
    <w:rsid w:val="00204C1D"/>
    <w:rsid w:val="00204C45"/>
    <w:rsid w:val="0020507F"/>
    <w:rsid w:val="002051A6"/>
    <w:rsid w:val="0020553B"/>
    <w:rsid w:val="00205564"/>
    <w:rsid w:val="00205839"/>
    <w:rsid w:val="002063AA"/>
    <w:rsid w:val="00206A14"/>
    <w:rsid w:val="00206B65"/>
    <w:rsid w:val="00206CC9"/>
    <w:rsid w:val="00206FFB"/>
    <w:rsid w:val="002072E9"/>
    <w:rsid w:val="0020761E"/>
    <w:rsid w:val="002076BC"/>
    <w:rsid w:val="00207C84"/>
    <w:rsid w:val="0021040B"/>
    <w:rsid w:val="002108CC"/>
    <w:rsid w:val="00210E04"/>
    <w:rsid w:val="0021104E"/>
    <w:rsid w:val="0021119D"/>
    <w:rsid w:val="0021119E"/>
    <w:rsid w:val="002112C3"/>
    <w:rsid w:val="00211394"/>
    <w:rsid w:val="00211C71"/>
    <w:rsid w:val="00211F55"/>
    <w:rsid w:val="002120DC"/>
    <w:rsid w:val="002122C6"/>
    <w:rsid w:val="00212325"/>
    <w:rsid w:val="0021258D"/>
    <w:rsid w:val="002125A3"/>
    <w:rsid w:val="002125EA"/>
    <w:rsid w:val="002126ED"/>
    <w:rsid w:val="002128F3"/>
    <w:rsid w:val="00212A27"/>
    <w:rsid w:val="00212E38"/>
    <w:rsid w:val="00212F79"/>
    <w:rsid w:val="00213848"/>
    <w:rsid w:val="00213BA4"/>
    <w:rsid w:val="00213BD6"/>
    <w:rsid w:val="00213C89"/>
    <w:rsid w:val="002149D6"/>
    <w:rsid w:val="00214B0E"/>
    <w:rsid w:val="00214B5F"/>
    <w:rsid w:val="00214CF9"/>
    <w:rsid w:val="00215097"/>
    <w:rsid w:val="0021509C"/>
    <w:rsid w:val="0021515B"/>
    <w:rsid w:val="0021531B"/>
    <w:rsid w:val="0021567B"/>
    <w:rsid w:val="00215750"/>
    <w:rsid w:val="002157B0"/>
    <w:rsid w:val="0021584F"/>
    <w:rsid w:val="00215A1B"/>
    <w:rsid w:val="00215AFB"/>
    <w:rsid w:val="00215D26"/>
    <w:rsid w:val="00215D5A"/>
    <w:rsid w:val="00215F41"/>
    <w:rsid w:val="00215FAB"/>
    <w:rsid w:val="0021604F"/>
    <w:rsid w:val="0021610A"/>
    <w:rsid w:val="002163D4"/>
    <w:rsid w:val="00216B81"/>
    <w:rsid w:val="00216BDC"/>
    <w:rsid w:val="00216DA0"/>
    <w:rsid w:val="00216E4B"/>
    <w:rsid w:val="002171F7"/>
    <w:rsid w:val="00217496"/>
    <w:rsid w:val="002174C9"/>
    <w:rsid w:val="002176D6"/>
    <w:rsid w:val="00217C78"/>
    <w:rsid w:val="00217C85"/>
    <w:rsid w:val="00217E02"/>
    <w:rsid w:val="0022023F"/>
    <w:rsid w:val="002202AC"/>
    <w:rsid w:val="002208D1"/>
    <w:rsid w:val="00220B0E"/>
    <w:rsid w:val="00220B2F"/>
    <w:rsid w:val="00220C4A"/>
    <w:rsid w:val="00220C64"/>
    <w:rsid w:val="00220CE6"/>
    <w:rsid w:val="00220D9A"/>
    <w:rsid w:val="0022130B"/>
    <w:rsid w:val="00221522"/>
    <w:rsid w:val="002218DF"/>
    <w:rsid w:val="00221B6C"/>
    <w:rsid w:val="0022234C"/>
    <w:rsid w:val="002226DE"/>
    <w:rsid w:val="00222E43"/>
    <w:rsid w:val="00222E95"/>
    <w:rsid w:val="002234F9"/>
    <w:rsid w:val="002237A6"/>
    <w:rsid w:val="00223A96"/>
    <w:rsid w:val="00223CB8"/>
    <w:rsid w:val="0022408C"/>
    <w:rsid w:val="002240CB"/>
    <w:rsid w:val="00224AF0"/>
    <w:rsid w:val="00224D3C"/>
    <w:rsid w:val="00224F20"/>
    <w:rsid w:val="00225825"/>
    <w:rsid w:val="00225859"/>
    <w:rsid w:val="00225B63"/>
    <w:rsid w:val="00225E76"/>
    <w:rsid w:val="00225F31"/>
    <w:rsid w:val="002262E0"/>
    <w:rsid w:val="002265B6"/>
    <w:rsid w:val="0022667C"/>
    <w:rsid w:val="00226821"/>
    <w:rsid w:val="00226BFF"/>
    <w:rsid w:val="00226D4B"/>
    <w:rsid w:val="00226DE0"/>
    <w:rsid w:val="00226E2B"/>
    <w:rsid w:val="00227017"/>
    <w:rsid w:val="00227B05"/>
    <w:rsid w:val="002300B2"/>
    <w:rsid w:val="00230541"/>
    <w:rsid w:val="002306A8"/>
    <w:rsid w:val="00231078"/>
    <w:rsid w:val="00231543"/>
    <w:rsid w:val="0023167B"/>
    <w:rsid w:val="002317BC"/>
    <w:rsid w:val="002317BF"/>
    <w:rsid w:val="00231D92"/>
    <w:rsid w:val="0023226A"/>
    <w:rsid w:val="0023264B"/>
    <w:rsid w:val="00232774"/>
    <w:rsid w:val="00232818"/>
    <w:rsid w:val="00232AB4"/>
    <w:rsid w:val="00232F78"/>
    <w:rsid w:val="00232FB1"/>
    <w:rsid w:val="002331D4"/>
    <w:rsid w:val="0023365B"/>
    <w:rsid w:val="002338E9"/>
    <w:rsid w:val="002344DC"/>
    <w:rsid w:val="00234569"/>
    <w:rsid w:val="00234940"/>
    <w:rsid w:val="00234A6E"/>
    <w:rsid w:val="00235398"/>
    <w:rsid w:val="00235945"/>
    <w:rsid w:val="002359AC"/>
    <w:rsid w:val="00235FCC"/>
    <w:rsid w:val="0023690E"/>
    <w:rsid w:val="00236E40"/>
    <w:rsid w:val="00236FD8"/>
    <w:rsid w:val="002374E4"/>
    <w:rsid w:val="002379BF"/>
    <w:rsid w:val="00237AA0"/>
    <w:rsid w:val="00237E2D"/>
    <w:rsid w:val="0024054E"/>
    <w:rsid w:val="00240A12"/>
    <w:rsid w:val="00240AA8"/>
    <w:rsid w:val="00240BD4"/>
    <w:rsid w:val="00240CC0"/>
    <w:rsid w:val="00240F01"/>
    <w:rsid w:val="0024158B"/>
    <w:rsid w:val="00241BB1"/>
    <w:rsid w:val="00241BD5"/>
    <w:rsid w:val="00241CA0"/>
    <w:rsid w:val="00241CF7"/>
    <w:rsid w:val="00241DC6"/>
    <w:rsid w:val="002425B2"/>
    <w:rsid w:val="0024273D"/>
    <w:rsid w:val="00242D14"/>
    <w:rsid w:val="00243214"/>
    <w:rsid w:val="00243534"/>
    <w:rsid w:val="00243697"/>
    <w:rsid w:val="0024397B"/>
    <w:rsid w:val="00243D71"/>
    <w:rsid w:val="00243E9A"/>
    <w:rsid w:val="002441CD"/>
    <w:rsid w:val="002444C8"/>
    <w:rsid w:val="00244600"/>
    <w:rsid w:val="0024484A"/>
    <w:rsid w:val="00244C0B"/>
    <w:rsid w:val="00244C55"/>
    <w:rsid w:val="00244DF2"/>
    <w:rsid w:val="00244FBE"/>
    <w:rsid w:val="002451FC"/>
    <w:rsid w:val="00245282"/>
    <w:rsid w:val="00245578"/>
    <w:rsid w:val="002455D1"/>
    <w:rsid w:val="002455F8"/>
    <w:rsid w:val="002459DB"/>
    <w:rsid w:val="002459F5"/>
    <w:rsid w:val="00245AEE"/>
    <w:rsid w:val="00245E61"/>
    <w:rsid w:val="00245E7A"/>
    <w:rsid w:val="00245FDA"/>
    <w:rsid w:val="002462FB"/>
    <w:rsid w:val="0024655C"/>
    <w:rsid w:val="002466F7"/>
    <w:rsid w:val="00246AAA"/>
    <w:rsid w:val="00246B21"/>
    <w:rsid w:val="002472D5"/>
    <w:rsid w:val="002478F1"/>
    <w:rsid w:val="002479AF"/>
    <w:rsid w:val="00247AB6"/>
    <w:rsid w:val="00247ACC"/>
    <w:rsid w:val="00247C23"/>
    <w:rsid w:val="00247F8D"/>
    <w:rsid w:val="002504E5"/>
    <w:rsid w:val="00250942"/>
    <w:rsid w:val="00250977"/>
    <w:rsid w:val="00250C3C"/>
    <w:rsid w:val="00250D08"/>
    <w:rsid w:val="00251748"/>
    <w:rsid w:val="0025176A"/>
    <w:rsid w:val="00251803"/>
    <w:rsid w:val="002518AB"/>
    <w:rsid w:val="00251973"/>
    <w:rsid w:val="00251FF0"/>
    <w:rsid w:val="00252529"/>
    <w:rsid w:val="002525E3"/>
    <w:rsid w:val="002529BC"/>
    <w:rsid w:val="00252C48"/>
    <w:rsid w:val="00252C73"/>
    <w:rsid w:val="00252F0A"/>
    <w:rsid w:val="00253435"/>
    <w:rsid w:val="00253509"/>
    <w:rsid w:val="002537C8"/>
    <w:rsid w:val="00253B10"/>
    <w:rsid w:val="00253B20"/>
    <w:rsid w:val="00254153"/>
    <w:rsid w:val="00254748"/>
    <w:rsid w:val="002547D8"/>
    <w:rsid w:val="002547F4"/>
    <w:rsid w:val="00254E63"/>
    <w:rsid w:val="0025511E"/>
    <w:rsid w:val="00255438"/>
    <w:rsid w:val="0025554A"/>
    <w:rsid w:val="00255980"/>
    <w:rsid w:val="00255993"/>
    <w:rsid w:val="002559EC"/>
    <w:rsid w:val="00255B99"/>
    <w:rsid w:val="00255ED4"/>
    <w:rsid w:val="00255F0F"/>
    <w:rsid w:val="002563F1"/>
    <w:rsid w:val="00256696"/>
    <w:rsid w:val="002568CB"/>
    <w:rsid w:val="002568F9"/>
    <w:rsid w:val="0025697C"/>
    <w:rsid w:val="00256CB2"/>
    <w:rsid w:val="00256EB8"/>
    <w:rsid w:val="002570C2"/>
    <w:rsid w:val="00257F40"/>
    <w:rsid w:val="0026024C"/>
    <w:rsid w:val="00260350"/>
    <w:rsid w:val="00260CFA"/>
    <w:rsid w:val="00260DE8"/>
    <w:rsid w:val="002614F8"/>
    <w:rsid w:val="002617EF"/>
    <w:rsid w:val="00261E6C"/>
    <w:rsid w:val="00261FF9"/>
    <w:rsid w:val="00262601"/>
    <w:rsid w:val="00262DCA"/>
    <w:rsid w:val="00262FD9"/>
    <w:rsid w:val="002632F8"/>
    <w:rsid w:val="0026348E"/>
    <w:rsid w:val="002634CE"/>
    <w:rsid w:val="0026358C"/>
    <w:rsid w:val="00264419"/>
    <w:rsid w:val="002645D4"/>
    <w:rsid w:val="00264898"/>
    <w:rsid w:val="00264B37"/>
    <w:rsid w:val="00264D15"/>
    <w:rsid w:val="00264E61"/>
    <w:rsid w:val="00265A2D"/>
    <w:rsid w:val="00265A45"/>
    <w:rsid w:val="00265FFF"/>
    <w:rsid w:val="00266160"/>
    <w:rsid w:val="00266823"/>
    <w:rsid w:val="00266D2D"/>
    <w:rsid w:val="00266ECF"/>
    <w:rsid w:val="0026700E"/>
    <w:rsid w:val="002673B1"/>
    <w:rsid w:val="00267487"/>
    <w:rsid w:val="0026773C"/>
    <w:rsid w:val="00267A10"/>
    <w:rsid w:val="00267DE5"/>
    <w:rsid w:val="00267EEA"/>
    <w:rsid w:val="00270302"/>
    <w:rsid w:val="00270363"/>
    <w:rsid w:val="00270422"/>
    <w:rsid w:val="002706B0"/>
    <w:rsid w:val="00270C48"/>
    <w:rsid w:val="00270D6C"/>
    <w:rsid w:val="00270E10"/>
    <w:rsid w:val="00270E8A"/>
    <w:rsid w:val="00270F19"/>
    <w:rsid w:val="00270FCD"/>
    <w:rsid w:val="002711BB"/>
    <w:rsid w:val="0027130E"/>
    <w:rsid w:val="002713F2"/>
    <w:rsid w:val="00271DFB"/>
    <w:rsid w:val="00271EC2"/>
    <w:rsid w:val="002722E2"/>
    <w:rsid w:val="002724AD"/>
    <w:rsid w:val="00272B6A"/>
    <w:rsid w:val="00272C70"/>
    <w:rsid w:val="00272DF6"/>
    <w:rsid w:val="00273227"/>
    <w:rsid w:val="00273461"/>
    <w:rsid w:val="002734DA"/>
    <w:rsid w:val="0027363A"/>
    <w:rsid w:val="002736CF"/>
    <w:rsid w:val="00273701"/>
    <w:rsid w:val="00273B83"/>
    <w:rsid w:val="00273CC0"/>
    <w:rsid w:val="00273FFB"/>
    <w:rsid w:val="0027408F"/>
    <w:rsid w:val="0027448C"/>
    <w:rsid w:val="002748C4"/>
    <w:rsid w:val="002749D4"/>
    <w:rsid w:val="00274BD5"/>
    <w:rsid w:val="00274C8D"/>
    <w:rsid w:val="00275063"/>
    <w:rsid w:val="00275251"/>
    <w:rsid w:val="00275274"/>
    <w:rsid w:val="00275B7B"/>
    <w:rsid w:val="00275E49"/>
    <w:rsid w:val="00275E69"/>
    <w:rsid w:val="00276349"/>
    <w:rsid w:val="00276B5E"/>
    <w:rsid w:val="00276B62"/>
    <w:rsid w:val="00276D85"/>
    <w:rsid w:val="00276FD6"/>
    <w:rsid w:val="00276FF3"/>
    <w:rsid w:val="00277017"/>
    <w:rsid w:val="0027720F"/>
    <w:rsid w:val="00277273"/>
    <w:rsid w:val="00277424"/>
    <w:rsid w:val="002778BF"/>
    <w:rsid w:val="002778DE"/>
    <w:rsid w:val="0027792C"/>
    <w:rsid w:val="00277DF8"/>
    <w:rsid w:val="00277E89"/>
    <w:rsid w:val="00280055"/>
    <w:rsid w:val="00280B44"/>
    <w:rsid w:val="00280D24"/>
    <w:rsid w:val="002810AA"/>
    <w:rsid w:val="0028114F"/>
    <w:rsid w:val="002811D4"/>
    <w:rsid w:val="002813A5"/>
    <w:rsid w:val="002816CF"/>
    <w:rsid w:val="002816DA"/>
    <w:rsid w:val="00281BB8"/>
    <w:rsid w:val="00281D33"/>
    <w:rsid w:val="00281DCB"/>
    <w:rsid w:val="0028277D"/>
    <w:rsid w:val="002834B7"/>
    <w:rsid w:val="002835ED"/>
    <w:rsid w:val="002836C1"/>
    <w:rsid w:val="00283A39"/>
    <w:rsid w:val="00283AFF"/>
    <w:rsid w:val="0028439A"/>
    <w:rsid w:val="00284463"/>
    <w:rsid w:val="002849A7"/>
    <w:rsid w:val="00284A5C"/>
    <w:rsid w:val="00284DE5"/>
    <w:rsid w:val="00284F6A"/>
    <w:rsid w:val="0028506F"/>
    <w:rsid w:val="00285246"/>
    <w:rsid w:val="002852A6"/>
    <w:rsid w:val="0028532A"/>
    <w:rsid w:val="0028534D"/>
    <w:rsid w:val="00285B04"/>
    <w:rsid w:val="00285BD5"/>
    <w:rsid w:val="00285CDC"/>
    <w:rsid w:val="0028607D"/>
    <w:rsid w:val="00286352"/>
    <w:rsid w:val="002865A4"/>
    <w:rsid w:val="002866C9"/>
    <w:rsid w:val="002869D3"/>
    <w:rsid w:val="00286BD6"/>
    <w:rsid w:val="00286BE9"/>
    <w:rsid w:val="00286C06"/>
    <w:rsid w:val="00286E0C"/>
    <w:rsid w:val="002872D5"/>
    <w:rsid w:val="00287391"/>
    <w:rsid w:val="002874DB"/>
    <w:rsid w:val="002874EF"/>
    <w:rsid w:val="002874FE"/>
    <w:rsid w:val="00287886"/>
    <w:rsid w:val="002878F1"/>
    <w:rsid w:val="00287903"/>
    <w:rsid w:val="00287B61"/>
    <w:rsid w:val="00287BC5"/>
    <w:rsid w:val="00287BCC"/>
    <w:rsid w:val="00287C7B"/>
    <w:rsid w:val="00287D2A"/>
    <w:rsid w:val="00290BA8"/>
    <w:rsid w:val="00290F91"/>
    <w:rsid w:val="00290FCF"/>
    <w:rsid w:val="002910FE"/>
    <w:rsid w:val="0029135B"/>
    <w:rsid w:val="002916FC"/>
    <w:rsid w:val="00291B23"/>
    <w:rsid w:val="00291FC0"/>
    <w:rsid w:val="00292155"/>
    <w:rsid w:val="00292171"/>
    <w:rsid w:val="00292337"/>
    <w:rsid w:val="002924C4"/>
    <w:rsid w:val="00292813"/>
    <w:rsid w:val="00292A7F"/>
    <w:rsid w:val="00292A8C"/>
    <w:rsid w:val="00292D75"/>
    <w:rsid w:val="00293472"/>
    <w:rsid w:val="0029373D"/>
    <w:rsid w:val="00293B83"/>
    <w:rsid w:val="00293BB4"/>
    <w:rsid w:val="00293BBE"/>
    <w:rsid w:val="0029442B"/>
    <w:rsid w:val="00294A7B"/>
    <w:rsid w:val="00294AC5"/>
    <w:rsid w:val="00294DEE"/>
    <w:rsid w:val="00294F34"/>
    <w:rsid w:val="00295102"/>
    <w:rsid w:val="00295301"/>
    <w:rsid w:val="002954AB"/>
    <w:rsid w:val="002955A2"/>
    <w:rsid w:val="002957BB"/>
    <w:rsid w:val="00295804"/>
    <w:rsid w:val="00295B7E"/>
    <w:rsid w:val="00295FB0"/>
    <w:rsid w:val="00296238"/>
    <w:rsid w:val="0029637F"/>
    <w:rsid w:val="00296585"/>
    <w:rsid w:val="00296759"/>
    <w:rsid w:val="00296780"/>
    <w:rsid w:val="002967C1"/>
    <w:rsid w:val="00296FE8"/>
    <w:rsid w:val="00297689"/>
    <w:rsid w:val="00297A22"/>
    <w:rsid w:val="00297BD1"/>
    <w:rsid w:val="00297E38"/>
    <w:rsid w:val="002A00C5"/>
    <w:rsid w:val="002A00EB"/>
    <w:rsid w:val="002A0137"/>
    <w:rsid w:val="002A0243"/>
    <w:rsid w:val="002A0698"/>
    <w:rsid w:val="002A0BE6"/>
    <w:rsid w:val="002A0E52"/>
    <w:rsid w:val="002A11E1"/>
    <w:rsid w:val="002A14BB"/>
    <w:rsid w:val="002A18CA"/>
    <w:rsid w:val="002A18E1"/>
    <w:rsid w:val="002A19F0"/>
    <w:rsid w:val="002A1AEA"/>
    <w:rsid w:val="002A1B46"/>
    <w:rsid w:val="002A1BCF"/>
    <w:rsid w:val="002A1D2A"/>
    <w:rsid w:val="002A240D"/>
    <w:rsid w:val="002A283A"/>
    <w:rsid w:val="002A2E5C"/>
    <w:rsid w:val="002A2EAF"/>
    <w:rsid w:val="002A2F19"/>
    <w:rsid w:val="002A308A"/>
    <w:rsid w:val="002A3A7A"/>
    <w:rsid w:val="002A3F10"/>
    <w:rsid w:val="002A40C4"/>
    <w:rsid w:val="002A41DF"/>
    <w:rsid w:val="002A42D5"/>
    <w:rsid w:val="002A55C4"/>
    <w:rsid w:val="002A57CC"/>
    <w:rsid w:val="002A5D0C"/>
    <w:rsid w:val="002A5D4F"/>
    <w:rsid w:val="002A5D74"/>
    <w:rsid w:val="002A5F70"/>
    <w:rsid w:val="002A606F"/>
    <w:rsid w:val="002A6559"/>
    <w:rsid w:val="002A67DA"/>
    <w:rsid w:val="002A7636"/>
    <w:rsid w:val="002A7BB8"/>
    <w:rsid w:val="002A7C6E"/>
    <w:rsid w:val="002A7E1B"/>
    <w:rsid w:val="002B0387"/>
    <w:rsid w:val="002B09DA"/>
    <w:rsid w:val="002B0A1B"/>
    <w:rsid w:val="002B0BE5"/>
    <w:rsid w:val="002B0C4B"/>
    <w:rsid w:val="002B0C69"/>
    <w:rsid w:val="002B0CCE"/>
    <w:rsid w:val="002B0CE2"/>
    <w:rsid w:val="002B0D64"/>
    <w:rsid w:val="002B0F2C"/>
    <w:rsid w:val="002B1193"/>
    <w:rsid w:val="002B12A4"/>
    <w:rsid w:val="002B1305"/>
    <w:rsid w:val="002B149D"/>
    <w:rsid w:val="002B182F"/>
    <w:rsid w:val="002B1834"/>
    <w:rsid w:val="002B23B2"/>
    <w:rsid w:val="002B2485"/>
    <w:rsid w:val="002B24C3"/>
    <w:rsid w:val="002B2649"/>
    <w:rsid w:val="002B2843"/>
    <w:rsid w:val="002B2BCE"/>
    <w:rsid w:val="002B2CDC"/>
    <w:rsid w:val="002B3040"/>
    <w:rsid w:val="002B3277"/>
    <w:rsid w:val="002B3779"/>
    <w:rsid w:val="002B37D8"/>
    <w:rsid w:val="002B3DC6"/>
    <w:rsid w:val="002B4393"/>
    <w:rsid w:val="002B4444"/>
    <w:rsid w:val="002B45A1"/>
    <w:rsid w:val="002B462F"/>
    <w:rsid w:val="002B4780"/>
    <w:rsid w:val="002B4ADD"/>
    <w:rsid w:val="002B5084"/>
    <w:rsid w:val="002B55BA"/>
    <w:rsid w:val="002B59C0"/>
    <w:rsid w:val="002B5B62"/>
    <w:rsid w:val="002B5BE8"/>
    <w:rsid w:val="002B6198"/>
    <w:rsid w:val="002B62EF"/>
    <w:rsid w:val="002B6EBF"/>
    <w:rsid w:val="002B7815"/>
    <w:rsid w:val="002B7E1C"/>
    <w:rsid w:val="002B7E3E"/>
    <w:rsid w:val="002C042A"/>
    <w:rsid w:val="002C052E"/>
    <w:rsid w:val="002C05FC"/>
    <w:rsid w:val="002C07BF"/>
    <w:rsid w:val="002C099D"/>
    <w:rsid w:val="002C0BF9"/>
    <w:rsid w:val="002C0F1E"/>
    <w:rsid w:val="002C1452"/>
    <w:rsid w:val="002C1481"/>
    <w:rsid w:val="002C171F"/>
    <w:rsid w:val="002C19C3"/>
    <w:rsid w:val="002C1A3B"/>
    <w:rsid w:val="002C1C78"/>
    <w:rsid w:val="002C1D29"/>
    <w:rsid w:val="002C1F80"/>
    <w:rsid w:val="002C2093"/>
    <w:rsid w:val="002C21F9"/>
    <w:rsid w:val="002C2CF1"/>
    <w:rsid w:val="002C2D9D"/>
    <w:rsid w:val="002C3022"/>
    <w:rsid w:val="002C3314"/>
    <w:rsid w:val="002C37CC"/>
    <w:rsid w:val="002C3888"/>
    <w:rsid w:val="002C3941"/>
    <w:rsid w:val="002C3AFE"/>
    <w:rsid w:val="002C43D3"/>
    <w:rsid w:val="002C4498"/>
    <w:rsid w:val="002C4753"/>
    <w:rsid w:val="002C48A9"/>
    <w:rsid w:val="002C4BC1"/>
    <w:rsid w:val="002C515B"/>
    <w:rsid w:val="002C517F"/>
    <w:rsid w:val="002C56EF"/>
    <w:rsid w:val="002C5804"/>
    <w:rsid w:val="002C6330"/>
    <w:rsid w:val="002C64DC"/>
    <w:rsid w:val="002C67C8"/>
    <w:rsid w:val="002C6D24"/>
    <w:rsid w:val="002C70F3"/>
    <w:rsid w:val="002C710B"/>
    <w:rsid w:val="002C7147"/>
    <w:rsid w:val="002C740B"/>
    <w:rsid w:val="002C74A6"/>
    <w:rsid w:val="002C79CD"/>
    <w:rsid w:val="002C7CD5"/>
    <w:rsid w:val="002C7D2A"/>
    <w:rsid w:val="002D0B1D"/>
    <w:rsid w:val="002D0BEC"/>
    <w:rsid w:val="002D1102"/>
    <w:rsid w:val="002D16E6"/>
    <w:rsid w:val="002D1C2B"/>
    <w:rsid w:val="002D1F61"/>
    <w:rsid w:val="002D243F"/>
    <w:rsid w:val="002D24FD"/>
    <w:rsid w:val="002D26D5"/>
    <w:rsid w:val="002D2927"/>
    <w:rsid w:val="002D2967"/>
    <w:rsid w:val="002D2ADE"/>
    <w:rsid w:val="002D307A"/>
    <w:rsid w:val="002D3497"/>
    <w:rsid w:val="002D3587"/>
    <w:rsid w:val="002D35EE"/>
    <w:rsid w:val="002D3623"/>
    <w:rsid w:val="002D3681"/>
    <w:rsid w:val="002D3836"/>
    <w:rsid w:val="002D3CC5"/>
    <w:rsid w:val="002D3EE6"/>
    <w:rsid w:val="002D4B8E"/>
    <w:rsid w:val="002D4D75"/>
    <w:rsid w:val="002D5030"/>
    <w:rsid w:val="002D5D9A"/>
    <w:rsid w:val="002D6859"/>
    <w:rsid w:val="002D6B9E"/>
    <w:rsid w:val="002D6C16"/>
    <w:rsid w:val="002D6E3C"/>
    <w:rsid w:val="002D72AD"/>
    <w:rsid w:val="002D771F"/>
    <w:rsid w:val="002D776B"/>
    <w:rsid w:val="002D7FB2"/>
    <w:rsid w:val="002E02F6"/>
    <w:rsid w:val="002E0525"/>
    <w:rsid w:val="002E11E8"/>
    <w:rsid w:val="002E12AB"/>
    <w:rsid w:val="002E1873"/>
    <w:rsid w:val="002E1ABE"/>
    <w:rsid w:val="002E1ACC"/>
    <w:rsid w:val="002E2024"/>
    <w:rsid w:val="002E20DD"/>
    <w:rsid w:val="002E24BC"/>
    <w:rsid w:val="002E2729"/>
    <w:rsid w:val="002E2A5E"/>
    <w:rsid w:val="002E2F68"/>
    <w:rsid w:val="002E3473"/>
    <w:rsid w:val="002E35CB"/>
    <w:rsid w:val="002E35F1"/>
    <w:rsid w:val="002E3952"/>
    <w:rsid w:val="002E3BA3"/>
    <w:rsid w:val="002E3FEE"/>
    <w:rsid w:val="002E4218"/>
    <w:rsid w:val="002E45A9"/>
    <w:rsid w:val="002E4DD4"/>
    <w:rsid w:val="002E4E4C"/>
    <w:rsid w:val="002E4F82"/>
    <w:rsid w:val="002E52A6"/>
    <w:rsid w:val="002E5648"/>
    <w:rsid w:val="002E59C8"/>
    <w:rsid w:val="002E5A18"/>
    <w:rsid w:val="002E5CA2"/>
    <w:rsid w:val="002E62A5"/>
    <w:rsid w:val="002E64A0"/>
    <w:rsid w:val="002E69D8"/>
    <w:rsid w:val="002E6D6E"/>
    <w:rsid w:val="002E6D8D"/>
    <w:rsid w:val="002E727D"/>
    <w:rsid w:val="002E7A76"/>
    <w:rsid w:val="002E7CC0"/>
    <w:rsid w:val="002F02E4"/>
    <w:rsid w:val="002F0737"/>
    <w:rsid w:val="002F0B00"/>
    <w:rsid w:val="002F0F04"/>
    <w:rsid w:val="002F1125"/>
    <w:rsid w:val="002F113A"/>
    <w:rsid w:val="002F134E"/>
    <w:rsid w:val="002F140F"/>
    <w:rsid w:val="002F1446"/>
    <w:rsid w:val="002F1469"/>
    <w:rsid w:val="002F1499"/>
    <w:rsid w:val="002F1527"/>
    <w:rsid w:val="002F157A"/>
    <w:rsid w:val="002F15EF"/>
    <w:rsid w:val="002F17EB"/>
    <w:rsid w:val="002F199A"/>
    <w:rsid w:val="002F1B33"/>
    <w:rsid w:val="002F1E70"/>
    <w:rsid w:val="002F27F4"/>
    <w:rsid w:val="002F308F"/>
    <w:rsid w:val="002F31AD"/>
    <w:rsid w:val="002F333C"/>
    <w:rsid w:val="002F3792"/>
    <w:rsid w:val="002F38DB"/>
    <w:rsid w:val="002F3C80"/>
    <w:rsid w:val="002F3E09"/>
    <w:rsid w:val="002F40AB"/>
    <w:rsid w:val="002F42DC"/>
    <w:rsid w:val="002F44D0"/>
    <w:rsid w:val="002F451E"/>
    <w:rsid w:val="002F46D8"/>
    <w:rsid w:val="002F46DD"/>
    <w:rsid w:val="002F47AA"/>
    <w:rsid w:val="002F4CCA"/>
    <w:rsid w:val="002F4D00"/>
    <w:rsid w:val="002F4DD4"/>
    <w:rsid w:val="002F5210"/>
    <w:rsid w:val="002F5B67"/>
    <w:rsid w:val="002F5F3F"/>
    <w:rsid w:val="002F60CE"/>
    <w:rsid w:val="002F67BD"/>
    <w:rsid w:val="002F6935"/>
    <w:rsid w:val="002F6DB9"/>
    <w:rsid w:val="002F710A"/>
    <w:rsid w:val="002F736F"/>
    <w:rsid w:val="002F737F"/>
    <w:rsid w:val="002F7657"/>
    <w:rsid w:val="002F76AC"/>
    <w:rsid w:val="002F7799"/>
    <w:rsid w:val="002F77A3"/>
    <w:rsid w:val="002F77CA"/>
    <w:rsid w:val="002F787E"/>
    <w:rsid w:val="002F7E0D"/>
    <w:rsid w:val="002F7E55"/>
    <w:rsid w:val="00300300"/>
    <w:rsid w:val="00300391"/>
    <w:rsid w:val="003003E3"/>
    <w:rsid w:val="00300582"/>
    <w:rsid w:val="00300CE7"/>
    <w:rsid w:val="00300E57"/>
    <w:rsid w:val="00300F07"/>
    <w:rsid w:val="003010E4"/>
    <w:rsid w:val="003010FA"/>
    <w:rsid w:val="003014D8"/>
    <w:rsid w:val="00301B59"/>
    <w:rsid w:val="00301D33"/>
    <w:rsid w:val="00301EAD"/>
    <w:rsid w:val="0030207D"/>
    <w:rsid w:val="00302440"/>
    <w:rsid w:val="003025AC"/>
    <w:rsid w:val="0030272D"/>
    <w:rsid w:val="00302E0D"/>
    <w:rsid w:val="00303299"/>
    <w:rsid w:val="00303396"/>
    <w:rsid w:val="003038FC"/>
    <w:rsid w:val="00303903"/>
    <w:rsid w:val="00303A54"/>
    <w:rsid w:val="00304157"/>
    <w:rsid w:val="003047D6"/>
    <w:rsid w:val="00304C0E"/>
    <w:rsid w:val="00304F63"/>
    <w:rsid w:val="0030527C"/>
    <w:rsid w:val="00305861"/>
    <w:rsid w:val="0030592A"/>
    <w:rsid w:val="003059B4"/>
    <w:rsid w:val="00305A4E"/>
    <w:rsid w:val="00305B36"/>
    <w:rsid w:val="00305E04"/>
    <w:rsid w:val="00305E4F"/>
    <w:rsid w:val="0030624E"/>
    <w:rsid w:val="003062E2"/>
    <w:rsid w:val="003065B4"/>
    <w:rsid w:val="003065D7"/>
    <w:rsid w:val="00307286"/>
    <w:rsid w:val="00307402"/>
    <w:rsid w:val="00307717"/>
    <w:rsid w:val="00307A0C"/>
    <w:rsid w:val="00307AB4"/>
    <w:rsid w:val="003101CA"/>
    <w:rsid w:val="00310303"/>
    <w:rsid w:val="00310560"/>
    <w:rsid w:val="00310D37"/>
    <w:rsid w:val="003115B7"/>
    <w:rsid w:val="003118B4"/>
    <w:rsid w:val="00311980"/>
    <w:rsid w:val="00311A70"/>
    <w:rsid w:val="00311B2F"/>
    <w:rsid w:val="00311BE2"/>
    <w:rsid w:val="00311CD9"/>
    <w:rsid w:val="00311E80"/>
    <w:rsid w:val="00311F4C"/>
    <w:rsid w:val="0031228A"/>
    <w:rsid w:val="003123DB"/>
    <w:rsid w:val="003125C9"/>
    <w:rsid w:val="003126A1"/>
    <w:rsid w:val="0031272C"/>
    <w:rsid w:val="00313187"/>
    <w:rsid w:val="0031344C"/>
    <w:rsid w:val="00313875"/>
    <w:rsid w:val="00313D73"/>
    <w:rsid w:val="003140F8"/>
    <w:rsid w:val="003143AC"/>
    <w:rsid w:val="003146A3"/>
    <w:rsid w:val="00314950"/>
    <w:rsid w:val="00314BC4"/>
    <w:rsid w:val="00314CE5"/>
    <w:rsid w:val="00314E7E"/>
    <w:rsid w:val="0031525E"/>
    <w:rsid w:val="003153A2"/>
    <w:rsid w:val="00315C6A"/>
    <w:rsid w:val="00315D5B"/>
    <w:rsid w:val="0031632F"/>
    <w:rsid w:val="003164E2"/>
    <w:rsid w:val="003165E6"/>
    <w:rsid w:val="0031674D"/>
    <w:rsid w:val="00316925"/>
    <w:rsid w:val="00316C9F"/>
    <w:rsid w:val="003172E7"/>
    <w:rsid w:val="00317370"/>
    <w:rsid w:val="00317488"/>
    <w:rsid w:val="0031755A"/>
    <w:rsid w:val="00317566"/>
    <w:rsid w:val="0031782E"/>
    <w:rsid w:val="00317A98"/>
    <w:rsid w:val="00317EEF"/>
    <w:rsid w:val="00320028"/>
    <w:rsid w:val="00320446"/>
    <w:rsid w:val="003206F9"/>
    <w:rsid w:val="00320B0B"/>
    <w:rsid w:val="00320B85"/>
    <w:rsid w:val="00320CB0"/>
    <w:rsid w:val="00320DB4"/>
    <w:rsid w:val="0032117C"/>
    <w:rsid w:val="0032133B"/>
    <w:rsid w:val="00321433"/>
    <w:rsid w:val="003214C4"/>
    <w:rsid w:val="00321565"/>
    <w:rsid w:val="003220D2"/>
    <w:rsid w:val="00322162"/>
    <w:rsid w:val="00322476"/>
    <w:rsid w:val="00322498"/>
    <w:rsid w:val="0032299E"/>
    <w:rsid w:val="00322BBF"/>
    <w:rsid w:val="00322C36"/>
    <w:rsid w:val="00322E43"/>
    <w:rsid w:val="00323136"/>
    <w:rsid w:val="00323707"/>
    <w:rsid w:val="00323A31"/>
    <w:rsid w:val="00323D8F"/>
    <w:rsid w:val="00323EF0"/>
    <w:rsid w:val="00324056"/>
    <w:rsid w:val="003242CD"/>
    <w:rsid w:val="00324672"/>
    <w:rsid w:val="00324864"/>
    <w:rsid w:val="00325235"/>
    <w:rsid w:val="0032535D"/>
    <w:rsid w:val="00325553"/>
    <w:rsid w:val="00325D53"/>
    <w:rsid w:val="00325F4A"/>
    <w:rsid w:val="0032641A"/>
    <w:rsid w:val="00326448"/>
    <w:rsid w:val="0032664F"/>
    <w:rsid w:val="0032672D"/>
    <w:rsid w:val="003268B6"/>
    <w:rsid w:val="00326AAC"/>
    <w:rsid w:val="00326ADF"/>
    <w:rsid w:val="00326B01"/>
    <w:rsid w:val="00326E8C"/>
    <w:rsid w:val="0032712F"/>
    <w:rsid w:val="003274D2"/>
    <w:rsid w:val="00327887"/>
    <w:rsid w:val="00327C84"/>
    <w:rsid w:val="00327CDE"/>
    <w:rsid w:val="0033003B"/>
    <w:rsid w:val="0033040D"/>
    <w:rsid w:val="0033068A"/>
    <w:rsid w:val="00330A0A"/>
    <w:rsid w:val="00330A94"/>
    <w:rsid w:val="003315FC"/>
    <w:rsid w:val="00331D84"/>
    <w:rsid w:val="00331E4C"/>
    <w:rsid w:val="00331F96"/>
    <w:rsid w:val="00331FB6"/>
    <w:rsid w:val="003320C2"/>
    <w:rsid w:val="00332114"/>
    <w:rsid w:val="003321ED"/>
    <w:rsid w:val="003326BF"/>
    <w:rsid w:val="003326F0"/>
    <w:rsid w:val="003327B0"/>
    <w:rsid w:val="00332C5A"/>
    <w:rsid w:val="00332D82"/>
    <w:rsid w:val="00332DC3"/>
    <w:rsid w:val="00332E2A"/>
    <w:rsid w:val="00333116"/>
    <w:rsid w:val="003331C5"/>
    <w:rsid w:val="003337D8"/>
    <w:rsid w:val="00333C76"/>
    <w:rsid w:val="00333F3C"/>
    <w:rsid w:val="003342A8"/>
    <w:rsid w:val="003344F7"/>
    <w:rsid w:val="003346F1"/>
    <w:rsid w:val="00334A63"/>
    <w:rsid w:val="00334D42"/>
    <w:rsid w:val="00334F59"/>
    <w:rsid w:val="00335134"/>
    <w:rsid w:val="003353C8"/>
    <w:rsid w:val="00335455"/>
    <w:rsid w:val="00335D85"/>
    <w:rsid w:val="00335DA8"/>
    <w:rsid w:val="00336036"/>
    <w:rsid w:val="003361AC"/>
    <w:rsid w:val="00336202"/>
    <w:rsid w:val="00336487"/>
    <w:rsid w:val="00336533"/>
    <w:rsid w:val="003367BD"/>
    <w:rsid w:val="003367D1"/>
    <w:rsid w:val="0033683C"/>
    <w:rsid w:val="00336BBD"/>
    <w:rsid w:val="00337036"/>
    <w:rsid w:val="003377BB"/>
    <w:rsid w:val="00337BDA"/>
    <w:rsid w:val="003400EB"/>
    <w:rsid w:val="00340174"/>
    <w:rsid w:val="0034039D"/>
    <w:rsid w:val="00340409"/>
    <w:rsid w:val="00340964"/>
    <w:rsid w:val="00340B6C"/>
    <w:rsid w:val="003410F1"/>
    <w:rsid w:val="003413D2"/>
    <w:rsid w:val="003418F4"/>
    <w:rsid w:val="00341F8E"/>
    <w:rsid w:val="0034209B"/>
    <w:rsid w:val="0034219B"/>
    <w:rsid w:val="0034223E"/>
    <w:rsid w:val="00342879"/>
    <w:rsid w:val="003428DF"/>
    <w:rsid w:val="00342B3A"/>
    <w:rsid w:val="003430E8"/>
    <w:rsid w:val="00343730"/>
    <w:rsid w:val="00343E64"/>
    <w:rsid w:val="00343F64"/>
    <w:rsid w:val="00344070"/>
    <w:rsid w:val="003443A4"/>
    <w:rsid w:val="00344C63"/>
    <w:rsid w:val="00344E3C"/>
    <w:rsid w:val="00345246"/>
    <w:rsid w:val="003458E2"/>
    <w:rsid w:val="00345A58"/>
    <w:rsid w:val="00345AF5"/>
    <w:rsid w:val="00345AFC"/>
    <w:rsid w:val="00345F68"/>
    <w:rsid w:val="00346089"/>
    <w:rsid w:val="00346482"/>
    <w:rsid w:val="00346882"/>
    <w:rsid w:val="0034690C"/>
    <w:rsid w:val="00346D6A"/>
    <w:rsid w:val="00347675"/>
    <w:rsid w:val="00347801"/>
    <w:rsid w:val="00347811"/>
    <w:rsid w:val="0034788D"/>
    <w:rsid w:val="00347972"/>
    <w:rsid w:val="00347FA2"/>
    <w:rsid w:val="003500BB"/>
    <w:rsid w:val="00350256"/>
    <w:rsid w:val="00350A75"/>
    <w:rsid w:val="00350B98"/>
    <w:rsid w:val="00350DA5"/>
    <w:rsid w:val="00350F2C"/>
    <w:rsid w:val="00350F4A"/>
    <w:rsid w:val="00350F95"/>
    <w:rsid w:val="0035102D"/>
    <w:rsid w:val="003514AC"/>
    <w:rsid w:val="00351793"/>
    <w:rsid w:val="00351897"/>
    <w:rsid w:val="00352141"/>
    <w:rsid w:val="00352799"/>
    <w:rsid w:val="00352A1A"/>
    <w:rsid w:val="00353486"/>
    <w:rsid w:val="003537C4"/>
    <w:rsid w:val="00353C17"/>
    <w:rsid w:val="00353DF6"/>
    <w:rsid w:val="00353EE1"/>
    <w:rsid w:val="00353F4D"/>
    <w:rsid w:val="00354180"/>
    <w:rsid w:val="003543BF"/>
    <w:rsid w:val="003544ED"/>
    <w:rsid w:val="00354584"/>
    <w:rsid w:val="003546D4"/>
    <w:rsid w:val="00354AB2"/>
    <w:rsid w:val="00354B21"/>
    <w:rsid w:val="00354BC3"/>
    <w:rsid w:val="00354EAD"/>
    <w:rsid w:val="0035542B"/>
    <w:rsid w:val="0035572D"/>
    <w:rsid w:val="0035616F"/>
    <w:rsid w:val="003562A6"/>
    <w:rsid w:val="0035684A"/>
    <w:rsid w:val="003568AA"/>
    <w:rsid w:val="00356A70"/>
    <w:rsid w:val="00356A73"/>
    <w:rsid w:val="00356B9C"/>
    <w:rsid w:val="00356D7D"/>
    <w:rsid w:val="00357488"/>
    <w:rsid w:val="00357712"/>
    <w:rsid w:val="00357B98"/>
    <w:rsid w:val="00357C60"/>
    <w:rsid w:val="00357CA2"/>
    <w:rsid w:val="00357EFB"/>
    <w:rsid w:val="00360363"/>
    <w:rsid w:val="0036039D"/>
    <w:rsid w:val="00360447"/>
    <w:rsid w:val="0036054F"/>
    <w:rsid w:val="0036077A"/>
    <w:rsid w:val="003609DC"/>
    <w:rsid w:val="00361110"/>
    <w:rsid w:val="003611FB"/>
    <w:rsid w:val="003612AE"/>
    <w:rsid w:val="00361659"/>
    <w:rsid w:val="00361696"/>
    <w:rsid w:val="00361B10"/>
    <w:rsid w:val="00361C54"/>
    <w:rsid w:val="00362099"/>
    <w:rsid w:val="00362406"/>
    <w:rsid w:val="0036284B"/>
    <w:rsid w:val="00362A1F"/>
    <w:rsid w:val="00362D06"/>
    <w:rsid w:val="003633BC"/>
    <w:rsid w:val="0036392B"/>
    <w:rsid w:val="00363EA5"/>
    <w:rsid w:val="00364242"/>
    <w:rsid w:val="00364635"/>
    <w:rsid w:val="00364AF5"/>
    <w:rsid w:val="00364BB6"/>
    <w:rsid w:val="00364EEB"/>
    <w:rsid w:val="00364F5E"/>
    <w:rsid w:val="0036590D"/>
    <w:rsid w:val="003659E5"/>
    <w:rsid w:val="00365A8B"/>
    <w:rsid w:val="0036647A"/>
    <w:rsid w:val="0036647E"/>
    <w:rsid w:val="00366481"/>
    <w:rsid w:val="003664BE"/>
    <w:rsid w:val="00366790"/>
    <w:rsid w:val="0036694F"/>
    <w:rsid w:val="00366AE2"/>
    <w:rsid w:val="00366D6D"/>
    <w:rsid w:val="00366F73"/>
    <w:rsid w:val="003671E6"/>
    <w:rsid w:val="003671E7"/>
    <w:rsid w:val="003679FD"/>
    <w:rsid w:val="00367AD1"/>
    <w:rsid w:val="00367C16"/>
    <w:rsid w:val="00367FCD"/>
    <w:rsid w:val="00370185"/>
    <w:rsid w:val="00370271"/>
    <w:rsid w:val="00370386"/>
    <w:rsid w:val="0037042F"/>
    <w:rsid w:val="003709CB"/>
    <w:rsid w:val="00370FA5"/>
    <w:rsid w:val="00371165"/>
    <w:rsid w:val="003712CC"/>
    <w:rsid w:val="00371435"/>
    <w:rsid w:val="00371548"/>
    <w:rsid w:val="00371DD4"/>
    <w:rsid w:val="00371E8D"/>
    <w:rsid w:val="00371EE8"/>
    <w:rsid w:val="00372231"/>
    <w:rsid w:val="00372E30"/>
    <w:rsid w:val="00372F79"/>
    <w:rsid w:val="00373283"/>
    <w:rsid w:val="0037390A"/>
    <w:rsid w:val="003739D1"/>
    <w:rsid w:val="00373B85"/>
    <w:rsid w:val="00373BF8"/>
    <w:rsid w:val="00373CCD"/>
    <w:rsid w:val="00374191"/>
    <w:rsid w:val="00374960"/>
    <w:rsid w:val="00374A0E"/>
    <w:rsid w:val="00374A31"/>
    <w:rsid w:val="00374CEB"/>
    <w:rsid w:val="00374F3E"/>
    <w:rsid w:val="0037509F"/>
    <w:rsid w:val="00375417"/>
    <w:rsid w:val="00375B68"/>
    <w:rsid w:val="00376185"/>
    <w:rsid w:val="003763CF"/>
    <w:rsid w:val="00376421"/>
    <w:rsid w:val="00376502"/>
    <w:rsid w:val="003765C1"/>
    <w:rsid w:val="003767A5"/>
    <w:rsid w:val="003768DB"/>
    <w:rsid w:val="0037695E"/>
    <w:rsid w:val="003769E5"/>
    <w:rsid w:val="00376B28"/>
    <w:rsid w:val="00376DC7"/>
    <w:rsid w:val="00377E6F"/>
    <w:rsid w:val="003802F8"/>
    <w:rsid w:val="00380622"/>
    <w:rsid w:val="00380E1D"/>
    <w:rsid w:val="003810E2"/>
    <w:rsid w:val="00381116"/>
    <w:rsid w:val="00381192"/>
    <w:rsid w:val="00381331"/>
    <w:rsid w:val="003813A7"/>
    <w:rsid w:val="003813F1"/>
    <w:rsid w:val="003814AB"/>
    <w:rsid w:val="003814B1"/>
    <w:rsid w:val="003814BE"/>
    <w:rsid w:val="00381537"/>
    <w:rsid w:val="0038160F"/>
    <w:rsid w:val="003819D2"/>
    <w:rsid w:val="003819E1"/>
    <w:rsid w:val="00381A19"/>
    <w:rsid w:val="00381AA8"/>
    <w:rsid w:val="00381AB7"/>
    <w:rsid w:val="00381B98"/>
    <w:rsid w:val="00381E9A"/>
    <w:rsid w:val="00381F75"/>
    <w:rsid w:val="0038236A"/>
    <w:rsid w:val="003824F3"/>
    <w:rsid w:val="00382A08"/>
    <w:rsid w:val="00382B1A"/>
    <w:rsid w:val="00382B8B"/>
    <w:rsid w:val="00382D5E"/>
    <w:rsid w:val="00383143"/>
    <w:rsid w:val="003831FE"/>
    <w:rsid w:val="0038341E"/>
    <w:rsid w:val="00383927"/>
    <w:rsid w:val="00383B80"/>
    <w:rsid w:val="00383F08"/>
    <w:rsid w:val="003841D2"/>
    <w:rsid w:val="003842D9"/>
    <w:rsid w:val="00384845"/>
    <w:rsid w:val="00384889"/>
    <w:rsid w:val="00384FA2"/>
    <w:rsid w:val="003850AD"/>
    <w:rsid w:val="003853AC"/>
    <w:rsid w:val="00385920"/>
    <w:rsid w:val="00385C2D"/>
    <w:rsid w:val="00385C93"/>
    <w:rsid w:val="00385E64"/>
    <w:rsid w:val="00385F59"/>
    <w:rsid w:val="003866B0"/>
    <w:rsid w:val="003867A6"/>
    <w:rsid w:val="003869D0"/>
    <w:rsid w:val="00386D93"/>
    <w:rsid w:val="00387269"/>
    <w:rsid w:val="00387D31"/>
    <w:rsid w:val="00390027"/>
    <w:rsid w:val="003902A6"/>
    <w:rsid w:val="00390514"/>
    <w:rsid w:val="00390577"/>
    <w:rsid w:val="003905B1"/>
    <w:rsid w:val="0039066F"/>
    <w:rsid w:val="00390A13"/>
    <w:rsid w:val="00390B23"/>
    <w:rsid w:val="00391083"/>
    <w:rsid w:val="003912C5"/>
    <w:rsid w:val="00391842"/>
    <w:rsid w:val="00391A2A"/>
    <w:rsid w:val="00392075"/>
    <w:rsid w:val="003921B5"/>
    <w:rsid w:val="003924EE"/>
    <w:rsid w:val="00392500"/>
    <w:rsid w:val="00392850"/>
    <w:rsid w:val="00392CB3"/>
    <w:rsid w:val="00392D77"/>
    <w:rsid w:val="00393571"/>
    <w:rsid w:val="00393751"/>
    <w:rsid w:val="00393752"/>
    <w:rsid w:val="00393773"/>
    <w:rsid w:val="00393A72"/>
    <w:rsid w:val="00393D84"/>
    <w:rsid w:val="00394204"/>
    <w:rsid w:val="00394260"/>
    <w:rsid w:val="003943C3"/>
    <w:rsid w:val="00394FE5"/>
    <w:rsid w:val="00395321"/>
    <w:rsid w:val="00395841"/>
    <w:rsid w:val="00395923"/>
    <w:rsid w:val="00395EB5"/>
    <w:rsid w:val="00395FC0"/>
    <w:rsid w:val="0039666C"/>
    <w:rsid w:val="00396941"/>
    <w:rsid w:val="00396B7D"/>
    <w:rsid w:val="00397221"/>
    <w:rsid w:val="003974A1"/>
    <w:rsid w:val="00397538"/>
    <w:rsid w:val="0039759F"/>
    <w:rsid w:val="003A0A4A"/>
    <w:rsid w:val="003A0AD8"/>
    <w:rsid w:val="003A0F15"/>
    <w:rsid w:val="003A114E"/>
    <w:rsid w:val="003A11C4"/>
    <w:rsid w:val="003A1304"/>
    <w:rsid w:val="003A137F"/>
    <w:rsid w:val="003A1851"/>
    <w:rsid w:val="003A2628"/>
    <w:rsid w:val="003A287B"/>
    <w:rsid w:val="003A2EE7"/>
    <w:rsid w:val="003A31AE"/>
    <w:rsid w:val="003A36BA"/>
    <w:rsid w:val="003A3A3B"/>
    <w:rsid w:val="003A437A"/>
    <w:rsid w:val="003A44DF"/>
    <w:rsid w:val="003A4542"/>
    <w:rsid w:val="003A48C3"/>
    <w:rsid w:val="003A4FE7"/>
    <w:rsid w:val="003A5228"/>
    <w:rsid w:val="003A522D"/>
    <w:rsid w:val="003A53E2"/>
    <w:rsid w:val="003A545D"/>
    <w:rsid w:val="003A5662"/>
    <w:rsid w:val="003A576E"/>
    <w:rsid w:val="003A5A5D"/>
    <w:rsid w:val="003A5AC8"/>
    <w:rsid w:val="003A6383"/>
    <w:rsid w:val="003A6444"/>
    <w:rsid w:val="003A7045"/>
    <w:rsid w:val="003A7269"/>
    <w:rsid w:val="003A7453"/>
    <w:rsid w:val="003A75C3"/>
    <w:rsid w:val="003A7614"/>
    <w:rsid w:val="003A7851"/>
    <w:rsid w:val="003A79EC"/>
    <w:rsid w:val="003A7D4B"/>
    <w:rsid w:val="003A7D71"/>
    <w:rsid w:val="003A7F2F"/>
    <w:rsid w:val="003B03CA"/>
    <w:rsid w:val="003B04B0"/>
    <w:rsid w:val="003B079A"/>
    <w:rsid w:val="003B0BE9"/>
    <w:rsid w:val="003B0C92"/>
    <w:rsid w:val="003B0CF4"/>
    <w:rsid w:val="003B1079"/>
    <w:rsid w:val="003B11C6"/>
    <w:rsid w:val="003B1D24"/>
    <w:rsid w:val="003B1E54"/>
    <w:rsid w:val="003B1F9E"/>
    <w:rsid w:val="003B1FB0"/>
    <w:rsid w:val="003B2039"/>
    <w:rsid w:val="003B27FC"/>
    <w:rsid w:val="003B2C6F"/>
    <w:rsid w:val="003B2CBE"/>
    <w:rsid w:val="003B2DDF"/>
    <w:rsid w:val="003B378C"/>
    <w:rsid w:val="003B3DC6"/>
    <w:rsid w:val="003B3E3A"/>
    <w:rsid w:val="003B3E98"/>
    <w:rsid w:val="003B3FD7"/>
    <w:rsid w:val="003B420C"/>
    <w:rsid w:val="003B4275"/>
    <w:rsid w:val="003B4993"/>
    <w:rsid w:val="003B4A57"/>
    <w:rsid w:val="003B4BE1"/>
    <w:rsid w:val="003B4DED"/>
    <w:rsid w:val="003B5259"/>
    <w:rsid w:val="003B55CC"/>
    <w:rsid w:val="003B5804"/>
    <w:rsid w:val="003B5C87"/>
    <w:rsid w:val="003B5FDD"/>
    <w:rsid w:val="003B62AA"/>
    <w:rsid w:val="003B6393"/>
    <w:rsid w:val="003B64C1"/>
    <w:rsid w:val="003B65A9"/>
    <w:rsid w:val="003B6775"/>
    <w:rsid w:val="003B6A2C"/>
    <w:rsid w:val="003B6AC9"/>
    <w:rsid w:val="003B71C6"/>
    <w:rsid w:val="003B7E43"/>
    <w:rsid w:val="003B7F94"/>
    <w:rsid w:val="003C0024"/>
    <w:rsid w:val="003C00B1"/>
    <w:rsid w:val="003C0A8A"/>
    <w:rsid w:val="003C0AB8"/>
    <w:rsid w:val="003C0B1A"/>
    <w:rsid w:val="003C0C58"/>
    <w:rsid w:val="003C0EA7"/>
    <w:rsid w:val="003C0F3A"/>
    <w:rsid w:val="003C1199"/>
    <w:rsid w:val="003C162B"/>
    <w:rsid w:val="003C1C8F"/>
    <w:rsid w:val="003C1E8F"/>
    <w:rsid w:val="003C204B"/>
    <w:rsid w:val="003C280B"/>
    <w:rsid w:val="003C2D02"/>
    <w:rsid w:val="003C2D2C"/>
    <w:rsid w:val="003C3510"/>
    <w:rsid w:val="003C39A5"/>
    <w:rsid w:val="003C3A78"/>
    <w:rsid w:val="003C3D86"/>
    <w:rsid w:val="003C42AA"/>
    <w:rsid w:val="003C42AD"/>
    <w:rsid w:val="003C43A3"/>
    <w:rsid w:val="003C442A"/>
    <w:rsid w:val="003C44B5"/>
    <w:rsid w:val="003C4CBF"/>
    <w:rsid w:val="003C5302"/>
    <w:rsid w:val="003C538B"/>
    <w:rsid w:val="003C59F4"/>
    <w:rsid w:val="003C5C3D"/>
    <w:rsid w:val="003C663C"/>
    <w:rsid w:val="003C66B3"/>
    <w:rsid w:val="003C674E"/>
    <w:rsid w:val="003C6F0D"/>
    <w:rsid w:val="003C709C"/>
    <w:rsid w:val="003C7962"/>
    <w:rsid w:val="003C7A68"/>
    <w:rsid w:val="003C7C68"/>
    <w:rsid w:val="003D0036"/>
    <w:rsid w:val="003D0400"/>
    <w:rsid w:val="003D043B"/>
    <w:rsid w:val="003D06EA"/>
    <w:rsid w:val="003D07EA"/>
    <w:rsid w:val="003D0965"/>
    <w:rsid w:val="003D0B38"/>
    <w:rsid w:val="003D0D13"/>
    <w:rsid w:val="003D11BB"/>
    <w:rsid w:val="003D129C"/>
    <w:rsid w:val="003D17CC"/>
    <w:rsid w:val="003D1942"/>
    <w:rsid w:val="003D1A28"/>
    <w:rsid w:val="003D1C17"/>
    <w:rsid w:val="003D28F5"/>
    <w:rsid w:val="003D2A09"/>
    <w:rsid w:val="003D2AAB"/>
    <w:rsid w:val="003D2B76"/>
    <w:rsid w:val="003D2BA5"/>
    <w:rsid w:val="003D2D70"/>
    <w:rsid w:val="003D2DDE"/>
    <w:rsid w:val="003D2FF8"/>
    <w:rsid w:val="003D31E6"/>
    <w:rsid w:val="003D33F5"/>
    <w:rsid w:val="003D34AE"/>
    <w:rsid w:val="003D3701"/>
    <w:rsid w:val="003D3D30"/>
    <w:rsid w:val="003D3DB7"/>
    <w:rsid w:val="003D3E0A"/>
    <w:rsid w:val="003D41FB"/>
    <w:rsid w:val="003D4713"/>
    <w:rsid w:val="003D477A"/>
    <w:rsid w:val="003D4BF6"/>
    <w:rsid w:val="003D4C54"/>
    <w:rsid w:val="003D50F2"/>
    <w:rsid w:val="003D586A"/>
    <w:rsid w:val="003D5B3C"/>
    <w:rsid w:val="003D5C57"/>
    <w:rsid w:val="003D5E64"/>
    <w:rsid w:val="003D5F26"/>
    <w:rsid w:val="003D5FD2"/>
    <w:rsid w:val="003D6312"/>
    <w:rsid w:val="003D6846"/>
    <w:rsid w:val="003D6DA0"/>
    <w:rsid w:val="003D716A"/>
    <w:rsid w:val="003D71D5"/>
    <w:rsid w:val="003D7330"/>
    <w:rsid w:val="003D73E5"/>
    <w:rsid w:val="003D76DA"/>
    <w:rsid w:val="003D7897"/>
    <w:rsid w:val="003E01CF"/>
    <w:rsid w:val="003E03E6"/>
    <w:rsid w:val="003E0520"/>
    <w:rsid w:val="003E059C"/>
    <w:rsid w:val="003E0684"/>
    <w:rsid w:val="003E07DD"/>
    <w:rsid w:val="003E08EE"/>
    <w:rsid w:val="003E0941"/>
    <w:rsid w:val="003E0CE6"/>
    <w:rsid w:val="003E0DDE"/>
    <w:rsid w:val="003E12FE"/>
    <w:rsid w:val="003E13D4"/>
    <w:rsid w:val="003E17CF"/>
    <w:rsid w:val="003E1A1B"/>
    <w:rsid w:val="003E1B94"/>
    <w:rsid w:val="003E22C4"/>
    <w:rsid w:val="003E24BD"/>
    <w:rsid w:val="003E2526"/>
    <w:rsid w:val="003E2FB2"/>
    <w:rsid w:val="003E317A"/>
    <w:rsid w:val="003E31A1"/>
    <w:rsid w:val="003E336F"/>
    <w:rsid w:val="003E39E1"/>
    <w:rsid w:val="003E39EB"/>
    <w:rsid w:val="003E3B13"/>
    <w:rsid w:val="003E3E4D"/>
    <w:rsid w:val="003E41EC"/>
    <w:rsid w:val="003E424E"/>
    <w:rsid w:val="003E474D"/>
    <w:rsid w:val="003E4826"/>
    <w:rsid w:val="003E48D9"/>
    <w:rsid w:val="003E4958"/>
    <w:rsid w:val="003E4B57"/>
    <w:rsid w:val="003E50C6"/>
    <w:rsid w:val="003E52E1"/>
    <w:rsid w:val="003E5456"/>
    <w:rsid w:val="003E556D"/>
    <w:rsid w:val="003E5D0F"/>
    <w:rsid w:val="003E5DDB"/>
    <w:rsid w:val="003E6074"/>
    <w:rsid w:val="003E658C"/>
    <w:rsid w:val="003E65AE"/>
    <w:rsid w:val="003E6FA3"/>
    <w:rsid w:val="003E71F6"/>
    <w:rsid w:val="003E728C"/>
    <w:rsid w:val="003E746D"/>
    <w:rsid w:val="003E7BA9"/>
    <w:rsid w:val="003E7CD8"/>
    <w:rsid w:val="003E7FA7"/>
    <w:rsid w:val="003F0529"/>
    <w:rsid w:val="003F08FC"/>
    <w:rsid w:val="003F09BE"/>
    <w:rsid w:val="003F0B02"/>
    <w:rsid w:val="003F0BEB"/>
    <w:rsid w:val="003F10E7"/>
    <w:rsid w:val="003F1337"/>
    <w:rsid w:val="003F13E5"/>
    <w:rsid w:val="003F1582"/>
    <w:rsid w:val="003F163E"/>
    <w:rsid w:val="003F1821"/>
    <w:rsid w:val="003F1C9F"/>
    <w:rsid w:val="003F2522"/>
    <w:rsid w:val="003F3361"/>
    <w:rsid w:val="003F3B1F"/>
    <w:rsid w:val="003F3F7A"/>
    <w:rsid w:val="003F406E"/>
    <w:rsid w:val="003F485C"/>
    <w:rsid w:val="003F4896"/>
    <w:rsid w:val="003F49E3"/>
    <w:rsid w:val="003F5BAA"/>
    <w:rsid w:val="003F6084"/>
    <w:rsid w:val="003F6266"/>
    <w:rsid w:val="003F68FA"/>
    <w:rsid w:val="003F6C79"/>
    <w:rsid w:val="003F6D6B"/>
    <w:rsid w:val="003F6DAD"/>
    <w:rsid w:val="003F6DE9"/>
    <w:rsid w:val="003F6FAD"/>
    <w:rsid w:val="003F7664"/>
    <w:rsid w:val="003F775F"/>
    <w:rsid w:val="003F77EA"/>
    <w:rsid w:val="003F7E8A"/>
    <w:rsid w:val="0040016C"/>
    <w:rsid w:val="004004E2"/>
    <w:rsid w:val="004004F9"/>
    <w:rsid w:val="00400965"/>
    <w:rsid w:val="004010C3"/>
    <w:rsid w:val="0040110E"/>
    <w:rsid w:val="004012A6"/>
    <w:rsid w:val="004015F6"/>
    <w:rsid w:val="0040169E"/>
    <w:rsid w:val="004017C3"/>
    <w:rsid w:val="00401816"/>
    <w:rsid w:val="00401881"/>
    <w:rsid w:val="00401FBE"/>
    <w:rsid w:val="00402154"/>
    <w:rsid w:val="00402408"/>
    <w:rsid w:val="004027A3"/>
    <w:rsid w:val="004028DD"/>
    <w:rsid w:val="00402A08"/>
    <w:rsid w:val="00402C4B"/>
    <w:rsid w:val="00402ECA"/>
    <w:rsid w:val="00403088"/>
    <w:rsid w:val="0040368A"/>
    <w:rsid w:val="004039B3"/>
    <w:rsid w:val="00403AF4"/>
    <w:rsid w:val="00403BEF"/>
    <w:rsid w:val="00403C44"/>
    <w:rsid w:val="00403CFC"/>
    <w:rsid w:val="00403D0D"/>
    <w:rsid w:val="00403D7E"/>
    <w:rsid w:val="00403F74"/>
    <w:rsid w:val="0040405D"/>
    <w:rsid w:val="004042C8"/>
    <w:rsid w:val="00404673"/>
    <w:rsid w:val="00404734"/>
    <w:rsid w:val="00404D08"/>
    <w:rsid w:val="00404EE1"/>
    <w:rsid w:val="004057FB"/>
    <w:rsid w:val="00405860"/>
    <w:rsid w:val="004058D9"/>
    <w:rsid w:val="004058FA"/>
    <w:rsid w:val="00405A7D"/>
    <w:rsid w:val="00405C25"/>
    <w:rsid w:val="0040603C"/>
    <w:rsid w:val="00406794"/>
    <w:rsid w:val="00406B23"/>
    <w:rsid w:val="00406C4F"/>
    <w:rsid w:val="00406C58"/>
    <w:rsid w:val="004076ED"/>
    <w:rsid w:val="00407BA4"/>
    <w:rsid w:val="00407DB1"/>
    <w:rsid w:val="004102DA"/>
    <w:rsid w:val="00410335"/>
    <w:rsid w:val="004105B4"/>
    <w:rsid w:val="00410626"/>
    <w:rsid w:val="00410AD7"/>
    <w:rsid w:val="00410BA8"/>
    <w:rsid w:val="00410DDA"/>
    <w:rsid w:val="00410E42"/>
    <w:rsid w:val="00411016"/>
    <w:rsid w:val="00411156"/>
    <w:rsid w:val="00411365"/>
    <w:rsid w:val="004116FB"/>
    <w:rsid w:val="004119AD"/>
    <w:rsid w:val="00411E90"/>
    <w:rsid w:val="00412510"/>
    <w:rsid w:val="00412756"/>
    <w:rsid w:val="00412846"/>
    <w:rsid w:val="00412C0D"/>
    <w:rsid w:val="0041343C"/>
    <w:rsid w:val="00413545"/>
    <w:rsid w:val="00413851"/>
    <w:rsid w:val="004138BA"/>
    <w:rsid w:val="00413EBD"/>
    <w:rsid w:val="0041412D"/>
    <w:rsid w:val="004142D8"/>
    <w:rsid w:val="00414303"/>
    <w:rsid w:val="00414442"/>
    <w:rsid w:val="00414EFE"/>
    <w:rsid w:val="00414F3B"/>
    <w:rsid w:val="00415039"/>
    <w:rsid w:val="004152AD"/>
    <w:rsid w:val="00415635"/>
    <w:rsid w:val="004159D5"/>
    <w:rsid w:val="00415A2E"/>
    <w:rsid w:val="00415B97"/>
    <w:rsid w:val="00415CE9"/>
    <w:rsid w:val="004160E2"/>
    <w:rsid w:val="004161DE"/>
    <w:rsid w:val="004164E1"/>
    <w:rsid w:val="004166C0"/>
    <w:rsid w:val="00416738"/>
    <w:rsid w:val="00416A09"/>
    <w:rsid w:val="00416A91"/>
    <w:rsid w:val="00416BAF"/>
    <w:rsid w:val="00416CF9"/>
    <w:rsid w:val="00416F92"/>
    <w:rsid w:val="00417503"/>
    <w:rsid w:val="00417A07"/>
    <w:rsid w:val="00417C43"/>
    <w:rsid w:val="00417D4D"/>
    <w:rsid w:val="00420016"/>
    <w:rsid w:val="004204C9"/>
    <w:rsid w:val="004204EC"/>
    <w:rsid w:val="00420B8B"/>
    <w:rsid w:val="00420E85"/>
    <w:rsid w:val="00421303"/>
    <w:rsid w:val="00421384"/>
    <w:rsid w:val="00421616"/>
    <w:rsid w:val="0042197A"/>
    <w:rsid w:val="00422021"/>
    <w:rsid w:val="004224F2"/>
    <w:rsid w:val="0042269B"/>
    <w:rsid w:val="00422895"/>
    <w:rsid w:val="00422B85"/>
    <w:rsid w:val="00422BEE"/>
    <w:rsid w:val="00422E67"/>
    <w:rsid w:val="004230F1"/>
    <w:rsid w:val="00423616"/>
    <w:rsid w:val="00423699"/>
    <w:rsid w:val="00423B04"/>
    <w:rsid w:val="00423D7A"/>
    <w:rsid w:val="00423E75"/>
    <w:rsid w:val="004240AC"/>
    <w:rsid w:val="004243BC"/>
    <w:rsid w:val="004245FD"/>
    <w:rsid w:val="00424938"/>
    <w:rsid w:val="00424DD4"/>
    <w:rsid w:val="00424EAD"/>
    <w:rsid w:val="00424EE4"/>
    <w:rsid w:val="0042554C"/>
    <w:rsid w:val="00425586"/>
    <w:rsid w:val="004255BE"/>
    <w:rsid w:val="00425BF1"/>
    <w:rsid w:val="00425CE2"/>
    <w:rsid w:val="00426107"/>
    <w:rsid w:val="004267FD"/>
    <w:rsid w:val="00426966"/>
    <w:rsid w:val="00426AEA"/>
    <w:rsid w:val="00426C48"/>
    <w:rsid w:val="00427004"/>
    <w:rsid w:val="00427034"/>
    <w:rsid w:val="00427124"/>
    <w:rsid w:val="00427168"/>
    <w:rsid w:val="00427711"/>
    <w:rsid w:val="0042780E"/>
    <w:rsid w:val="00427D05"/>
    <w:rsid w:val="00427EFB"/>
    <w:rsid w:val="004301DD"/>
    <w:rsid w:val="004303C4"/>
    <w:rsid w:val="004306F8"/>
    <w:rsid w:val="004307C1"/>
    <w:rsid w:val="004307F2"/>
    <w:rsid w:val="00430C00"/>
    <w:rsid w:val="004317A8"/>
    <w:rsid w:val="004319AF"/>
    <w:rsid w:val="00431EFC"/>
    <w:rsid w:val="00431F70"/>
    <w:rsid w:val="00432072"/>
    <w:rsid w:val="004322F9"/>
    <w:rsid w:val="004323CF"/>
    <w:rsid w:val="004323E4"/>
    <w:rsid w:val="0043262A"/>
    <w:rsid w:val="00432678"/>
    <w:rsid w:val="00432860"/>
    <w:rsid w:val="00432BBF"/>
    <w:rsid w:val="00432C16"/>
    <w:rsid w:val="00432C2F"/>
    <w:rsid w:val="00432D40"/>
    <w:rsid w:val="00432DAD"/>
    <w:rsid w:val="00433504"/>
    <w:rsid w:val="0043373A"/>
    <w:rsid w:val="00433D67"/>
    <w:rsid w:val="004343AA"/>
    <w:rsid w:val="004343F8"/>
    <w:rsid w:val="004349D3"/>
    <w:rsid w:val="00434E32"/>
    <w:rsid w:val="00435192"/>
    <w:rsid w:val="00435596"/>
    <w:rsid w:val="004357C8"/>
    <w:rsid w:val="00435A50"/>
    <w:rsid w:val="00435CCB"/>
    <w:rsid w:val="00435E2A"/>
    <w:rsid w:val="00435FE7"/>
    <w:rsid w:val="00436162"/>
    <w:rsid w:val="00436214"/>
    <w:rsid w:val="004363F6"/>
    <w:rsid w:val="00436646"/>
    <w:rsid w:val="0043681B"/>
    <w:rsid w:val="004368D7"/>
    <w:rsid w:val="00437782"/>
    <w:rsid w:val="0043796A"/>
    <w:rsid w:val="00437B00"/>
    <w:rsid w:val="00437C27"/>
    <w:rsid w:val="00437CBF"/>
    <w:rsid w:val="00440816"/>
    <w:rsid w:val="00440B23"/>
    <w:rsid w:val="00440CB1"/>
    <w:rsid w:val="00440D11"/>
    <w:rsid w:val="00440F63"/>
    <w:rsid w:val="00440F92"/>
    <w:rsid w:val="00441765"/>
    <w:rsid w:val="00441810"/>
    <w:rsid w:val="00442518"/>
    <w:rsid w:val="00442A84"/>
    <w:rsid w:val="00443041"/>
    <w:rsid w:val="004430B9"/>
    <w:rsid w:val="00443164"/>
    <w:rsid w:val="00443170"/>
    <w:rsid w:val="004432FE"/>
    <w:rsid w:val="004435C1"/>
    <w:rsid w:val="00443995"/>
    <w:rsid w:val="00443A46"/>
    <w:rsid w:val="00443BA5"/>
    <w:rsid w:val="00443E8C"/>
    <w:rsid w:val="004442F3"/>
    <w:rsid w:val="00444338"/>
    <w:rsid w:val="004445B8"/>
    <w:rsid w:val="0044465C"/>
    <w:rsid w:val="00444D22"/>
    <w:rsid w:val="00444D59"/>
    <w:rsid w:val="00445250"/>
    <w:rsid w:val="004455AC"/>
    <w:rsid w:val="004455D7"/>
    <w:rsid w:val="004456A7"/>
    <w:rsid w:val="00445817"/>
    <w:rsid w:val="00445858"/>
    <w:rsid w:val="004458C6"/>
    <w:rsid w:val="00445A7D"/>
    <w:rsid w:val="00445AD0"/>
    <w:rsid w:val="00445D6E"/>
    <w:rsid w:val="0044619F"/>
    <w:rsid w:val="0044651D"/>
    <w:rsid w:val="004465AD"/>
    <w:rsid w:val="00446930"/>
    <w:rsid w:val="00446C09"/>
    <w:rsid w:val="0044713A"/>
    <w:rsid w:val="004471BC"/>
    <w:rsid w:val="00447924"/>
    <w:rsid w:val="00447D31"/>
    <w:rsid w:val="00447D4F"/>
    <w:rsid w:val="0045008A"/>
    <w:rsid w:val="00450757"/>
    <w:rsid w:val="00450BCF"/>
    <w:rsid w:val="00450D96"/>
    <w:rsid w:val="00451221"/>
    <w:rsid w:val="004513FC"/>
    <w:rsid w:val="00451882"/>
    <w:rsid w:val="00451BE1"/>
    <w:rsid w:val="004521DE"/>
    <w:rsid w:val="0045255C"/>
    <w:rsid w:val="00452E0D"/>
    <w:rsid w:val="00453196"/>
    <w:rsid w:val="004531BE"/>
    <w:rsid w:val="004533B2"/>
    <w:rsid w:val="00453936"/>
    <w:rsid w:val="00453979"/>
    <w:rsid w:val="0045403C"/>
    <w:rsid w:val="00454397"/>
    <w:rsid w:val="00454547"/>
    <w:rsid w:val="00454711"/>
    <w:rsid w:val="00454BAD"/>
    <w:rsid w:val="00454CC2"/>
    <w:rsid w:val="0045512E"/>
    <w:rsid w:val="0045557A"/>
    <w:rsid w:val="004558F8"/>
    <w:rsid w:val="00455985"/>
    <w:rsid w:val="00455FC0"/>
    <w:rsid w:val="004563C9"/>
    <w:rsid w:val="004566DF"/>
    <w:rsid w:val="0045692E"/>
    <w:rsid w:val="00456E6E"/>
    <w:rsid w:val="004570F6"/>
    <w:rsid w:val="00457481"/>
    <w:rsid w:val="004574F0"/>
    <w:rsid w:val="00457504"/>
    <w:rsid w:val="004575E5"/>
    <w:rsid w:val="00457947"/>
    <w:rsid w:val="00457D6B"/>
    <w:rsid w:val="00457E08"/>
    <w:rsid w:val="00460441"/>
    <w:rsid w:val="00460511"/>
    <w:rsid w:val="00460A25"/>
    <w:rsid w:val="00460B3E"/>
    <w:rsid w:val="00460C23"/>
    <w:rsid w:val="00460DBE"/>
    <w:rsid w:val="00460ECE"/>
    <w:rsid w:val="00461196"/>
    <w:rsid w:val="00461655"/>
    <w:rsid w:val="00461966"/>
    <w:rsid w:val="00461A91"/>
    <w:rsid w:val="00461C3F"/>
    <w:rsid w:val="00461E03"/>
    <w:rsid w:val="004620E5"/>
    <w:rsid w:val="0046238A"/>
    <w:rsid w:val="0046260A"/>
    <w:rsid w:val="0046289D"/>
    <w:rsid w:val="004629DA"/>
    <w:rsid w:val="00463036"/>
    <w:rsid w:val="004630B8"/>
    <w:rsid w:val="00463141"/>
    <w:rsid w:val="00463296"/>
    <w:rsid w:val="004632A7"/>
    <w:rsid w:val="004634AC"/>
    <w:rsid w:val="00463779"/>
    <w:rsid w:val="00463981"/>
    <w:rsid w:val="00463ABB"/>
    <w:rsid w:val="00463BE2"/>
    <w:rsid w:val="00463DEE"/>
    <w:rsid w:val="00463F03"/>
    <w:rsid w:val="00464189"/>
    <w:rsid w:val="0046498C"/>
    <w:rsid w:val="00464E39"/>
    <w:rsid w:val="004658FA"/>
    <w:rsid w:val="004659A1"/>
    <w:rsid w:val="00465C5E"/>
    <w:rsid w:val="00465EDC"/>
    <w:rsid w:val="00465FF0"/>
    <w:rsid w:val="00466001"/>
    <w:rsid w:val="004664A0"/>
    <w:rsid w:val="00466614"/>
    <w:rsid w:val="00466FCC"/>
    <w:rsid w:val="00467142"/>
    <w:rsid w:val="004677ED"/>
    <w:rsid w:val="00467ACB"/>
    <w:rsid w:val="00467BC6"/>
    <w:rsid w:val="00467FA4"/>
    <w:rsid w:val="00470EEE"/>
    <w:rsid w:val="00471468"/>
    <w:rsid w:val="0047156C"/>
    <w:rsid w:val="00471A45"/>
    <w:rsid w:val="00471C1B"/>
    <w:rsid w:val="00471D4A"/>
    <w:rsid w:val="0047245D"/>
    <w:rsid w:val="00472A32"/>
    <w:rsid w:val="00472DEB"/>
    <w:rsid w:val="00472E01"/>
    <w:rsid w:val="00472F33"/>
    <w:rsid w:val="004731DF"/>
    <w:rsid w:val="00473226"/>
    <w:rsid w:val="004732C2"/>
    <w:rsid w:val="00473323"/>
    <w:rsid w:val="00473496"/>
    <w:rsid w:val="00473787"/>
    <w:rsid w:val="00473BBB"/>
    <w:rsid w:val="00473C91"/>
    <w:rsid w:val="00473DCE"/>
    <w:rsid w:val="00473E5D"/>
    <w:rsid w:val="00473F3C"/>
    <w:rsid w:val="00474156"/>
    <w:rsid w:val="00474493"/>
    <w:rsid w:val="00474933"/>
    <w:rsid w:val="004749D7"/>
    <w:rsid w:val="00474A17"/>
    <w:rsid w:val="00474AB2"/>
    <w:rsid w:val="0047516C"/>
    <w:rsid w:val="004754D2"/>
    <w:rsid w:val="004754D7"/>
    <w:rsid w:val="00475ACA"/>
    <w:rsid w:val="00475DF5"/>
    <w:rsid w:val="004762E8"/>
    <w:rsid w:val="00476327"/>
    <w:rsid w:val="00476542"/>
    <w:rsid w:val="00476888"/>
    <w:rsid w:val="00476B02"/>
    <w:rsid w:val="0047792E"/>
    <w:rsid w:val="004779C2"/>
    <w:rsid w:val="004779DB"/>
    <w:rsid w:val="00477B88"/>
    <w:rsid w:val="00477F1D"/>
    <w:rsid w:val="00477F6C"/>
    <w:rsid w:val="00480339"/>
    <w:rsid w:val="004806C2"/>
    <w:rsid w:val="00480FE4"/>
    <w:rsid w:val="004811BD"/>
    <w:rsid w:val="00481269"/>
    <w:rsid w:val="0048144C"/>
    <w:rsid w:val="0048161C"/>
    <w:rsid w:val="004816A3"/>
    <w:rsid w:val="00481A17"/>
    <w:rsid w:val="00481AA8"/>
    <w:rsid w:val="004822C7"/>
    <w:rsid w:val="00482AE5"/>
    <w:rsid w:val="004833F2"/>
    <w:rsid w:val="00483493"/>
    <w:rsid w:val="004837B4"/>
    <w:rsid w:val="00484491"/>
    <w:rsid w:val="004847B0"/>
    <w:rsid w:val="004850AB"/>
    <w:rsid w:val="0048536A"/>
    <w:rsid w:val="004856BD"/>
    <w:rsid w:val="00486590"/>
    <w:rsid w:val="004865D0"/>
    <w:rsid w:val="004868E7"/>
    <w:rsid w:val="00486909"/>
    <w:rsid w:val="00486A44"/>
    <w:rsid w:val="00486E0A"/>
    <w:rsid w:val="00486FF0"/>
    <w:rsid w:val="00487018"/>
    <w:rsid w:val="00487299"/>
    <w:rsid w:val="0048750C"/>
    <w:rsid w:val="0048776B"/>
    <w:rsid w:val="00487B69"/>
    <w:rsid w:val="00490189"/>
    <w:rsid w:val="00490360"/>
    <w:rsid w:val="0049067B"/>
    <w:rsid w:val="00490DDA"/>
    <w:rsid w:val="00490E34"/>
    <w:rsid w:val="004910BD"/>
    <w:rsid w:val="004911C1"/>
    <w:rsid w:val="00491296"/>
    <w:rsid w:val="004921D9"/>
    <w:rsid w:val="00492457"/>
    <w:rsid w:val="00492682"/>
    <w:rsid w:val="00492741"/>
    <w:rsid w:val="004928EA"/>
    <w:rsid w:val="004929BF"/>
    <w:rsid w:val="004932EA"/>
    <w:rsid w:val="00493409"/>
    <w:rsid w:val="00494210"/>
    <w:rsid w:val="0049436F"/>
    <w:rsid w:val="0049499D"/>
    <w:rsid w:val="004949DE"/>
    <w:rsid w:val="004949E2"/>
    <w:rsid w:val="00494C66"/>
    <w:rsid w:val="00494F5E"/>
    <w:rsid w:val="00495199"/>
    <w:rsid w:val="00495B41"/>
    <w:rsid w:val="0049680F"/>
    <w:rsid w:val="00496879"/>
    <w:rsid w:val="004968C4"/>
    <w:rsid w:val="00496B3E"/>
    <w:rsid w:val="00496ED4"/>
    <w:rsid w:val="0049722D"/>
    <w:rsid w:val="00497324"/>
    <w:rsid w:val="00497A8E"/>
    <w:rsid w:val="00497E74"/>
    <w:rsid w:val="004A023F"/>
    <w:rsid w:val="004A0B90"/>
    <w:rsid w:val="004A1062"/>
    <w:rsid w:val="004A1159"/>
    <w:rsid w:val="004A12DA"/>
    <w:rsid w:val="004A13D0"/>
    <w:rsid w:val="004A14EC"/>
    <w:rsid w:val="004A1543"/>
    <w:rsid w:val="004A1692"/>
    <w:rsid w:val="004A1C42"/>
    <w:rsid w:val="004A20E9"/>
    <w:rsid w:val="004A23C0"/>
    <w:rsid w:val="004A2A11"/>
    <w:rsid w:val="004A2FDF"/>
    <w:rsid w:val="004A33B1"/>
    <w:rsid w:val="004A3524"/>
    <w:rsid w:val="004A3B47"/>
    <w:rsid w:val="004A3B56"/>
    <w:rsid w:val="004A3DBB"/>
    <w:rsid w:val="004A3E72"/>
    <w:rsid w:val="004A3F28"/>
    <w:rsid w:val="004A42EC"/>
    <w:rsid w:val="004A467F"/>
    <w:rsid w:val="004A4F7D"/>
    <w:rsid w:val="004A5404"/>
    <w:rsid w:val="004A55E1"/>
    <w:rsid w:val="004A5A9C"/>
    <w:rsid w:val="004A5FE0"/>
    <w:rsid w:val="004A6100"/>
    <w:rsid w:val="004A62FD"/>
    <w:rsid w:val="004A634F"/>
    <w:rsid w:val="004A63CF"/>
    <w:rsid w:val="004A6688"/>
    <w:rsid w:val="004A6B4C"/>
    <w:rsid w:val="004A757E"/>
    <w:rsid w:val="004A75AE"/>
    <w:rsid w:val="004A75B1"/>
    <w:rsid w:val="004A76FD"/>
    <w:rsid w:val="004A7A82"/>
    <w:rsid w:val="004A7CBB"/>
    <w:rsid w:val="004A7CC2"/>
    <w:rsid w:val="004B067C"/>
    <w:rsid w:val="004B0876"/>
    <w:rsid w:val="004B0993"/>
    <w:rsid w:val="004B10DE"/>
    <w:rsid w:val="004B14F7"/>
    <w:rsid w:val="004B1A51"/>
    <w:rsid w:val="004B1B5D"/>
    <w:rsid w:val="004B1BB8"/>
    <w:rsid w:val="004B1CEE"/>
    <w:rsid w:val="004B1E7C"/>
    <w:rsid w:val="004B1FBF"/>
    <w:rsid w:val="004B207E"/>
    <w:rsid w:val="004B2188"/>
    <w:rsid w:val="004B22B9"/>
    <w:rsid w:val="004B234F"/>
    <w:rsid w:val="004B2655"/>
    <w:rsid w:val="004B26D7"/>
    <w:rsid w:val="004B27D8"/>
    <w:rsid w:val="004B28B4"/>
    <w:rsid w:val="004B28E6"/>
    <w:rsid w:val="004B29A7"/>
    <w:rsid w:val="004B2EB5"/>
    <w:rsid w:val="004B2ED7"/>
    <w:rsid w:val="004B2F23"/>
    <w:rsid w:val="004B3065"/>
    <w:rsid w:val="004B3306"/>
    <w:rsid w:val="004B3B64"/>
    <w:rsid w:val="004B4293"/>
    <w:rsid w:val="004B42CD"/>
    <w:rsid w:val="004B430F"/>
    <w:rsid w:val="004B4337"/>
    <w:rsid w:val="004B4533"/>
    <w:rsid w:val="004B5114"/>
    <w:rsid w:val="004B5631"/>
    <w:rsid w:val="004B5C66"/>
    <w:rsid w:val="004B5E5C"/>
    <w:rsid w:val="004B6097"/>
    <w:rsid w:val="004B6639"/>
    <w:rsid w:val="004B6680"/>
    <w:rsid w:val="004B6C0D"/>
    <w:rsid w:val="004B6CCB"/>
    <w:rsid w:val="004B72FD"/>
    <w:rsid w:val="004B7347"/>
    <w:rsid w:val="004B762F"/>
    <w:rsid w:val="004B7658"/>
    <w:rsid w:val="004B769C"/>
    <w:rsid w:val="004B76AB"/>
    <w:rsid w:val="004B7948"/>
    <w:rsid w:val="004B79E4"/>
    <w:rsid w:val="004B7B93"/>
    <w:rsid w:val="004C05CE"/>
    <w:rsid w:val="004C0669"/>
    <w:rsid w:val="004C0A0F"/>
    <w:rsid w:val="004C0A99"/>
    <w:rsid w:val="004C0B28"/>
    <w:rsid w:val="004C0DC5"/>
    <w:rsid w:val="004C1055"/>
    <w:rsid w:val="004C1573"/>
    <w:rsid w:val="004C1576"/>
    <w:rsid w:val="004C17E7"/>
    <w:rsid w:val="004C1882"/>
    <w:rsid w:val="004C196E"/>
    <w:rsid w:val="004C1CDD"/>
    <w:rsid w:val="004C1D94"/>
    <w:rsid w:val="004C1F47"/>
    <w:rsid w:val="004C20D7"/>
    <w:rsid w:val="004C29DA"/>
    <w:rsid w:val="004C2BC8"/>
    <w:rsid w:val="004C31EE"/>
    <w:rsid w:val="004C35B4"/>
    <w:rsid w:val="004C379C"/>
    <w:rsid w:val="004C3810"/>
    <w:rsid w:val="004C3DF2"/>
    <w:rsid w:val="004C3FBD"/>
    <w:rsid w:val="004C417C"/>
    <w:rsid w:val="004C425B"/>
    <w:rsid w:val="004C4622"/>
    <w:rsid w:val="004C466C"/>
    <w:rsid w:val="004C46B2"/>
    <w:rsid w:val="004C46D1"/>
    <w:rsid w:val="004C4801"/>
    <w:rsid w:val="004C48C4"/>
    <w:rsid w:val="004C4A84"/>
    <w:rsid w:val="004C4B2E"/>
    <w:rsid w:val="004C5489"/>
    <w:rsid w:val="004C5546"/>
    <w:rsid w:val="004C57CE"/>
    <w:rsid w:val="004C57F6"/>
    <w:rsid w:val="004C5A5D"/>
    <w:rsid w:val="004C5C51"/>
    <w:rsid w:val="004C630E"/>
    <w:rsid w:val="004C63B3"/>
    <w:rsid w:val="004C66A2"/>
    <w:rsid w:val="004C67EC"/>
    <w:rsid w:val="004C6DB6"/>
    <w:rsid w:val="004C6F3A"/>
    <w:rsid w:val="004C704A"/>
    <w:rsid w:val="004C70E7"/>
    <w:rsid w:val="004C72B2"/>
    <w:rsid w:val="004C764B"/>
    <w:rsid w:val="004C7929"/>
    <w:rsid w:val="004C79C6"/>
    <w:rsid w:val="004C7AD7"/>
    <w:rsid w:val="004C7E17"/>
    <w:rsid w:val="004C7E9D"/>
    <w:rsid w:val="004C7EC3"/>
    <w:rsid w:val="004D01C4"/>
    <w:rsid w:val="004D0665"/>
    <w:rsid w:val="004D075A"/>
    <w:rsid w:val="004D08C0"/>
    <w:rsid w:val="004D0A04"/>
    <w:rsid w:val="004D0A1C"/>
    <w:rsid w:val="004D0F41"/>
    <w:rsid w:val="004D1013"/>
    <w:rsid w:val="004D103F"/>
    <w:rsid w:val="004D1151"/>
    <w:rsid w:val="004D1186"/>
    <w:rsid w:val="004D1809"/>
    <w:rsid w:val="004D189D"/>
    <w:rsid w:val="004D19A5"/>
    <w:rsid w:val="004D2CD5"/>
    <w:rsid w:val="004D2D31"/>
    <w:rsid w:val="004D2F1D"/>
    <w:rsid w:val="004D3177"/>
    <w:rsid w:val="004D32A3"/>
    <w:rsid w:val="004D359E"/>
    <w:rsid w:val="004D38F0"/>
    <w:rsid w:val="004D3A5A"/>
    <w:rsid w:val="004D3F2C"/>
    <w:rsid w:val="004D41AE"/>
    <w:rsid w:val="004D4600"/>
    <w:rsid w:val="004D473B"/>
    <w:rsid w:val="004D4C0C"/>
    <w:rsid w:val="004D4DFD"/>
    <w:rsid w:val="004D4E0E"/>
    <w:rsid w:val="004D4E9B"/>
    <w:rsid w:val="004D501A"/>
    <w:rsid w:val="004D52DC"/>
    <w:rsid w:val="004D5EBA"/>
    <w:rsid w:val="004D6060"/>
    <w:rsid w:val="004D61B0"/>
    <w:rsid w:val="004D6231"/>
    <w:rsid w:val="004D6953"/>
    <w:rsid w:val="004D6D09"/>
    <w:rsid w:val="004D6EAA"/>
    <w:rsid w:val="004D6FF1"/>
    <w:rsid w:val="004D72F3"/>
    <w:rsid w:val="004D791F"/>
    <w:rsid w:val="004D7B1A"/>
    <w:rsid w:val="004E0315"/>
    <w:rsid w:val="004E0502"/>
    <w:rsid w:val="004E070D"/>
    <w:rsid w:val="004E0878"/>
    <w:rsid w:val="004E095D"/>
    <w:rsid w:val="004E0A4A"/>
    <w:rsid w:val="004E0E24"/>
    <w:rsid w:val="004E0FDC"/>
    <w:rsid w:val="004E1B0F"/>
    <w:rsid w:val="004E1B28"/>
    <w:rsid w:val="004E213C"/>
    <w:rsid w:val="004E2C3C"/>
    <w:rsid w:val="004E2C47"/>
    <w:rsid w:val="004E3227"/>
    <w:rsid w:val="004E33DC"/>
    <w:rsid w:val="004E3541"/>
    <w:rsid w:val="004E3A3A"/>
    <w:rsid w:val="004E3F1F"/>
    <w:rsid w:val="004E4495"/>
    <w:rsid w:val="004E44ED"/>
    <w:rsid w:val="004E4719"/>
    <w:rsid w:val="004E4B30"/>
    <w:rsid w:val="004E4C53"/>
    <w:rsid w:val="004E5021"/>
    <w:rsid w:val="004E50D8"/>
    <w:rsid w:val="004E5376"/>
    <w:rsid w:val="004E54F7"/>
    <w:rsid w:val="004E55E0"/>
    <w:rsid w:val="004E5632"/>
    <w:rsid w:val="004E5B0F"/>
    <w:rsid w:val="004E5B43"/>
    <w:rsid w:val="004E5D1E"/>
    <w:rsid w:val="004E5EB3"/>
    <w:rsid w:val="004E605B"/>
    <w:rsid w:val="004E61BB"/>
    <w:rsid w:val="004E64E4"/>
    <w:rsid w:val="004E672C"/>
    <w:rsid w:val="004E69B7"/>
    <w:rsid w:val="004E6A02"/>
    <w:rsid w:val="004E709F"/>
    <w:rsid w:val="004E70F1"/>
    <w:rsid w:val="004E72BF"/>
    <w:rsid w:val="004E7565"/>
    <w:rsid w:val="004E77AB"/>
    <w:rsid w:val="004E7808"/>
    <w:rsid w:val="004E7F69"/>
    <w:rsid w:val="004F009A"/>
    <w:rsid w:val="004F0186"/>
    <w:rsid w:val="004F05FD"/>
    <w:rsid w:val="004F07FD"/>
    <w:rsid w:val="004F0C63"/>
    <w:rsid w:val="004F0CC5"/>
    <w:rsid w:val="004F0DF7"/>
    <w:rsid w:val="004F0E18"/>
    <w:rsid w:val="004F0EA2"/>
    <w:rsid w:val="004F19D8"/>
    <w:rsid w:val="004F1AFD"/>
    <w:rsid w:val="004F2029"/>
    <w:rsid w:val="004F2045"/>
    <w:rsid w:val="004F2204"/>
    <w:rsid w:val="004F2B82"/>
    <w:rsid w:val="004F2C3E"/>
    <w:rsid w:val="004F2E5B"/>
    <w:rsid w:val="004F354F"/>
    <w:rsid w:val="004F3B4B"/>
    <w:rsid w:val="004F3C1E"/>
    <w:rsid w:val="004F44EB"/>
    <w:rsid w:val="004F451B"/>
    <w:rsid w:val="004F4573"/>
    <w:rsid w:val="004F4D13"/>
    <w:rsid w:val="004F4E56"/>
    <w:rsid w:val="004F4F07"/>
    <w:rsid w:val="004F512F"/>
    <w:rsid w:val="004F5167"/>
    <w:rsid w:val="004F538A"/>
    <w:rsid w:val="004F5988"/>
    <w:rsid w:val="004F5AA4"/>
    <w:rsid w:val="004F5C2A"/>
    <w:rsid w:val="004F5CE0"/>
    <w:rsid w:val="004F601F"/>
    <w:rsid w:val="004F60C1"/>
    <w:rsid w:val="004F651D"/>
    <w:rsid w:val="004F66C8"/>
    <w:rsid w:val="004F67C0"/>
    <w:rsid w:val="004F6B07"/>
    <w:rsid w:val="004F6B0D"/>
    <w:rsid w:val="004F6F9F"/>
    <w:rsid w:val="004F7083"/>
    <w:rsid w:val="004F758B"/>
    <w:rsid w:val="004F7940"/>
    <w:rsid w:val="004F7C63"/>
    <w:rsid w:val="00500034"/>
    <w:rsid w:val="00500708"/>
    <w:rsid w:val="00500D23"/>
    <w:rsid w:val="00500D54"/>
    <w:rsid w:val="00500FC1"/>
    <w:rsid w:val="0050127F"/>
    <w:rsid w:val="005013DD"/>
    <w:rsid w:val="005018BF"/>
    <w:rsid w:val="005024DD"/>
    <w:rsid w:val="0050254C"/>
    <w:rsid w:val="00502815"/>
    <w:rsid w:val="00502CDF"/>
    <w:rsid w:val="00502D71"/>
    <w:rsid w:val="00502E84"/>
    <w:rsid w:val="00503276"/>
    <w:rsid w:val="005032E7"/>
    <w:rsid w:val="00503470"/>
    <w:rsid w:val="00503886"/>
    <w:rsid w:val="00503A0D"/>
    <w:rsid w:val="00503B42"/>
    <w:rsid w:val="005040BE"/>
    <w:rsid w:val="00504331"/>
    <w:rsid w:val="005045CC"/>
    <w:rsid w:val="0050477F"/>
    <w:rsid w:val="0050489C"/>
    <w:rsid w:val="0050495E"/>
    <w:rsid w:val="00505030"/>
    <w:rsid w:val="0050532F"/>
    <w:rsid w:val="005053AF"/>
    <w:rsid w:val="005056FD"/>
    <w:rsid w:val="00505722"/>
    <w:rsid w:val="005058C1"/>
    <w:rsid w:val="005058D0"/>
    <w:rsid w:val="00505E96"/>
    <w:rsid w:val="00505EC1"/>
    <w:rsid w:val="00506135"/>
    <w:rsid w:val="005066BD"/>
    <w:rsid w:val="005066F4"/>
    <w:rsid w:val="00506A0D"/>
    <w:rsid w:val="00506AA7"/>
    <w:rsid w:val="00506BDC"/>
    <w:rsid w:val="00506E05"/>
    <w:rsid w:val="00506E0B"/>
    <w:rsid w:val="00506F8B"/>
    <w:rsid w:val="005074CA"/>
    <w:rsid w:val="0050756F"/>
    <w:rsid w:val="0050764C"/>
    <w:rsid w:val="00507A2E"/>
    <w:rsid w:val="00507DF7"/>
    <w:rsid w:val="00507F09"/>
    <w:rsid w:val="0051009C"/>
    <w:rsid w:val="00510876"/>
    <w:rsid w:val="00510A3E"/>
    <w:rsid w:val="00510AF2"/>
    <w:rsid w:val="00510B8C"/>
    <w:rsid w:val="0051106F"/>
    <w:rsid w:val="00511B94"/>
    <w:rsid w:val="00511CFE"/>
    <w:rsid w:val="00511F16"/>
    <w:rsid w:val="00512492"/>
    <w:rsid w:val="005124E5"/>
    <w:rsid w:val="00512AF6"/>
    <w:rsid w:val="00512C65"/>
    <w:rsid w:val="00512E17"/>
    <w:rsid w:val="005130DA"/>
    <w:rsid w:val="00513137"/>
    <w:rsid w:val="005131DE"/>
    <w:rsid w:val="005139FE"/>
    <w:rsid w:val="00513C6F"/>
    <w:rsid w:val="00513E0B"/>
    <w:rsid w:val="0051412B"/>
    <w:rsid w:val="0051413A"/>
    <w:rsid w:val="0051473A"/>
    <w:rsid w:val="0051499E"/>
    <w:rsid w:val="00514E36"/>
    <w:rsid w:val="005152B5"/>
    <w:rsid w:val="005154F9"/>
    <w:rsid w:val="0051570F"/>
    <w:rsid w:val="005157F5"/>
    <w:rsid w:val="0051645C"/>
    <w:rsid w:val="0051652D"/>
    <w:rsid w:val="0051670D"/>
    <w:rsid w:val="00516B61"/>
    <w:rsid w:val="00517983"/>
    <w:rsid w:val="00517AAB"/>
    <w:rsid w:val="00517FAA"/>
    <w:rsid w:val="0052031D"/>
    <w:rsid w:val="005204BB"/>
    <w:rsid w:val="0052055D"/>
    <w:rsid w:val="005206EC"/>
    <w:rsid w:val="005209F9"/>
    <w:rsid w:val="005211A6"/>
    <w:rsid w:val="0052123F"/>
    <w:rsid w:val="00521271"/>
    <w:rsid w:val="00521391"/>
    <w:rsid w:val="00521555"/>
    <w:rsid w:val="00521BC0"/>
    <w:rsid w:val="00521DD1"/>
    <w:rsid w:val="00521F29"/>
    <w:rsid w:val="005220A6"/>
    <w:rsid w:val="00522533"/>
    <w:rsid w:val="005226F9"/>
    <w:rsid w:val="0052286C"/>
    <w:rsid w:val="0052294A"/>
    <w:rsid w:val="00522B66"/>
    <w:rsid w:val="00522D1D"/>
    <w:rsid w:val="0052314E"/>
    <w:rsid w:val="0052327C"/>
    <w:rsid w:val="0052332D"/>
    <w:rsid w:val="00523521"/>
    <w:rsid w:val="00523937"/>
    <w:rsid w:val="00523A4C"/>
    <w:rsid w:val="00523BC2"/>
    <w:rsid w:val="00523BD3"/>
    <w:rsid w:val="005240F0"/>
    <w:rsid w:val="0052448F"/>
    <w:rsid w:val="005244C7"/>
    <w:rsid w:val="00524662"/>
    <w:rsid w:val="005250D5"/>
    <w:rsid w:val="005252DF"/>
    <w:rsid w:val="00525403"/>
    <w:rsid w:val="0052554B"/>
    <w:rsid w:val="00525573"/>
    <w:rsid w:val="005261C0"/>
    <w:rsid w:val="00526C30"/>
    <w:rsid w:val="00526EBF"/>
    <w:rsid w:val="005270D7"/>
    <w:rsid w:val="00527157"/>
    <w:rsid w:val="005271CA"/>
    <w:rsid w:val="005273B1"/>
    <w:rsid w:val="005277C5"/>
    <w:rsid w:val="00527B6E"/>
    <w:rsid w:val="00527C31"/>
    <w:rsid w:val="00527D8E"/>
    <w:rsid w:val="00527F3D"/>
    <w:rsid w:val="0053012D"/>
    <w:rsid w:val="00530188"/>
    <w:rsid w:val="005306AA"/>
    <w:rsid w:val="00530702"/>
    <w:rsid w:val="0053080A"/>
    <w:rsid w:val="00530963"/>
    <w:rsid w:val="00530A0C"/>
    <w:rsid w:val="00530C60"/>
    <w:rsid w:val="005310B0"/>
    <w:rsid w:val="005310D8"/>
    <w:rsid w:val="00531632"/>
    <w:rsid w:val="0053190C"/>
    <w:rsid w:val="0053193C"/>
    <w:rsid w:val="00531C4C"/>
    <w:rsid w:val="00531E36"/>
    <w:rsid w:val="0053209B"/>
    <w:rsid w:val="00532197"/>
    <w:rsid w:val="00532608"/>
    <w:rsid w:val="00532641"/>
    <w:rsid w:val="00532686"/>
    <w:rsid w:val="0053306E"/>
    <w:rsid w:val="005330A2"/>
    <w:rsid w:val="00533579"/>
    <w:rsid w:val="0053377A"/>
    <w:rsid w:val="005338D1"/>
    <w:rsid w:val="00533D17"/>
    <w:rsid w:val="005340E4"/>
    <w:rsid w:val="0053421E"/>
    <w:rsid w:val="00534C96"/>
    <w:rsid w:val="0053509A"/>
    <w:rsid w:val="005351C9"/>
    <w:rsid w:val="00535322"/>
    <w:rsid w:val="005355FD"/>
    <w:rsid w:val="0053594C"/>
    <w:rsid w:val="00536250"/>
    <w:rsid w:val="005363D9"/>
    <w:rsid w:val="005364D0"/>
    <w:rsid w:val="00536650"/>
    <w:rsid w:val="00536680"/>
    <w:rsid w:val="005368C9"/>
    <w:rsid w:val="00536ABB"/>
    <w:rsid w:val="00536EAB"/>
    <w:rsid w:val="0053708B"/>
    <w:rsid w:val="0053732C"/>
    <w:rsid w:val="00540281"/>
    <w:rsid w:val="00540716"/>
    <w:rsid w:val="0054079C"/>
    <w:rsid w:val="00541141"/>
    <w:rsid w:val="0054165F"/>
    <w:rsid w:val="00541A80"/>
    <w:rsid w:val="00541B68"/>
    <w:rsid w:val="00541D8A"/>
    <w:rsid w:val="0054226B"/>
    <w:rsid w:val="00542296"/>
    <w:rsid w:val="005424AE"/>
    <w:rsid w:val="0054293F"/>
    <w:rsid w:val="00542B6B"/>
    <w:rsid w:val="00542F20"/>
    <w:rsid w:val="005430E6"/>
    <w:rsid w:val="00543465"/>
    <w:rsid w:val="005435DF"/>
    <w:rsid w:val="005437E9"/>
    <w:rsid w:val="00543813"/>
    <w:rsid w:val="00543957"/>
    <w:rsid w:val="00543B48"/>
    <w:rsid w:val="00543D7A"/>
    <w:rsid w:val="0054404F"/>
    <w:rsid w:val="00544351"/>
    <w:rsid w:val="00544370"/>
    <w:rsid w:val="00544371"/>
    <w:rsid w:val="005445AB"/>
    <w:rsid w:val="0054472C"/>
    <w:rsid w:val="00544921"/>
    <w:rsid w:val="00544EAE"/>
    <w:rsid w:val="005457CF"/>
    <w:rsid w:val="00545D34"/>
    <w:rsid w:val="00547681"/>
    <w:rsid w:val="0054786B"/>
    <w:rsid w:val="00547D60"/>
    <w:rsid w:val="00547F07"/>
    <w:rsid w:val="005509CA"/>
    <w:rsid w:val="00551557"/>
    <w:rsid w:val="005518C3"/>
    <w:rsid w:val="00551CB5"/>
    <w:rsid w:val="00551DD2"/>
    <w:rsid w:val="00551DD6"/>
    <w:rsid w:val="00552216"/>
    <w:rsid w:val="00552278"/>
    <w:rsid w:val="005523E3"/>
    <w:rsid w:val="00552643"/>
    <w:rsid w:val="005526CD"/>
    <w:rsid w:val="0055271D"/>
    <w:rsid w:val="005527DC"/>
    <w:rsid w:val="0055305C"/>
    <w:rsid w:val="00553560"/>
    <w:rsid w:val="0055357D"/>
    <w:rsid w:val="00553650"/>
    <w:rsid w:val="00553826"/>
    <w:rsid w:val="00553982"/>
    <w:rsid w:val="00553B4A"/>
    <w:rsid w:val="00553BA7"/>
    <w:rsid w:val="00553BE9"/>
    <w:rsid w:val="0055451A"/>
    <w:rsid w:val="00554AB1"/>
    <w:rsid w:val="005554A4"/>
    <w:rsid w:val="005555A4"/>
    <w:rsid w:val="00555639"/>
    <w:rsid w:val="00555B7D"/>
    <w:rsid w:val="00555BBA"/>
    <w:rsid w:val="0055619D"/>
    <w:rsid w:val="005562E2"/>
    <w:rsid w:val="0055678B"/>
    <w:rsid w:val="0055701D"/>
    <w:rsid w:val="0055716B"/>
    <w:rsid w:val="0055752D"/>
    <w:rsid w:val="005577EB"/>
    <w:rsid w:val="00557914"/>
    <w:rsid w:val="0055795E"/>
    <w:rsid w:val="00557AE6"/>
    <w:rsid w:val="00557E7C"/>
    <w:rsid w:val="00557F52"/>
    <w:rsid w:val="0056041F"/>
    <w:rsid w:val="005604E3"/>
    <w:rsid w:val="00560F0A"/>
    <w:rsid w:val="00560FB3"/>
    <w:rsid w:val="00561564"/>
    <w:rsid w:val="005616E9"/>
    <w:rsid w:val="00561970"/>
    <w:rsid w:val="00561DED"/>
    <w:rsid w:val="00561F27"/>
    <w:rsid w:val="00562306"/>
    <w:rsid w:val="00562449"/>
    <w:rsid w:val="00562954"/>
    <w:rsid w:val="005629EE"/>
    <w:rsid w:val="00562A4D"/>
    <w:rsid w:val="00562AA6"/>
    <w:rsid w:val="00562AF6"/>
    <w:rsid w:val="00562B13"/>
    <w:rsid w:val="00562E6D"/>
    <w:rsid w:val="00562FD6"/>
    <w:rsid w:val="00563389"/>
    <w:rsid w:val="00563BD3"/>
    <w:rsid w:val="005640C3"/>
    <w:rsid w:val="005648A1"/>
    <w:rsid w:val="00564A7D"/>
    <w:rsid w:val="005650C5"/>
    <w:rsid w:val="00565370"/>
    <w:rsid w:val="005654A9"/>
    <w:rsid w:val="005656AA"/>
    <w:rsid w:val="005657C0"/>
    <w:rsid w:val="0056583B"/>
    <w:rsid w:val="005658AF"/>
    <w:rsid w:val="00565E23"/>
    <w:rsid w:val="00565F80"/>
    <w:rsid w:val="00566070"/>
    <w:rsid w:val="00566362"/>
    <w:rsid w:val="005667C2"/>
    <w:rsid w:val="00566A32"/>
    <w:rsid w:val="00566E3D"/>
    <w:rsid w:val="00566EFC"/>
    <w:rsid w:val="00567276"/>
    <w:rsid w:val="0056729A"/>
    <w:rsid w:val="005675E5"/>
    <w:rsid w:val="0056776F"/>
    <w:rsid w:val="00567792"/>
    <w:rsid w:val="00567C49"/>
    <w:rsid w:val="0057025D"/>
    <w:rsid w:val="005706CA"/>
    <w:rsid w:val="00570814"/>
    <w:rsid w:val="00570921"/>
    <w:rsid w:val="00570AD1"/>
    <w:rsid w:val="00570CB8"/>
    <w:rsid w:val="005713E4"/>
    <w:rsid w:val="005714D7"/>
    <w:rsid w:val="00571700"/>
    <w:rsid w:val="00571985"/>
    <w:rsid w:val="005719E9"/>
    <w:rsid w:val="00571B97"/>
    <w:rsid w:val="00571CC0"/>
    <w:rsid w:val="00571F5A"/>
    <w:rsid w:val="005727F9"/>
    <w:rsid w:val="00572A10"/>
    <w:rsid w:val="00572DB5"/>
    <w:rsid w:val="00572F8D"/>
    <w:rsid w:val="0057314B"/>
    <w:rsid w:val="00573A3D"/>
    <w:rsid w:val="00573DCE"/>
    <w:rsid w:val="00573E3B"/>
    <w:rsid w:val="00574024"/>
    <w:rsid w:val="005743B6"/>
    <w:rsid w:val="00574446"/>
    <w:rsid w:val="005744B9"/>
    <w:rsid w:val="00574A28"/>
    <w:rsid w:val="00574D4B"/>
    <w:rsid w:val="00574D4F"/>
    <w:rsid w:val="00574FAD"/>
    <w:rsid w:val="005757C6"/>
    <w:rsid w:val="00575BAD"/>
    <w:rsid w:val="00575C32"/>
    <w:rsid w:val="00576301"/>
    <w:rsid w:val="00576375"/>
    <w:rsid w:val="005763BD"/>
    <w:rsid w:val="00576E65"/>
    <w:rsid w:val="00576F5A"/>
    <w:rsid w:val="00577413"/>
    <w:rsid w:val="0057764D"/>
    <w:rsid w:val="00577D37"/>
    <w:rsid w:val="00577FCE"/>
    <w:rsid w:val="00580074"/>
    <w:rsid w:val="00580A3C"/>
    <w:rsid w:val="00580AE7"/>
    <w:rsid w:val="0058142E"/>
    <w:rsid w:val="0058148C"/>
    <w:rsid w:val="00581538"/>
    <w:rsid w:val="0058166F"/>
    <w:rsid w:val="005816ED"/>
    <w:rsid w:val="00581AFC"/>
    <w:rsid w:val="00581D38"/>
    <w:rsid w:val="00581D4C"/>
    <w:rsid w:val="0058250F"/>
    <w:rsid w:val="005828E5"/>
    <w:rsid w:val="00582BC0"/>
    <w:rsid w:val="00582C68"/>
    <w:rsid w:val="00582CB9"/>
    <w:rsid w:val="00582EC1"/>
    <w:rsid w:val="00583436"/>
    <w:rsid w:val="00583FEA"/>
    <w:rsid w:val="0058405B"/>
    <w:rsid w:val="0058454F"/>
    <w:rsid w:val="00584652"/>
    <w:rsid w:val="00584752"/>
    <w:rsid w:val="00584852"/>
    <w:rsid w:val="0058496F"/>
    <w:rsid w:val="00584B26"/>
    <w:rsid w:val="00584BFA"/>
    <w:rsid w:val="00584D7E"/>
    <w:rsid w:val="005851ED"/>
    <w:rsid w:val="005853BA"/>
    <w:rsid w:val="0058558C"/>
    <w:rsid w:val="00585871"/>
    <w:rsid w:val="00585ABC"/>
    <w:rsid w:val="00585AF9"/>
    <w:rsid w:val="00585B5A"/>
    <w:rsid w:val="00585BE9"/>
    <w:rsid w:val="00586230"/>
    <w:rsid w:val="005864DA"/>
    <w:rsid w:val="00586509"/>
    <w:rsid w:val="00586549"/>
    <w:rsid w:val="0058677E"/>
    <w:rsid w:val="00586885"/>
    <w:rsid w:val="00586D59"/>
    <w:rsid w:val="00587127"/>
    <w:rsid w:val="00587146"/>
    <w:rsid w:val="005874BE"/>
    <w:rsid w:val="00587592"/>
    <w:rsid w:val="005876B3"/>
    <w:rsid w:val="005879CC"/>
    <w:rsid w:val="005879CF"/>
    <w:rsid w:val="00587AA5"/>
    <w:rsid w:val="00587EA9"/>
    <w:rsid w:val="00590074"/>
    <w:rsid w:val="00590A14"/>
    <w:rsid w:val="00590A80"/>
    <w:rsid w:val="00590B7D"/>
    <w:rsid w:val="00590C19"/>
    <w:rsid w:val="00590C37"/>
    <w:rsid w:val="005912EB"/>
    <w:rsid w:val="005912F4"/>
    <w:rsid w:val="00591578"/>
    <w:rsid w:val="0059184F"/>
    <w:rsid w:val="00591D50"/>
    <w:rsid w:val="00591DE4"/>
    <w:rsid w:val="005920D9"/>
    <w:rsid w:val="005928F6"/>
    <w:rsid w:val="00592E29"/>
    <w:rsid w:val="00593138"/>
    <w:rsid w:val="005932F2"/>
    <w:rsid w:val="00593BC7"/>
    <w:rsid w:val="00593F03"/>
    <w:rsid w:val="00593FBA"/>
    <w:rsid w:val="005940A0"/>
    <w:rsid w:val="005941EC"/>
    <w:rsid w:val="00594240"/>
    <w:rsid w:val="005943AF"/>
    <w:rsid w:val="00594594"/>
    <w:rsid w:val="005949EB"/>
    <w:rsid w:val="00594D41"/>
    <w:rsid w:val="00594D4E"/>
    <w:rsid w:val="00594E09"/>
    <w:rsid w:val="00594ED9"/>
    <w:rsid w:val="00594F18"/>
    <w:rsid w:val="0059559F"/>
    <w:rsid w:val="00595628"/>
    <w:rsid w:val="00595B67"/>
    <w:rsid w:val="00595C63"/>
    <w:rsid w:val="00595C81"/>
    <w:rsid w:val="00595D92"/>
    <w:rsid w:val="00596107"/>
    <w:rsid w:val="005961FC"/>
    <w:rsid w:val="00596C12"/>
    <w:rsid w:val="00596D03"/>
    <w:rsid w:val="0059705A"/>
    <w:rsid w:val="005976D4"/>
    <w:rsid w:val="00597A00"/>
    <w:rsid w:val="00597A58"/>
    <w:rsid w:val="00597AE7"/>
    <w:rsid w:val="00597C08"/>
    <w:rsid w:val="00597E4C"/>
    <w:rsid w:val="005A008A"/>
    <w:rsid w:val="005A01D5"/>
    <w:rsid w:val="005A02BE"/>
    <w:rsid w:val="005A07C6"/>
    <w:rsid w:val="005A087A"/>
    <w:rsid w:val="005A0F2F"/>
    <w:rsid w:val="005A1261"/>
    <w:rsid w:val="005A12D8"/>
    <w:rsid w:val="005A16E8"/>
    <w:rsid w:val="005A189A"/>
    <w:rsid w:val="005A1A9C"/>
    <w:rsid w:val="005A1C98"/>
    <w:rsid w:val="005A1FFC"/>
    <w:rsid w:val="005A209F"/>
    <w:rsid w:val="005A2110"/>
    <w:rsid w:val="005A21F4"/>
    <w:rsid w:val="005A2452"/>
    <w:rsid w:val="005A2810"/>
    <w:rsid w:val="005A2BF2"/>
    <w:rsid w:val="005A2DCD"/>
    <w:rsid w:val="005A2F30"/>
    <w:rsid w:val="005A340B"/>
    <w:rsid w:val="005A3B45"/>
    <w:rsid w:val="005A4B81"/>
    <w:rsid w:val="005A4C71"/>
    <w:rsid w:val="005A5064"/>
    <w:rsid w:val="005A5786"/>
    <w:rsid w:val="005A597C"/>
    <w:rsid w:val="005A5B4B"/>
    <w:rsid w:val="005A5F4B"/>
    <w:rsid w:val="005A64C0"/>
    <w:rsid w:val="005A6DB1"/>
    <w:rsid w:val="005A79A2"/>
    <w:rsid w:val="005A7C5F"/>
    <w:rsid w:val="005A7D6D"/>
    <w:rsid w:val="005B0368"/>
    <w:rsid w:val="005B042F"/>
    <w:rsid w:val="005B05E2"/>
    <w:rsid w:val="005B0759"/>
    <w:rsid w:val="005B0E85"/>
    <w:rsid w:val="005B0F05"/>
    <w:rsid w:val="005B109E"/>
    <w:rsid w:val="005B129A"/>
    <w:rsid w:val="005B1399"/>
    <w:rsid w:val="005B17F6"/>
    <w:rsid w:val="005B18EB"/>
    <w:rsid w:val="005B20CE"/>
    <w:rsid w:val="005B2342"/>
    <w:rsid w:val="005B27B0"/>
    <w:rsid w:val="005B2BD9"/>
    <w:rsid w:val="005B326B"/>
    <w:rsid w:val="005B3EC0"/>
    <w:rsid w:val="005B4180"/>
    <w:rsid w:val="005B42D5"/>
    <w:rsid w:val="005B4C1C"/>
    <w:rsid w:val="005B4C3F"/>
    <w:rsid w:val="005B5029"/>
    <w:rsid w:val="005B5237"/>
    <w:rsid w:val="005B5616"/>
    <w:rsid w:val="005B5638"/>
    <w:rsid w:val="005B569E"/>
    <w:rsid w:val="005B5A58"/>
    <w:rsid w:val="005B5B4E"/>
    <w:rsid w:val="005B6065"/>
    <w:rsid w:val="005B6068"/>
    <w:rsid w:val="005B624C"/>
    <w:rsid w:val="005B638F"/>
    <w:rsid w:val="005B6633"/>
    <w:rsid w:val="005B7069"/>
    <w:rsid w:val="005B7424"/>
    <w:rsid w:val="005B7499"/>
    <w:rsid w:val="005B751D"/>
    <w:rsid w:val="005B752E"/>
    <w:rsid w:val="005B7784"/>
    <w:rsid w:val="005B7847"/>
    <w:rsid w:val="005B7EB7"/>
    <w:rsid w:val="005C0001"/>
    <w:rsid w:val="005C055C"/>
    <w:rsid w:val="005C06F3"/>
    <w:rsid w:val="005C0881"/>
    <w:rsid w:val="005C0FFA"/>
    <w:rsid w:val="005C1084"/>
    <w:rsid w:val="005C11EB"/>
    <w:rsid w:val="005C17F0"/>
    <w:rsid w:val="005C187F"/>
    <w:rsid w:val="005C1C75"/>
    <w:rsid w:val="005C1DEA"/>
    <w:rsid w:val="005C1F1F"/>
    <w:rsid w:val="005C1FF7"/>
    <w:rsid w:val="005C2080"/>
    <w:rsid w:val="005C20E0"/>
    <w:rsid w:val="005C2303"/>
    <w:rsid w:val="005C2430"/>
    <w:rsid w:val="005C264C"/>
    <w:rsid w:val="005C2A57"/>
    <w:rsid w:val="005C2AFC"/>
    <w:rsid w:val="005C2EDB"/>
    <w:rsid w:val="005C3370"/>
    <w:rsid w:val="005C38E0"/>
    <w:rsid w:val="005C3999"/>
    <w:rsid w:val="005C3A57"/>
    <w:rsid w:val="005C3AFA"/>
    <w:rsid w:val="005C3FCB"/>
    <w:rsid w:val="005C421A"/>
    <w:rsid w:val="005C48CB"/>
    <w:rsid w:val="005C4930"/>
    <w:rsid w:val="005C4E23"/>
    <w:rsid w:val="005C4F36"/>
    <w:rsid w:val="005C50A3"/>
    <w:rsid w:val="005C526D"/>
    <w:rsid w:val="005C5278"/>
    <w:rsid w:val="005C5747"/>
    <w:rsid w:val="005C5952"/>
    <w:rsid w:val="005C5983"/>
    <w:rsid w:val="005C5C5D"/>
    <w:rsid w:val="005C5CA7"/>
    <w:rsid w:val="005C6366"/>
    <w:rsid w:val="005C63DF"/>
    <w:rsid w:val="005C6518"/>
    <w:rsid w:val="005C67B0"/>
    <w:rsid w:val="005C6CA4"/>
    <w:rsid w:val="005C72BE"/>
    <w:rsid w:val="005C7358"/>
    <w:rsid w:val="005C78BC"/>
    <w:rsid w:val="005C7CFD"/>
    <w:rsid w:val="005D0508"/>
    <w:rsid w:val="005D06D3"/>
    <w:rsid w:val="005D09BE"/>
    <w:rsid w:val="005D0CD3"/>
    <w:rsid w:val="005D0CF1"/>
    <w:rsid w:val="005D13BB"/>
    <w:rsid w:val="005D149F"/>
    <w:rsid w:val="005D14E3"/>
    <w:rsid w:val="005D15F7"/>
    <w:rsid w:val="005D1D89"/>
    <w:rsid w:val="005D1F94"/>
    <w:rsid w:val="005D2236"/>
    <w:rsid w:val="005D2BE5"/>
    <w:rsid w:val="005D3343"/>
    <w:rsid w:val="005D33ED"/>
    <w:rsid w:val="005D345A"/>
    <w:rsid w:val="005D3539"/>
    <w:rsid w:val="005D37AD"/>
    <w:rsid w:val="005D3BAE"/>
    <w:rsid w:val="005D433D"/>
    <w:rsid w:val="005D4CED"/>
    <w:rsid w:val="005D4E26"/>
    <w:rsid w:val="005D5285"/>
    <w:rsid w:val="005D52CB"/>
    <w:rsid w:val="005D5319"/>
    <w:rsid w:val="005D5640"/>
    <w:rsid w:val="005D5B01"/>
    <w:rsid w:val="005D61B4"/>
    <w:rsid w:val="005D638D"/>
    <w:rsid w:val="005D66ED"/>
    <w:rsid w:val="005D68E2"/>
    <w:rsid w:val="005D6B98"/>
    <w:rsid w:val="005D6BC4"/>
    <w:rsid w:val="005D6D13"/>
    <w:rsid w:val="005D6DFF"/>
    <w:rsid w:val="005D7F93"/>
    <w:rsid w:val="005E01CC"/>
    <w:rsid w:val="005E0310"/>
    <w:rsid w:val="005E0958"/>
    <w:rsid w:val="005E0F34"/>
    <w:rsid w:val="005E0F44"/>
    <w:rsid w:val="005E1054"/>
    <w:rsid w:val="005E1099"/>
    <w:rsid w:val="005E1F10"/>
    <w:rsid w:val="005E2085"/>
    <w:rsid w:val="005E2264"/>
    <w:rsid w:val="005E24CB"/>
    <w:rsid w:val="005E24EC"/>
    <w:rsid w:val="005E327C"/>
    <w:rsid w:val="005E345C"/>
    <w:rsid w:val="005E36CD"/>
    <w:rsid w:val="005E38B1"/>
    <w:rsid w:val="005E3915"/>
    <w:rsid w:val="005E3A8F"/>
    <w:rsid w:val="005E4344"/>
    <w:rsid w:val="005E44EC"/>
    <w:rsid w:val="005E480A"/>
    <w:rsid w:val="005E484A"/>
    <w:rsid w:val="005E4BFE"/>
    <w:rsid w:val="005E4F87"/>
    <w:rsid w:val="005E4FF9"/>
    <w:rsid w:val="005E523D"/>
    <w:rsid w:val="005E5843"/>
    <w:rsid w:val="005E611F"/>
    <w:rsid w:val="005E622F"/>
    <w:rsid w:val="005E654D"/>
    <w:rsid w:val="005E689F"/>
    <w:rsid w:val="005E69A8"/>
    <w:rsid w:val="005E72B1"/>
    <w:rsid w:val="005E75DC"/>
    <w:rsid w:val="005E7884"/>
    <w:rsid w:val="005E7C91"/>
    <w:rsid w:val="005F033F"/>
    <w:rsid w:val="005F047A"/>
    <w:rsid w:val="005F09E9"/>
    <w:rsid w:val="005F0E99"/>
    <w:rsid w:val="005F0FA1"/>
    <w:rsid w:val="005F13C2"/>
    <w:rsid w:val="005F13C8"/>
    <w:rsid w:val="005F14CF"/>
    <w:rsid w:val="005F16F2"/>
    <w:rsid w:val="005F1842"/>
    <w:rsid w:val="005F1954"/>
    <w:rsid w:val="005F19FD"/>
    <w:rsid w:val="005F2159"/>
    <w:rsid w:val="005F2165"/>
    <w:rsid w:val="005F25C3"/>
    <w:rsid w:val="005F2698"/>
    <w:rsid w:val="005F26A4"/>
    <w:rsid w:val="005F2C98"/>
    <w:rsid w:val="005F3059"/>
    <w:rsid w:val="005F30C2"/>
    <w:rsid w:val="005F3194"/>
    <w:rsid w:val="005F34BF"/>
    <w:rsid w:val="005F3651"/>
    <w:rsid w:val="005F3E73"/>
    <w:rsid w:val="005F40E4"/>
    <w:rsid w:val="005F46F3"/>
    <w:rsid w:val="005F4A2A"/>
    <w:rsid w:val="005F4A9D"/>
    <w:rsid w:val="005F4BAC"/>
    <w:rsid w:val="005F51EC"/>
    <w:rsid w:val="005F52C8"/>
    <w:rsid w:val="005F57E4"/>
    <w:rsid w:val="005F595A"/>
    <w:rsid w:val="005F5A02"/>
    <w:rsid w:val="005F5AB2"/>
    <w:rsid w:val="005F5AC9"/>
    <w:rsid w:val="005F5C68"/>
    <w:rsid w:val="005F5CF7"/>
    <w:rsid w:val="005F5EAA"/>
    <w:rsid w:val="005F5FC2"/>
    <w:rsid w:val="005F6648"/>
    <w:rsid w:val="005F6810"/>
    <w:rsid w:val="005F685D"/>
    <w:rsid w:val="005F6C8C"/>
    <w:rsid w:val="005F70C8"/>
    <w:rsid w:val="005F7724"/>
    <w:rsid w:val="005F79EF"/>
    <w:rsid w:val="005F7A1C"/>
    <w:rsid w:val="005F7FAE"/>
    <w:rsid w:val="006001AF"/>
    <w:rsid w:val="00600523"/>
    <w:rsid w:val="006008F2"/>
    <w:rsid w:val="00600C37"/>
    <w:rsid w:val="00600D54"/>
    <w:rsid w:val="00600EE9"/>
    <w:rsid w:val="006010DD"/>
    <w:rsid w:val="006012BD"/>
    <w:rsid w:val="00601482"/>
    <w:rsid w:val="0060148A"/>
    <w:rsid w:val="00601A6D"/>
    <w:rsid w:val="00601A81"/>
    <w:rsid w:val="00601D96"/>
    <w:rsid w:val="00601E68"/>
    <w:rsid w:val="0060230D"/>
    <w:rsid w:val="00602538"/>
    <w:rsid w:val="00602678"/>
    <w:rsid w:val="00602773"/>
    <w:rsid w:val="006028A8"/>
    <w:rsid w:val="00602B5C"/>
    <w:rsid w:val="00602C2B"/>
    <w:rsid w:val="00603030"/>
    <w:rsid w:val="006030FE"/>
    <w:rsid w:val="00603351"/>
    <w:rsid w:val="00603391"/>
    <w:rsid w:val="0060346A"/>
    <w:rsid w:val="006036AF"/>
    <w:rsid w:val="006037E1"/>
    <w:rsid w:val="00603BBA"/>
    <w:rsid w:val="00603BF6"/>
    <w:rsid w:val="0060403B"/>
    <w:rsid w:val="00604376"/>
    <w:rsid w:val="00604BD7"/>
    <w:rsid w:val="00604FA7"/>
    <w:rsid w:val="00605586"/>
    <w:rsid w:val="00605A13"/>
    <w:rsid w:val="00605DC9"/>
    <w:rsid w:val="00605E3D"/>
    <w:rsid w:val="00605EDC"/>
    <w:rsid w:val="00605F94"/>
    <w:rsid w:val="00605FC5"/>
    <w:rsid w:val="006060EB"/>
    <w:rsid w:val="006060F5"/>
    <w:rsid w:val="0060638A"/>
    <w:rsid w:val="006064C8"/>
    <w:rsid w:val="00606663"/>
    <w:rsid w:val="006068C4"/>
    <w:rsid w:val="00606CB4"/>
    <w:rsid w:val="00606CEB"/>
    <w:rsid w:val="00606DB8"/>
    <w:rsid w:val="00606FF6"/>
    <w:rsid w:val="006071CF"/>
    <w:rsid w:val="006073F6"/>
    <w:rsid w:val="006077BB"/>
    <w:rsid w:val="0060784D"/>
    <w:rsid w:val="00607DDB"/>
    <w:rsid w:val="00607E45"/>
    <w:rsid w:val="00610103"/>
    <w:rsid w:val="006101D9"/>
    <w:rsid w:val="00610394"/>
    <w:rsid w:val="0061043E"/>
    <w:rsid w:val="006105FD"/>
    <w:rsid w:val="00610742"/>
    <w:rsid w:val="00610781"/>
    <w:rsid w:val="006110C5"/>
    <w:rsid w:val="00611597"/>
    <w:rsid w:val="00611C33"/>
    <w:rsid w:val="006128E8"/>
    <w:rsid w:val="00612903"/>
    <w:rsid w:val="00612999"/>
    <w:rsid w:val="00612B2D"/>
    <w:rsid w:val="00612D3B"/>
    <w:rsid w:val="00612F43"/>
    <w:rsid w:val="006134CB"/>
    <w:rsid w:val="00613C69"/>
    <w:rsid w:val="006144D8"/>
    <w:rsid w:val="0061450C"/>
    <w:rsid w:val="0061456C"/>
    <w:rsid w:val="0061489D"/>
    <w:rsid w:val="00614DE4"/>
    <w:rsid w:val="006151B3"/>
    <w:rsid w:val="0061573E"/>
    <w:rsid w:val="00615D22"/>
    <w:rsid w:val="006160CB"/>
    <w:rsid w:val="0061671F"/>
    <w:rsid w:val="00616BE5"/>
    <w:rsid w:val="00616D44"/>
    <w:rsid w:val="00616D7A"/>
    <w:rsid w:val="00616E0F"/>
    <w:rsid w:val="00617269"/>
    <w:rsid w:val="006172B8"/>
    <w:rsid w:val="00617ABA"/>
    <w:rsid w:val="00617FA5"/>
    <w:rsid w:val="006203F0"/>
    <w:rsid w:val="00620400"/>
    <w:rsid w:val="006207DD"/>
    <w:rsid w:val="00620B2D"/>
    <w:rsid w:val="00620C42"/>
    <w:rsid w:val="00621067"/>
    <w:rsid w:val="006211F5"/>
    <w:rsid w:val="00621490"/>
    <w:rsid w:val="006215BF"/>
    <w:rsid w:val="0062194F"/>
    <w:rsid w:val="00621D39"/>
    <w:rsid w:val="00621F99"/>
    <w:rsid w:val="006221D7"/>
    <w:rsid w:val="00622455"/>
    <w:rsid w:val="00622D5A"/>
    <w:rsid w:val="00623351"/>
    <w:rsid w:val="006233E4"/>
    <w:rsid w:val="0062363C"/>
    <w:rsid w:val="0062399B"/>
    <w:rsid w:val="00623D92"/>
    <w:rsid w:val="00624AF4"/>
    <w:rsid w:val="00624C4D"/>
    <w:rsid w:val="0062525C"/>
    <w:rsid w:val="00625296"/>
    <w:rsid w:val="00625D78"/>
    <w:rsid w:val="00626420"/>
    <w:rsid w:val="006264F5"/>
    <w:rsid w:val="00626538"/>
    <w:rsid w:val="0062731C"/>
    <w:rsid w:val="006276F6"/>
    <w:rsid w:val="00627A4B"/>
    <w:rsid w:val="00630729"/>
    <w:rsid w:val="006307BD"/>
    <w:rsid w:val="006307C1"/>
    <w:rsid w:val="00630922"/>
    <w:rsid w:val="006309BB"/>
    <w:rsid w:val="00631358"/>
    <w:rsid w:val="00631371"/>
    <w:rsid w:val="0063164A"/>
    <w:rsid w:val="0063166C"/>
    <w:rsid w:val="006319EB"/>
    <w:rsid w:val="00631A06"/>
    <w:rsid w:val="00632152"/>
    <w:rsid w:val="00632164"/>
    <w:rsid w:val="00632202"/>
    <w:rsid w:val="006323B8"/>
    <w:rsid w:val="0063269D"/>
    <w:rsid w:val="0063291F"/>
    <w:rsid w:val="006329F2"/>
    <w:rsid w:val="00632EC4"/>
    <w:rsid w:val="00632F28"/>
    <w:rsid w:val="00633027"/>
    <w:rsid w:val="006330AE"/>
    <w:rsid w:val="006336CB"/>
    <w:rsid w:val="006337E6"/>
    <w:rsid w:val="006342C2"/>
    <w:rsid w:val="006348DC"/>
    <w:rsid w:val="00634B13"/>
    <w:rsid w:val="00634D59"/>
    <w:rsid w:val="006350B7"/>
    <w:rsid w:val="006357CE"/>
    <w:rsid w:val="006359AC"/>
    <w:rsid w:val="00636025"/>
    <w:rsid w:val="0063613B"/>
    <w:rsid w:val="00636365"/>
    <w:rsid w:val="00636398"/>
    <w:rsid w:val="0063644E"/>
    <w:rsid w:val="006367A4"/>
    <w:rsid w:val="00636870"/>
    <w:rsid w:val="0063690F"/>
    <w:rsid w:val="00636AD1"/>
    <w:rsid w:val="00636C53"/>
    <w:rsid w:val="00636C90"/>
    <w:rsid w:val="00636CBF"/>
    <w:rsid w:val="00636CD5"/>
    <w:rsid w:val="00636F18"/>
    <w:rsid w:val="006371D1"/>
    <w:rsid w:val="0063737C"/>
    <w:rsid w:val="00637918"/>
    <w:rsid w:val="00637944"/>
    <w:rsid w:val="00637DCA"/>
    <w:rsid w:val="00637ED0"/>
    <w:rsid w:val="0064043C"/>
    <w:rsid w:val="0064055A"/>
    <w:rsid w:val="006405FC"/>
    <w:rsid w:val="00640832"/>
    <w:rsid w:val="00640A33"/>
    <w:rsid w:val="00640AE5"/>
    <w:rsid w:val="00640C80"/>
    <w:rsid w:val="00641096"/>
    <w:rsid w:val="006410CC"/>
    <w:rsid w:val="00641175"/>
    <w:rsid w:val="0064156D"/>
    <w:rsid w:val="006419B9"/>
    <w:rsid w:val="00641AC1"/>
    <w:rsid w:val="00641C66"/>
    <w:rsid w:val="00642039"/>
    <w:rsid w:val="00642717"/>
    <w:rsid w:val="00642734"/>
    <w:rsid w:val="00642A21"/>
    <w:rsid w:val="00642A24"/>
    <w:rsid w:val="00642B49"/>
    <w:rsid w:val="00642E13"/>
    <w:rsid w:val="006435F0"/>
    <w:rsid w:val="006436BD"/>
    <w:rsid w:val="0064376B"/>
    <w:rsid w:val="00643D65"/>
    <w:rsid w:val="00644358"/>
    <w:rsid w:val="006443CB"/>
    <w:rsid w:val="006444A6"/>
    <w:rsid w:val="0064480C"/>
    <w:rsid w:val="00644A8E"/>
    <w:rsid w:val="00645443"/>
    <w:rsid w:val="0064558D"/>
    <w:rsid w:val="00645609"/>
    <w:rsid w:val="00645F1F"/>
    <w:rsid w:val="0064681E"/>
    <w:rsid w:val="0064691E"/>
    <w:rsid w:val="00646D7D"/>
    <w:rsid w:val="0064717A"/>
    <w:rsid w:val="006472AB"/>
    <w:rsid w:val="00647340"/>
    <w:rsid w:val="00647418"/>
    <w:rsid w:val="00647A4C"/>
    <w:rsid w:val="00647C12"/>
    <w:rsid w:val="006509F2"/>
    <w:rsid w:val="00650A84"/>
    <w:rsid w:val="006511E0"/>
    <w:rsid w:val="00651241"/>
    <w:rsid w:val="00651662"/>
    <w:rsid w:val="00651AC6"/>
    <w:rsid w:val="00651BEC"/>
    <w:rsid w:val="00651EC7"/>
    <w:rsid w:val="00652327"/>
    <w:rsid w:val="00652338"/>
    <w:rsid w:val="006523A3"/>
    <w:rsid w:val="00652405"/>
    <w:rsid w:val="00652421"/>
    <w:rsid w:val="006527BE"/>
    <w:rsid w:val="006527FD"/>
    <w:rsid w:val="00652963"/>
    <w:rsid w:val="00652BB2"/>
    <w:rsid w:val="00653906"/>
    <w:rsid w:val="0065399F"/>
    <w:rsid w:val="00653A38"/>
    <w:rsid w:val="00653B65"/>
    <w:rsid w:val="00653E7F"/>
    <w:rsid w:val="00654043"/>
    <w:rsid w:val="0065448E"/>
    <w:rsid w:val="00654630"/>
    <w:rsid w:val="0065477B"/>
    <w:rsid w:val="00654782"/>
    <w:rsid w:val="00654868"/>
    <w:rsid w:val="006551C3"/>
    <w:rsid w:val="006556C8"/>
    <w:rsid w:val="0065580B"/>
    <w:rsid w:val="006559FB"/>
    <w:rsid w:val="00655C5C"/>
    <w:rsid w:val="00655F6A"/>
    <w:rsid w:val="00655FC2"/>
    <w:rsid w:val="00655FF8"/>
    <w:rsid w:val="00656288"/>
    <w:rsid w:val="0065679D"/>
    <w:rsid w:val="00657110"/>
    <w:rsid w:val="006571A1"/>
    <w:rsid w:val="00657268"/>
    <w:rsid w:val="006573E2"/>
    <w:rsid w:val="006576D1"/>
    <w:rsid w:val="00657884"/>
    <w:rsid w:val="00657926"/>
    <w:rsid w:val="00657B77"/>
    <w:rsid w:val="00657BF8"/>
    <w:rsid w:val="0066061F"/>
    <w:rsid w:val="0066072A"/>
    <w:rsid w:val="00660801"/>
    <w:rsid w:val="00660AB8"/>
    <w:rsid w:val="00660B65"/>
    <w:rsid w:val="00660BCE"/>
    <w:rsid w:val="00660E03"/>
    <w:rsid w:val="0066163C"/>
    <w:rsid w:val="00661856"/>
    <w:rsid w:val="00661912"/>
    <w:rsid w:val="00661AD5"/>
    <w:rsid w:val="00661BAB"/>
    <w:rsid w:val="00661F52"/>
    <w:rsid w:val="00662207"/>
    <w:rsid w:val="006627C8"/>
    <w:rsid w:val="00662904"/>
    <w:rsid w:val="006635A9"/>
    <w:rsid w:val="006636FD"/>
    <w:rsid w:val="0066385B"/>
    <w:rsid w:val="00663BF5"/>
    <w:rsid w:val="006641DC"/>
    <w:rsid w:val="0066426A"/>
    <w:rsid w:val="00664448"/>
    <w:rsid w:val="00664499"/>
    <w:rsid w:val="00664574"/>
    <w:rsid w:val="00664620"/>
    <w:rsid w:val="00664C95"/>
    <w:rsid w:val="00665163"/>
    <w:rsid w:val="006652A0"/>
    <w:rsid w:val="0066581C"/>
    <w:rsid w:val="00665CB4"/>
    <w:rsid w:val="00665D7C"/>
    <w:rsid w:val="00665DEB"/>
    <w:rsid w:val="0066605D"/>
    <w:rsid w:val="006665FE"/>
    <w:rsid w:val="00666816"/>
    <w:rsid w:val="006668B9"/>
    <w:rsid w:val="00666C01"/>
    <w:rsid w:val="00667115"/>
    <w:rsid w:val="0066743F"/>
    <w:rsid w:val="00667465"/>
    <w:rsid w:val="006678E9"/>
    <w:rsid w:val="00667D9F"/>
    <w:rsid w:val="00670428"/>
    <w:rsid w:val="00670621"/>
    <w:rsid w:val="00670904"/>
    <w:rsid w:val="00670D21"/>
    <w:rsid w:val="00670F0D"/>
    <w:rsid w:val="00670FCC"/>
    <w:rsid w:val="00671141"/>
    <w:rsid w:val="00671230"/>
    <w:rsid w:val="006716C4"/>
    <w:rsid w:val="00671AA9"/>
    <w:rsid w:val="00672282"/>
    <w:rsid w:val="006722A8"/>
    <w:rsid w:val="006725EF"/>
    <w:rsid w:val="00672648"/>
    <w:rsid w:val="006726EA"/>
    <w:rsid w:val="00672765"/>
    <w:rsid w:val="006734DB"/>
    <w:rsid w:val="006736C4"/>
    <w:rsid w:val="006738EA"/>
    <w:rsid w:val="006739DB"/>
    <w:rsid w:val="00673E24"/>
    <w:rsid w:val="00673E7A"/>
    <w:rsid w:val="0067462F"/>
    <w:rsid w:val="006746ED"/>
    <w:rsid w:val="00674A55"/>
    <w:rsid w:val="00674EE7"/>
    <w:rsid w:val="006750E0"/>
    <w:rsid w:val="0067585E"/>
    <w:rsid w:val="00675981"/>
    <w:rsid w:val="00675A80"/>
    <w:rsid w:val="00675AAA"/>
    <w:rsid w:val="00675D1D"/>
    <w:rsid w:val="00675E26"/>
    <w:rsid w:val="00675E6C"/>
    <w:rsid w:val="00676172"/>
    <w:rsid w:val="00676BF9"/>
    <w:rsid w:val="00676E32"/>
    <w:rsid w:val="00677477"/>
    <w:rsid w:val="006779B5"/>
    <w:rsid w:val="00677CE6"/>
    <w:rsid w:val="00677F33"/>
    <w:rsid w:val="00680320"/>
    <w:rsid w:val="00680854"/>
    <w:rsid w:val="0068099F"/>
    <w:rsid w:val="00680CAB"/>
    <w:rsid w:val="00680D32"/>
    <w:rsid w:val="00680F5F"/>
    <w:rsid w:val="006811FF"/>
    <w:rsid w:val="00681671"/>
    <w:rsid w:val="006818E3"/>
    <w:rsid w:val="00681F94"/>
    <w:rsid w:val="00681F9E"/>
    <w:rsid w:val="00682687"/>
    <w:rsid w:val="00682734"/>
    <w:rsid w:val="006831B7"/>
    <w:rsid w:val="0068330C"/>
    <w:rsid w:val="0068334F"/>
    <w:rsid w:val="00683597"/>
    <w:rsid w:val="00683C5D"/>
    <w:rsid w:val="0068423C"/>
    <w:rsid w:val="00684533"/>
    <w:rsid w:val="0068492F"/>
    <w:rsid w:val="00684AE9"/>
    <w:rsid w:val="00684F64"/>
    <w:rsid w:val="00685368"/>
    <w:rsid w:val="00685409"/>
    <w:rsid w:val="006856A8"/>
    <w:rsid w:val="006858B4"/>
    <w:rsid w:val="00685A8F"/>
    <w:rsid w:val="00685B48"/>
    <w:rsid w:val="0068604C"/>
    <w:rsid w:val="0068607F"/>
    <w:rsid w:val="00686443"/>
    <w:rsid w:val="0068651A"/>
    <w:rsid w:val="00686554"/>
    <w:rsid w:val="00686797"/>
    <w:rsid w:val="00686852"/>
    <w:rsid w:val="00686B50"/>
    <w:rsid w:val="00686DB8"/>
    <w:rsid w:val="00686EBB"/>
    <w:rsid w:val="0068715B"/>
    <w:rsid w:val="0068729E"/>
    <w:rsid w:val="00687377"/>
    <w:rsid w:val="0068778B"/>
    <w:rsid w:val="006878E9"/>
    <w:rsid w:val="00687DE1"/>
    <w:rsid w:val="00687E76"/>
    <w:rsid w:val="00687EF7"/>
    <w:rsid w:val="0069018B"/>
    <w:rsid w:val="0069034C"/>
    <w:rsid w:val="0069090E"/>
    <w:rsid w:val="00690AFB"/>
    <w:rsid w:val="00690CBB"/>
    <w:rsid w:val="00691215"/>
    <w:rsid w:val="00692330"/>
    <w:rsid w:val="00692343"/>
    <w:rsid w:val="00692BBA"/>
    <w:rsid w:val="00692F86"/>
    <w:rsid w:val="00693060"/>
    <w:rsid w:val="006937A5"/>
    <w:rsid w:val="0069389A"/>
    <w:rsid w:val="00693D43"/>
    <w:rsid w:val="00693E3A"/>
    <w:rsid w:val="0069402D"/>
    <w:rsid w:val="00694179"/>
    <w:rsid w:val="0069461E"/>
    <w:rsid w:val="00694A57"/>
    <w:rsid w:val="00694B3E"/>
    <w:rsid w:val="00694D20"/>
    <w:rsid w:val="0069506C"/>
    <w:rsid w:val="00695236"/>
    <w:rsid w:val="006954D0"/>
    <w:rsid w:val="006954E8"/>
    <w:rsid w:val="0069595D"/>
    <w:rsid w:val="00695C16"/>
    <w:rsid w:val="00695CD6"/>
    <w:rsid w:val="00695E5C"/>
    <w:rsid w:val="006960CF"/>
    <w:rsid w:val="006964BE"/>
    <w:rsid w:val="00696A67"/>
    <w:rsid w:val="00696B8E"/>
    <w:rsid w:val="00696CE9"/>
    <w:rsid w:val="006976FD"/>
    <w:rsid w:val="0069793D"/>
    <w:rsid w:val="006979BA"/>
    <w:rsid w:val="00697FC1"/>
    <w:rsid w:val="006A0208"/>
    <w:rsid w:val="006A0313"/>
    <w:rsid w:val="006A0550"/>
    <w:rsid w:val="006A07B0"/>
    <w:rsid w:val="006A0825"/>
    <w:rsid w:val="006A0BBB"/>
    <w:rsid w:val="006A0D72"/>
    <w:rsid w:val="006A0E73"/>
    <w:rsid w:val="006A0FCF"/>
    <w:rsid w:val="006A1580"/>
    <w:rsid w:val="006A180B"/>
    <w:rsid w:val="006A189C"/>
    <w:rsid w:val="006A2038"/>
    <w:rsid w:val="006A24E4"/>
    <w:rsid w:val="006A25BD"/>
    <w:rsid w:val="006A2724"/>
    <w:rsid w:val="006A27A8"/>
    <w:rsid w:val="006A2A12"/>
    <w:rsid w:val="006A2B3E"/>
    <w:rsid w:val="006A3756"/>
    <w:rsid w:val="006A3A80"/>
    <w:rsid w:val="006A420D"/>
    <w:rsid w:val="006A4328"/>
    <w:rsid w:val="006A44D8"/>
    <w:rsid w:val="006A45A2"/>
    <w:rsid w:val="006A45D8"/>
    <w:rsid w:val="006A464F"/>
    <w:rsid w:val="006A476B"/>
    <w:rsid w:val="006A48BF"/>
    <w:rsid w:val="006A4A99"/>
    <w:rsid w:val="006A4D7A"/>
    <w:rsid w:val="006A4EF4"/>
    <w:rsid w:val="006A5187"/>
    <w:rsid w:val="006A51D0"/>
    <w:rsid w:val="006A5E2F"/>
    <w:rsid w:val="006A606F"/>
    <w:rsid w:val="006A6211"/>
    <w:rsid w:val="006A6303"/>
    <w:rsid w:val="006A6C49"/>
    <w:rsid w:val="006A6C91"/>
    <w:rsid w:val="006A6ED5"/>
    <w:rsid w:val="006A700F"/>
    <w:rsid w:val="006A7044"/>
    <w:rsid w:val="006A7663"/>
    <w:rsid w:val="006A76F8"/>
    <w:rsid w:val="006A777B"/>
    <w:rsid w:val="006A78BA"/>
    <w:rsid w:val="006B02CF"/>
    <w:rsid w:val="006B08DB"/>
    <w:rsid w:val="006B0CAE"/>
    <w:rsid w:val="006B10C6"/>
    <w:rsid w:val="006B137D"/>
    <w:rsid w:val="006B145F"/>
    <w:rsid w:val="006B19D8"/>
    <w:rsid w:val="006B1C18"/>
    <w:rsid w:val="006B1D5E"/>
    <w:rsid w:val="006B2151"/>
    <w:rsid w:val="006B244E"/>
    <w:rsid w:val="006B24DC"/>
    <w:rsid w:val="006B3531"/>
    <w:rsid w:val="006B3798"/>
    <w:rsid w:val="006B3AD3"/>
    <w:rsid w:val="006B3E8E"/>
    <w:rsid w:val="006B4972"/>
    <w:rsid w:val="006B4C1D"/>
    <w:rsid w:val="006B4CA9"/>
    <w:rsid w:val="006B4DEB"/>
    <w:rsid w:val="006B589E"/>
    <w:rsid w:val="006B59D6"/>
    <w:rsid w:val="006B5BE8"/>
    <w:rsid w:val="006B5C61"/>
    <w:rsid w:val="006B5F2F"/>
    <w:rsid w:val="006B631E"/>
    <w:rsid w:val="006B6487"/>
    <w:rsid w:val="006B7181"/>
    <w:rsid w:val="006B73D5"/>
    <w:rsid w:val="006B75AA"/>
    <w:rsid w:val="006B78D5"/>
    <w:rsid w:val="006B7A07"/>
    <w:rsid w:val="006B7B2F"/>
    <w:rsid w:val="006B7D30"/>
    <w:rsid w:val="006B7FE6"/>
    <w:rsid w:val="006C00A6"/>
    <w:rsid w:val="006C023E"/>
    <w:rsid w:val="006C033C"/>
    <w:rsid w:val="006C03D7"/>
    <w:rsid w:val="006C0666"/>
    <w:rsid w:val="006C06A0"/>
    <w:rsid w:val="006C0E5D"/>
    <w:rsid w:val="006C126B"/>
    <w:rsid w:val="006C179B"/>
    <w:rsid w:val="006C1ACF"/>
    <w:rsid w:val="006C1B61"/>
    <w:rsid w:val="006C1E25"/>
    <w:rsid w:val="006C1F32"/>
    <w:rsid w:val="006C2366"/>
    <w:rsid w:val="006C2391"/>
    <w:rsid w:val="006C25A2"/>
    <w:rsid w:val="006C2989"/>
    <w:rsid w:val="006C2A7A"/>
    <w:rsid w:val="006C2B7A"/>
    <w:rsid w:val="006C2CA4"/>
    <w:rsid w:val="006C3670"/>
    <w:rsid w:val="006C3D22"/>
    <w:rsid w:val="006C3E3A"/>
    <w:rsid w:val="006C3E9D"/>
    <w:rsid w:val="006C42ED"/>
    <w:rsid w:val="006C433E"/>
    <w:rsid w:val="006C44D7"/>
    <w:rsid w:val="006C4801"/>
    <w:rsid w:val="006C4BEA"/>
    <w:rsid w:val="006C4D8C"/>
    <w:rsid w:val="006C5022"/>
    <w:rsid w:val="006C51B0"/>
    <w:rsid w:val="006C5490"/>
    <w:rsid w:val="006C5822"/>
    <w:rsid w:val="006C5B86"/>
    <w:rsid w:val="006C5D64"/>
    <w:rsid w:val="006C614B"/>
    <w:rsid w:val="006C6188"/>
    <w:rsid w:val="006C61A0"/>
    <w:rsid w:val="006C61DE"/>
    <w:rsid w:val="006C6865"/>
    <w:rsid w:val="006C68EB"/>
    <w:rsid w:val="006C6AEB"/>
    <w:rsid w:val="006C6BFB"/>
    <w:rsid w:val="006C707A"/>
    <w:rsid w:val="006C71E2"/>
    <w:rsid w:val="006C7266"/>
    <w:rsid w:val="006C737E"/>
    <w:rsid w:val="006C74A4"/>
    <w:rsid w:val="006C7566"/>
    <w:rsid w:val="006C79B5"/>
    <w:rsid w:val="006C7AB2"/>
    <w:rsid w:val="006D01BE"/>
    <w:rsid w:val="006D0209"/>
    <w:rsid w:val="006D02E9"/>
    <w:rsid w:val="006D03E8"/>
    <w:rsid w:val="006D04FF"/>
    <w:rsid w:val="006D08FE"/>
    <w:rsid w:val="006D09AC"/>
    <w:rsid w:val="006D0B1E"/>
    <w:rsid w:val="006D0BBE"/>
    <w:rsid w:val="006D0C63"/>
    <w:rsid w:val="006D0CD9"/>
    <w:rsid w:val="006D0CF4"/>
    <w:rsid w:val="006D12A6"/>
    <w:rsid w:val="006D12AC"/>
    <w:rsid w:val="006D1B53"/>
    <w:rsid w:val="006D2000"/>
    <w:rsid w:val="006D205B"/>
    <w:rsid w:val="006D2090"/>
    <w:rsid w:val="006D237A"/>
    <w:rsid w:val="006D2733"/>
    <w:rsid w:val="006D2B08"/>
    <w:rsid w:val="006D2BC2"/>
    <w:rsid w:val="006D2E7B"/>
    <w:rsid w:val="006D30F8"/>
    <w:rsid w:val="006D3100"/>
    <w:rsid w:val="006D3904"/>
    <w:rsid w:val="006D3EE9"/>
    <w:rsid w:val="006D3FE0"/>
    <w:rsid w:val="006D42D6"/>
    <w:rsid w:val="006D4378"/>
    <w:rsid w:val="006D46F3"/>
    <w:rsid w:val="006D4704"/>
    <w:rsid w:val="006D4842"/>
    <w:rsid w:val="006D4C35"/>
    <w:rsid w:val="006D4CE5"/>
    <w:rsid w:val="006D52E6"/>
    <w:rsid w:val="006D5693"/>
    <w:rsid w:val="006D5A27"/>
    <w:rsid w:val="006D5A36"/>
    <w:rsid w:val="006D5C77"/>
    <w:rsid w:val="006D5CC0"/>
    <w:rsid w:val="006D617C"/>
    <w:rsid w:val="006D6260"/>
    <w:rsid w:val="006D6468"/>
    <w:rsid w:val="006D6952"/>
    <w:rsid w:val="006D6D0C"/>
    <w:rsid w:val="006D72D6"/>
    <w:rsid w:val="006D748B"/>
    <w:rsid w:val="006D7C23"/>
    <w:rsid w:val="006D7E33"/>
    <w:rsid w:val="006E0291"/>
    <w:rsid w:val="006E04DD"/>
    <w:rsid w:val="006E07AD"/>
    <w:rsid w:val="006E098B"/>
    <w:rsid w:val="006E0A29"/>
    <w:rsid w:val="006E1273"/>
    <w:rsid w:val="006E1304"/>
    <w:rsid w:val="006E19BC"/>
    <w:rsid w:val="006E1DFC"/>
    <w:rsid w:val="006E1E5D"/>
    <w:rsid w:val="006E1F80"/>
    <w:rsid w:val="006E2022"/>
    <w:rsid w:val="006E20C4"/>
    <w:rsid w:val="006E22D9"/>
    <w:rsid w:val="006E2348"/>
    <w:rsid w:val="006E23A0"/>
    <w:rsid w:val="006E23C3"/>
    <w:rsid w:val="006E2967"/>
    <w:rsid w:val="006E2C64"/>
    <w:rsid w:val="006E2E26"/>
    <w:rsid w:val="006E346E"/>
    <w:rsid w:val="006E347B"/>
    <w:rsid w:val="006E34E6"/>
    <w:rsid w:val="006E34ED"/>
    <w:rsid w:val="006E362D"/>
    <w:rsid w:val="006E3713"/>
    <w:rsid w:val="006E38DC"/>
    <w:rsid w:val="006E3A66"/>
    <w:rsid w:val="006E4E15"/>
    <w:rsid w:val="006E5198"/>
    <w:rsid w:val="006E5608"/>
    <w:rsid w:val="006E56BA"/>
    <w:rsid w:val="006E5F08"/>
    <w:rsid w:val="006E5FF0"/>
    <w:rsid w:val="006E6048"/>
    <w:rsid w:val="006E60A6"/>
    <w:rsid w:val="006E641E"/>
    <w:rsid w:val="006E64CD"/>
    <w:rsid w:val="006E64FE"/>
    <w:rsid w:val="006E6AC5"/>
    <w:rsid w:val="006E70B3"/>
    <w:rsid w:val="006E714A"/>
    <w:rsid w:val="006E7375"/>
    <w:rsid w:val="006E75CD"/>
    <w:rsid w:val="006E7CB1"/>
    <w:rsid w:val="006E7D36"/>
    <w:rsid w:val="006E7FE1"/>
    <w:rsid w:val="006F000A"/>
    <w:rsid w:val="006F0629"/>
    <w:rsid w:val="006F0BDC"/>
    <w:rsid w:val="006F0CB1"/>
    <w:rsid w:val="006F0D9E"/>
    <w:rsid w:val="006F0DAA"/>
    <w:rsid w:val="006F1200"/>
    <w:rsid w:val="006F13C5"/>
    <w:rsid w:val="006F13D2"/>
    <w:rsid w:val="006F15C1"/>
    <w:rsid w:val="006F193C"/>
    <w:rsid w:val="006F1949"/>
    <w:rsid w:val="006F1CB7"/>
    <w:rsid w:val="006F1F6F"/>
    <w:rsid w:val="006F2197"/>
    <w:rsid w:val="006F21E5"/>
    <w:rsid w:val="006F25A3"/>
    <w:rsid w:val="006F2604"/>
    <w:rsid w:val="006F2A86"/>
    <w:rsid w:val="006F2D12"/>
    <w:rsid w:val="006F3410"/>
    <w:rsid w:val="006F34AF"/>
    <w:rsid w:val="006F3784"/>
    <w:rsid w:val="006F3C00"/>
    <w:rsid w:val="006F4034"/>
    <w:rsid w:val="006F4161"/>
    <w:rsid w:val="006F4267"/>
    <w:rsid w:val="006F4644"/>
    <w:rsid w:val="006F47BE"/>
    <w:rsid w:val="006F482E"/>
    <w:rsid w:val="006F4A33"/>
    <w:rsid w:val="006F4A5C"/>
    <w:rsid w:val="006F4A7E"/>
    <w:rsid w:val="006F4AFB"/>
    <w:rsid w:val="006F4CFB"/>
    <w:rsid w:val="006F4EAD"/>
    <w:rsid w:val="006F5141"/>
    <w:rsid w:val="006F543E"/>
    <w:rsid w:val="006F553E"/>
    <w:rsid w:val="006F56D4"/>
    <w:rsid w:val="006F5715"/>
    <w:rsid w:val="006F586E"/>
    <w:rsid w:val="006F599C"/>
    <w:rsid w:val="006F59DE"/>
    <w:rsid w:val="006F61F4"/>
    <w:rsid w:val="006F62E3"/>
    <w:rsid w:val="006F635C"/>
    <w:rsid w:val="006F6401"/>
    <w:rsid w:val="006F644C"/>
    <w:rsid w:val="006F6747"/>
    <w:rsid w:val="006F6AC7"/>
    <w:rsid w:val="006F6E23"/>
    <w:rsid w:val="006F7378"/>
    <w:rsid w:val="006F7534"/>
    <w:rsid w:val="006F7792"/>
    <w:rsid w:val="007000CC"/>
    <w:rsid w:val="0070085F"/>
    <w:rsid w:val="00700E47"/>
    <w:rsid w:val="00700FCD"/>
    <w:rsid w:val="007010C2"/>
    <w:rsid w:val="007011BE"/>
    <w:rsid w:val="00701443"/>
    <w:rsid w:val="007015A0"/>
    <w:rsid w:val="00701743"/>
    <w:rsid w:val="00701F05"/>
    <w:rsid w:val="0070211F"/>
    <w:rsid w:val="007022CF"/>
    <w:rsid w:val="007025E7"/>
    <w:rsid w:val="007029E0"/>
    <w:rsid w:val="00702CB6"/>
    <w:rsid w:val="00702DD9"/>
    <w:rsid w:val="007033A2"/>
    <w:rsid w:val="007035D1"/>
    <w:rsid w:val="007036E3"/>
    <w:rsid w:val="00703799"/>
    <w:rsid w:val="00703F74"/>
    <w:rsid w:val="00704165"/>
    <w:rsid w:val="00704505"/>
    <w:rsid w:val="00704FD1"/>
    <w:rsid w:val="007051D6"/>
    <w:rsid w:val="00705900"/>
    <w:rsid w:val="00705E1A"/>
    <w:rsid w:val="00705E66"/>
    <w:rsid w:val="00705E9D"/>
    <w:rsid w:val="00706177"/>
    <w:rsid w:val="007061FA"/>
    <w:rsid w:val="007062CF"/>
    <w:rsid w:val="00706579"/>
    <w:rsid w:val="0070664C"/>
    <w:rsid w:val="00706678"/>
    <w:rsid w:val="007066C7"/>
    <w:rsid w:val="007066F9"/>
    <w:rsid w:val="0070672D"/>
    <w:rsid w:val="007068B3"/>
    <w:rsid w:val="00706EAF"/>
    <w:rsid w:val="0070709B"/>
    <w:rsid w:val="007074BC"/>
    <w:rsid w:val="00707614"/>
    <w:rsid w:val="0070765F"/>
    <w:rsid w:val="00707C3F"/>
    <w:rsid w:val="00707EA9"/>
    <w:rsid w:val="007100A0"/>
    <w:rsid w:val="00710544"/>
    <w:rsid w:val="00710545"/>
    <w:rsid w:val="00710A30"/>
    <w:rsid w:val="00710A9E"/>
    <w:rsid w:val="00710F6A"/>
    <w:rsid w:val="007111D4"/>
    <w:rsid w:val="007111EA"/>
    <w:rsid w:val="0071183C"/>
    <w:rsid w:val="00711B56"/>
    <w:rsid w:val="00711BB2"/>
    <w:rsid w:val="00711BF0"/>
    <w:rsid w:val="00711D5B"/>
    <w:rsid w:val="00712084"/>
    <w:rsid w:val="0071208E"/>
    <w:rsid w:val="0071222C"/>
    <w:rsid w:val="007123D5"/>
    <w:rsid w:val="00712561"/>
    <w:rsid w:val="007128A8"/>
    <w:rsid w:val="00712BE7"/>
    <w:rsid w:val="00712D19"/>
    <w:rsid w:val="0071321E"/>
    <w:rsid w:val="00713227"/>
    <w:rsid w:val="0071333A"/>
    <w:rsid w:val="007133F9"/>
    <w:rsid w:val="00713535"/>
    <w:rsid w:val="00713E1E"/>
    <w:rsid w:val="00713F05"/>
    <w:rsid w:val="007142F1"/>
    <w:rsid w:val="00714376"/>
    <w:rsid w:val="007144A2"/>
    <w:rsid w:val="00714602"/>
    <w:rsid w:val="00714717"/>
    <w:rsid w:val="00714814"/>
    <w:rsid w:val="00714C5B"/>
    <w:rsid w:val="00714C74"/>
    <w:rsid w:val="00714D1A"/>
    <w:rsid w:val="00714F51"/>
    <w:rsid w:val="0071579A"/>
    <w:rsid w:val="00715837"/>
    <w:rsid w:val="00715AED"/>
    <w:rsid w:val="00715B36"/>
    <w:rsid w:val="0071617F"/>
    <w:rsid w:val="007161ED"/>
    <w:rsid w:val="0071689C"/>
    <w:rsid w:val="00716D01"/>
    <w:rsid w:val="0071786E"/>
    <w:rsid w:val="0072043F"/>
    <w:rsid w:val="00720611"/>
    <w:rsid w:val="00720799"/>
    <w:rsid w:val="0072088E"/>
    <w:rsid w:val="00720FF6"/>
    <w:rsid w:val="0072129B"/>
    <w:rsid w:val="007213F3"/>
    <w:rsid w:val="00721694"/>
    <w:rsid w:val="007217D5"/>
    <w:rsid w:val="00721DA2"/>
    <w:rsid w:val="00721F1D"/>
    <w:rsid w:val="0072208D"/>
    <w:rsid w:val="0072211A"/>
    <w:rsid w:val="00722183"/>
    <w:rsid w:val="00722605"/>
    <w:rsid w:val="00722957"/>
    <w:rsid w:val="00722B8A"/>
    <w:rsid w:val="0072314D"/>
    <w:rsid w:val="0072319B"/>
    <w:rsid w:val="0072332D"/>
    <w:rsid w:val="007236EC"/>
    <w:rsid w:val="00723DA5"/>
    <w:rsid w:val="00724183"/>
    <w:rsid w:val="007243DF"/>
    <w:rsid w:val="00724440"/>
    <w:rsid w:val="0072448F"/>
    <w:rsid w:val="00724B10"/>
    <w:rsid w:val="00724EAB"/>
    <w:rsid w:val="007251C7"/>
    <w:rsid w:val="007252EF"/>
    <w:rsid w:val="00725B8F"/>
    <w:rsid w:val="0072607F"/>
    <w:rsid w:val="007260C7"/>
    <w:rsid w:val="007262BD"/>
    <w:rsid w:val="007263A7"/>
    <w:rsid w:val="007263CD"/>
    <w:rsid w:val="00726649"/>
    <w:rsid w:val="00726852"/>
    <w:rsid w:val="00726C71"/>
    <w:rsid w:val="00727807"/>
    <w:rsid w:val="00727A37"/>
    <w:rsid w:val="0073003D"/>
    <w:rsid w:val="0073004D"/>
    <w:rsid w:val="00730615"/>
    <w:rsid w:val="00731531"/>
    <w:rsid w:val="007315AA"/>
    <w:rsid w:val="00731A0E"/>
    <w:rsid w:val="00731B57"/>
    <w:rsid w:val="00731EF8"/>
    <w:rsid w:val="007326B2"/>
    <w:rsid w:val="00732715"/>
    <w:rsid w:val="00732979"/>
    <w:rsid w:val="00732B20"/>
    <w:rsid w:val="00732BB5"/>
    <w:rsid w:val="00732C11"/>
    <w:rsid w:val="00732CA5"/>
    <w:rsid w:val="00732D2B"/>
    <w:rsid w:val="0073325F"/>
    <w:rsid w:val="0073351C"/>
    <w:rsid w:val="00733857"/>
    <w:rsid w:val="00733890"/>
    <w:rsid w:val="00733DDD"/>
    <w:rsid w:val="00733EA8"/>
    <w:rsid w:val="0073414F"/>
    <w:rsid w:val="00734598"/>
    <w:rsid w:val="00734667"/>
    <w:rsid w:val="007347C2"/>
    <w:rsid w:val="007347D4"/>
    <w:rsid w:val="00734D9A"/>
    <w:rsid w:val="00734F40"/>
    <w:rsid w:val="00734FCC"/>
    <w:rsid w:val="00734FD1"/>
    <w:rsid w:val="00735066"/>
    <w:rsid w:val="007351B9"/>
    <w:rsid w:val="007351F2"/>
    <w:rsid w:val="007353A1"/>
    <w:rsid w:val="007356CF"/>
    <w:rsid w:val="0073584E"/>
    <w:rsid w:val="00735C82"/>
    <w:rsid w:val="00735C8A"/>
    <w:rsid w:val="00735CC4"/>
    <w:rsid w:val="0073639F"/>
    <w:rsid w:val="007367F1"/>
    <w:rsid w:val="0073699C"/>
    <w:rsid w:val="00736AFD"/>
    <w:rsid w:val="00736F24"/>
    <w:rsid w:val="00736FC0"/>
    <w:rsid w:val="00736FD3"/>
    <w:rsid w:val="00737620"/>
    <w:rsid w:val="007376F1"/>
    <w:rsid w:val="00737EDA"/>
    <w:rsid w:val="00737F6C"/>
    <w:rsid w:val="00737F78"/>
    <w:rsid w:val="0074018A"/>
    <w:rsid w:val="00740254"/>
    <w:rsid w:val="00740350"/>
    <w:rsid w:val="0074072D"/>
    <w:rsid w:val="00740758"/>
    <w:rsid w:val="007409B0"/>
    <w:rsid w:val="00740B0B"/>
    <w:rsid w:val="00740E75"/>
    <w:rsid w:val="00740E99"/>
    <w:rsid w:val="0074183E"/>
    <w:rsid w:val="007419E5"/>
    <w:rsid w:val="00741D13"/>
    <w:rsid w:val="00741FC7"/>
    <w:rsid w:val="00741FE1"/>
    <w:rsid w:val="0074291A"/>
    <w:rsid w:val="00743404"/>
    <w:rsid w:val="007437A8"/>
    <w:rsid w:val="00743B35"/>
    <w:rsid w:val="00743BC8"/>
    <w:rsid w:val="00743DFC"/>
    <w:rsid w:val="00743EC8"/>
    <w:rsid w:val="00743ED8"/>
    <w:rsid w:val="00744422"/>
    <w:rsid w:val="007444B2"/>
    <w:rsid w:val="007446FF"/>
    <w:rsid w:val="0074474F"/>
    <w:rsid w:val="00744A4A"/>
    <w:rsid w:val="00744B4A"/>
    <w:rsid w:val="00745788"/>
    <w:rsid w:val="007459EB"/>
    <w:rsid w:val="00745A38"/>
    <w:rsid w:val="00745A82"/>
    <w:rsid w:val="00745F55"/>
    <w:rsid w:val="00746017"/>
    <w:rsid w:val="007460E5"/>
    <w:rsid w:val="00746353"/>
    <w:rsid w:val="00746596"/>
    <w:rsid w:val="00746706"/>
    <w:rsid w:val="00746C48"/>
    <w:rsid w:val="00747077"/>
    <w:rsid w:val="007472A1"/>
    <w:rsid w:val="00747419"/>
    <w:rsid w:val="0074754D"/>
    <w:rsid w:val="0074780B"/>
    <w:rsid w:val="00747B3B"/>
    <w:rsid w:val="00747B6B"/>
    <w:rsid w:val="00747F3E"/>
    <w:rsid w:val="0075004D"/>
    <w:rsid w:val="0075041B"/>
    <w:rsid w:val="00750A76"/>
    <w:rsid w:val="00750F72"/>
    <w:rsid w:val="00751019"/>
    <w:rsid w:val="0075129B"/>
    <w:rsid w:val="0075160C"/>
    <w:rsid w:val="00751A29"/>
    <w:rsid w:val="00751B86"/>
    <w:rsid w:val="00751C4F"/>
    <w:rsid w:val="00751E0C"/>
    <w:rsid w:val="007521BD"/>
    <w:rsid w:val="00752467"/>
    <w:rsid w:val="0075277E"/>
    <w:rsid w:val="007528C1"/>
    <w:rsid w:val="00752B40"/>
    <w:rsid w:val="00753280"/>
    <w:rsid w:val="007535E3"/>
    <w:rsid w:val="0075377F"/>
    <w:rsid w:val="00753814"/>
    <w:rsid w:val="00753A3B"/>
    <w:rsid w:val="00753C6B"/>
    <w:rsid w:val="007540BE"/>
    <w:rsid w:val="00754219"/>
    <w:rsid w:val="00754448"/>
    <w:rsid w:val="0075447D"/>
    <w:rsid w:val="00754A81"/>
    <w:rsid w:val="00754B73"/>
    <w:rsid w:val="007553BA"/>
    <w:rsid w:val="007556F4"/>
    <w:rsid w:val="00755E39"/>
    <w:rsid w:val="00756239"/>
    <w:rsid w:val="00756645"/>
    <w:rsid w:val="0075679C"/>
    <w:rsid w:val="007568E9"/>
    <w:rsid w:val="00756C44"/>
    <w:rsid w:val="00756CCC"/>
    <w:rsid w:val="00757369"/>
    <w:rsid w:val="0075758E"/>
    <w:rsid w:val="00757617"/>
    <w:rsid w:val="00757702"/>
    <w:rsid w:val="00757817"/>
    <w:rsid w:val="0075794B"/>
    <w:rsid w:val="00757A02"/>
    <w:rsid w:val="00757D56"/>
    <w:rsid w:val="0076029E"/>
    <w:rsid w:val="00760392"/>
    <w:rsid w:val="0076089A"/>
    <w:rsid w:val="00760BE2"/>
    <w:rsid w:val="00760CDB"/>
    <w:rsid w:val="00760DC8"/>
    <w:rsid w:val="00760FEA"/>
    <w:rsid w:val="007615EB"/>
    <w:rsid w:val="0076182A"/>
    <w:rsid w:val="00761853"/>
    <w:rsid w:val="007618AB"/>
    <w:rsid w:val="0076191A"/>
    <w:rsid w:val="0076194D"/>
    <w:rsid w:val="00761D3B"/>
    <w:rsid w:val="00761DAD"/>
    <w:rsid w:val="00761DB7"/>
    <w:rsid w:val="007620E1"/>
    <w:rsid w:val="00762234"/>
    <w:rsid w:val="00762518"/>
    <w:rsid w:val="0076294C"/>
    <w:rsid w:val="00762B9F"/>
    <w:rsid w:val="00762C94"/>
    <w:rsid w:val="00762D39"/>
    <w:rsid w:val="00762F43"/>
    <w:rsid w:val="0076307B"/>
    <w:rsid w:val="007631A4"/>
    <w:rsid w:val="007637B2"/>
    <w:rsid w:val="00763ABB"/>
    <w:rsid w:val="00763B43"/>
    <w:rsid w:val="00763C5B"/>
    <w:rsid w:val="00763D87"/>
    <w:rsid w:val="00764247"/>
    <w:rsid w:val="007643C5"/>
    <w:rsid w:val="007648E3"/>
    <w:rsid w:val="00765C4D"/>
    <w:rsid w:val="007663BE"/>
    <w:rsid w:val="0076641C"/>
    <w:rsid w:val="00766500"/>
    <w:rsid w:val="00766555"/>
    <w:rsid w:val="00766577"/>
    <w:rsid w:val="00766664"/>
    <w:rsid w:val="00766B13"/>
    <w:rsid w:val="00766CF6"/>
    <w:rsid w:val="00767004"/>
    <w:rsid w:val="0076701D"/>
    <w:rsid w:val="0076726C"/>
    <w:rsid w:val="00767400"/>
    <w:rsid w:val="007675FB"/>
    <w:rsid w:val="007677D2"/>
    <w:rsid w:val="00767CD1"/>
    <w:rsid w:val="007704CE"/>
    <w:rsid w:val="00770A1F"/>
    <w:rsid w:val="00770A7C"/>
    <w:rsid w:val="0077117B"/>
    <w:rsid w:val="00771785"/>
    <w:rsid w:val="007718CD"/>
    <w:rsid w:val="007719A3"/>
    <w:rsid w:val="007724BC"/>
    <w:rsid w:val="00772A1D"/>
    <w:rsid w:val="00772BE1"/>
    <w:rsid w:val="007731CD"/>
    <w:rsid w:val="00773555"/>
    <w:rsid w:val="00773700"/>
    <w:rsid w:val="007737D2"/>
    <w:rsid w:val="00773AEE"/>
    <w:rsid w:val="00774749"/>
    <w:rsid w:val="00774887"/>
    <w:rsid w:val="00774DB9"/>
    <w:rsid w:val="00774DED"/>
    <w:rsid w:val="00774EC4"/>
    <w:rsid w:val="007750C6"/>
    <w:rsid w:val="00775938"/>
    <w:rsid w:val="00775C1C"/>
    <w:rsid w:val="007761C8"/>
    <w:rsid w:val="0077628B"/>
    <w:rsid w:val="00776460"/>
    <w:rsid w:val="00777512"/>
    <w:rsid w:val="00777552"/>
    <w:rsid w:val="007776F8"/>
    <w:rsid w:val="007777E1"/>
    <w:rsid w:val="00777836"/>
    <w:rsid w:val="00777E0E"/>
    <w:rsid w:val="00777FD4"/>
    <w:rsid w:val="00780024"/>
    <w:rsid w:val="00780239"/>
    <w:rsid w:val="007802FD"/>
    <w:rsid w:val="00780344"/>
    <w:rsid w:val="0078062E"/>
    <w:rsid w:val="007806C5"/>
    <w:rsid w:val="00780970"/>
    <w:rsid w:val="00780A84"/>
    <w:rsid w:val="00780AF3"/>
    <w:rsid w:val="00780BF7"/>
    <w:rsid w:val="00780C1E"/>
    <w:rsid w:val="00780F45"/>
    <w:rsid w:val="007814EB"/>
    <w:rsid w:val="00781AC9"/>
    <w:rsid w:val="00781D39"/>
    <w:rsid w:val="00781E1D"/>
    <w:rsid w:val="007823AB"/>
    <w:rsid w:val="0078247C"/>
    <w:rsid w:val="0078253E"/>
    <w:rsid w:val="007825DC"/>
    <w:rsid w:val="0078285F"/>
    <w:rsid w:val="00782C61"/>
    <w:rsid w:val="00782D78"/>
    <w:rsid w:val="00782EAC"/>
    <w:rsid w:val="007838A8"/>
    <w:rsid w:val="00784628"/>
    <w:rsid w:val="007846FE"/>
    <w:rsid w:val="00784A87"/>
    <w:rsid w:val="00784D4E"/>
    <w:rsid w:val="00784EAE"/>
    <w:rsid w:val="00784F7F"/>
    <w:rsid w:val="00784FD7"/>
    <w:rsid w:val="00785590"/>
    <w:rsid w:val="00785706"/>
    <w:rsid w:val="007857B1"/>
    <w:rsid w:val="0078615B"/>
    <w:rsid w:val="00786640"/>
    <w:rsid w:val="007866D4"/>
    <w:rsid w:val="00786B0F"/>
    <w:rsid w:val="00786E48"/>
    <w:rsid w:val="007871DC"/>
    <w:rsid w:val="00787204"/>
    <w:rsid w:val="007876B7"/>
    <w:rsid w:val="0078774F"/>
    <w:rsid w:val="00787858"/>
    <w:rsid w:val="00787A00"/>
    <w:rsid w:val="00787B15"/>
    <w:rsid w:val="00787F54"/>
    <w:rsid w:val="00787FFC"/>
    <w:rsid w:val="007901A5"/>
    <w:rsid w:val="00790410"/>
    <w:rsid w:val="007909C8"/>
    <w:rsid w:val="007909FB"/>
    <w:rsid w:val="00790E1C"/>
    <w:rsid w:val="00790EAC"/>
    <w:rsid w:val="0079107C"/>
    <w:rsid w:val="00791F5E"/>
    <w:rsid w:val="00792ACA"/>
    <w:rsid w:val="0079316E"/>
    <w:rsid w:val="00793362"/>
    <w:rsid w:val="007935C8"/>
    <w:rsid w:val="0079364F"/>
    <w:rsid w:val="0079376F"/>
    <w:rsid w:val="00793915"/>
    <w:rsid w:val="00793938"/>
    <w:rsid w:val="00793B66"/>
    <w:rsid w:val="00793BE9"/>
    <w:rsid w:val="00793DEF"/>
    <w:rsid w:val="0079401E"/>
    <w:rsid w:val="007940A7"/>
    <w:rsid w:val="0079457E"/>
    <w:rsid w:val="00794DB7"/>
    <w:rsid w:val="007951E2"/>
    <w:rsid w:val="0079526F"/>
    <w:rsid w:val="00795629"/>
    <w:rsid w:val="0079573E"/>
    <w:rsid w:val="00795861"/>
    <w:rsid w:val="007958A0"/>
    <w:rsid w:val="007958C9"/>
    <w:rsid w:val="00795953"/>
    <w:rsid w:val="007960B6"/>
    <w:rsid w:val="00796574"/>
    <w:rsid w:val="00796949"/>
    <w:rsid w:val="00796966"/>
    <w:rsid w:val="00796DDA"/>
    <w:rsid w:val="00796F1E"/>
    <w:rsid w:val="00796F29"/>
    <w:rsid w:val="007978CB"/>
    <w:rsid w:val="007A05A5"/>
    <w:rsid w:val="007A0935"/>
    <w:rsid w:val="007A0FDD"/>
    <w:rsid w:val="007A1055"/>
    <w:rsid w:val="007A147E"/>
    <w:rsid w:val="007A14F1"/>
    <w:rsid w:val="007A1509"/>
    <w:rsid w:val="007A18C7"/>
    <w:rsid w:val="007A1F12"/>
    <w:rsid w:val="007A274F"/>
    <w:rsid w:val="007A2905"/>
    <w:rsid w:val="007A2B56"/>
    <w:rsid w:val="007A2CD4"/>
    <w:rsid w:val="007A2DB7"/>
    <w:rsid w:val="007A2FE1"/>
    <w:rsid w:val="007A31B2"/>
    <w:rsid w:val="007A3317"/>
    <w:rsid w:val="007A3626"/>
    <w:rsid w:val="007A4035"/>
    <w:rsid w:val="007A4085"/>
    <w:rsid w:val="007A4215"/>
    <w:rsid w:val="007A45D5"/>
    <w:rsid w:val="007A4FD7"/>
    <w:rsid w:val="007A50EE"/>
    <w:rsid w:val="007A59F6"/>
    <w:rsid w:val="007A5B10"/>
    <w:rsid w:val="007A5BA4"/>
    <w:rsid w:val="007A5E9F"/>
    <w:rsid w:val="007A7457"/>
    <w:rsid w:val="007A7820"/>
    <w:rsid w:val="007A7ADD"/>
    <w:rsid w:val="007A7AF6"/>
    <w:rsid w:val="007A7C14"/>
    <w:rsid w:val="007A7C1C"/>
    <w:rsid w:val="007A7C73"/>
    <w:rsid w:val="007A7D2B"/>
    <w:rsid w:val="007A7DEE"/>
    <w:rsid w:val="007B0A72"/>
    <w:rsid w:val="007B0ADB"/>
    <w:rsid w:val="007B11AC"/>
    <w:rsid w:val="007B1207"/>
    <w:rsid w:val="007B1427"/>
    <w:rsid w:val="007B1549"/>
    <w:rsid w:val="007B1853"/>
    <w:rsid w:val="007B18D5"/>
    <w:rsid w:val="007B1C9E"/>
    <w:rsid w:val="007B1FE0"/>
    <w:rsid w:val="007B20AE"/>
    <w:rsid w:val="007B21AF"/>
    <w:rsid w:val="007B26F3"/>
    <w:rsid w:val="007B28AE"/>
    <w:rsid w:val="007B2D88"/>
    <w:rsid w:val="007B3073"/>
    <w:rsid w:val="007B387D"/>
    <w:rsid w:val="007B39E4"/>
    <w:rsid w:val="007B3AA9"/>
    <w:rsid w:val="007B3E52"/>
    <w:rsid w:val="007B3FAB"/>
    <w:rsid w:val="007B40B0"/>
    <w:rsid w:val="007B4355"/>
    <w:rsid w:val="007B4826"/>
    <w:rsid w:val="007B4914"/>
    <w:rsid w:val="007B4E46"/>
    <w:rsid w:val="007B50ED"/>
    <w:rsid w:val="007B56D1"/>
    <w:rsid w:val="007B59B5"/>
    <w:rsid w:val="007B5A5D"/>
    <w:rsid w:val="007B60E1"/>
    <w:rsid w:val="007B6BC4"/>
    <w:rsid w:val="007B72A1"/>
    <w:rsid w:val="007B7A84"/>
    <w:rsid w:val="007B7AE3"/>
    <w:rsid w:val="007B7B3B"/>
    <w:rsid w:val="007B7F87"/>
    <w:rsid w:val="007C0101"/>
    <w:rsid w:val="007C01DB"/>
    <w:rsid w:val="007C03EA"/>
    <w:rsid w:val="007C04C8"/>
    <w:rsid w:val="007C050A"/>
    <w:rsid w:val="007C0ADB"/>
    <w:rsid w:val="007C0F16"/>
    <w:rsid w:val="007C1329"/>
    <w:rsid w:val="007C1475"/>
    <w:rsid w:val="007C1830"/>
    <w:rsid w:val="007C1AC3"/>
    <w:rsid w:val="007C1B44"/>
    <w:rsid w:val="007C1E71"/>
    <w:rsid w:val="007C22D3"/>
    <w:rsid w:val="007C24ED"/>
    <w:rsid w:val="007C24F7"/>
    <w:rsid w:val="007C25CC"/>
    <w:rsid w:val="007C2B06"/>
    <w:rsid w:val="007C2C26"/>
    <w:rsid w:val="007C328C"/>
    <w:rsid w:val="007C3372"/>
    <w:rsid w:val="007C3625"/>
    <w:rsid w:val="007C3BC6"/>
    <w:rsid w:val="007C3EC2"/>
    <w:rsid w:val="007C3F4A"/>
    <w:rsid w:val="007C42E7"/>
    <w:rsid w:val="007C45F0"/>
    <w:rsid w:val="007C46CF"/>
    <w:rsid w:val="007C4B46"/>
    <w:rsid w:val="007C4E80"/>
    <w:rsid w:val="007C55E4"/>
    <w:rsid w:val="007C586E"/>
    <w:rsid w:val="007C5B5B"/>
    <w:rsid w:val="007C5C48"/>
    <w:rsid w:val="007C5EC7"/>
    <w:rsid w:val="007C5F30"/>
    <w:rsid w:val="007C6050"/>
    <w:rsid w:val="007C61DA"/>
    <w:rsid w:val="007C6FB3"/>
    <w:rsid w:val="007C70D4"/>
    <w:rsid w:val="007C7167"/>
    <w:rsid w:val="007C7A72"/>
    <w:rsid w:val="007C7BFD"/>
    <w:rsid w:val="007C7EEF"/>
    <w:rsid w:val="007C7F5B"/>
    <w:rsid w:val="007D00B8"/>
    <w:rsid w:val="007D00F5"/>
    <w:rsid w:val="007D0434"/>
    <w:rsid w:val="007D04E0"/>
    <w:rsid w:val="007D0730"/>
    <w:rsid w:val="007D0827"/>
    <w:rsid w:val="007D0BBE"/>
    <w:rsid w:val="007D0C40"/>
    <w:rsid w:val="007D0EBD"/>
    <w:rsid w:val="007D16A1"/>
    <w:rsid w:val="007D1709"/>
    <w:rsid w:val="007D1A0C"/>
    <w:rsid w:val="007D1D4D"/>
    <w:rsid w:val="007D23DB"/>
    <w:rsid w:val="007D26E3"/>
    <w:rsid w:val="007D2A6D"/>
    <w:rsid w:val="007D2D4F"/>
    <w:rsid w:val="007D32C9"/>
    <w:rsid w:val="007D356B"/>
    <w:rsid w:val="007D35B4"/>
    <w:rsid w:val="007D37F6"/>
    <w:rsid w:val="007D3800"/>
    <w:rsid w:val="007D3905"/>
    <w:rsid w:val="007D3D3E"/>
    <w:rsid w:val="007D3D42"/>
    <w:rsid w:val="007D3E26"/>
    <w:rsid w:val="007D4607"/>
    <w:rsid w:val="007D469C"/>
    <w:rsid w:val="007D496F"/>
    <w:rsid w:val="007D49A0"/>
    <w:rsid w:val="007D4A5D"/>
    <w:rsid w:val="007D4AAD"/>
    <w:rsid w:val="007D4DE6"/>
    <w:rsid w:val="007D4F95"/>
    <w:rsid w:val="007D518F"/>
    <w:rsid w:val="007D5314"/>
    <w:rsid w:val="007D53A1"/>
    <w:rsid w:val="007D5908"/>
    <w:rsid w:val="007D5918"/>
    <w:rsid w:val="007D59D7"/>
    <w:rsid w:val="007D5B25"/>
    <w:rsid w:val="007D6286"/>
    <w:rsid w:val="007D6401"/>
    <w:rsid w:val="007D66B7"/>
    <w:rsid w:val="007D6B8C"/>
    <w:rsid w:val="007D6D55"/>
    <w:rsid w:val="007D70A8"/>
    <w:rsid w:val="007D7240"/>
    <w:rsid w:val="007D728A"/>
    <w:rsid w:val="007D733C"/>
    <w:rsid w:val="007D78E8"/>
    <w:rsid w:val="007D799C"/>
    <w:rsid w:val="007D79D3"/>
    <w:rsid w:val="007E0261"/>
    <w:rsid w:val="007E0555"/>
    <w:rsid w:val="007E07CD"/>
    <w:rsid w:val="007E0B35"/>
    <w:rsid w:val="007E1D4A"/>
    <w:rsid w:val="007E22A9"/>
    <w:rsid w:val="007E22AF"/>
    <w:rsid w:val="007E22E4"/>
    <w:rsid w:val="007E24AC"/>
    <w:rsid w:val="007E2705"/>
    <w:rsid w:val="007E2A20"/>
    <w:rsid w:val="007E2A48"/>
    <w:rsid w:val="007E2D63"/>
    <w:rsid w:val="007E31D9"/>
    <w:rsid w:val="007E36B8"/>
    <w:rsid w:val="007E36DC"/>
    <w:rsid w:val="007E3D86"/>
    <w:rsid w:val="007E3EBA"/>
    <w:rsid w:val="007E42FE"/>
    <w:rsid w:val="007E49C5"/>
    <w:rsid w:val="007E5FA1"/>
    <w:rsid w:val="007E61A7"/>
    <w:rsid w:val="007E61B2"/>
    <w:rsid w:val="007E6573"/>
    <w:rsid w:val="007E6659"/>
    <w:rsid w:val="007E67F1"/>
    <w:rsid w:val="007E68D0"/>
    <w:rsid w:val="007E6A87"/>
    <w:rsid w:val="007E6BE9"/>
    <w:rsid w:val="007E6EDD"/>
    <w:rsid w:val="007E6FF6"/>
    <w:rsid w:val="007F0444"/>
    <w:rsid w:val="007F0A04"/>
    <w:rsid w:val="007F0EDB"/>
    <w:rsid w:val="007F1353"/>
    <w:rsid w:val="007F1799"/>
    <w:rsid w:val="007F180E"/>
    <w:rsid w:val="007F184E"/>
    <w:rsid w:val="007F1883"/>
    <w:rsid w:val="007F1908"/>
    <w:rsid w:val="007F1B72"/>
    <w:rsid w:val="007F1CDD"/>
    <w:rsid w:val="007F1E2C"/>
    <w:rsid w:val="007F20A1"/>
    <w:rsid w:val="007F2204"/>
    <w:rsid w:val="007F2963"/>
    <w:rsid w:val="007F2A14"/>
    <w:rsid w:val="007F2F30"/>
    <w:rsid w:val="007F349C"/>
    <w:rsid w:val="007F34AA"/>
    <w:rsid w:val="007F3B03"/>
    <w:rsid w:val="007F3B1D"/>
    <w:rsid w:val="007F3BA4"/>
    <w:rsid w:val="007F3D9E"/>
    <w:rsid w:val="007F3F8A"/>
    <w:rsid w:val="007F440C"/>
    <w:rsid w:val="007F4A4D"/>
    <w:rsid w:val="007F5090"/>
    <w:rsid w:val="007F5A89"/>
    <w:rsid w:val="007F5D2C"/>
    <w:rsid w:val="007F5F77"/>
    <w:rsid w:val="007F609F"/>
    <w:rsid w:val="007F612A"/>
    <w:rsid w:val="007F64CF"/>
    <w:rsid w:val="007F752B"/>
    <w:rsid w:val="007F7588"/>
    <w:rsid w:val="007F7BD5"/>
    <w:rsid w:val="007F7C11"/>
    <w:rsid w:val="007F7CEF"/>
    <w:rsid w:val="007F7EE3"/>
    <w:rsid w:val="00800C62"/>
    <w:rsid w:val="008011AE"/>
    <w:rsid w:val="0080147B"/>
    <w:rsid w:val="008014AF"/>
    <w:rsid w:val="0080192C"/>
    <w:rsid w:val="00801E54"/>
    <w:rsid w:val="008020FC"/>
    <w:rsid w:val="00802323"/>
    <w:rsid w:val="008023C1"/>
    <w:rsid w:val="00802585"/>
    <w:rsid w:val="008029B6"/>
    <w:rsid w:val="008030A5"/>
    <w:rsid w:val="0080446B"/>
    <w:rsid w:val="008047A2"/>
    <w:rsid w:val="0080506F"/>
    <w:rsid w:val="0080509C"/>
    <w:rsid w:val="00805518"/>
    <w:rsid w:val="008055A1"/>
    <w:rsid w:val="008055D3"/>
    <w:rsid w:val="00805D0C"/>
    <w:rsid w:val="00805DE1"/>
    <w:rsid w:val="00806333"/>
    <w:rsid w:val="00806C9B"/>
    <w:rsid w:val="00806FBD"/>
    <w:rsid w:val="0080742A"/>
    <w:rsid w:val="008076FF"/>
    <w:rsid w:val="00807793"/>
    <w:rsid w:val="00807B54"/>
    <w:rsid w:val="00807CA0"/>
    <w:rsid w:val="00807EE2"/>
    <w:rsid w:val="00810041"/>
    <w:rsid w:val="00810059"/>
    <w:rsid w:val="008105DA"/>
    <w:rsid w:val="008107FF"/>
    <w:rsid w:val="0081083A"/>
    <w:rsid w:val="00810E6C"/>
    <w:rsid w:val="0081144E"/>
    <w:rsid w:val="00811895"/>
    <w:rsid w:val="008118EE"/>
    <w:rsid w:val="00811F53"/>
    <w:rsid w:val="00812161"/>
    <w:rsid w:val="008124C5"/>
    <w:rsid w:val="008128BE"/>
    <w:rsid w:val="00812EEC"/>
    <w:rsid w:val="00812FC3"/>
    <w:rsid w:val="008130C9"/>
    <w:rsid w:val="0081316E"/>
    <w:rsid w:val="008131F6"/>
    <w:rsid w:val="00813D31"/>
    <w:rsid w:val="00813D4B"/>
    <w:rsid w:val="00813E52"/>
    <w:rsid w:val="00813FCE"/>
    <w:rsid w:val="00814092"/>
    <w:rsid w:val="00814154"/>
    <w:rsid w:val="0081432F"/>
    <w:rsid w:val="00814697"/>
    <w:rsid w:val="00814806"/>
    <w:rsid w:val="008151A0"/>
    <w:rsid w:val="0081522A"/>
    <w:rsid w:val="008155B7"/>
    <w:rsid w:val="008156B0"/>
    <w:rsid w:val="0081582F"/>
    <w:rsid w:val="00815A11"/>
    <w:rsid w:val="00815BEC"/>
    <w:rsid w:val="00815D44"/>
    <w:rsid w:val="00815D9C"/>
    <w:rsid w:val="00815EB3"/>
    <w:rsid w:val="00816067"/>
    <w:rsid w:val="00816126"/>
    <w:rsid w:val="00816301"/>
    <w:rsid w:val="00816590"/>
    <w:rsid w:val="008166CE"/>
    <w:rsid w:val="008169D4"/>
    <w:rsid w:val="008169EF"/>
    <w:rsid w:val="008170A9"/>
    <w:rsid w:val="0081728C"/>
    <w:rsid w:val="008173C8"/>
    <w:rsid w:val="008179C2"/>
    <w:rsid w:val="00817CEA"/>
    <w:rsid w:val="00817D09"/>
    <w:rsid w:val="008209E8"/>
    <w:rsid w:val="00820AFB"/>
    <w:rsid w:val="00821042"/>
    <w:rsid w:val="0082104A"/>
    <w:rsid w:val="008210BE"/>
    <w:rsid w:val="008219DE"/>
    <w:rsid w:val="00821B4D"/>
    <w:rsid w:val="00821BD0"/>
    <w:rsid w:val="00821F65"/>
    <w:rsid w:val="008220CA"/>
    <w:rsid w:val="00822256"/>
    <w:rsid w:val="0082237E"/>
    <w:rsid w:val="00822449"/>
    <w:rsid w:val="008224E7"/>
    <w:rsid w:val="00822E02"/>
    <w:rsid w:val="00822E56"/>
    <w:rsid w:val="00823047"/>
    <w:rsid w:val="008231D5"/>
    <w:rsid w:val="008231E6"/>
    <w:rsid w:val="008235AD"/>
    <w:rsid w:val="00823A60"/>
    <w:rsid w:val="00823E78"/>
    <w:rsid w:val="00824403"/>
    <w:rsid w:val="00824582"/>
    <w:rsid w:val="008253BA"/>
    <w:rsid w:val="00825725"/>
    <w:rsid w:val="008257E3"/>
    <w:rsid w:val="00825AC2"/>
    <w:rsid w:val="00825D07"/>
    <w:rsid w:val="008260DD"/>
    <w:rsid w:val="008261EF"/>
    <w:rsid w:val="008263E5"/>
    <w:rsid w:val="0082663E"/>
    <w:rsid w:val="0082669B"/>
    <w:rsid w:val="00826916"/>
    <w:rsid w:val="00826CF1"/>
    <w:rsid w:val="00826E14"/>
    <w:rsid w:val="00827026"/>
    <w:rsid w:val="008272D8"/>
    <w:rsid w:val="008275C3"/>
    <w:rsid w:val="00827D9D"/>
    <w:rsid w:val="0083030D"/>
    <w:rsid w:val="008303B2"/>
    <w:rsid w:val="008304B0"/>
    <w:rsid w:val="00830551"/>
    <w:rsid w:val="00830767"/>
    <w:rsid w:val="00830E92"/>
    <w:rsid w:val="00830FEB"/>
    <w:rsid w:val="00831103"/>
    <w:rsid w:val="0083122B"/>
    <w:rsid w:val="0083147D"/>
    <w:rsid w:val="0083161E"/>
    <w:rsid w:val="008317DC"/>
    <w:rsid w:val="00831C6C"/>
    <w:rsid w:val="00831CA3"/>
    <w:rsid w:val="00831F39"/>
    <w:rsid w:val="00832047"/>
    <w:rsid w:val="00832262"/>
    <w:rsid w:val="00832C88"/>
    <w:rsid w:val="00832FA0"/>
    <w:rsid w:val="00833383"/>
    <w:rsid w:val="00833E55"/>
    <w:rsid w:val="008341DC"/>
    <w:rsid w:val="00834678"/>
    <w:rsid w:val="0083491A"/>
    <w:rsid w:val="00834C59"/>
    <w:rsid w:val="00834CBC"/>
    <w:rsid w:val="00834D1A"/>
    <w:rsid w:val="0083505B"/>
    <w:rsid w:val="00835509"/>
    <w:rsid w:val="00835597"/>
    <w:rsid w:val="008355B0"/>
    <w:rsid w:val="00835A37"/>
    <w:rsid w:val="00835BB1"/>
    <w:rsid w:val="00835F17"/>
    <w:rsid w:val="00836158"/>
    <w:rsid w:val="00836798"/>
    <w:rsid w:val="008368A5"/>
    <w:rsid w:val="00836FED"/>
    <w:rsid w:val="00837020"/>
    <w:rsid w:val="00837094"/>
    <w:rsid w:val="008371B6"/>
    <w:rsid w:val="0083788B"/>
    <w:rsid w:val="00837BEE"/>
    <w:rsid w:val="00837C1A"/>
    <w:rsid w:val="00837FFE"/>
    <w:rsid w:val="008401D0"/>
    <w:rsid w:val="0084025B"/>
    <w:rsid w:val="008404CB"/>
    <w:rsid w:val="008405F7"/>
    <w:rsid w:val="0084093E"/>
    <w:rsid w:val="00840AD2"/>
    <w:rsid w:val="0084155A"/>
    <w:rsid w:val="00841A0F"/>
    <w:rsid w:val="00841AE7"/>
    <w:rsid w:val="00842069"/>
    <w:rsid w:val="00842135"/>
    <w:rsid w:val="00842220"/>
    <w:rsid w:val="008423B6"/>
    <w:rsid w:val="008435DB"/>
    <w:rsid w:val="00843719"/>
    <w:rsid w:val="00843B04"/>
    <w:rsid w:val="00843C06"/>
    <w:rsid w:val="00843CF0"/>
    <w:rsid w:val="008444C7"/>
    <w:rsid w:val="00844510"/>
    <w:rsid w:val="00844529"/>
    <w:rsid w:val="00844918"/>
    <w:rsid w:val="00844F17"/>
    <w:rsid w:val="0084514F"/>
    <w:rsid w:val="008451EE"/>
    <w:rsid w:val="008451F4"/>
    <w:rsid w:val="00845236"/>
    <w:rsid w:val="00845692"/>
    <w:rsid w:val="00845A84"/>
    <w:rsid w:val="00845AD5"/>
    <w:rsid w:val="00846203"/>
    <w:rsid w:val="0084632E"/>
    <w:rsid w:val="008463B6"/>
    <w:rsid w:val="00846435"/>
    <w:rsid w:val="008464B0"/>
    <w:rsid w:val="00846903"/>
    <w:rsid w:val="0084691F"/>
    <w:rsid w:val="00846BE4"/>
    <w:rsid w:val="008472EF"/>
    <w:rsid w:val="0084736B"/>
    <w:rsid w:val="0084784B"/>
    <w:rsid w:val="00847D76"/>
    <w:rsid w:val="00850112"/>
    <w:rsid w:val="0085038D"/>
    <w:rsid w:val="0085057F"/>
    <w:rsid w:val="0085080E"/>
    <w:rsid w:val="00850C91"/>
    <w:rsid w:val="00850D12"/>
    <w:rsid w:val="00850F42"/>
    <w:rsid w:val="0085134F"/>
    <w:rsid w:val="0085157C"/>
    <w:rsid w:val="00851BDC"/>
    <w:rsid w:val="008523EA"/>
    <w:rsid w:val="008525FC"/>
    <w:rsid w:val="008529CA"/>
    <w:rsid w:val="00852B2B"/>
    <w:rsid w:val="00853174"/>
    <w:rsid w:val="00853182"/>
    <w:rsid w:val="00853470"/>
    <w:rsid w:val="00853490"/>
    <w:rsid w:val="008534B0"/>
    <w:rsid w:val="008538B4"/>
    <w:rsid w:val="00853C1D"/>
    <w:rsid w:val="00853D6B"/>
    <w:rsid w:val="00854293"/>
    <w:rsid w:val="00854693"/>
    <w:rsid w:val="008549C5"/>
    <w:rsid w:val="00854AA9"/>
    <w:rsid w:val="0085508D"/>
    <w:rsid w:val="00855748"/>
    <w:rsid w:val="00855752"/>
    <w:rsid w:val="008559FA"/>
    <w:rsid w:val="00855E08"/>
    <w:rsid w:val="00855EE6"/>
    <w:rsid w:val="0085627C"/>
    <w:rsid w:val="00856357"/>
    <w:rsid w:val="0085664A"/>
    <w:rsid w:val="00856921"/>
    <w:rsid w:val="00856CF1"/>
    <w:rsid w:val="00856F70"/>
    <w:rsid w:val="00857143"/>
    <w:rsid w:val="008573C3"/>
    <w:rsid w:val="00857764"/>
    <w:rsid w:val="008577D6"/>
    <w:rsid w:val="00857910"/>
    <w:rsid w:val="0085794E"/>
    <w:rsid w:val="00857A0A"/>
    <w:rsid w:val="008603C9"/>
    <w:rsid w:val="00860A15"/>
    <w:rsid w:val="00860BA2"/>
    <w:rsid w:val="00861395"/>
    <w:rsid w:val="008616D6"/>
    <w:rsid w:val="00861779"/>
    <w:rsid w:val="008618D3"/>
    <w:rsid w:val="00861AC2"/>
    <w:rsid w:val="00861F42"/>
    <w:rsid w:val="00861FCF"/>
    <w:rsid w:val="0086206D"/>
    <w:rsid w:val="00862236"/>
    <w:rsid w:val="008624B7"/>
    <w:rsid w:val="00862CEF"/>
    <w:rsid w:val="00863036"/>
    <w:rsid w:val="0086318D"/>
    <w:rsid w:val="0086358D"/>
    <w:rsid w:val="00863870"/>
    <w:rsid w:val="008639BF"/>
    <w:rsid w:val="00863FF0"/>
    <w:rsid w:val="008641AB"/>
    <w:rsid w:val="00864283"/>
    <w:rsid w:val="00864EAA"/>
    <w:rsid w:val="00865003"/>
    <w:rsid w:val="008652FB"/>
    <w:rsid w:val="00865347"/>
    <w:rsid w:val="0086534D"/>
    <w:rsid w:val="008653FF"/>
    <w:rsid w:val="00865409"/>
    <w:rsid w:val="008654D4"/>
    <w:rsid w:val="00865537"/>
    <w:rsid w:val="00865F0D"/>
    <w:rsid w:val="00865FBE"/>
    <w:rsid w:val="0086618E"/>
    <w:rsid w:val="00866331"/>
    <w:rsid w:val="00866617"/>
    <w:rsid w:val="0086667E"/>
    <w:rsid w:val="008667CE"/>
    <w:rsid w:val="00866E2A"/>
    <w:rsid w:val="00867091"/>
    <w:rsid w:val="00867637"/>
    <w:rsid w:val="008676B6"/>
    <w:rsid w:val="00867A73"/>
    <w:rsid w:val="00867B54"/>
    <w:rsid w:val="00867C7A"/>
    <w:rsid w:val="00867C80"/>
    <w:rsid w:val="008700D6"/>
    <w:rsid w:val="00870135"/>
    <w:rsid w:val="00870363"/>
    <w:rsid w:val="00870456"/>
    <w:rsid w:val="00870482"/>
    <w:rsid w:val="00870646"/>
    <w:rsid w:val="008708E0"/>
    <w:rsid w:val="00870941"/>
    <w:rsid w:val="00870B46"/>
    <w:rsid w:val="008711CC"/>
    <w:rsid w:val="008714EF"/>
    <w:rsid w:val="0087160B"/>
    <w:rsid w:val="008719DF"/>
    <w:rsid w:val="00871B8A"/>
    <w:rsid w:val="00871DC6"/>
    <w:rsid w:val="00871EA9"/>
    <w:rsid w:val="0087241E"/>
    <w:rsid w:val="00872806"/>
    <w:rsid w:val="008728DB"/>
    <w:rsid w:val="008729DE"/>
    <w:rsid w:val="00872B3D"/>
    <w:rsid w:val="00872C3A"/>
    <w:rsid w:val="00872D08"/>
    <w:rsid w:val="00873389"/>
    <w:rsid w:val="0087465B"/>
    <w:rsid w:val="00874730"/>
    <w:rsid w:val="00874BB5"/>
    <w:rsid w:val="00874C8A"/>
    <w:rsid w:val="00874E3B"/>
    <w:rsid w:val="008751D9"/>
    <w:rsid w:val="0087522F"/>
    <w:rsid w:val="0087524D"/>
    <w:rsid w:val="008754A3"/>
    <w:rsid w:val="00875DC3"/>
    <w:rsid w:val="00876060"/>
    <w:rsid w:val="0087615A"/>
    <w:rsid w:val="00876342"/>
    <w:rsid w:val="0087647D"/>
    <w:rsid w:val="008764DA"/>
    <w:rsid w:val="00876A85"/>
    <w:rsid w:val="00876B1A"/>
    <w:rsid w:val="00877253"/>
    <w:rsid w:val="00877623"/>
    <w:rsid w:val="00877B57"/>
    <w:rsid w:val="00877C16"/>
    <w:rsid w:val="0088057E"/>
    <w:rsid w:val="00880A13"/>
    <w:rsid w:val="00880BB7"/>
    <w:rsid w:val="00880D14"/>
    <w:rsid w:val="00880F9D"/>
    <w:rsid w:val="00880FA8"/>
    <w:rsid w:val="00881147"/>
    <w:rsid w:val="008815C3"/>
    <w:rsid w:val="008817B7"/>
    <w:rsid w:val="00881D09"/>
    <w:rsid w:val="00881E4D"/>
    <w:rsid w:val="00881E7D"/>
    <w:rsid w:val="00881F77"/>
    <w:rsid w:val="008828EC"/>
    <w:rsid w:val="0088297B"/>
    <w:rsid w:val="00882AAE"/>
    <w:rsid w:val="00882C4F"/>
    <w:rsid w:val="00882E0F"/>
    <w:rsid w:val="00883586"/>
    <w:rsid w:val="0088359C"/>
    <w:rsid w:val="008837DE"/>
    <w:rsid w:val="00883947"/>
    <w:rsid w:val="00883BF0"/>
    <w:rsid w:val="00883D0F"/>
    <w:rsid w:val="00883F06"/>
    <w:rsid w:val="008840D9"/>
    <w:rsid w:val="0088413C"/>
    <w:rsid w:val="00884224"/>
    <w:rsid w:val="00884714"/>
    <w:rsid w:val="0088488F"/>
    <w:rsid w:val="008850A6"/>
    <w:rsid w:val="008854E2"/>
    <w:rsid w:val="008855E3"/>
    <w:rsid w:val="0088562B"/>
    <w:rsid w:val="00885775"/>
    <w:rsid w:val="00885BEF"/>
    <w:rsid w:val="00885CC3"/>
    <w:rsid w:val="00885DC7"/>
    <w:rsid w:val="00885E11"/>
    <w:rsid w:val="00885F4B"/>
    <w:rsid w:val="008864A3"/>
    <w:rsid w:val="008864F4"/>
    <w:rsid w:val="00886918"/>
    <w:rsid w:val="00886A0A"/>
    <w:rsid w:val="00886AE5"/>
    <w:rsid w:val="00886DD7"/>
    <w:rsid w:val="00886E7E"/>
    <w:rsid w:val="00887786"/>
    <w:rsid w:val="008877E4"/>
    <w:rsid w:val="00887C25"/>
    <w:rsid w:val="00887CE3"/>
    <w:rsid w:val="00887E5A"/>
    <w:rsid w:val="0089011E"/>
    <w:rsid w:val="00890208"/>
    <w:rsid w:val="00890644"/>
    <w:rsid w:val="00890755"/>
    <w:rsid w:val="00890DE2"/>
    <w:rsid w:val="00891097"/>
    <w:rsid w:val="00891102"/>
    <w:rsid w:val="008911DC"/>
    <w:rsid w:val="008912C4"/>
    <w:rsid w:val="00891555"/>
    <w:rsid w:val="008915AD"/>
    <w:rsid w:val="0089170E"/>
    <w:rsid w:val="008918D8"/>
    <w:rsid w:val="00891AD2"/>
    <w:rsid w:val="00891BC1"/>
    <w:rsid w:val="00891DF8"/>
    <w:rsid w:val="0089235C"/>
    <w:rsid w:val="008924F9"/>
    <w:rsid w:val="0089296E"/>
    <w:rsid w:val="00892C78"/>
    <w:rsid w:val="00892D51"/>
    <w:rsid w:val="008934CF"/>
    <w:rsid w:val="00893EEB"/>
    <w:rsid w:val="00894158"/>
    <w:rsid w:val="00894715"/>
    <w:rsid w:val="0089530F"/>
    <w:rsid w:val="0089562A"/>
    <w:rsid w:val="00895762"/>
    <w:rsid w:val="0089582E"/>
    <w:rsid w:val="008959A6"/>
    <w:rsid w:val="00895AD2"/>
    <w:rsid w:val="00896001"/>
    <w:rsid w:val="0089603A"/>
    <w:rsid w:val="00896429"/>
    <w:rsid w:val="0089647C"/>
    <w:rsid w:val="0089658C"/>
    <w:rsid w:val="008967A8"/>
    <w:rsid w:val="008967D0"/>
    <w:rsid w:val="008968E1"/>
    <w:rsid w:val="00896B51"/>
    <w:rsid w:val="00896BEE"/>
    <w:rsid w:val="00896BFB"/>
    <w:rsid w:val="00896E7C"/>
    <w:rsid w:val="00896FB3"/>
    <w:rsid w:val="0089712B"/>
    <w:rsid w:val="00897497"/>
    <w:rsid w:val="00897798"/>
    <w:rsid w:val="0089789B"/>
    <w:rsid w:val="00897CC1"/>
    <w:rsid w:val="00897FA9"/>
    <w:rsid w:val="008A073C"/>
    <w:rsid w:val="008A0B8C"/>
    <w:rsid w:val="008A1362"/>
    <w:rsid w:val="008A14FA"/>
    <w:rsid w:val="008A156E"/>
    <w:rsid w:val="008A1B50"/>
    <w:rsid w:val="008A1D41"/>
    <w:rsid w:val="008A1D89"/>
    <w:rsid w:val="008A21DF"/>
    <w:rsid w:val="008A21E3"/>
    <w:rsid w:val="008A220C"/>
    <w:rsid w:val="008A2286"/>
    <w:rsid w:val="008A2690"/>
    <w:rsid w:val="008A2BF2"/>
    <w:rsid w:val="008A3397"/>
    <w:rsid w:val="008A34AA"/>
    <w:rsid w:val="008A3561"/>
    <w:rsid w:val="008A3C03"/>
    <w:rsid w:val="008A3E79"/>
    <w:rsid w:val="008A3F64"/>
    <w:rsid w:val="008A3F81"/>
    <w:rsid w:val="008A4306"/>
    <w:rsid w:val="008A45F6"/>
    <w:rsid w:val="008A46FC"/>
    <w:rsid w:val="008A48DB"/>
    <w:rsid w:val="008A4B64"/>
    <w:rsid w:val="008A4C4C"/>
    <w:rsid w:val="008A4E1E"/>
    <w:rsid w:val="008A4E75"/>
    <w:rsid w:val="008A4E7D"/>
    <w:rsid w:val="008A5001"/>
    <w:rsid w:val="008A5006"/>
    <w:rsid w:val="008A52B1"/>
    <w:rsid w:val="008A5503"/>
    <w:rsid w:val="008A5969"/>
    <w:rsid w:val="008A5AFB"/>
    <w:rsid w:val="008A5D97"/>
    <w:rsid w:val="008A5ED5"/>
    <w:rsid w:val="008A618E"/>
    <w:rsid w:val="008A626C"/>
    <w:rsid w:val="008A65F2"/>
    <w:rsid w:val="008A665B"/>
    <w:rsid w:val="008A6BA7"/>
    <w:rsid w:val="008A70D1"/>
    <w:rsid w:val="008A72B8"/>
    <w:rsid w:val="008A742A"/>
    <w:rsid w:val="008A7C10"/>
    <w:rsid w:val="008A7E9C"/>
    <w:rsid w:val="008A7ED0"/>
    <w:rsid w:val="008B02A8"/>
    <w:rsid w:val="008B0553"/>
    <w:rsid w:val="008B0B11"/>
    <w:rsid w:val="008B0C7E"/>
    <w:rsid w:val="008B0D94"/>
    <w:rsid w:val="008B110D"/>
    <w:rsid w:val="008B1371"/>
    <w:rsid w:val="008B13C4"/>
    <w:rsid w:val="008B1548"/>
    <w:rsid w:val="008B1E93"/>
    <w:rsid w:val="008B342A"/>
    <w:rsid w:val="008B358D"/>
    <w:rsid w:val="008B37D9"/>
    <w:rsid w:val="008B38CF"/>
    <w:rsid w:val="008B3C5D"/>
    <w:rsid w:val="008B3CFA"/>
    <w:rsid w:val="008B3D53"/>
    <w:rsid w:val="008B3F42"/>
    <w:rsid w:val="008B4C4F"/>
    <w:rsid w:val="008B4CDF"/>
    <w:rsid w:val="008B501F"/>
    <w:rsid w:val="008B57A9"/>
    <w:rsid w:val="008B583F"/>
    <w:rsid w:val="008B5BCB"/>
    <w:rsid w:val="008B696A"/>
    <w:rsid w:val="008B6987"/>
    <w:rsid w:val="008B6DC5"/>
    <w:rsid w:val="008B6F00"/>
    <w:rsid w:val="008B7592"/>
    <w:rsid w:val="008B76C2"/>
    <w:rsid w:val="008B77C9"/>
    <w:rsid w:val="008B782A"/>
    <w:rsid w:val="008B7ADC"/>
    <w:rsid w:val="008B7DB4"/>
    <w:rsid w:val="008C03BE"/>
    <w:rsid w:val="008C0B48"/>
    <w:rsid w:val="008C0B57"/>
    <w:rsid w:val="008C0EEA"/>
    <w:rsid w:val="008C1198"/>
    <w:rsid w:val="008C1241"/>
    <w:rsid w:val="008C1779"/>
    <w:rsid w:val="008C1A4A"/>
    <w:rsid w:val="008C1C03"/>
    <w:rsid w:val="008C21CA"/>
    <w:rsid w:val="008C221C"/>
    <w:rsid w:val="008C2280"/>
    <w:rsid w:val="008C2338"/>
    <w:rsid w:val="008C25C4"/>
    <w:rsid w:val="008C2652"/>
    <w:rsid w:val="008C28CA"/>
    <w:rsid w:val="008C2A8A"/>
    <w:rsid w:val="008C2C6D"/>
    <w:rsid w:val="008C3379"/>
    <w:rsid w:val="008C344C"/>
    <w:rsid w:val="008C34D4"/>
    <w:rsid w:val="008C3718"/>
    <w:rsid w:val="008C3A35"/>
    <w:rsid w:val="008C400B"/>
    <w:rsid w:val="008C40CF"/>
    <w:rsid w:val="008C428B"/>
    <w:rsid w:val="008C4332"/>
    <w:rsid w:val="008C4762"/>
    <w:rsid w:val="008C47CA"/>
    <w:rsid w:val="008C47F5"/>
    <w:rsid w:val="008C4AA4"/>
    <w:rsid w:val="008C4DD3"/>
    <w:rsid w:val="008C52A2"/>
    <w:rsid w:val="008C52E1"/>
    <w:rsid w:val="008C53CF"/>
    <w:rsid w:val="008C56A2"/>
    <w:rsid w:val="008C5845"/>
    <w:rsid w:val="008C5A38"/>
    <w:rsid w:val="008C5C35"/>
    <w:rsid w:val="008C5D49"/>
    <w:rsid w:val="008C653D"/>
    <w:rsid w:val="008C6798"/>
    <w:rsid w:val="008C6B40"/>
    <w:rsid w:val="008C6DE3"/>
    <w:rsid w:val="008C70D9"/>
    <w:rsid w:val="008C71E8"/>
    <w:rsid w:val="008C7382"/>
    <w:rsid w:val="008C76C5"/>
    <w:rsid w:val="008C783C"/>
    <w:rsid w:val="008C7B29"/>
    <w:rsid w:val="008C7CC4"/>
    <w:rsid w:val="008C7FA7"/>
    <w:rsid w:val="008D007D"/>
    <w:rsid w:val="008D01B5"/>
    <w:rsid w:val="008D035A"/>
    <w:rsid w:val="008D06ED"/>
    <w:rsid w:val="008D0B08"/>
    <w:rsid w:val="008D0BB0"/>
    <w:rsid w:val="008D0CA3"/>
    <w:rsid w:val="008D10B8"/>
    <w:rsid w:val="008D14AA"/>
    <w:rsid w:val="008D155F"/>
    <w:rsid w:val="008D173D"/>
    <w:rsid w:val="008D18CA"/>
    <w:rsid w:val="008D1E79"/>
    <w:rsid w:val="008D211B"/>
    <w:rsid w:val="008D2631"/>
    <w:rsid w:val="008D2DC4"/>
    <w:rsid w:val="008D2E33"/>
    <w:rsid w:val="008D2F27"/>
    <w:rsid w:val="008D3415"/>
    <w:rsid w:val="008D3487"/>
    <w:rsid w:val="008D3772"/>
    <w:rsid w:val="008D3B28"/>
    <w:rsid w:val="008D3BF9"/>
    <w:rsid w:val="008D3E80"/>
    <w:rsid w:val="008D3F46"/>
    <w:rsid w:val="008D3FA6"/>
    <w:rsid w:val="008D4022"/>
    <w:rsid w:val="008D454D"/>
    <w:rsid w:val="008D4647"/>
    <w:rsid w:val="008D4693"/>
    <w:rsid w:val="008D50D8"/>
    <w:rsid w:val="008D550F"/>
    <w:rsid w:val="008D55C1"/>
    <w:rsid w:val="008D568B"/>
    <w:rsid w:val="008D588B"/>
    <w:rsid w:val="008D5920"/>
    <w:rsid w:val="008D5D26"/>
    <w:rsid w:val="008D63A3"/>
    <w:rsid w:val="008D6571"/>
    <w:rsid w:val="008D6574"/>
    <w:rsid w:val="008D6662"/>
    <w:rsid w:val="008D6AC4"/>
    <w:rsid w:val="008D6C6C"/>
    <w:rsid w:val="008D6F0E"/>
    <w:rsid w:val="008D727B"/>
    <w:rsid w:val="008D75F2"/>
    <w:rsid w:val="008D771E"/>
    <w:rsid w:val="008E053A"/>
    <w:rsid w:val="008E0673"/>
    <w:rsid w:val="008E0736"/>
    <w:rsid w:val="008E0740"/>
    <w:rsid w:val="008E0769"/>
    <w:rsid w:val="008E1113"/>
    <w:rsid w:val="008E19BB"/>
    <w:rsid w:val="008E1ED0"/>
    <w:rsid w:val="008E2138"/>
    <w:rsid w:val="008E2140"/>
    <w:rsid w:val="008E225E"/>
    <w:rsid w:val="008E2270"/>
    <w:rsid w:val="008E2313"/>
    <w:rsid w:val="008E235A"/>
    <w:rsid w:val="008E24A4"/>
    <w:rsid w:val="008E2546"/>
    <w:rsid w:val="008E2B4C"/>
    <w:rsid w:val="008E328D"/>
    <w:rsid w:val="008E38D8"/>
    <w:rsid w:val="008E397F"/>
    <w:rsid w:val="008E4056"/>
    <w:rsid w:val="008E41E6"/>
    <w:rsid w:val="008E43C9"/>
    <w:rsid w:val="008E43E8"/>
    <w:rsid w:val="008E44C3"/>
    <w:rsid w:val="008E4661"/>
    <w:rsid w:val="008E49AB"/>
    <w:rsid w:val="008E51B2"/>
    <w:rsid w:val="008E5587"/>
    <w:rsid w:val="008E59F1"/>
    <w:rsid w:val="008E5BD7"/>
    <w:rsid w:val="008E5FAA"/>
    <w:rsid w:val="008E5FE6"/>
    <w:rsid w:val="008E604F"/>
    <w:rsid w:val="008E61DF"/>
    <w:rsid w:val="008E642E"/>
    <w:rsid w:val="008E6827"/>
    <w:rsid w:val="008E6EA0"/>
    <w:rsid w:val="008E7167"/>
    <w:rsid w:val="008E758B"/>
    <w:rsid w:val="008E7913"/>
    <w:rsid w:val="008E7C67"/>
    <w:rsid w:val="008E7DA1"/>
    <w:rsid w:val="008E7F6F"/>
    <w:rsid w:val="008F0024"/>
    <w:rsid w:val="008F024A"/>
    <w:rsid w:val="008F027B"/>
    <w:rsid w:val="008F039F"/>
    <w:rsid w:val="008F0662"/>
    <w:rsid w:val="008F072C"/>
    <w:rsid w:val="008F093B"/>
    <w:rsid w:val="008F0CF4"/>
    <w:rsid w:val="008F1190"/>
    <w:rsid w:val="008F17C3"/>
    <w:rsid w:val="008F1E11"/>
    <w:rsid w:val="008F2375"/>
    <w:rsid w:val="008F2677"/>
    <w:rsid w:val="008F2E1B"/>
    <w:rsid w:val="008F3027"/>
    <w:rsid w:val="008F31B8"/>
    <w:rsid w:val="008F32F3"/>
    <w:rsid w:val="008F3982"/>
    <w:rsid w:val="008F3E32"/>
    <w:rsid w:val="008F3E6A"/>
    <w:rsid w:val="008F3EDB"/>
    <w:rsid w:val="008F43FF"/>
    <w:rsid w:val="008F442C"/>
    <w:rsid w:val="008F4591"/>
    <w:rsid w:val="008F46CD"/>
    <w:rsid w:val="008F486E"/>
    <w:rsid w:val="008F4903"/>
    <w:rsid w:val="008F49BE"/>
    <w:rsid w:val="008F4E5C"/>
    <w:rsid w:val="008F4F20"/>
    <w:rsid w:val="008F6040"/>
    <w:rsid w:val="008F6324"/>
    <w:rsid w:val="008F647B"/>
    <w:rsid w:val="008F6957"/>
    <w:rsid w:val="008F6B5A"/>
    <w:rsid w:val="008F6DC4"/>
    <w:rsid w:val="008F6ECC"/>
    <w:rsid w:val="008F7682"/>
    <w:rsid w:val="008F7AF9"/>
    <w:rsid w:val="008F7CA4"/>
    <w:rsid w:val="008F7D44"/>
    <w:rsid w:val="00900255"/>
    <w:rsid w:val="009002CC"/>
    <w:rsid w:val="009003C3"/>
    <w:rsid w:val="00900B06"/>
    <w:rsid w:val="00900DF3"/>
    <w:rsid w:val="009011E1"/>
    <w:rsid w:val="009016C7"/>
    <w:rsid w:val="009020ED"/>
    <w:rsid w:val="00902317"/>
    <w:rsid w:val="009023FA"/>
    <w:rsid w:val="00902586"/>
    <w:rsid w:val="0090273F"/>
    <w:rsid w:val="00902FC1"/>
    <w:rsid w:val="0090340E"/>
    <w:rsid w:val="009034CE"/>
    <w:rsid w:val="009037EE"/>
    <w:rsid w:val="00903CD6"/>
    <w:rsid w:val="00904021"/>
    <w:rsid w:val="0090412F"/>
    <w:rsid w:val="00904305"/>
    <w:rsid w:val="00904440"/>
    <w:rsid w:val="0090445B"/>
    <w:rsid w:val="009044DB"/>
    <w:rsid w:val="0090452E"/>
    <w:rsid w:val="00904A1B"/>
    <w:rsid w:val="00904BED"/>
    <w:rsid w:val="00904C0A"/>
    <w:rsid w:val="00904C6B"/>
    <w:rsid w:val="00904CB2"/>
    <w:rsid w:val="00904D07"/>
    <w:rsid w:val="00904E46"/>
    <w:rsid w:val="00904ED0"/>
    <w:rsid w:val="00904EF0"/>
    <w:rsid w:val="0090506C"/>
    <w:rsid w:val="00905508"/>
    <w:rsid w:val="009056FA"/>
    <w:rsid w:val="00905973"/>
    <w:rsid w:val="00905B55"/>
    <w:rsid w:val="00905CE3"/>
    <w:rsid w:val="009062BE"/>
    <w:rsid w:val="009063CF"/>
    <w:rsid w:val="009068AC"/>
    <w:rsid w:val="00906A29"/>
    <w:rsid w:val="00906BE9"/>
    <w:rsid w:val="00906CD5"/>
    <w:rsid w:val="00906CFB"/>
    <w:rsid w:val="00906DBB"/>
    <w:rsid w:val="00906F37"/>
    <w:rsid w:val="00907285"/>
    <w:rsid w:val="00907376"/>
    <w:rsid w:val="00907C5A"/>
    <w:rsid w:val="0091028B"/>
    <w:rsid w:val="009104DB"/>
    <w:rsid w:val="0091065A"/>
    <w:rsid w:val="00910836"/>
    <w:rsid w:val="00910D71"/>
    <w:rsid w:val="0091150E"/>
    <w:rsid w:val="00911554"/>
    <w:rsid w:val="00911565"/>
    <w:rsid w:val="0091197E"/>
    <w:rsid w:val="00911CEA"/>
    <w:rsid w:val="00911D9E"/>
    <w:rsid w:val="00911FA7"/>
    <w:rsid w:val="0091207D"/>
    <w:rsid w:val="009120A8"/>
    <w:rsid w:val="009121E2"/>
    <w:rsid w:val="00912333"/>
    <w:rsid w:val="00912FC3"/>
    <w:rsid w:val="0091342F"/>
    <w:rsid w:val="00913702"/>
    <w:rsid w:val="00913754"/>
    <w:rsid w:val="00913B25"/>
    <w:rsid w:val="00913CAC"/>
    <w:rsid w:val="00913E97"/>
    <w:rsid w:val="00914697"/>
    <w:rsid w:val="009146B2"/>
    <w:rsid w:val="00914ABF"/>
    <w:rsid w:val="00914C46"/>
    <w:rsid w:val="00914CAE"/>
    <w:rsid w:val="00914D8F"/>
    <w:rsid w:val="00914E94"/>
    <w:rsid w:val="00914F54"/>
    <w:rsid w:val="00914FA4"/>
    <w:rsid w:val="009157C6"/>
    <w:rsid w:val="00915AF8"/>
    <w:rsid w:val="00915D98"/>
    <w:rsid w:val="00915E49"/>
    <w:rsid w:val="00915F30"/>
    <w:rsid w:val="009161D4"/>
    <w:rsid w:val="0091678F"/>
    <w:rsid w:val="009168D1"/>
    <w:rsid w:val="00916A5A"/>
    <w:rsid w:val="00916AE0"/>
    <w:rsid w:val="0091712C"/>
    <w:rsid w:val="0092003B"/>
    <w:rsid w:val="00920194"/>
    <w:rsid w:val="009202B7"/>
    <w:rsid w:val="00920661"/>
    <w:rsid w:val="00920788"/>
    <w:rsid w:val="0092080C"/>
    <w:rsid w:val="009208CB"/>
    <w:rsid w:val="0092090E"/>
    <w:rsid w:val="00920B00"/>
    <w:rsid w:val="00920CDC"/>
    <w:rsid w:val="00920DEE"/>
    <w:rsid w:val="00921319"/>
    <w:rsid w:val="009213D3"/>
    <w:rsid w:val="0092153A"/>
    <w:rsid w:val="00921661"/>
    <w:rsid w:val="009216C0"/>
    <w:rsid w:val="00921773"/>
    <w:rsid w:val="00921B80"/>
    <w:rsid w:val="0092235F"/>
    <w:rsid w:val="009227ED"/>
    <w:rsid w:val="00922D61"/>
    <w:rsid w:val="00923274"/>
    <w:rsid w:val="00923317"/>
    <w:rsid w:val="0092389C"/>
    <w:rsid w:val="009240C1"/>
    <w:rsid w:val="009243D9"/>
    <w:rsid w:val="0092465B"/>
    <w:rsid w:val="00924A21"/>
    <w:rsid w:val="0092535B"/>
    <w:rsid w:val="009254B9"/>
    <w:rsid w:val="009259C2"/>
    <w:rsid w:val="00925B6E"/>
    <w:rsid w:val="00925C38"/>
    <w:rsid w:val="00925CFF"/>
    <w:rsid w:val="00925D80"/>
    <w:rsid w:val="00926154"/>
    <w:rsid w:val="009265E1"/>
    <w:rsid w:val="00926A1A"/>
    <w:rsid w:val="00926CEE"/>
    <w:rsid w:val="009270A1"/>
    <w:rsid w:val="00927784"/>
    <w:rsid w:val="009279EC"/>
    <w:rsid w:val="00927B60"/>
    <w:rsid w:val="00927F10"/>
    <w:rsid w:val="0093000A"/>
    <w:rsid w:val="0093033A"/>
    <w:rsid w:val="00930744"/>
    <w:rsid w:val="009308A3"/>
    <w:rsid w:val="00930F91"/>
    <w:rsid w:val="009312A5"/>
    <w:rsid w:val="009314AF"/>
    <w:rsid w:val="00931915"/>
    <w:rsid w:val="009319BD"/>
    <w:rsid w:val="009319F6"/>
    <w:rsid w:val="00931D69"/>
    <w:rsid w:val="00932B27"/>
    <w:rsid w:val="00932B6E"/>
    <w:rsid w:val="00932C0A"/>
    <w:rsid w:val="00932EBB"/>
    <w:rsid w:val="00932F87"/>
    <w:rsid w:val="00933060"/>
    <w:rsid w:val="009330DA"/>
    <w:rsid w:val="00933151"/>
    <w:rsid w:val="00933671"/>
    <w:rsid w:val="009338F9"/>
    <w:rsid w:val="009339DA"/>
    <w:rsid w:val="00933DAD"/>
    <w:rsid w:val="00933E40"/>
    <w:rsid w:val="00933F64"/>
    <w:rsid w:val="0093447B"/>
    <w:rsid w:val="00934724"/>
    <w:rsid w:val="00934969"/>
    <w:rsid w:val="00934A2C"/>
    <w:rsid w:val="00934BAD"/>
    <w:rsid w:val="00934E98"/>
    <w:rsid w:val="00935286"/>
    <w:rsid w:val="009352B4"/>
    <w:rsid w:val="00935325"/>
    <w:rsid w:val="0093561C"/>
    <w:rsid w:val="00935778"/>
    <w:rsid w:val="00935B18"/>
    <w:rsid w:val="00935B3C"/>
    <w:rsid w:val="00935F51"/>
    <w:rsid w:val="00936103"/>
    <w:rsid w:val="009363C5"/>
    <w:rsid w:val="009366C5"/>
    <w:rsid w:val="00936829"/>
    <w:rsid w:val="00937278"/>
    <w:rsid w:val="00937310"/>
    <w:rsid w:val="00937917"/>
    <w:rsid w:val="00937A63"/>
    <w:rsid w:val="00937AD0"/>
    <w:rsid w:val="00937D63"/>
    <w:rsid w:val="00940141"/>
    <w:rsid w:val="009402C1"/>
    <w:rsid w:val="009402D5"/>
    <w:rsid w:val="00940D16"/>
    <w:rsid w:val="0094106B"/>
    <w:rsid w:val="00941128"/>
    <w:rsid w:val="0094114C"/>
    <w:rsid w:val="009418B5"/>
    <w:rsid w:val="009418FE"/>
    <w:rsid w:val="0094192E"/>
    <w:rsid w:val="00941D76"/>
    <w:rsid w:val="0094200A"/>
    <w:rsid w:val="0094214D"/>
    <w:rsid w:val="009425D3"/>
    <w:rsid w:val="009426E8"/>
    <w:rsid w:val="00942823"/>
    <w:rsid w:val="00942877"/>
    <w:rsid w:val="009431A6"/>
    <w:rsid w:val="0094339B"/>
    <w:rsid w:val="009433FB"/>
    <w:rsid w:val="00943449"/>
    <w:rsid w:val="009435D4"/>
    <w:rsid w:val="00943926"/>
    <w:rsid w:val="00943AC9"/>
    <w:rsid w:val="00943DD5"/>
    <w:rsid w:val="00943F0E"/>
    <w:rsid w:val="009441F7"/>
    <w:rsid w:val="00944394"/>
    <w:rsid w:val="00944671"/>
    <w:rsid w:val="00944BAA"/>
    <w:rsid w:val="00944C4E"/>
    <w:rsid w:val="00944D71"/>
    <w:rsid w:val="00944E8C"/>
    <w:rsid w:val="0094518B"/>
    <w:rsid w:val="00945340"/>
    <w:rsid w:val="009454C5"/>
    <w:rsid w:val="00945B76"/>
    <w:rsid w:val="00945BE3"/>
    <w:rsid w:val="00946B76"/>
    <w:rsid w:val="00946C6D"/>
    <w:rsid w:val="00946EA8"/>
    <w:rsid w:val="0094729D"/>
    <w:rsid w:val="009476D0"/>
    <w:rsid w:val="00947ADC"/>
    <w:rsid w:val="00947B69"/>
    <w:rsid w:val="00947BDD"/>
    <w:rsid w:val="00947C4B"/>
    <w:rsid w:val="00947C7D"/>
    <w:rsid w:val="00950222"/>
    <w:rsid w:val="0095040A"/>
    <w:rsid w:val="009507D6"/>
    <w:rsid w:val="0095094B"/>
    <w:rsid w:val="009510CF"/>
    <w:rsid w:val="009514CE"/>
    <w:rsid w:val="0095156B"/>
    <w:rsid w:val="00951759"/>
    <w:rsid w:val="00951A3F"/>
    <w:rsid w:val="00951B90"/>
    <w:rsid w:val="00951BE6"/>
    <w:rsid w:val="00951C0E"/>
    <w:rsid w:val="00951D09"/>
    <w:rsid w:val="009528B6"/>
    <w:rsid w:val="00952D03"/>
    <w:rsid w:val="00952D5E"/>
    <w:rsid w:val="00953200"/>
    <w:rsid w:val="009535B0"/>
    <w:rsid w:val="00953973"/>
    <w:rsid w:val="009539A3"/>
    <w:rsid w:val="00953BF4"/>
    <w:rsid w:val="0095423D"/>
    <w:rsid w:val="00954789"/>
    <w:rsid w:val="00954A57"/>
    <w:rsid w:val="00954AE6"/>
    <w:rsid w:val="00954D91"/>
    <w:rsid w:val="00954DC1"/>
    <w:rsid w:val="0095564D"/>
    <w:rsid w:val="00955677"/>
    <w:rsid w:val="00955895"/>
    <w:rsid w:val="00955A5D"/>
    <w:rsid w:val="00955C2C"/>
    <w:rsid w:val="00956017"/>
    <w:rsid w:val="009567B3"/>
    <w:rsid w:val="009568E8"/>
    <w:rsid w:val="009569B4"/>
    <w:rsid w:val="00956A30"/>
    <w:rsid w:val="00956B3A"/>
    <w:rsid w:val="00956E1D"/>
    <w:rsid w:val="00957312"/>
    <w:rsid w:val="0095746A"/>
    <w:rsid w:val="00957CEF"/>
    <w:rsid w:val="00957FE6"/>
    <w:rsid w:val="009603F7"/>
    <w:rsid w:val="00960508"/>
    <w:rsid w:val="00960516"/>
    <w:rsid w:val="009605A6"/>
    <w:rsid w:val="009606F8"/>
    <w:rsid w:val="009607FC"/>
    <w:rsid w:val="00960B0F"/>
    <w:rsid w:val="00960FCB"/>
    <w:rsid w:val="00961430"/>
    <w:rsid w:val="009614CB"/>
    <w:rsid w:val="0096171F"/>
    <w:rsid w:val="009618C2"/>
    <w:rsid w:val="009618E2"/>
    <w:rsid w:val="00961A08"/>
    <w:rsid w:val="00961DC0"/>
    <w:rsid w:val="00961F76"/>
    <w:rsid w:val="0096212B"/>
    <w:rsid w:val="00962534"/>
    <w:rsid w:val="00962F28"/>
    <w:rsid w:val="00962FB9"/>
    <w:rsid w:val="00963716"/>
    <w:rsid w:val="00963940"/>
    <w:rsid w:val="009639C2"/>
    <w:rsid w:val="00963BF2"/>
    <w:rsid w:val="00963D6C"/>
    <w:rsid w:val="00963E74"/>
    <w:rsid w:val="00963E82"/>
    <w:rsid w:val="00964037"/>
    <w:rsid w:val="009642B3"/>
    <w:rsid w:val="009646E2"/>
    <w:rsid w:val="00964821"/>
    <w:rsid w:val="00964B4F"/>
    <w:rsid w:val="00964DA3"/>
    <w:rsid w:val="00964DE5"/>
    <w:rsid w:val="00964DF0"/>
    <w:rsid w:val="009652FC"/>
    <w:rsid w:val="0096542A"/>
    <w:rsid w:val="00965543"/>
    <w:rsid w:val="00965594"/>
    <w:rsid w:val="00965BA2"/>
    <w:rsid w:val="00965EDD"/>
    <w:rsid w:val="0096606A"/>
    <w:rsid w:val="009662DC"/>
    <w:rsid w:val="00966338"/>
    <w:rsid w:val="00966370"/>
    <w:rsid w:val="009667B1"/>
    <w:rsid w:val="009668DD"/>
    <w:rsid w:val="00966ADA"/>
    <w:rsid w:val="00966DFE"/>
    <w:rsid w:val="0096787A"/>
    <w:rsid w:val="00967982"/>
    <w:rsid w:val="009679A1"/>
    <w:rsid w:val="00967D8A"/>
    <w:rsid w:val="00967D9B"/>
    <w:rsid w:val="00970243"/>
    <w:rsid w:val="00970519"/>
    <w:rsid w:val="0097060A"/>
    <w:rsid w:val="00970D7C"/>
    <w:rsid w:val="00971283"/>
    <w:rsid w:val="00971331"/>
    <w:rsid w:val="0097135B"/>
    <w:rsid w:val="00971507"/>
    <w:rsid w:val="009716E0"/>
    <w:rsid w:val="00971915"/>
    <w:rsid w:val="009724C5"/>
    <w:rsid w:val="009726FC"/>
    <w:rsid w:val="00972B90"/>
    <w:rsid w:val="00972F92"/>
    <w:rsid w:val="00973274"/>
    <w:rsid w:val="00973686"/>
    <w:rsid w:val="0097396D"/>
    <w:rsid w:val="00973D30"/>
    <w:rsid w:val="00973DF9"/>
    <w:rsid w:val="009740D9"/>
    <w:rsid w:val="009742DD"/>
    <w:rsid w:val="009743E2"/>
    <w:rsid w:val="009745F9"/>
    <w:rsid w:val="009747C0"/>
    <w:rsid w:val="009748FE"/>
    <w:rsid w:val="00974C66"/>
    <w:rsid w:val="00974EB9"/>
    <w:rsid w:val="009757DF"/>
    <w:rsid w:val="00975D26"/>
    <w:rsid w:val="009769F4"/>
    <w:rsid w:val="00976B99"/>
    <w:rsid w:val="00977113"/>
    <w:rsid w:val="0097727B"/>
    <w:rsid w:val="00977282"/>
    <w:rsid w:val="009772C6"/>
    <w:rsid w:val="00977358"/>
    <w:rsid w:val="009774BB"/>
    <w:rsid w:val="0097776B"/>
    <w:rsid w:val="009777E3"/>
    <w:rsid w:val="00977842"/>
    <w:rsid w:val="00977A01"/>
    <w:rsid w:val="00977F2A"/>
    <w:rsid w:val="009803C8"/>
    <w:rsid w:val="009803E8"/>
    <w:rsid w:val="00980649"/>
    <w:rsid w:val="00980BBD"/>
    <w:rsid w:val="00981340"/>
    <w:rsid w:val="00981578"/>
    <w:rsid w:val="009818CA"/>
    <w:rsid w:val="00981D22"/>
    <w:rsid w:val="00981E8C"/>
    <w:rsid w:val="00981F9B"/>
    <w:rsid w:val="009822CF"/>
    <w:rsid w:val="009824C0"/>
    <w:rsid w:val="00982A16"/>
    <w:rsid w:val="009833C4"/>
    <w:rsid w:val="009835F0"/>
    <w:rsid w:val="0098377C"/>
    <w:rsid w:val="00983BD4"/>
    <w:rsid w:val="00983DF3"/>
    <w:rsid w:val="00983F39"/>
    <w:rsid w:val="00984411"/>
    <w:rsid w:val="00984546"/>
    <w:rsid w:val="009847ED"/>
    <w:rsid w:val="00984849"/>
    <w:rsid w:val="00984864"/>
    <w:rsid w:val="00984CEB"/>
    <w:rsid w:val="0098520E"/>
    <w:rsid w:val="00986509"/>
    <w:rsid w:val="00987049"/>
    <w:rsid w:val="009871E8"/>
    <w:rsid w:val="009878C8"/>
    <w:rsid w:val="00990055"/>
    <w:rsid w:val="009900E1"/>
    <w:rsid w:val="00990573"/>
    <w:rsid w:val="009911CD"/>
    <w:rsid w:val="009919E1"/>
    <w:rsid w:val="00991D2B"/>
    <w:rsid w:val="00992057"/>
    <w:rsid w:val="009920D6"/>
    <w:rsid w:val="00992568"/>
    <w:rsid w:val="00992669"/>
    <w:rsid w:val="009926E6"/>
    <w:rsid w:val="009927DC"/>
    <w:rsid w:val="00992940"/>
    <w:rsid w:val="0099297C"/>
    <w:rsid w:val="00992AB6"/>
    <w:rsid w:val="00992B6D"/>
    <w:rsid w:val="00992C5D"/>
    <w:rsid w:val="00992C5E"/>
    <w:rsid w:val="0099338A"/>
    <w:rsid w:val="00993566"/>
    <w:rsid w:val="00993586"/>
    <w:rsid w:val="009938E4"/>
    <w:rsid w:val="00993ABA"/>
    <w:rsid w:val="009945D3"/>
    <w:rsid w:val="009947DC"/>
    <w:rsid w:val="009950BD"/>
    <w:rsid w:val="009955C1"/>
    <w:rsid w:val="00995A42"/>
    <w:rsid w:val="00995D2E"/>
    <w:rsid w:val="00995FE2"/>
    <w:rsid w:val="009961A7"/>
    <w:rsid w:val="009966D9"/>
    <w:rsid w:val="0099691A"/>
    <w:rsid w:val="0099699F"/>
    <w:rsid w:val="0099705D"/>
    <w:rsid w:val="00997423"/>
    <w:rsid w:val="0099796B"/>
    <w:rsid w:val="00997970"/>
    <w:rsid w:val="00997A11"/>
    <w:rsid w:val="009A0252"/>
    <w:rsid w:val="009A037E"/>
    <w:rsid w:val="009A05F6"/>
    <w:rsid w:val="009A06A2"/>
    <w:rsid w:val="009A06A3"/>
    <w:rsid w:val="009A0730"/>
    <w:rsid w:val="009A0C13"/>
    <w:rsid w:val="009A0D9C"/>
    <w:rsid w:val="009A0E45"/>
    <w:rsid w:val="009A154E"/>
    <w:rsid w:val="009A173D"/>
    <w:rsid w:val="009A1A0E"/>
    <w:rsid w:val="009A1CCC"/>
    <w:rsid w:val="009A1D2F"/>
    <w:rsid w:val="009A26A6"/>
    <w:rsid w:val="009A2F98"/>
    <w:rsid w:val="009A31C4"/>
    <w:rsid w:val="009A35CD"/>
    <w:rsid w:val="009A3612"/>
    <w:rsid w:val="009A3664"/>
    <w:rsid w:val="009A3B0A"/>
    <w:rsid w:val="009A3B17"/>
    <w:rsid w:val="009A3DC8"/>
    <w:rsid w:val="009A3EB1"/>
    <w:rsid w:val="009A40F3"/>
    <w:rsid w:val="009A421A"/>
    <w:rsid w:val="009A4332"/>
    <w:rsid w:val="009A43C7"/>
    <w:rsid w:val="009A4416"/>
    <w:rsid w:val="009A469F"/>
    <w:rsid w:val="009A46F3"/>
    <w:rsid w:val="009A4B78"/>
    <w:rsid w:val="009A4BD7"/>
    <w:rsid w:val="009A4CA0"/>
    <w:rsid w:val="009A4CE6"/>
    <w:rsid w:val="009A507A"/>
    <w:rsid w:val="009A5368"/>
    <w:rsid w:val="009A55C9"/>
    <w:rsid w:val="009A55E5"/>
    <w:rsid w:val="009A5CD6"/>
    <w:rsid w:val="009A5E24"/>
    <w:rsid w:val="009A603E"/>
    <w:rsid w:val="009A650A"/>
    <w:rsid w:val="009A65F7"/>
    <w:rsid w:val="009A67E4"/>
    <w:rsid w:val="009A68C6"/>
    <w:rsid w:val="009A6AF0"/>
    <w:rsid w:val="009A6DAD"/>
    <w:rsid w:val="009A7021"/>
    <w:rsid w:val="009A7116"/>
    <w:rsid w:val="009A71B8"/>
    <w:rsid w:val="009A7238"/>
    <w:rsid w:val="009A7844"/>
    <w:rsid w:val="009A7C0D"/>
    <w:rsid w:val="009A7D05"/>
    <w:rsid w:val="009A7DBB"/>
    <w:rsid w:val="009B0025"/>
    <w:rsid w:val="009B03EA"/>
    <w:rsid w:val="009B0591"/>
    <w:rsid w:val="009B068B"/>
    <w:rsid w:val="009B0AC4"/>
    <w:rsid w:val="009B1FB7"/>
    <w:rsid w:val="009B2375"/>
    <w:rsid w:val="009B2688"/>
    <w:rsid w:val="009B2AEF"/>
    <w:rsid w:val="009B2DE7"/>
    <w:rsid w:val="009B2E90"/>
    <w:rsid w:val="009B2EC7"/>
    <w:rsid w:val="009B3070"/>
    <w:rsid w:val="009B3481"/>
    <w:rsid w:val="009B374E"/>
    <w:rsid w:val="009B3F5F"/>
    <w:rsid w:val="009B401F"/>
    <w:rsid w:val="009B433D"/>
    <w:rsid w:val="009B435B"/>
    <w:rsid w:val="009B47EE"/>
    <w:rsid w:val="009B49BE"/>
    <w:rsid w:val="009B4AE7"/>
    <w:rsid w:val="009B4BF3"/>
    <w:rsid w:val="009B503B"/>
    <w:rsid w:val="009B5359"/>
    <w:rsid w:val="009B559C"/>
    <w:rsid w:val="009B5AA8"/>
    <w:rsid w:val="009B6254"/>
    <w:rsid w:val="009B6399"/>
    <w:rsid w:val="009B63A5"/>
    <w:rsid w:val="009B6F77"/>
    <w:rsid w:val="009B759A"/>
    <w:rsid w:val="009B789B"/>
    <w:rsid w:val="009B7A91"/>
    <w:rsid w:val="009B7DEF"/>
    <w:rsid w:val="009C0674"/>
    <w:rsid w:val="009C0703"/>
    <w:rsid w:val="009C07BA"/>
    <w:rsid w:val="009C081E"/>
    <w:rsid w:val="009C0AA9"/>
    <w:rsid w:val="009C1579"/>
    <w:rsid w:val="009C157D"/>
    <w:rsid w:val="009C19C2"/>
    <w:rsid w:val="009C1E31"/>
    <w:rsid w:val="009C1F84"/>
    <w:rsid w:val="009C20A3"/>
    <w:rsid w:val="009C25D3"/>
    <w:rsid w:val="009C27F5"/>
    <w:rsid w:val="009C28FF"/>
    <w:rsid w:val="009C2902"/>
    <w:rsid w:val="009C3BDB"/>
    <w:rsid w:val="009C43A0"/>
    <w:rsid w:val="009C4888"/>
    <w:rsid w:val="009C495D"/>
    <w:rsid w:val="009C4CAF"/>
    <w:rsid w:val="009C5184"/>
    <w:rsid w:val="009C5796"/>
    <w:rsid w:val="009C5B1B"/>
    <w:rsid w:val="009C5C87"/>
    <w:rsid w:val="009C5E6A"/>
    <w:rsid w:val="009C62BA"/>
    <w:rsid w:val="009C649A"/>
    <w:rsid w:val="009C6571"/>
    <w:rsid w:val="009C694A"/>
    <w:rsid w:val="009C69E7"/>
    <w:rsid w:val="009C69EB"/>
    <w:rsid w:val="009C6A5D"/>
    <w:rsid w:val="009C6CA6"/>
    <w:rsid w:val="009C6D73"/>
    <w:rsid w:val="009C6EBA"/>
    <w:rsid w:val="009C6F69"/>
    <w:rsid w:val="009C7292"/>
    <w:rsid w:val="009C7380"/>
    <w:rsid w:val="009C7560"/>
    <w:rsid w:val="009C756F"/>
    <w:rsid w:val="009C780C"/>
    <w:rsid w:val="009C7CB1"/>
    <w:rsid w:val="009C7D55"/>
    <w:rsid w:val="009D007E"/>
    <w:rsid w:val="009D00AF"/>
    <w:rsid w:val="009D01FF"/>
    <w:rsid w:val="009D0510"/>
    <w:rsid w:val="009D0975"/>
    <w:rsid w:val="009D0B2D"/>
    <w:rsid w:val="009D0CF2"/>
    <w:rsid w:val="009D107F"/>
    <w:rsid w:val="009D180F"/>
    <w:rsid w:val="009D1812"/>
    <w:rsid w:val="009D1910"/>
    <w:rsid w:val="009D1DCC"/>
    <w:rsid w:val="009D1E5F"/>
    <w:rsid w:val="009D1EAA"/>
    <w:rsid w:val="009D242A"/>
    <w:rsid w:val="009D252D"/>
    <w:rsid w:val="009D290D"/>
    <w:rsid w:val="009D306D"/>
    <w:rsid w:val="009D31F3"/>
    <w:rsid w:val="009D3217"/>
    <w:rsid w:val="009D34E5"/>
    <w:rsid w:val="009D356F"/>
    <w:rsid w:val="009D3850"/>
    <w:rsid w:val="009D3A8C"/>
    <w:rsid w:val="009D3F8C"/>
    <w:rsid w:val="009D4174"/>
    <w:rsid w:val="009D41D9"/>
    <w:rsid w:val="009D4674"/>
    <w:rsid w:val="009D49B4"/>
    <w:rsid w:val="009D4B86"/>
    <w:rsid w:val="009D4B94"/>
    <w:rsid w:val="009D5035"/>
    <w:rsid w:val="009D53D4"/>
    <w:rsid w:val="009D57D0"/>
    <w:rsid w:val="009D5A05"/>
    <w:rsid w:val="009D5A1C"/>
    <w:rsid w:val="009D5A47"/>
    <w:rsid w:val="009D5A89"/>
    <w:rsid w:val="009D5E01"/>
    <w:rsid w:val="009D623F"/>
    <w:rsid w:val="009D6246"/>
    <w:rsid w:val="009D6253"/>
    <w:rsid w:val="009D6275"/>
    <w:rsid w:val="009D65D0"/>
    <w:rsid w:val="009D6A1A"/>
    <w:rsid w:val="009D7055"/>
    <w:rsid w:val="009D7797"/>
    <w:rsid w:val="009D77C9"/>
    <w:rsid w:val="009D7BBC"/>
    <w:rsid w:val="009D7DB5"/>
    <w:rsid w:val="009E06D5"/>
    <w:rsid w:val="009E070C"/>
    <w:rsid w:val="009E0A91"/>
    <w:rsid w:val="009E0EFE"/>
    <w:rsid w:val="009E159B"/>
    <w:rsid w:val="009E15E7"/>
    <w:rsid w:val="009E1939"/>
    <w:rsid w:val="009E1E2A"/>
    <w:rsid w:val="009E1E5D"/>
    <w:rsid w:val="009E240F"/>
    <w:rsid w:val="009E293D"/>
    <w:rsid w:val="009E2FCC"/>
    <w:rsid w:val="009E3390"/>
    <w:rsid w:val="009E33CE"/>
    <w:rsid w:val="009E340B"/>
    <w:rsid w:val="009E3599"/>
    <w:rsid w:val="009E35FA"/>
    <w:rsid w:val="009E3827"/>
    <w:rsid w:val="009E4274"/>
    <w:rsid w:val="009E5038"/>
    <w:rsid w:val="009E508B"/>
    <w:rsid w:val="009E50AC"/>
    <w:rsid w:val="009E5217"/>
    <w:rsid w:val="009E5799"/>
    <w:rsid w:val="009E57D2"/>
    <w:rsid w:val="009E59D5"/>
    <w:rsid w:val="009E5B42"/>
    <w:rsid w:val="009E5C18"/>
    <w:rsid w:val="009E5FA1"/>
    <w:rsid w:val="009E61D1"/>
    <w:rsid w:val="009E6388"/>
    <w:rsid w:val="009E63B3"/>
    <w:rsid w:val="009E656C"/>
    <w:rsid w:val="009E6C74"/>
    <w:rsid w:val="009E6C98"/>
    <w:rsid w:val="009E6E6E"/>
    <w:rsid w:val="009E6FE2"/>
    <w:rsid w:val="009E709B"/>
    <w:rsid w:val="009E72FD"/>
    <w:rsid w:val="009E734D"/>
    <w:rsid w:val="009E7440"/>
    <w:rsid w:val="009E767F"/>
    <w:rsid w:val="009E76E5"/>
    <w:rsid w:val="009E7791"/>
    <w:rsid w:val="009E78F3"/>
    <w:rsid w:val="009E7D85"/>
    <w:rsid w:val="009E7D9C"/>
    <w:rsid w:val="009F0003"/>
    <w:rsid w:val="009F003E"/>
    <w:rsid w:val="009F03A4"/>
    <w:rsid w:val="009F0BD7"/>
    <w:rsid w:val="009F0E91"/>
    <w:rsid w:val="009F0E9E"/>
    <w:rsid w:val="009F0FB9"/>
    <w:rsid w:val="009F18A6"/>
    <w:rsid w:val="009F19CD"/>
    <w:rsid w:val="009F19EF"/>
    <w:rsid w:val="009F20E1"/>
    <w:rsid w:val="009F2291"/>
    <w:rsid w:val="009F24C5"/>
    <w:rsid w:val="009F27AF"/>
    <w:rsid w:val="009F29EA"/>
    <w:rsid w:val="009F2E80"/>
    <w:rsid w:val="009F305A"/>
    <w:rsid w:val="009F32A4"/>
    <w:rsid w:val="009F3454"/>
    <w:rsid w:val="009F3502"/>
    <w:rsid w:val="009F3601"/>
    <w:rsid w:val="009F3634"/>
    <w:rsid w:val="009F376A"/>
    <w:rsid w:val="009F3AB2"/>
    <w:rsid w:val="009F3C20"/>
    <w:rsid w:val="009F40E2"/>
    <w:rsid w:val="009F42EB"/>
    <w:rsid w:val="009F4599"/>
    <w:rsid w:val="009F47CD"/>
    <w:rsid w:val="009F4A4F"/>
    <w:rsid w:val="009F4DF0"/>
    <w:rsid w:val="009F4FCC"/>
    <w:rsid w:val="009F5050"/>
    <w:rsid w:val="009F52E0"/>
    <w:rsid w:val="009F5407"/>
    <w:rsid w:val="009F5527"/>
    <w:rsid w:val="009F56E7"/>
    <w:rsid w:val="009F5A25"/>
    <w:rsid w:val="009F5AB0"/>
    <w:rsid w:val="009F5D49"/>
    <w:rsid w:val="009F5F4E"/>
    <w:rsid w:val="009F643E"/>
    <w:rsid w:val="009F64FA"/>
    <w:rsid w:val="009F6973"/>
    <w:rsid w:val="009F6E5B"/>
    <w:rsid w:val="009F750A"/>
    <w:rsid w:val="009F7676"/>
    <w:rsid w:val="009F777F"/>
    <w:rsid w:val="009F77E9"/>
    <w:rsid w:val="009F7C1F"/>
    <w:rsid w:val="009F7DC7"/>
    <w:rsid w:val="009F7FC0"/>
    <w:rsid w:val="00A0002D"/>
    <w:rsid w:val="00A000C6"/>
    <w:rsid w:val="00A00387"/>
    <w:rsid w:val="00A0045F"/>
    <w:rsid w:val="00A004A5"/>
    <w:rsid w:val="00A004B6"/>
    <w:rsid w:val="00A00AB0"/>
    <w:rsid w:val="00A00FCE"/>
    <w:rsid w:val="00A0138A"/>
    <w:rsid w:val="00A01475"/>
    <w:rsid w:val="00A01702"/>
    <w:rsid w:val="00A01B9F"/>
    <w:rsid w:val="00A01D4F"/>
    <w:rsid w:val="00A01F26"/>
    <w:rsid w:val="00A02198"/>
    <w:rsid w:val="00A022B8"/>
    <w:rsid w:val="00A02450"/>
    <w:rsid w:val="00A02CF4"/>
    <w:rsid w:val="00A030CC"/>
    <w:rsid w:val="00A03361"/>
    <w:rsid w:val="00A03530"/>
    <w:rsid w:val="00A03AFB"/>
    <w:rsid w:val="00A03BAE"/>
    <w:rsid w:val="00A03BFA"/>
    <w:rsid w:val="00A03C36"/>
    <w:rsid w:val="00A03ECC"/>
    <w:rsid w:val="00A04007"/>
    <w:rsid w:val="00A04537"/>
    <w:rsid w:val="00A04B8D"/>
    <w:rsid w:val="00A04C92"/>
    <w:rsid w:val="00A04DC0"/>
    <w:rsid w:val="00A053E1"/>
    <w:rsid w:val="00A05641"/>
    <w:rsid w:val="00A056B4"/>
    <w:rsid w:val="00A05BC4"/>
    <w:rsid w:val="00A05C26"/>
    <w:rsid w:val="00A05E16"/>
    <w:rsid w:val="00A0628F"/>
    <w:rsid w:val="00A06455"/>
    <w:rsid w:val="00A06C20"/>
    <w:rsid w:val="00A06F81"/>
    <w:rsid w:val="00A0703C"/>
    <w:rsid w:val="00A077E4"/>
    <w:rsid w:val="00A07AEA"/>
    <w:rsid w:val="00A07E50"/>
    <w:rsid w:val="00A100A2"/>
    <w:rsid w:val="00A1071D"/>
    <w:rsid w:val="00A114BB"/>
    <w:rsid w:val="00A11552"/>
    <w:rsid w:val="00A116DB"/>
    <w:rsid w:val="00A11A18"/>
    <w:rsid w:val="00A11F2D"/>
    <w:rsid w:val="00A1202C"/>
    <w:rsid w:val="00A12190"/>
    <w:rsid w:val="00A12294"/>
    <w:rsid w:val="00A12493"/>
    <w:rsid w:val="00A1280D"/>
    <w:rsid w:val="00A129FC"/>
    <w:rsid w:val="00A12CB6"/>
    <w:rsid w:val="00A13221"/>
    <w:rsid w:val="00A132FC"/>
    <w:rsid w:val="00A13354"/>
    <w:rsid w:val="00A13674"/>
    <w:rsid w:val="00A13682"/>
    <w:rsid w:val="00A13B33"/>
    <w:rsid w:val="00A13CCD"/>
    <w:rsid w:val="00A143DF"/>
    <w:rsid w:val="00A146E4"/>
    <w:rsid w:val="00A14723"/>
    <w:rsid w:val="00A14B34"/>
    <w:rsid w:val="00A157DC"/>
    <w:rsid w:val="00A158EC"/>
    <w:rsid w:val="00A15918"/>
    <w:rsid w:val="00A15D03"/>
    <w:rsid w:val="00A15D93"/>
    <w:rsid w:val="00A15DEF"/>
    <w:rsid w:val="00A15F33"/>
    <w:rsid w:val="00A16453"/>
    <w:rsid w:val="00A1648A"/>
    <w:rsid w:val="00A16573"/>
    <w:rsid w:val="00A16690"/>
    <w:rsid w:val="00A16B4E"/>
    <w:rsid w:val="00A16D84"/>
    <w:rsid w:val="00A16E5B"/>
    <w:rsid w:val="00A1758E"/>
    <w:rsid w:val="00A17744"/>
    <w:rsid w:val="00A177AF"/>
    <w:rsid w:val="00A1791B"/>
    <w:rsid w:val="00A200AD"/>
    <w:rsid w:val="00A2013C"/>
    <w:rsid w:val="00A20222"/>
    <w:rsid w:val="00A2026A"/>
    <w:rsid w:val="00A20300"/>
    <w:rsid w:val="00A20478"/>
    <w:rsid w:val="00A2091F"/>
    <w:rsid w:val="00A20BDD"/>
    <w:rsid w:val="00A217FF"/>
    <w:rsid w:val="00A21870"/>
    <w:rsid w:val="00A2191C"/>
    <w:rsid w:val="00A21979"/>
    <w:rsid w:val="00A21DB1"/>
    <w:rsid w:val="00A222BC"/>
    <w:rsid w:val="00A222E6"/>
    <w:rsid w:val="00A22316"/>
    <w:rsid w:val="00A22388"/>
    <w:rsid w:val="00A223C9"/>
    <w:rsid w:val="00A22895"/>
    <w:rsid w:val="00A2295A"/>
    <w:rsid w:val="00A23135"/>
    <w:rsid w:val="00A232FE"/>
    <w:rsid w:val="00A2340D"/>
    <w:rsid w:val="00A23ADE"/>
    <w:rsid w:val="00A23F48"/>
    <w:rsid w:val="00A24340"/>
    <w:rsid w:val="00A2455A"/>
    <w:rsid w:val="00A245AB"/>
    <w:rsid w:val="00A24601"/>
    <w:rsid w:val="00A24886"/>
    <w:rsid w:val="00A24B0B"/>
    <w:rsid w:val="00A24BE7"/>
    <w:rsid w:val="00A24F40"/>
    <w:rsid w:val="00A24F7E"/>
    <w:rsid w:val="00A254F1"/>
    <w:rsid w:val="00A25608"/>
    <w:rsid w:val="00A25630"/>
    <w:rsid w:val="00A262B9"/>
    <w:rsid w:val="00A2634F"/>
    <w:rsid w:val="00A263D5"/>
    <w:rsid w:val="00A26D78"/>
    <w:rsid w:val="00A26DAE"/>
    <w:rsid w:val="00A27008"/>
    <w:rsid w:val="00A271F3"/>
    <w:rsid w:val="00A2754D"/>
    <w:rsid w:val="00A27DC9"/>
    <w:rsid w:val="00A30299"/>
    <w:rsid w:val="00A30309"/>
    <w:rsid w:val="00A30570"/>
    <w:rsid w:val="00A30614"/>
    <w:rsid w:val="00A3075E"/>
    <w:rsid w:val="00A30854"/>
    <w:rsid w:val="00A30ADE"/>
    <w:rsid w:val="00A30C42"/>
    <w:rsid w:val="00A30E08"/>
    <w:rsid w:val="00A31138"/>
    <w:rsid w:val="00A311DD"/>
    <w:rsid w:val="00A312F5"/>
    <w:rsid w:val="00A313FE"/>
    <w:rsid w:val="00A31637"/>
    <w:rsid w:val="00A3163F"/>
    <w:rsid w:val="00A316B2"/>
    <w:rsid w:val="00A31A75"/>
    <w:rsid w:val="00A31EDC"/>
    <w:rsid w:val="00A32129"/>
    <w:rsid w:val="00A32290"/>
    <w:rsid w:val="00A32EA2"/>
    <w:rsid w:val="00A32F2E"/>
    <w:rsid w:val="00A33196"/>
    <w:rsid w:val="00A33247"/>
    <w:rsid w:val="00A333DC"/>
    <w:rsid w:val="00A338FC"/>
    <w:rsid w:val="00A33A69"/>
    <w:rsid w:val="00A33E38"/>
    <w:rsid w:val="00A33FA0"/>
    <w:rsid w:val="00A3470E"/>
    <w:rsid w:val="00A34801"/>
    <w:rsid w:val="00A34A1C"/>
    <w:rsid w:val="00A34A5E"/>
    <w:rsid w:val="00A34B36"/>
    <w:rsid w:val="00A34C04"/>
    <w:rsid w:val="00A34D61"/>
    <w:rsid w:val="00A34F3E"/>
    <w:rsid w:val="00A35138"/>
    <w:rsid w:val="00A358AD"/>
    <w:rsid w:val="00A3597B"/>
    <w:rsid w:val="00A35E39"/>
    <w:rsid w:val="00A35E46"/>
    <w:rsid w:val="00A35EE1"/>
    <w:rsid w:val="00A360E3"/>
    <w:rsid w:val="00A363A8"/>
    <w:rsid w:val="00A36689"/>
    <w:rsid w:val="00A367EE"/>
    <w:rsid w:val="00A369D4"/>
    <w:rsid w:val="00A36B59"/>
    <w:rsid w:val="00A36C20"/>
    <w:rsid w:val="00A37020"/>
    <w:rsid w:val="00A374E1"/>
    <w:rsid w:val="00A37668"/>
    <w:rsid w:val="00A376A2"/>
    <w:rsid w:val="00A37D56"/>
    <w:rsid w:val="00A37DE0"/>
    <w:rsid w:val="00A37F88"/>
    <w:rsid w:val="00A37FF0"/>
    <w:rsid w:val="00A40080"/>
    <w:rsid w:val="00A40132"/>
    <w:rsid w:val="00A401C8"/>
    <w:rsid w:val="00A4028C"/>
    <w:rsid w:val="00A4065C"/>
    <w:rsid w:val="00A4077B"/>
    <w:rsid w:val="00A408B5"/>
    <w:rsid w:val="00A40908"/>
    <w:rsid w:val="00A410F4"/>
    <w:rsid w:val="00A413B2"/>
    <w:rsid w:val="00A414BE"/>
    <w:rsid w:val="00A41B57"/>
    <w:rsid w:val="00A41CB2"/>
    <w:rsid w:val="00A41CE5"/>
    <w:rsid w:val="00A41CEE"/>
    <w:rsid w:val="00A41D51"/>
    <w:rsid w:val="00A41F3F"/>
    <w:rsid w:val="00A42477"/>
    <w:rsid w:val="00A42898"/>
    <w:rsid w:val="00A42C3C"/>
    <w:rsid w:val="00A42DB0"/>
    <w:rsid w:val="00A42EFB"/>
    <w:rsid w:val="00A42F3C"/>
    <w:rsid w:val="00A432CA"/>
    <w:rsid w:val="00A43323"/>
    <w:rsid w:val="00A43582"/>
    <w:rsid w:val="00A436EE"/>
    <w:rsid w:val="00A43A0D"/>
    <w:rsid w:val="00A43C22"/>
    <w:rsid w:val="00A43CE4"/>
    <w:rsid w:val="00A43E67"/>
    <w:rsid w:val="00A44AD1"/>
    <w:rsid w:val="00A44B93"/>
    <w:rsid w:val="00A453F3"/>
    <w:rsid w:val="00A45643"/>
    <w:rsid w:val="00A45F18"/>
    <w:rsid w:val="00A45F28"/>
    <w:rsid w:val="00A4614C"/>
    <w:rsid w:val="00A462D5"/>
    <w:rsid w:val="00A4669D"/>
    <w:rsid w:val="00A46F2E"/>
    <w:rsid w:val="00A4741D"/>
    <w:rsid w:val="00A474BF"/>
    <w:rsid w:val="00A4773B"/>
    <w:rsid w:val="00A47AAB"/>
    <w:rsid w:val="00A47C3C"/>
    <w:rsid w:val="00A50219"/>
    <w:rsid w:val="00A505C5"/>
    <w:rsid w:val="00A50861"/>
    <w:rsid w:val="00A50ABA"/>
    <w:rsid w:val="00A50C9A"/>
    <w:rsid w:val="00A50D1B"/>
    <w:rsid w:val="00A50D7A"/>
    <w:rsid w:val="00A51605"/>
    <w:rsid w:val="00A51779"/>
    <w:rsid w:val="00A51EDE"/>
    <w:rsid w:val="00A522EA"/>
    <w:rsid w:val="00A52A9D"/>
    <w:rsid w:val="00A52D4E"/>
    <w:rsid w:val="00A52EBC"/>
    <w:rsid w:val="00A5312D"/>
    <w:rsid w:val="00A5376D"/>
    <w:rsid w:val="00A54157"/>
    <w:rsid w:val="00A542EF"/>
    <w:rsid w:val="00A543EA"/>
    <w:rsid w:val="00A545CA"/>
    <w:rsid w:val="00A54F8A"/>
    <w:rsid w:val="00A55302"/>
    <w:rsid w:val="00A55383"/>
    <w:rsid w:val="00A55706"/>
    <w:rsid w:val="00A558F3"/>
    <w:rsid w:val="00A55A4A"/>
    <w:rsid w:val="00A55D53"/>
    <w:rsid w:val="00A55FD7"/>
    <w:rsid w:val="00A561CC"/>
    <w:rsid w:val="00A56410"/>
    <w:rsid w:val="00A56489"/>
    <w:rsid w:val="00A56BEF"/>
    <w:rsid w:val="00A56E27"/>
    <w:rsid w:val="00A5753B"/>
    <w:rsid w:val="00A578E1"/>
    <w:rsid w:val="00A57E16"/>
    <w:rsid w:val="00A6029B"/>
    <w:rsid w:val="00A60310"/>
    <w:rsid w:val="00A6049D"/>
    <w:rsid w:val="00A605BC"/>
    <w:rsid w:val="00A60686"/>
    <w:rsid w:val="00A60FB1"/>
    <w:rsid w:val="00A61132"/>
    <w:rsid w:val="00A61D42"/>
    <w:rsid w:val="00A62024"/>
    <w:rsid w:val="00A62055"/>
    <w:rsid w:val="00A620FD"/>
    <w:rsid w:val="00A6213A"/>
    <w:rsid w:val="00A622FD"/>
    <w:rsid w:val="00A62825"/>
    <w:rsid w:val="00A628F6"/>
    <w:rsid w:val="00A6290B"/>
    <w:rsid w:val="00A62BBF"/>
    <w:rsid w:val="00A637BB"/>
    <w:rsid w:val="00A638E7"/>
    <w:rsid w:val="00A63FF2"/>
    <w:rsid w:val="00A64113"/>
    <w:rsid w:val="00A644CE"/>
    <w:rsid w:val="00A645A9"/>
    <w:rsid w:val="00A64686"/>
    <w:rsid w:val="00A6480E"/>
    <w:rsid w:val="00A64983"/>
    <w:rsid w:val="00A64990"/>
    <w:rsid w:val="00A64B58"/>
    <w:rsid w:val="00A64B85"/>
    <w:rsid w:val="00A64BC1"/>
    <w:rsid w:val="00A64CFC"/>
    <w:rsid w:val="00A64E56"/>
    <w:rsid w:val="00A64ED3"/>
    <w:rsid w:val="00A65080"/>
    <w:rsid w:val="00A653F8"/>
    <w:rsid w:val="00A65719"/>
    <w:rsid w:val="00A6615C"/>
    <w:rsid w:val="00A66747"/>
    <w:rsid w:val="00A667AE"/>
    <w:rsid w:val="00A669ED"/>
    <w:rsid w:val="00A66A45"/>
    <w:rsid w:val="00A66CDA"/>
    <w:rsid w:val="00A67501"/>
    <w:rsid w:val="00A675BC"/>
    <w:rsid w:val="00A677BF"/>
    <w:rsid w:val="00A67B44"/>
    <w:rsid w:val="00A67DC5"/>
    <w:rsid w:val="00A67FE7"/>
    <w:rsid w:val="00A70197"/>
    <w:rsid w:val="00A70361"/>
    <w:rsid w:val="00A703F2"/>
    <w:rsid w:val="00A707F8"/>
    <w:rsid w:val="00A709B8"/>
    <w:rsid w:val="00A70B78"/>
    <w:rsid w:val="00A711D8"/>
    <w:rsid w:val="00A7156F"/>
    <w:rsid w:val="00A71616"/>
    <w:rsid w:val="00A716DB"/>
    <w:rsid w:val="00A71718"/>
    <w:rsid w:val="00A718C9"/>
    <w:rsid w:val="00A7191D"/>
    <w:rsid w:val="00A71C5A"/>
    <w:rsid w:val="00A71CA3"/>
    <w:rsid w:val="00A71E0A"/>
    <w:rsid w:val="00A72408"/>
    <w:rsid w:val="00A72516"/>
    <w:rsid w:val="00A727B1"/>
    <w:rsid w:val="00A727C5"/>
    <w:rsid w:val="00A73616"/>
    <w:rsid w:val="00A73A26"/>
    <w:rsid w:val="00A73F92"/>
    <w:rsid w:val="00A74026"/>
    <w:rsid w:val="00A744FA"/>
    <w:rsid w:val="00A7451B"/>
    <w:rsid w:val="00A74AA6"/>
    <w:rsid w:val="00A750F2"/>
    <w:rsid w:val="00A752FF"/>
    <w:rsid w:val="00A75415"/>
    <w:rsid w:val="00A756F9"/>
    <w:rsid w:val="00A75A0A"/>
    <w:rsid w:val="00A75D0F"/>
    <w:rsid w:val="00A75D6A"/>
    <w:rsid w:val="00A75D99"/>
    <w:rsid w:val="00A7614F"/>
    <w:rsid w:val="00A7615B"/>
    <w:rsid w:val="00A761AD"/>
    <w:rsid w:val="00A76212"/>
    <w:rsid w:val="00A764F5"/>
    <w:rsid w:val="00A7681D"/>
    <w:rsid w:val="00A76C24"/>
    <w:rsid w:val="00A76F65"/>
    <w:rsid w:val="00A76F77"/>
    <w:rsid w:val="00A7732D"/>
    <w:rsid w:val="00A7749C"/>
    <w:rsid w:val="00A7770F"/>
    <w:rsid w:val="00A77911"/>
    <w:rsid w:val="00A77B3E"/>
    <w:rsid w:val="00A800C4"/>
    <w:rsid w:val="00A8018E"/>
    <w:rsid w:val="00A802F6"/>
    <w:rsid w:val="00A805EE"/>
    <w:rsid w:val="00A80AD7"/>
    <w:rsid w:val="00A80CDA"/>
    <w:rsid w:val="00A80E12"/>
    <w:rsid w:val="00A81131"/>
    <w:rsid w:val="00A816CC"/>
    <w:rsid w:val="00A81911"/>
    <w:rsid w:val="00A819DF"/>
    <w:rsid w:val="00A81EB9"/>
    <w:rsid w:val="00A81F67"/>
    <w:rsid w:val="00A821EC"/>
    <w:rsid w:val="00A825F3"/>
    <w:rsid w:val="00A829AA"/>
    <w:rsid w:val="00A82AD1"/>
    <w:rsid w:val="00A8348E"/>
    <w:rsid w:val="00A838C4"/>
    <w:rsid w:val="00A83A2A"/>
    <w:rsid w:val="00A84256"/>
    <w:rsid w:val="00A8444D"/>
    <w:rsid w:val="00A84877"/>
    <w:rsid w:val="00A84B42"/>
    <w:rsid w:val="00A84B47"/>
    <w:rsid w:val="00A8512C"/>
    <w:rsid w:val="00A851AC"/>
    <w:rsid w:val="00A853B1"/>
    <w:rsid w:val="00A854FE"/>
    <w:rsid w:val="00A855DD"/>
    <w:rsid w:val="00A85745"/>
    <w:rsid w:val="00A85CA7"/>
    <w:rsid w:val="00A85F35"/>
    <w:rsid w:val="00A85F78"/>
    <w:rsid w:val="00A8613C"/>
    <w:rsid w:val="00A8635F"/>
    <w:rsid w:val="00A86760"/>
    <w:rsid w:val="00A86F1E"/>
    <w:rsid w:val="00A87224"/>
    <w:rsid w:val="00A873AB"/>
    <w:rsid w:val="00A8757E"/>
    <w:rsid w:val="00A87740"/>
    <w:rsid w:val="00A9002E"/>
    <w:rsid w:val="00A90661"/>
    <w:rsid w:val="00A9079E"/>
    <w:rsid w:val="00A9086B"/>
    <w:rsid w:val="00A909DE"/>
    <w:rsid w:val="00A90B23"/>
    <w:rsid w:val="00A90DA9"/>
    <w:rsid w:val="00A90F7F"/>
    <w:rsid w:val="00A91526"/>
    <w:rsid w:val="00A91545"/>
    <w:rsid w:val="00A915ED"/>
    <w:rsid w:val="00A91760"/>
    <w:rsid w:val="00A91DC4"/>
    <w:rsid w:val="00A91F8E"/>
    <w:rsid w:val="00A9228A"/>
    <w:rsid w:val="00A923A7"/>
    <w:rsid w:val="00A929F6"/>
    <w:rsid w:val="00A92AF5"/>
    <w:rsid w:val="00A92CC7"/>
    <w:rsid w:val="00A93719"/>
    <w:rsid w:val="00A938CD"/>
    <w:rsid w:val="00A93997"/>
    <w:rsid w:val="00A93BD8"/>
    <w:rsid w:val="00A940C6"/>
    <w:rsid w:val="00A945F6"/>
    <w:rsid w:val="00A947DF"/>
    <w:rsid w:val="00A94882"/>
    <w:rsid w:val="00A94A82"/>
    <w:rsid w:val="00A94D0D"/>
    <w:rsid w:val="00A94F70"/>
    <w:rsid w:val="00A9530C"/>
    <w:rsid w:val="00A959C4"/>
    <w:rsid w:val="00A95A30"/>
    <w:rsid w:val="00A95DB6"/>
    <w:rsid w:val="00A95E0F"/>
    <w:rsid w:val="00A95F8A"/>
    <w:rsid w:val="00A963F7"/>
    <w:rsid w:val="00A9670B"/>
    <w:rsid w:val="00A96DD7"/>
    <w:rsid w:val="00A9710D"/>
    <w:rsid w:val="00A97422"/>
    <w:rsid w:val="00A97546"/>
    <w:rsid w:val="00A97762"/>
    <w:rsid w:val="00A97A19"/>
    <w:rsid w:val="00A97A48"/>
    <w:rsid w:val="00A97ABB"/>
    <w:rsid w:val="00A97D14"/>
    <w:rsid w:val="00A97DC6"/>
    <w:rsid w:val="00AA0201"/>
    <w:rsid w:val="00AA0457"/>
    <w:rsid w:val="00AA07F2"/>
    <w:rsid w:val="00AA096F"/>
    <w:rsid w:val="00AA0D2B"/>
    <w:rsid w:val="00AA0D50"/>
    <w:rsid w:val="00AA0ED8"/>
    <w:rsid w:val="00AA0F1E"/>
    <w:rsid w:val="00AA1237"/>
    <w:rsid w:val="00AA1404"/>
    <w:rsid w:val="00AA155C"/>
    <w:rsid w:val="00AA16BE"/>
    <w:rsid w:val="00AA1771"/>
    <w:rsid w:val="00AA1A64"/>
    <w:rsid w:val="00AA1BA8"/>
    <w:rsid w:val="00AA1EAD"/>
    <w:rsid w:val="00AA208D"/>
    <w:rsid w:val="00AA23F0"/>
    <w:rsid w:val="00AA24E7"/>
    <w:rsid w:val="00AA26F4"/>
    <w:rsid w:val="00AA270A"/>
    <w:rsid w:val="00AA293F"/>
    <w:rsid w:val="00AA3161"/>
    <w:rsid w:val="00AA32C1"/>
    <w:rsid w:val="00AA33BB"/>
    <w:rsid w:val="00AA36F1"/>
    <w:rsid w:val="00AA3941"/>
    <w:rsid w:val="00AA3B49"/>
    <w:rsid w:val="00AA3CBC"/>
    <w:rsid w:val="00AA3F6D"/>
    <w:rsid w:val="00AA406C"/>
    <w:rsid w:val="00AA4314"/>
    <w:rsid w:val="00AA485F"/>
    <w:rsid w:val="00AA4BC0"/>
    <w:rsid w:val="00AA4FC0"/>
    <w:rsid w:val="00AA4FD2"/>
    <w:rsid w:val="00AA5033"/>
    <w:rsid w:val="00AA506B"/>
    <w:rsid w:val="00AA518E"/>
    <w:rsid w:val="00AA543E"/>
    <w:rsid w:val="00AA5B37"/>
    <w:rsid w:val="00AA64AB"/>
    <w:rsid w:val="00AA6861"/>
    <w:rsid w:val="00AA6D60"/>
    <w:rsid w:val="00AA7362"/>
    <w:rsid w:val="00AA7AFD"/>
    <w:rsid w:val="00AA7B94"/>
    <w:rsid w:val="00AB0199"/>
    <w:rsid w:val="00AB0641"/>
    <w:rsid w:val="00AB0803"/>
    <w:rsid w:val="00AB0841"/>
    <w:rsid w:val="00AB091F"/>
    <w:rsid w:val="00AB0BDD"/>
    <w:rsid w:val="00AB0D93"/>
    <w:rsid w:val="00AB0F18"/>
    <w:rsid w:val="00AB0F63"/>
    <w:rsid w:val="00AB1AC8"/>
    <w:rsid w:val="00AB1D48"/>
    <w:rsid w:val="00AB1DB7"/>
    <w:rsid w:val="00AB2032"/>
    <w:rsid w:val="00AB2315"/>
    <w:rsid w:val="00AB272D"/>
    <w:rsid w:val="00AB279E"/>
    <w:rsid w:val="00AB2810"/>
    <w:rsid w:val="00AB2AB4"/>
    <w:rsid w:val="00AB2BAA"/>
    <w:rsid w:val="00AB2FDC"/>
    <w:rsid w:val="00AB3348"/>
    <w:rsid w:val="00AB37C4"/>
    <w:rsid w:val="00AB38FD"/>
    <w:rsid w:val="00AB3BE3"/>
    <w:rsid w:val="00AB3C6C"/>
    <w:rsid w:val="00AB3CBC"/>
    <w:rsid w:val="00AB3DF3"/>
    <w:rsid w:val="00AB3F0E"/>
    <w:rsid w:val="00AB3F97"/>
    <w:rsid w:val="00AB40B1"/>
    <w:rsid w:val="00AB4151"/>
    <w:rsid w:val="00AB4173"/>
    <w:rsid w:val="00AB4296"/>
    <w:rsid w:val="00AB43BB"/>
    <w:rsid w:val="00AB4426"/>
    <w:rsid w:val="00AB44AE"/>
    <w:rsid w:val="00AB47E0"/>
    <w:rsid w:val="00AB4ADE"/>
    <w:rsid w:val="00AB4D92"/>
    <w:rsid w:val="00AB502B"/>
    <w:rsid w:val="00AB55D1"/>
    <w:rsid w:val="00AB5641"/>
    <w:rsid w:val="00AB5D0B"/>
    <w:rsid w:val="00AB5E51"/>
    <w:rsid w:val="00AB5F6A"/>
    <w:rsid w:val="00AB6987"/>
    <w:rsid w:val="00AB6ACA"/>
    <w:rsid w:val="00AB6BB4"/>
    <w:rsid w:val="00AB6DD3"/>
    <w:rsid w:val="00AB6FF3"/>
    <w:rsid w:val="00AB7342"/>
    <w:rsid w:val="00AB745D"/>
    <w:rsid w:val="00AC0080"/>
    <w:rsid w:val="00AC036E"/>
    <w:rsid w:val="00AC0715"/>
    <w:rsid w:val="00AC0A85"/>
    <w:rsid w:val="00AC0A89"/>
    <w:rsid w:val="00AC0D23"/>
    <w:rsid w:val="00AC0DF8"/>
    <w:rsid w:val="00AC1351"/>
    <w:rsid w:val="00AC185E"/>
    <w:rsid w:val="00AC18B3"/>
    <w:rsid w:val="00AC21B6"/>
    <w:rsid w:val="00AC22FC"/>
    <w:rsid w:val="00AC23EA"/>
    <w:rsid w:val="00AC243A"/>
    <w:rsid w:val="00AC2A0A"/>
    <w:rsid w:val="00AC2E4A"/>
    <w:rsid w:val="00AC3018"/>
    <w:rsid w:val="00AC3030"/>
    <w:rsid w:val="00AC3298"/>
    <w:rsid w:val="00AC33EF"/>
    <w:rsid w:val="00AC3535"/>
    <w:rsid w:val="00AC3614"/>
    <w:rsid w:val="00AC38B4"/>
    <w:rsid w:val="00AC3978"/>
    <w:rsid w:val="00AC3A76"/>
    <w:rsid w:val="00AC3BFF"/>
    <w:rsid w:val="00AC3D9E"/>
    <w:rsid w:val="00AC3F0E"/>
    <w:rsid w:val="00AC4144"/>
    <w:rsid w:val="00AC42D2"/>
    <w:rsid w:val="00AC45C3"/>
    <w:rsid w:val="00AC4AF9"/>
    <w:rsid w:val="00AC4EED"/>
    <w:rsid w:val="00AC53E7"/>
    <w:rsid w:val="00AC563D"/>
    <w:rsid w:val="00AC5691"/>
    <w:rsid w:val="00AC5D45"/>
    <w:rsid w:val="00AC5EC1"/>
    <w:rsid w:val="00AC5F68"/>
    <w:rsid w:val="00AC60A5"/>
    <w:rsid w:val="00AC6128"/>
    <w:rsid w:val="00AC62B5"/>
    <w:rsid w:val="00AC645E"/>
    <w:rsid w:val="00AC65B7"/>
    <w:rsid w:val="00AC68AD"/>
    <w:rsid w:val="00AC6EB9"/>
    <w:rsid w:val="00AC71F9"/>
    <w:rsid w:val="00AC726D"/>
    <w:rsid w:val="00AC78EA"/>
    <w:rsid w:val="00AC7D11"/>
    <w:rsid w:val="00AC7D54"/>
    <w:rsid w:val="00AD0790"/>
    <w:rsid w:val="00AD07CC"/>
    <w:rsid w:val="00AD08B9"/>
    <w:rsid w:val="00AD13D9"/>
    <w:rsid w:val="00AD1A34"/>
    <w:rsid w:val="00AD1A79"/>
    <w:rsid w:val="00AD1E06"/>
    <w:rsid w:val="00AD1E1B"/>
    <w:rsid w:val="00AD283F"/>
    <w:rsid w:val="00AD29CC"/>
    <w:rsid w:val="00AD2BFD"/>
    <w:rsid w:val="00AD2E5F"/>
    <w:rsid w:val="00AD2F5E"/>
    <w:rsid w:val="00AD3082"/>
    <w:rsid w:val="00AD3512"/>
    <w:rsid w:val="00AD372C"/>
    <w:rsid w:val="00AD3EF5"/>
    <w:rsid w:val="00AD41CC"/>
    <w:rsid w:val="00AD43E0"/>
    <w:rsid w:val="00AD4BDD"/>
    <w:rsid w:val="00AD4C8D"/>
    <w:rsid w:val="00AD4E80"/>
    <w:rsid w:val="00AD5455"/>
    <w:rsid w:val="00AD5D86"/>
    <w:rsid w:val="00AD5F44"/>
    <w:rsid w:val="00AD62EE"/>
    <w:rsid w:val="00AD63BA"/>
    <w:rsid w:val="00AD6691"/>
    <w:rsid w:val="00AD6C1E"/>
    <w:rsid w:val="00AD6DFA"/>
    <w:rsid w:val="00AD6ED5"/>
    <w:rsid w:val="00AD71B5"/>
    <w:rsid w:val="00AD7458"/>
    <w:rsid w:val="00AD758A"/>
    <w:rsid w:val="00AD795B"/>
    <w:rsid w:val="00AD7974"/>
    <w:rsid w:val="00AD7CE2"/>
    <w:rsid w:val="00AD7E5E"/>
    <w:rsid w:val="00AE00A5"/>
    <w:rsid w:val="00AE01E2"/>
    <w:rsid w:val="00AE0205"/>
    <w:rsid w:val="00AE02C3"/>
    <w:rsid w:val="00AE0CB0"/>
    <w:rsid w:val="00AE0D69"/>
    <w:rsid w:val="00AE0E45"/>
    <w:rsid w:val="00AE0FFA"/>
    <w:rsid w:val="00AE16ED"/>
    <w:rsid w:val="00AE1A0E"/>
    <w:rsid w:val="00AE20E0"/>
    <w:rsid w:val="00AE258D"/>
    <w:rsid w:val="00AE286A"/>
    <w:rsid w:val="00AE28A0"/>
    <w:rsid w:val="00AE2AEA"/>
    <w:rsid w:val="00AE2B10"/>
    <w:rsid w:val="00AE2B22"/>
    <w:rsid w:val="00AE2C60"/>
    <w:rsid w:val="00AE2C97"/>
    <w:rsid w:val="00AE2CAE"/>
    <w:rsid w:val="00AE2DA5"/>
    <w:rsid w:val="00AE2E24"/>
    <w:rsid w:val="00AE3259"/>
    <w:rsid w:val="00AE32F2"/>
    <w:rsid w:val="00AE353A"/>
    <w:rsid w:val="00AE3978"/>
    <w:rsid w:val="00AE3BE7"/>
    <w:rsid w:val="00AE3F2D"/>
    <w:rsid w:val="00AE4379"/>
    <w:rsid w:val="00AE49BE"/>
    <w:rsid w:val="00AE5008"/>
    <w:rsid w:val="00AE5438"/>
    <w:rsid w:val="00AE5765"/>
    <w:rsid w:val="00AE585F"/>
    <w:rsid w:val="00AE5B91"/>
    <w:rsid w:val="00AE66CC"/>
    <w:rsid w:val="00AE6A1D"/>
    <w:rsid w:val="00AE6C77"/>
    <w:rsid w:val="00AE6D37"/>
    <w:rsid w:val="00AE70AF"/>
    <w:rsid w:val="00AE722B"/>
    <w:rsid w:val="00AE77EF"/>
    <w:rsid w:val="00AE7952"/>
    <w:rsid w:val="00AE7991"/>
    <w:rsid w:val="00AE7A55"/>
    <w:rsid w:val="00AE7ADB"/>
    <w:rsid w:val="00AE7C6B"/>
    <w:rsid w:val="00AE7DE7"/>
    <w:rsid w:val="00AF0079"/>
    <w:rsid w:val="00AF0092"/>
    <w:rsid w:val="00AF04B5"/>
    <w:rsid w:val="00AF069E"/>
    <w:rsid w:val="00AF081F"/>
    <w:rsid w:val="00AF0A8B"/>
    <w:rsid w:val="00AF0C43"/>
    <w:rsid w:val="00AF0DBF"/>
    <w:rsid w:val="00AF0F26"/>
    <w:rsid w:val="00AF0FCA"/>
    <w:rsid w:val="00AF152B"/>
    <w:rsid w:val="00AF1603"/>
    <w:rsid w:val="00AF16D3"/>
    <w:rsid w:val="00AF1D3F"/>
    <w:rsid w:val="00AF2435"/>
    <w:rsid w:val="00AF2538"/>
    <w:rsid w:val="00AF2686"/>
    <w:rsid w:val="00AF2690"/>
    <w:rsid w:val="00AF2A6A"/>
    <w:rsid w:val="00AF2AB2"/>
    <w:rsid w:val="00AF2C3F"/>
    <w:rsid w:val="00AF2DF9"/>
    <w:rsid w:val="00AF2F3B"/>
    <w:rsid w:val="00AF2F60"/>
    <w:rsid w:val="00AF36DF"/>
    <w:rsid w:val="00AF385A"/>
    <w:rsid w:val="00AF3A05"/>
    <w:rsid w:val="00AF3C42"/>
    <w:rsid w:val="00AF3D84"/>
    <w:rsid w:val="00AF3DF7"/>
    <w:rsid w:val="00AF4A88"/>
    <w:rsid w:val="00AF4A98"/>
    <w:rsid w:val="00AF4E4B"/>
    <w:rsid w:val="00AF514C"/>
    <w:rsid w:val="00AF57D9"/>
    <w:rsid w:val="00AF5BA3"/>
    <w:rsid w:val="00AF5BD8"/>
    <w:rsid w:val="00AF5DA7"/>
    <w:rsid w:val="00AF5E2D"/>
    <w:rsid w:val="00AF650D"/>
    <w:rsid w:val="00AF6B54"/>
    <w:rsid w:val="00AF7082"/>
    <w:rsid w:val="00AF7449"/>
    <w:rsid w:val="00AF7D83"/>
    <w:rsid w:val="00AF7E3C"/>
    <w:rsid w:val="00B000DC"/>
    <w:rsid w:val="00B000DD"/>
    <w:rsid w:val="00B002C6"/>
    <w:rsid w:val="00B00301"/>
    <w:rsid w:val="00B0071D"/>
    <w:rsid w:val="00B00836"/>
    <w:rsid w:val="00B0087D"/>
    <w:rsid w:val="00B00AC7"/>
    <w:rsid w:val="00B013EE"/>
    <w:rsid w:val="00B01902"/>
    <w:rsid w:val="00B01B7B"/>
    <w:rsid w:val="00B01E3E"/>
    <w:rsid w:val="00B02038"/>
    <w:rsid w:val="00B02397"/>
    <w:rsid w:val="00B02626"/>
    <w:rsid w:val="00B0279A"/>
    <w:rsid w:val="00B02BE8"/>
    <w:rsid w:val="00B02E22"/>
    <w:rsid w:val="00B02F7E"/>
    <w:rsid w:val="00B03358"/>
    <w:rsid w:val="00B0338F"/>
    <w:rsid w:val="00B0343D"/>
    <w:rsid w:val="00B034C9"/>
    <w:rsid w:val="00B0365F"/>
    <w:rsid w:val="00B03843"/>
    <w:rsid w:val="00B038DD"/>
    <w:rsid w:val="00B03973"/>
    <w:rsid w:val="00B03B38"/>
    <w:rsid w:val="00B03D57"/>
    <w:rsid w:val="00B03DCA"/>
    <w:rsid w:val="00B0418A"/>
    <w:rsid w:val="00B04332"/>
    <w:rsid w:val="00B04372"/>
    <w:rsid w:val="00B04742"/>
    <w:rsid w:val="00B0497C"/>
    <w:rsid w:val="00B04DA9"/>
    <w:rsid w:val="00B05075"/>
    <w:rsid w:val="00B052AE"/>
    <w:rsid w:val="00B053B5"/>
    <w:rsid w:val="00B0542E"/>
    <w:rsid w:val="00B058CD"/>
    <w:rsid w:val="00B0598F"/>
    <w:rsid w:val="00B05993"/>
    <w:rsid w:val="00B05A85"/>
    <w:rsid w:val="00B05D73"/>
    <w:rsid w:val="00B05EB7"/>
    <w:rsid w:val="00B05EE5"/>
    <w:rsid w:val="00B06010"/>
    <w:rsid w:val="00B060FA"/>
    <w:rsid w:val="00B06199"/>
    <w:rsid w:val="00B06301"/>
    <w:rsid w:val="00B064BF"/>
    <w:rsid w:val="00B068D6"/>
    <w:rsid w:val="00B06CB8"/>
    <w:rsid w:val="00B06E3A"/>
    <w:rsid w:val="00B06F41"/>
    <w:rsid w:val="00B074F1"/>
    <w:rsid w:val="00B07EF0"/>
    <w:rsid w:val="00B101CE"/>
    <w:rsid w:val="00B1022D"/>
    <w:rsid w:val="00B103CF"/>
    <w:rsid w:val="00B1045C"/>
    <w:rsid w:val="00B107EA"/>
    <w:rsid w:val="00B10A27"/>
    <w:rsid w:val="00B10DAE"/>
    <w:rsid w:val="00B10EF4"/>
    <w:rsid w:val="00B1140D"/>
    <w:rsid w:val="00B1165E"/>
    <w:rsid w:val="00B1176A"/>
    <w:rsid w:val="00B11CDE"/>
    <w:rsid w:val="00B12165"/>
    <w:rsid w:val="00B122A2"/>
    <w:rsid w:val="00B1243B"/>
    <w:rsid w:val="00B12BD0"/>
    <w:rsid w:val="00B12D21"/>
    <w:rsid w:val="00B12D42"/>
    <w:rsid w:val="00B12DE6"/>
    <w:rsid w:val="00B13277"/>
    <w:rsid w:val="00B133E7"/>
    <w:rsid w:val="00B133FF"/>
    <w:rsid w:val="00B136AE"/>
    <w:rsid w:val="00B1382B"/>
    <w:rsid w:val="00B13851"/>
    <w:rsid w:val="00B139BA"/>
    <w:rsid w:val="00B13B4D"/>
    <w:rsid w:val="00B13CD2"/>
    <w:rsid w:val="00B13E72"/>
    <w:rsid w:val="00B140F5"/>
    <w:rsid w:val="00B141F7"/>
    <w:rsid w:val="00B1426C"/>
    <w:rsid w:val="00B14513"/>
    <w:rsid w:val="00B1488C"/>
    <w:rsid w:val="00B148D1"/>
    <w:rsid w:val="00B149CB"/>
    <w:rsid w:val="00B14B23"/>
    <w:rsid w:val="00B14EF7"/>
    <w:rsid w:val="00B15170"/>
    <w:rsid w:val="00B156A8"/>
    <w:rsid w:val="00B156B4"/>
    <w:rsid w:val="00B165AF"/>
    <w:rsid w:val="00B1661C"/>
    <w:rsid w:val="00B16646"/>
    <w:rsid w:val="00B167D4"/>
    <w:rsid w:val="00B167ED"/>
    <w:rsid w:val="00B167F7"/>
    <w:rsid w:val="00B16A87"/>
    <w:rsid w:val="00B16DC5"/>
    <w:rsid w:val="00B16DE5"/>
    <w:rsid w:val="00B16E2C"/>
    <w:rsid w:val="00B173DD"/>
    <w:rsid w:val="00B174A9"/>
    <w:rsid w:val="00B174F6"/>
    <w:rsid w:val="00B1754F"/>
    <w:rsid w:val="00B17719"/>
    <w:rsid w:val="00B1798A"/>
    <w:rsid w:val="00B17E4F"/>
    <w:rsid w:val="00B201BD"/>
    <w:rsid w:val="00B202B3"/>
    <w:rsid w:val="00B20369"/>
    <w:rsid w:val="00B2051D"/>
    <w:rsid w:val="00B207CD"/>
    <w:rsid w:val="00B2083E"/>
    <w:rsid w:val="00B20BAA"/>
    <w:rsid w:val="00B20C1A"/>
    <w:rsid w:val="00B2142C"/>
    <w:rsid w:val="00B2155E"/>
    <w:rsid w:val="00B21913"/>
    <w:rsid w:val="00B21D1F"/>
    <w:rsid w:val="00B2223B"/>
    <w:rsid w:val="00B22270"/>
    <w:rsid w:val="00B223E5"/>
    <w:rsid w:val="00B22762"/>
    <w:rsid w:val="00B22AC1"/>
    <w:rsid w:val="00B22D97"/>
    <w:rsid w:val="00B23024"/>
    <w:rsid w:val="00B23215"/>
    <w:rsid w:val="00B235E9"/>
    <w:rsid w:val="00B236B0"/>
    <w:rsid w:val="00B237B3"/>
    <w:rsid w:val="00B23A8C"/>
    <w:rsid w:val="00B23AFB"/>
    <w:rsid w:val="00B23F9B"/>
    <w:rsid w:val="00B23FBC"/>
    <w:rsid w:val="00B240C6"/>
    <w:rsid w:val="00B2422C"/>
    <w:rsid w:val="00B242D6"/>
    <w:rsid w:val="00B245D7"/>
    <w:rsid w:val="00B2493F"/>
    <w:rsid w:val="00B24B5B"/>
    <w:rsid w:val="00B24DF7"/>
    <w:rsid w:val="00B24E74"/>
    <w:rsid w:val="00B25073"/>
    <w:rsid w:val="00B2564F"/>
    <w:rsid w:val="00B257E1"/>
    <w:rsid w:val="00B25E50"/>
    <w:rsid w:val="00B25E65"/>
    <w:rsid w:val="00B25F02"/>
    <w:rsid w:val="00B260E4"/>
    <w:rsid w:val="00B26633"/>
    <w:rsid w:val="00B26ADE"/>
    <w:rsid w:val="00B26F17"/>
    <w:rsid w:val="00B27310"/>
    <w:rsid w:val="00B27361"/>
    <w:rsid w:val="00B279DB"/>
    <w:rsid w:val="00B27CB3"/>
    <w:rsid w:val="00B30191"/>
    <w:rsid w:val="00B30A0E"/>
    <w:rsid w:val="00B30B14"/>
    <w:rsid w:val="00B30E3F"/>
    <w:rsid w:val="00B30EF1"/>
    <w:rsid w:val="00B313FE"/>
    <w:rsid w:val="00B31820"/>
    <w:rsid w:val="00B31AD7"/>
    <w:rsid w:val="00B31E35"/>
    <w:rsid w:val="00B31E5F"/>
    <w:rsid w:val="00B32073"/>
    <w:rsid w:val="00B32083"/>
    <w:rsid w:val="00B32EDF"/>
    <w:rsid w:val="00B333DF"/>
    <w:rsid w:val="00B335F2"/>
    <w:rsid w:val="00B33912"/>
    <w:rsid w:val="00B33E97"/>
    <w:rsid w:val="00B3422A"/>
    <w:rsid w:val="00B34242"/>
    <w:rsid w:val="00B342D2"/>
    <w:rsid w:val="00B344A0"/>
    <w:rsid w:val="00B35211"/>
    <w:rsid w:val="00B35392"/>
    <w:rsid w:val="00B3594C"/>
    <w:rsid w:val="00B35CD2"/>
    <w:rsid w:val="00B360DB"/>
    <w:rsid w:val="00B36113"/>
    <w:rsid w:val="00B36936"/>
    <w:rsid w:val="00B36A91"/>
    <w:rsid w:val="00B36C1B"/>
    <w:rsid w:val="00B370DB"/>
    <w:rsid w:val="00B3754F"/>
    <w:rsid w:val="00B37CFC"/>
    <w:rsid w:val="00B37F7D"/>
    <w:rsid w:val="00B37FC6"/>
    <w:rsid w:val="00B400CE"/>
    <w:rsid w:val="00B4011A"/>
    <w:rsid w:val="00B404C7"/>
    <w:rsid w:val="00B405DD"/>
    <w:rsid w:val="00B40845"/>
    <w:rsid w:val="00B4095D"/>
    <w:rsid w:val="00B40B42"/>
    <w:rsid w:val="00B40D9D"/>
    <w:rsid w:val="00B41159"/>
    <w:rsid w:val="00B412E2"/>
    <w:rsid w:val="00B413B3"/>
    <w:rsid w:val="00B4148F"/>
    <w:rsid w:val="00B4159B"/>
    <w:rsid w:val="00B41600"/>
    <w:rsid w:val="00B41697"/>
    <w:rsid w:val="00B416FC"/>
    <w:rsid w:val="00B4179E"/>
    <w:rsid w:val="00B41CC8"/>
    <w:rsid w:val="00B41E67"/>
    <w:rsid w:val="00B42064"/>
    <w:rsid w:val="00B4219C"/>
    <w:rsid w:val="00B42ADE"/>
    <w:rsid w:val="00B42E9D"/>
    <w:rsid w:val="00B433BC"/>
    <w:rsid w:val="00B4365C"/>
    <w:rsid w:val="00B438CB"/>
    <w:rsid w:val="00B43BF6"/>
    <w:rsid w:val="00B44176"/>
    <w:rsid w:val="00B44372"/>
    <w:rsid w:val="00B44911"/>
    <w:rsid w:val="00B44A4F"/>
    <w:rsid w:val="00B44E35"/>
    <w:rsid w:val="00B44E36"/>
    <w:rsid w:val="00B44E3D"/>
    <w:rsid w:val="00B45CE4"/>
    <w:rsid w:val="00B45D34"/>
    <w:rsid w:val="00B465B8"/>
    <w:rsid w:val="00B46C12"/>
    <w:rsid w:val="00B46DDF"/>
    <w:rsid w:val="00B46EAD"/>
    <w:rsid w:val="00B47183"/>
    <w:rsid w:val="00B4729A"/>
    <w:rsid w:val="00B47434"/>
    <w:rsid w:val="00B474D2"/>
    <w:rsid w:val="00B47793"/>
    <w:rsid w:val="00B47A6E"/>
    <w:rsid w:val="00B47C31"/>
    <w:rsid w:val="00B47C6B"/>
    <w:rsid w:val="00B47F9D"/>
    <w:rsid w:val="00B50005"/>
    <w:rsid w:val="00B5010D"/>
    <w:rsid w:val="00B50598"/>
    <w:rsid w:val="00B507E3"/>
    <w:rsid w:val="00B50CD9"/>
    <w:rsid w:val="00B50E36"/>
    <w:rsid w:val="00B50FCB"/>
    <w:rsid w:val="00B50FED"/>
    <w:rsid w:val="00B5104A"/>
    <w:rsid w:val="00B514A6"/>
    <w:rsid w:val="00B51748"/>
    <w:rsid w:val="00B519B6"/>
    <w:rsid w:val="00B51AC0"/>
    <w:rsid w:val="00B51C56"/>
    <w:rsid w:val="00B51CF0"/>
    <w:rsid w:val="00B51D07"/>
    <w:rsid w:val="00B52046"/>
    <w:rsid w:val="00B5207C"/>
    <w:rsid w:val="00B520A3"/>
    <w:rsid w:val="00B52129"/>
    <w:rsid w:val="00B52636"/>
    <w:rsid w:val="00B52793"/>
    <w:rsid w:val="00B5283F"/>
    <w:rsid w:val="00B528E2"/>
    <w:rsid w:val="00B52E3A"/>
    <w:rsid w:val="00B53246"/>
    <w:rsid w:val="00B534CB"/>
    <w:rsid w:val="00B53ABC"/>
    <w:rsid w:val="00B54058"/>
    <w:rsid w:val="00B544C9"/>
    <w:rsid w:val="00B5496B"/>
    <w:rsid w:val="00B54AA5"/>
    <w:rsid w:val="00B54AEB"/>
    <w:rsid w:val="00B54E5D"/>
    <w:rsid w:val="00B54F45"/>
    <w:rsid w:val="00B55891"/>
    <w:rsid w:val="00B5589D"/>
    <w:rsid w:val="00B55C72"/>
    <w:rsid w:val="00B55E3E"/>
    <w:rsid w:val="00B56086"/>
    <w:rsid w:val="00B56544"/>
    <w:rsid w:val="00B5656D"/>
    <w:rsid w:val="00B5661D"/>
    <w:rsid w:val="00B56920"/>
    <w:rsid w:val="00B56A32"/>
    <w:rsid w:val="00B56DB5"/>
    <w:rsid w:val="00B56E33"/>
    <w:rsid w:val="00B57505"/>
    <w:rsid w:val="00B575D1"/>
    <w:rsid w:val="00B577EC"/>
    <w:rsid w:val="00B5782E"/>
    <w:rsid w:val="00B57AF4"/>
    <w:rsid w:val="00B57D91"/>
    <w:rsid w:val="00B60784"/>
    <w:rsid w:val="00B60E71"/>
    <w:rsid w:val="00B6117E"/>
    <w:rsid w:val="00B61190"/>
    <w:rsid w:val="00B6123D"/>
    <w:rsid w:val="00B6183A"/>
    <w:rsid w:val="00B61B71"/>
    <w:rsid w:val="00B61BF7"/>
    <w:rsid w:val="00B61C69"/>
    <w:rsid w:val="00B61F35"/>
    <w:rsid w:val="00B62195"/>
    <w:rsid w:val="00B623E9"/>
    <w:rsid w:val="00B626C6"/>
    <w:rsid w:val="00B627FA"/>
    <w:rsid w:val="00B628CB"/>
    <w:rsid w:val="00B6293A"/>
    <w:rsid w:val="00B6305A"/>
    <w:rsid w:val="00B63227"/>
    <w:rsid w:val="00B6376E"/>
    <w:rsid w:val="00B63795"/>
    <w:rsid w:val="00B637F5"/>
    <w:rsid w:val="00B638AB"/>
    <w:rsid w:val="00B63CCD"/>
    <w:rsid w:val="00B63DE1"/>
    <w:rsid w:val="00B645C8"/>
    <w:rsid w:val="00B64935"/>
    <w:rsid w:val="00B64D75"/>
    <w:rsid w:val="00B64E74"/>
    <w:rsid w:val="00B64F90"/>
    <w:rsid w:val="00B65096"/>
    <w:rsid w:val="00B651A7"/>
    <w:rsid w:val="00B65297"/>
    <w:rsid w:val="00B652FD"/>
    <w:rsid w:val="00B6548F"/>
    <w:rsid w:val="00B65522"/>
    <w:rsid w:val="00B658CA"/>
    <w:rsid w:val="00B65974"/>
    <w:rsid w:val="00B65A34"/>
    <w:rsid w:val="00B65B5B"/>
    <w:rsid w:val="00B65FD4"/>
    <w:rsid w:val="00B660DC"/>
    <w:rsid w:val="00B660E4"/>
    <w:rsid w:val="00B662B7"/>
    <w:rsid w:val="00B663D3"/>
    <w:rsid w:val="00B66D7A"/>
    <w:rsid w:val="00B66E8F"/>
    <w:rsid w:val="00B671E5"/>
    <w:rsid w:val="00B672E1"/>
    <w:rsid w:val="00B6774A"/>
    <w:rsid w:val="00B67783"/>
    <w:rsid w:val="00B6797E"/>
    <w:rsid w:val="00B6798A"/>
    <w:rsid w:val="00B67EDA"/>
    <w:rsid w:val="00B67F48"/>
    <w:rsid w:val="00B70017"/>
    <w:rsid w:val="00B7030E"/>
    <w:rsid w:val="00B70899"/>
    <w:rsid w:val="00B70F71"/>
    <w:rsid w:val="00B711B5"/>
    <w:rsid w:val="00B712CB"/>
    <w:rsid w:val="00B712F8"/>
    <w:rsid w:val="00B714F8"/>
    <w:rsid w:val="00B7273E"/>
    <w:rsid w:val="00B731F8"/>
    <w:rsid w:val="00B73520"/>
    <w:rsid w:val="00B73542"/>
    <w:rsid w:val="00B73787"/>
    <w:rsid w:val="00B73E50"/>
    <w:rsid w:val="00B73EC3"/>
    <w:rsid w:val="00B7458B"/>
    <w:rsid w:val="00B7494A"/>
    <w:rsid w:val="00B74B42"/>
    <w:rsid w:val="00B74B52"/>
    <w:rsid w:val="00B74B79"/>
    <w:rsid w:val="00B75297"/>
    <w:rsid w:val="00B75679"/>
    <w:rsid w:val="00B75AD8"/>
    <w:rsid w:val="00B76960"/>
    <w:rsid w:val="00B76EA1"/>
    <w:rsid w:val="00B77223"/>
    <w:rsid w:val="00B77263"/>
    <w:rsid w:val="00B77571"/>
    <w:rsid w:val="00B7767B"/>
    <w:rsid w:val="00B7780A"/>
    <w:rsid w:val="00B77894"/>
    <w:rsid w:val="00B77F97"/>
    <w:rsid w:val="00B77FAB"/>
    <w:rsid w:val="00B8041C"/>
    <w:rsid w:val="00B804F5"/>
    <w:rsid w:val="00B80918"/>
    <w:rsid w:val="00B80C44"/>
    <w:rsid w:val="00B80E14"/>
    <w:rsid w:val="00B81030"/>
    <w:rsid w:val="00B81258"/>
    <w:rsid w:val="00B81322"/>
    <w:rsid w:val="00B815C8"/>
    <w:rsid w:val="00B81715"/>
    <w:rsid w:val="00B81731"/>
    <w:rsid w:val="00B817C9"/>
    <w:rsid w:val="00B81916"/>
    <w:rsid w:val="00B81BC6"/>
    <w:rsid w:val="00B81C63"/>
    <w:rsid w:val="00B820B1"/>
    <w:rsid w:val="00B820B4"/>
    <w:rsid w:val="00B8226C"/>
    <w:rsid w:val="00B82A69"/>
    <w:rsid w:val="00B833A3"/>
    <w:rsid w:val="00B833E6"/>
    <w:rsid w:val="00B83603"/>
    <w:rsid w:val="00B837EF"/>
    <w:rsid w:val="00B8389E"/>
    <w:rsid w:val="00B83AAB"/>
    <w:rsid w:val="00B83BD6"/>
    <w:rsid w:val="00B83DDD"/>
    <w:rsid w:val="00B83F7C"/>
    <w:rsid w:val="00B8433D"/>
    <w:rsid w:val="00B84507"/>
    <w:rsid w:val="00B845D1"/>
    <w:rsid w:val="00B846CE"/>
    <w:rsid w:val="00B849F9"/>
    <w:rsid w:val="00B84A4B"/>
    <w:rsid w:val="00B84FA9"/>
    <w:rsid w:val="00B851EC"/>
    <w:rsid w:val="00B85B08"/>
    <w:rsid w:val="00B85D1F"/>
    <w:rsid w:val="00B86559"/>
    <w:rsid w:val="00B8657E"/>
    <w:rsid w:val="00B86A71"/>
    <w:rsid w:val="00B86C0F"/>
    <w:rsid w:val="00B86CDD"/>
    <w:rsid w:val="00B87707"/>
    <w:rsid w:val="00B878DF"/>
    <w:rsid w:val="00B87D88"/>
    <w:rsid w:val="00B900BA"/>
    <w:rsid w:val="00B905E7"/>
    <w:rsid w:val="00B906CB"/>
    <w:rsid w:val="00B90718"/>
    <w:rsid w:val="00B90B64"/>
    <w:rsid w:val="00B90C4C"/>
    <w:rsid w:val="00B90D36"/>
    <w:rsid w:val="00B9114C"/>
    <w:rsid w:val="00B91452"/>
    <w:rsid w:val="00B914FC"/>
    <w:rsid w:val="00B915B5"/>
    <w:rsid w:val="00B915C3"/>
    <w:rsid w:val="00B91600"/>
    <w:rsid w:val="00B9186E"/>
    <w:rsid w:val="00B91A0E"/>
    <w:rsid w:val="00B91F02"/>
    <w:rsid w:val="00B92121"/>
    <w:rsid w:val="00B92414"/>
    <w:rsid w:val="00B928D4"/>
    <w:rsid w:val="00B9292E"/>
    <w:rsid w:val="00B92CD1"/>
    <w:rsid w:val="00B92E31"/>
    <w:rsid w:val="00B92E58"/>
    <w:rsid w:val="00B931AE"/>
    <w:rsid w:val="00B933B5"/>
    <w:rsid w:val="00B935A3"/>
    <w:rsid w:val="00B9373B"/>
    <w:rsid w:val="00B93AE3"/>
    <w:rsid w:val="00B93BF0"/>
    <w:rsid w:val="00B940F9"/>
    <w:rsid w:val="00B94243"/>
    <w:rsid w:val="00B9429B"/>
    <w:rsid w:val="00B943E8"/>
    <w:rsid w:val="00B944AA"/>
    <w:rsid w:val="00B94FB4"/>
    <w:rsid w:val="00B95469"/>
    <w:rsid w:val="00B9576F"/>
    <w:rsid w:val="00B957DA"/>
    <w:rsid w:val="00B95BC5"/>
    <w:rsid w:val="00B95BF2"/>
    <w:rsid w:val="00B95D90"/>
    <w:rsid w:val="00B95E19"/>
    <w:rsid w:val="00B96271"/>
    <w:rsid w:val="00B96830"/>
    <w:rsid w:val="00B96BFC"/>
    <w:rsid w:val="00B96C98"/>
    <w:rsid w:val="00B96DE1"/>
    <w:rsid w:val="00B96E1D"/>
    <w:rsid w:val="00B971B3"/>
    <w:rsid w:val="00B978A5"/>
    <w:rsid w:val="00B97C7E"/>
    <w:rsid w:val="00B97EF8"/>
    <w:rsid w:val="00BA0141"/>
    <w:rsid w:val="00BA0154"/>
    <w:rsid w:val="00BA01B6"/>
    <w:rsid w:val="00BA037B"/>
    <w:rsid w:val="00BA0456"/>
    <w:rsid w:val="00BA0E25"/>
    <w:rsid w:val="00BA0F64"/>
    <w:rsid w:val="00BA111B"/>
    <w:rsid w:val="00BA11F5"/>
    <w:rsid w:val="00BA13C5"/>
    <w:rsid w:val="00BA13F9"/>
    <w:rsid w:val="00BA18CA"/>
    <w:rsid w:val="00BA2488"/>
    <w:rsid w:val="00BA2799"/>
    <w:rsid w:val="00BA2AE4"/>
    <w:rsid w:val="00BA31A7"/>
    <w:rsid w:val="00BA33E7"/>
    <w:rsid w:val="00BA3601"/>
    <w:rsid w:val="00BA3BF1"/>
    <w:rsid w:val="00BA3D8E"/>
    <w:rsid w:val="00BA3EB7"/>
    <w:rsid w:val="00BA3ED6"/>
    <w:rsid w:val="00BA3F32"/>
    <w:rsid w:val="00BA42C7"/>
    <w:rsid w:val="00BA4B1C"/>
    <w:rsid w:val="00BA4B84"/>
    <w:rsid w:val="00BA4CA8"/>
    <w:rsid w:val="00BA5181"/>
    <w:rsid w:val="00BA551B"/>
    <w:rsid w:val="00BA5C1F"/>
    <w:rsid w:val="00BA63BC"/>
    <w:rsid w:val="00BA671D"/>
    <w:rsid w:val="00BA69C6"/>
    <w:rsid w:val="00BA6FC9"/>
    <w:rsid w:val="00BA703C"/>
    <w:rsid w:val="00BA7226"/>
    <w:rsid w:val="00BA73EB"/>
    <w:rsid w:val="00BA741E"/>
    <w:rsid w:val="00BA7566"/>
    <w:rsid w:val="00BA7577"/>
    <w:rsid w:val="00BA76A4"/>
    <w:rsid w:val="00BA78DD"/>
    <w:rsid w:val="00BA7C8D"/>
    <w:rsid w:val="00BA7E39"/>
    <w:rsid w:val="00BB02D6"/>
    <w:rsid w:val="00BB04D7"/>
    <w:rsid w:val="00BB08A6"/>
    <w:rsid w:val="00BB0B1F"/>
    <w:rsid w:val="00BB0C9E"/>
    <w:rsid w:val="00BB0D29"/>
    <w:rsid w:val="00BB0ED5"/>
    <w:rsid w:val="00BB0EF7"/>
    <w:rsid w:val="00BB0F8D"/>
    <w:rsid w:val="00BB1508"/>
    <w:rsid w:val="00BB1543"/>
    <w:rsid w:val="00BB1660"/>
    <w:rsid w:val="00BB192D"/>
    <w:rsid w:val="00BB1CEC"/>
    <w:rsid w:val="00BB1D2F"/>
    <w:rsid w:val="00BB1E57"/>
    <w:rsid w:val="00BB2045"/>
    <w:rsid w:val="00BB2415"/>
    <w:rsid w:val="00BB24CB"/>
    <w:rsid w:val="00BB2A58"/>
    <w:rsid w:val="00BB2A87"/>
    <w:rsid w:val="00BB2C48"/>
    <w:rsid w:val="00BB3051"/>
    <w:rsid w:val="00BB3A7A"/>
    <w:rsid w:val="00BB40BD"/>
    <w:rsid w:val="00BB40ED"/>
    <w:rsid w:val="00BB478B"/>
    <w:rsid w:val="00BB47AF"/>
    <w:rsid w:val="00BB481D"/>
    <w:rsid w:val="00BB49DC"/>
    <w:rsid w:val="00BB4BAA"/>
    <w:rsid w:val="00BB5138"/>
    <w:rsid w:val="00BB5360"/>
    <w:rsid w:val="00BB5C6D"/>
    <w:rsid w:val="00BB5C9D"/>
    <w:rsid w:val="00BB647B"/>
    <w:rsid w:val="00BB702D"/>
    <w:rsid w:val="00BB746B"/>
    <w:rsid w:val="00BB76CC"/>
    <w:rsid w:val="00BB77BF"/>
    <w:rsid w:val="00BB7A7A"/>
    <w:rsid w:val="00BB7C71"/>
    <w:rsid w:val="00BB7E7F"/>
    <w:rsid w:val="00BC0048"/>
    <w:rsid w:val="00BC043D"/>
    <w:rsid w:val="00BC09F9"/>
    <w:rsid w:val="00BC0DDE"/>
    <w:rsid w:val="00BC1446"/>
    <w:rsid w:val="00BC1504"/>
    <w:rsid w:val="00BC153C"/>
    <w:rsid w:val="00BC188E"/>
    <w:rsid w:val="00BC19B8"/>
    <w:rsid w:val="00BC1A28"/>
    <w:rsid w:val="00BC1B36"/>
    <w:rsid w:val="00BC1D1F"/>
    <w:rsid w:val="00BC1EB4"/>
    <w:rsid w:val="00BC1FE6"/>
    <w:rsid w:val="00BC212C"/>
    <w:rsid w:val="00BC22FF"/>
    <w:rsid w:val="00BC238B"/>
    <w:rsid w:val="00BC23F2"/>
    <w:rsid w:val="00BC2402"/>
    <w:rsid w:val="00BC25B3"/>
    <w:rsid w:val="00BC25FA"/>
    <w:rsid w:val="00BC267E"/>
    <w:rsid w:val="00BC29CB"/>
    <w:rsid w:val="00BC2D69"/>
    <w:rsid w:val="00BC349D"/>
    <w:rsid w:val="00BC3633"/>
    <w:rsid w:val="00BC3905"/>
    <w:rsid w:val="00BC3B54"/>
    <w:rsid w:val="00BC3C61"/>
    <w:rsid w:val="00BC3CC9"/>
    <w:rsid w:val="00BC3D3A"/>
    <w:rsid w:val="00BC4021"/>
    <w:rsid w:val="00BC4958"/>
    <w:rsid w:val="00BC49C5"/>
    <w:rsid w:val="00BC4C89"/>
    <w:rsid w:val="00BC4DD6"/>
    <w:rsid w:val="00BC4F61"/>
    <w:rsid w:val="00BC4F64"/>
    <w:rsid w:val="00BC534F"/>
    <w:rsid w:val="00BC5484"/>
    <w:rsid w:val="00BC558F"/>
    <w:rsid w:val="00BC5934"/>
    <w:rsid w:val="00BC5DAA"/>
    <w:rsid w:val="00BC5FA3"/>
    <w:rsid w:val="00BC6079"/>
    <w:rsid w:val="00BC6113"/>
    <w:rsid w:val="00BC62A5"/>
    <w:rsid w:val="00BC6376"/>
    <w:rsid w:val="00BC6385"/>
    <w:rsid w:val="00BC645D"/>
    <w:rsid w:val="00BC66C4"/>
    <w:rsid w:val="00BC6E47"/>
    <w:rsid w:val="00BC7315"/>
    <w:rsid w:val="00BC73A4"/>
    <w:rsid w:val="00BC74D3"/>
    <w:rsid w:val="00BC764D"/>
    <w:rsid w:val="00BC7A6D"/>
    <w:rsid w:val="00BC7FC3"/>
    <w:rsid w:val="00BD02EE"/>
    <w:rsid w:val="00BD042F"/>
    <w:rsid w:val="00BD0842"/>
    <w:rsid w:val="00BD0F08"/>
    <w:rsid w:val="00BD10C8"/>
    <w:rsid w:val="00BD113A"/>
    <w:rsid w:val="00BD1243"/>
    <w:rsid w:val="00BD127A"/>
    <w:rsid w:val="00BD16BC"/>
    <w:rsid w:val="00BD16FD"/>
    <w:rsid w:val="00BD1741"/>
    <w:rsid w:val="00BD197B"/>
    <w:rsid w:val="00BD1A47"/>
    <w:rsid w:val="00BD1ED9"/>
    <w:rsid w:val="00BD2150"/>
    <w:rsid w:val="00BD251A"/>
    <w:rsid w:val="00BD25AA"/>
    <w:rsid w:val="00BD2646"/>
    <w:rsid w:val="00BD28EB"/>
    <w:rsid w:val="00BD2B64"/>
    <w:rsid w:val="00BD2D7B"/>
    <w:rsid w:val="00BD3A9D"/>
    <w:rsid w:val="00BD3AF8"/>
    <w:rsid w:val="00BD3BC1"/>
    <w:rsid w:val="00BD3FC1"/>
    <w:rsid w:val="00BD40BC"/>
    <w:rsid w:val="00BD466A"/>
    <w:rsid w:val="00BD467A"/>
    <w:rsid w:val="00BD47CA"/>
    <w:rsid w:val="00BD4DA0"/>
    <w:rsid w:val="00BD5432"/>
    <w:rsid w:val="00BD55E1"/>
    <w:rsid w:val="00BD5632"/>
    <w:rsid w:val="00BD5683"/>
    <w:rsid w:val="00BD5A1F"/>
    <w:rsid w:val="00BD5AB2"/>
    <w:rsid w:val="00BD61DC"/>
    <w:rsid w:val="00BD6729"/>
    <w:rsid w:val="00BD6827"/>
    <w:rsid w:val="00BD6C51"/>
    <w:rsid w:val="00BD6DE0"/>
    <w:rsid w:val="00BD7103"/>
    <w:rsid w:val="00BD7544"/>
    <w:rsid w:val="00BD75CA"/>
    <w:rsid w:val="00BD75CC"/>
    <w:rsid w:val="00BD781D"/>
    <w:rsid w:val="00BD7A15"/>
    <w:rsid w:val="00BE0060"/>
    <w:rsid w:val="00BE0189"/>
    <w:rsid w:val="00BE01CC"/>
    <w:rsid w:val="00BE0204"/>
    <w:rsid w:val="00BE0376"/>
    <w:rsid w:val="00BE039C"/>
    <w:rsid w:val="00BE066B"/>
    <w:rsid w:val="00BE0859"/>
    <w:rsid w:val="00BE08EC"/>
    <w:rsid w:val="00BE0B57"/>
    <w:rsid w:val="00BE0B65"/>
    <w:rsid w:val="00BE0F22"/>
    <w:rsid w:val="00BE1B1C"/>
    <w:rsid w:val="00BE205C"/>
    <w:rsid w:val="00BE21C0"/>
    <w:rsid w:val="00BE21E3"/>
    <w:rsid w:val="00BE25AF"/>
    <w:rsid w:val="00BE2B00"/>
    <w:rsid w:val="00BE2BB4"/>
    <w:rsid w:val="00BE2D4B"/>
    <w:rsid w:val="00BE2FB3"/>
    <w:rsid w:val="00BE32A4"/>
    <w:rsid w:val="00BE34C5"/>
    <w:rsid w:val="00BE34D9"/>
    <w:rsid w:val="00BE35CE"/>
    <w:rsid w:val="00BE36CE"/>
    <w:rsid w:val="00BE3891"/>
    <w:rsid w:val="00BE3BF3"/>
    <w:rsid w:val="00BE3C6D"/>
    <w:rsid w:val="00BE407B"/>
    <w:rsid w:val="00BE47EA"/>
    <w:rsid w:val="00BE48AF"/>
    <w:rsid w:val="00BE4928"/>
    <w:rsid w:val="00BE4B01"/>
    <w:rsid w:val="00BE4DDB"/>
    <w:rsid w:val="00BE54C2"/>
    <w:rsid w:val="00BE60F8"/>
    <w:rsid w:val="00BE67AD"/>
    <w:rsid w:val="00BE6BB7"/>
    <w:rsid w:val="00BE6BFE"/>
    <w:rsid w:val="00BE7397"/>
    <w:rsid w:val="00BE73DE"/>
    <w:rsid w:val="00BF00D7"/>
    <w:rsid w:val="00BF0271"/>
    <w:rsid w:val="00BF05C9"/>
    <w:rsid w:val="00BF066D"/>
    <w:rsid w:val="00BF08D0"/>
    <w:rsid w:val="00BF0CEE"/>
    <w:rsid w:val="00BF0CFD"/>
    <w:rsid w:val="00BF0DDF"/>
    <w:rsid w:val="00BF1313"/>
    <w:rsid w:val="00BF13E5"/>
    <w:rsid w:val="00BF1412"/>
    <w:rsid w:val="00BF14C7"/>
    <w:rsid w:val="00BF1A11"/>
    <w:rsid w:val="00BF1B6C"/>
    <w:rsid w:val="00BF1E03"/>
    <w:rsid w:val="00BF21A4"/>
    <w:rsid w:val="00BF25EC"/>
    <w:rsid w:val="00BF26B4"/>
    <w:rsid w:val="00BF28B2"/>
    <w:rsid w:val="00BF293C"/>
    <w:rsid w:val="00BF3519"/>
    <w:rsid w:val="00BF38E9"/>
    <w:rsid w:val="00BF39C2"/>
    <w:rsid w:val="00BF3C46"/>
    <w:rsid w:val="00BF3C6F"/>
    <w:rsid w:val="00BF421A"/>
    <w:rsid w:val="00BF474B"/>
    <w:rsid w:val="00BF47F3"/>
    <w:rsid w:val="00BF494B"/>
    <w:rsid w:val="00BF4ED0"/>
    <w:rsid w:val="00BF4F95"/>
    <w:rsid w:val="00BF53C6"/>
    <w:rsid w:val="00BF542D"/>
    <w:rsid w:val="00BF56F8"/>
    <w:rsid w:val="00BF5A83"/>
    <w:rsid w:val="00BF5A9A"/>
    <w:rsid w:val="00BF5B55"/>
    <w:rsid w:val="00BF5C61"/>
    <w:rsid w:val="00BF5DB6"/>
    <w:rsid w:val="00BF6004"/>
    <w:rsid w:val="00BF677C"/>
    <w:rsid w:val="00BF6864"/>
    <w:rsid w:val="00BF69FD"/>
    <w:rsid w:val="00BF6C90"/>
    <w:rsid w:val="00BF6D17"/>
    <w:rsid w:val="00BF7081"/>
    <w:rsid w:val="00BF7D67"/>
    <w:rsid w:val="00C000E5"/>
    <w:rsid w:val="00C008C9"/>
    <w:rsid w:val="00C00A48"/>
    <w:rsid w:val="00C00D5A"/>
    <w:rsid w:val="00C00D75"/>
    <w:rsid w:val="00C00D8C"/>
    <w:rsid w:val="00C00DA5"/>
    <w:rsid w:val="00C01455"/>
    <w:rsid w:val="00C0169F"/>
    <w:rsid w:val="00C01A90"/>
    <w:rsid w:val="00C01E5E"/>
    <w:rsid w:val="00C0223E"/>
    <w:rsid w:val="00C02307"/>
    <w:rsid w:val="00C02487"/>
    <w:rsid w:val="00C0254D"/>
    <w:rsid w:val="00C02640"/>
    <w:rsid w:val="00C02660"/>
    <w:rsid w:val="00C028EB"/>
    <w:rsid w:val="00C02C72"/>
    <w:rsid w:val="00C02E7C"/>
    <w:rsid w:val="00C02F54"/>
    <w:rsid w:val="00C0323E"/>
    <w:rsid w:val="00C033FE"/>
    <w:rsid w:val="00C035D9"/>
    <w:rsid w:val="00C038EF"/>
    <w:rsid w:val="00C03C2A"/>
    <w:rsid w:val="00C03CC0"/>
    <w:rsid w:val="00C041D6"/>
    <w:rsid w:val="00C04403"/>
    <w:rsid w:val="00C0442B"/>
    <w:rsid w:val="00C047B3"/>
    <w:rsid w:val="00C04BFC"/>
    <w:rsid w:val="00C05909"/>
    <w:rsid w:val="00C05974"/>
    <w:rsid w:val="00C0599D"/>
    <w:rsid w:val="00C060FA"/>
    <w:rsid w:val="00C0626A"/>
    <w:rsid w:val="00C062FF"/>
    <w:rsid w:val="00C0636C"/>
    <w:rsid w:val="00C0672C"/>
    <w:rsid w:val="00C06735"/>
    <w:rsid w:val="00C068C4"/>
    <w:rsid w:val="00C06917"/>
    <w:rsid w:val="00C069D1"/>
    <w:rsid w:val="00C06AB6"/>
    <w:rsid w:val="00C06AF3"/>
    <w:rsid w:val="00C06C99"/>
    <w:rsid w:val="00C06D43"/>
    <w:rsid w:val="00C0715E"/>
    <w:rsid w:val="00C0716B"/>
    <w:rsid w:val="00C07278"/>
    <w:rsid w:val="00C0751A"/>
    <w:rsid w:val="00C0774F"/>
    <w:rsid w:val="00C079A6"/>
    <w:rsid w:val="00C07F6D"/>
    <w:rsid w:val="00C1041D"/>
    <w:rsid w:val="00C10459"/>
    <w:rsid w:val="00C10737"/>
    <w:rsid w:val="00C10BAD"/>
    <w:rsid w:val="00C10F26"/>
    <w:rsid w:val="00C10F44"/>
    <w:rsid w:val="00C1140B"/>
    <w:rsid w:val="00C114A2"/>
    <w:rsid w:val="00C1155D"/>
    <w:rsid w:val="00C11975"/>
    <w:rsid w:val="00C12120"/>
    <w:rsid w:val="00C1216C"/>
    <w:rsid w:val="00C123A7"/>
    <w:rsid w:val="00C12D3A"/>
    <w:rsid w:val="00C12E04"/>
    <w:rsid w:val="00C131C8"/>
    <w:rsid w:val="00C133AF"/>
    <w:rsid w:val="00C136D5"/>
    <w:rsid w:val="00C13770"/>
    <w:rsid w:val="00C1391B"/>
    <w:rsid w:val="00C143BE"/>
    <w:rsid w:val="00C14600"/>
    <w:rsid w:val="00C14BFE"/>
    <w:rsid w:val="00C14E3F"/>
    <w:rsid w:val="00C14EAE"/>
    <w:rsid w:val="00C14EEC"/>
    <w:rsid w:val="00C152E1"/>
    <w:rsid w:val="00C1552A"/>
    <w:rsid w:val="00C15572"/>
    <w:rsid w:val="00C15707"/>
    <w:rsid w:val="00C15943"/>
    <w:rsid w:val="00C1598E"/>
    <w:rsid w:val="00C15A80"/>
    <w:rsid w:val="00C15C17"/>
    <w:rsid w:val="00C15C70"/>
    <w:rsid w:val="00C15F54"/>
    <w:rsid w:val="00C16060"/>
    <w:rsid w:val="00C161FD"/>
    <w:rsid w:val="00C1655F"/>
    <w:rsid w:val="00C1665E"/>
    <w:rsid w:val="00C1668D"/>
    <w:rsid w:val="00C16713"/>
    <w:rsid w:val="00C16769"/>
    <w:rsid w:val="00C16A02"/>
    <w:rsid w:val="00C170C6"/>
    <w:rsid w:val="00C1718C"/>
    <w:rsid w:val="00C171D0"/>
    <w:rsid w:val="00C177CD"/>
    <w:rsid w:val="00C17866"/>
    <w:rsid w:val="00C179B9"/>
    <w:rsid w:val="00C17E7B"/>
    <w:rsid w:val="00C20151"/>
    <w:rsid w:val="00C20404"/>
    <w:rsid w:val="00C20660"/>
    <w:rsid w:val="00C206E7"/>
    <w:rsid w:val="00C20DEB"/>
    <w:rsid w:val="00C219E6"/>
    <w:rsid w:val="00C21AC5"/>
    <w:rsid w:val="00C21ADD"/>
    <w:rsid w:val="00C225FD"/>
    <w:rsid w:val="00C22626"/>
    <w:rsid w:val="00C22B58"/>
    <w:rsid w:val="00C232A9"/>
    <w:rsid w:val="00C234B4"/>
    <w:rsid w:val="00C235AA"/>
    <w:rsid w:val="00C23B35"/>
    <w:rsid w:val="00C24864"/>
    <w:rsid w:val="00C248D0"/>
    <w:rsid w:val="00C248DC"/>
    <w:rsid w:val="00C248EB"/>
    <w:rsid w:val="00C249DD"/>
    <w:rsid w:val="00C24B22"/>
    <w:rsid w:val="00C24F0C"/>
    <w:rsid w:val="00C25160"/>
    <w:rsid w:val="00C251E8"/>
    <w:rsid w:val="00C254B2"/>
    <w:rsid w:val="00C258D0"/>
    <w:rsid w:val="00C25A90"/>
    <w:rsid w:val="00C25AE8"/>
    <w:rsid w:val="00C25C66"/>
    <w:rsid w:val="00C2637F"/>
    <w:rsid w:val="00C26516"/>
    <w:rsid w:val="00C26627"/>
    <w:rsid w:val="00C267DC"/>
    <w:rsid w:val="00C26B84"/>
    <w:rsid w:val="00C26E74"/>
    <w:rsid w:val="00C27858"/>
    <w:rsid w:val="00C27E59"/>
    <w:rsid w:val="00C302BF"/>
    <w:rsid w:val="00C302DE"/>
    <w:rsid w:val="00C303B8"/>
    <w:rsid w:val="00C30AD9"/>
    <w:rsid w:val="00C30D12"/>
    <w:rsid w:val="00C30D3E"/>
    <w:rsid w:val="00C30FA6"/>
    <w:rsid w:val="00C31180"/>
    <w:rsid w:val="00C3119A"/>
    <w:rsid w:val="00C31504"/>
    <w:rsid w:val="00C31548"/>
    <w:rsid w:val="00C31751"/>
    <w:rsid w:val="00C319D3"/>
    <w:rsid w:val="00C31B35"/>
    <w:rsid w:val="00C31C6E"/>
    <w:rsid w:val="00C31C8F"/>
    <w:rsid w:val="00C31CCE"/>
    <w:rsid w:val="00C3217B"/>
    <w:rsid w:val="00C321BB"/>
    <w:rsid w:val="00C323A5"/>
    <w:rsid w:val="00C32407"/>
    <w:rsid w:val="00C3241E"/>
    <w:rsid w:val="00C32745"/>
    <w:rsid w:val="00C32E0E"/>
    <w:rsid w:val="00C32E55"/>
    <w:rsid w:val="00C331F8"/>
    <w:rsid w:val="00C3398D"/>
    <w:rsid w:val="00C33A55"/>
    <w:rsid w:val="00C33B14"/>
    <w:rsid w:val="00C33CB8"/>
    <w:rsid w:val="00C33F3E"/>
    <w:rsid w:val="00C33F8B"/>
    <w:rsid w:val="00C33FF5"/>
    <w:rsid w:val="00C3442D"/>
    <w:rsid w:val="00C3450C"/>
    <w:rsid w:val="00C34C82"/>
    <w:rsid w:val="00C34EC2"/>
    <w:rsid w:val="00C34FBB"/>
    <w:rsid w:val="00C3543E"/>
    <w:rsid w:val="00C35631"/>
    <w:rsid w:val="00C35722"/>
    <w:rsid w:val="00C357D0"/>
    <w:rsid w:val="00C3614A"/>
    <w:rsid w:val="00C363FF"/>
    <w:rsid w:val="00C36532"/>
    <w:rsid w:val="00C3658D"/>
    <w:rsid w:val="00C367E1"/>
    <w:rsid w:val="00C36833"/>
    <w:rsid w:val="00C36D0F"/>
    <w:rsid w:val="00C36D20"/>
    <w:rsid w:val="00C37015"/>
    <w:rsid w:val="00C370EE"/>
    <w:rsid w:val="00C37446"/>
    <w:rsid w:val="00C4038F"/>
    <w:rsid w:val="00C405E2"/>
    <w:rsid w:val="00C40788"/>
    <w:rsid w:val="00C408A7"/>
    <w:rsid w:val="00C41384"/>
    <w:rsid w:val="00C414F9"/>
    <w:rsid w:val="00C4159D"/>
    <w:rsid w:val="00C417C9"/>
    <w:rsid w:val="00C41804"/>
    <w:rsid w:val="00C41CC8"/>
    <w:rsid w:val="00C41D72"/>
    <w:rsid w:val="00C41DBB"/>
    <w:rsid w:val="00C41FEC"/>
    <w:rsid w:val="00C4206C"/>
    <w:rsid w:val="00C420B0"/>
    <w:rsid w:val="00C42AC7"/>
    <w:rsid w:val="00C42CC4"/>
    <w:rsid w:val="00C42D08"/>
    <w:rsid w:val="00C43022"/>
    <w:rsid w:val="00C43382"/>
    <w:rsid w:val="00C43578"/>
    <w:rsid w:val="00C437CB"/>
    <w:rsid w:val="00C43B56"/>
    <w:rsid w:val="00C4437C"/>
    <w:rsid w:val="00C4478F"/>
    <w:rsid w:val="00C4479C"/>
    <w:rsid w:val="00C44E52"/>
    <w:rsid w:val="00C45082"/>
    <w:rsid w:val="00C45332"/>
    <w:rsid w:val="00C458EC"/>
    <w:rsid w:val="00C4593B"/>
    <w:rsid w:val="00C465EF"/>
    <w:rsid w:val="00C46944"/>
    <w:rsid w:val="00C46A0B"/>
    <w:rsid w:val="00C46BF8"/>
    <w:rsid w:val="00C46DAB"/>
    <w:rsid w:val="00C474BE"/>
    <w:rsid w:val="00C47BC5"/>
    <w:rsid w:val="00C47F0E"/>
    <w:rsid w:val="00C50025"/>
    <w:rsid w:val="00C503C7"/>
    <w:rsid w:val="00C5040A"/>
    <w:rsid w:val="00C5120D"/>
    <w:rsid w:val="00C51212"/>
    <w:rsid w:val="00C5121D"/>
    <w:rsid w:val="00C5138E"/>
    <w:rsid w:val="00C516EF"/>
    <w:rsid w:val="00C51722"/>
    <w:rsid w:val="00C51A8A"/>
    <w:rsid w:val="00C51C80"/>
    <w:rsid w:val="00C52197"/>
    <w:rsid w:val="00C5293A"/>
    <w:rsid w:val="00C52D37"/>
    <w:rsid w:val="00C52F67"/>
    <w:rsid w:val="00C53142"/>
    <w:rsid w:val="00C53390"/>
    <w:rsid w:val="00C53404"/>
    <w:rsid w:val="00C535EB"/>
    <w:rsid w:val="00C5391C"/>
    <w:rsid w:val="00C53ABB"/>
    <w:rsid w:val="00C53CE5"/>
    <w:rsid w:val="00C540FF"/>
    <w:rsid w:val="00C541FF"/>
    <w:rsid w:val="00C54418"/>
    <w:rsid w:val="00C548F2"/>
    <w:rsid w:val="00C54A4C"/>
    <w:rsid w:val="00C54F13"/>
    <w:rsid w:val="00C5503E"/>
    <w:rsid w:val="00C5534A"/>
    <w:rsid w:val="00C55407"/>
    <w:rsid w:val="00C55500"/>
    <w:rsid w:val="00C55859"/>
    <w:rsid w:val="00C55CFB"/>
    <w:rsid w:val="00C55F4E"/>
    <w:rsid w:val="00C5623E"/>
    <w:rsid w:val="00C56250"/>
    <w:rsid w:val="00C56287"/>
    <w:rsid w:val="00C5687B"/>
    <w:rsid w:val="00C56948"/>
    <w:rsid w:val="00C56D61"/>
    <w:rsid w:val="00C57D22"/>
    <w:rsid w:val="00C600B5"/>
    <w:rsid w:val="00C607D2"/>
    <w:rsid w:val="00C60950"/>
    <w:rsid w:val="00C609C1"/>
    <w:rsid w:val="00C60F65"/>
    <w:rsid w:val="00C61661"/>
    <w:rsid w:val="00C61B1F"/>
    <w:rsid w:val="00C61D0D"/>
    <w:rsid w:val="00C61D6F"/>
    <w:rsid w:val="00C62202"/>
    <w:rsid w:val="00C6264A"/>
    <w:rsid w:val="00C62836"/>
    <w:rsid w:val="00C62A20"/>
    <w:rsid w:val="00C62A5C"/>
    <w:rsid w:val="00C62F48"/>
    <w:rsid w:val="00C62F5B"/>
    <w:rsid w:val="00C63210"/>
    <w:rsid w:val="00C63435"/>
    <w:rsid w:val="00C634E5"/>
    <w:rsid w:val="00C63DCB"/>
    <w:rsid w:val="00C643B7"/>
    <w:rsid w:val="00C645FA"/>
    <w:rsid w:val="00C64602"/>
    <w:rsid w:val="00C6474B"/>
    <w:rsid w:val="00C647A6"/>
    <w:rsid w:val="00C64A4C"/>
    <w:rsid w:val="00C64B28"/>
    <w:rsid w:val="00C6512B"/>
    <w:rsid w:val="00C65572"/>
    <w:rsid w:val="00C65837"/>
    <w:rsid w:val="00C6588A"/>
    <w:rsid w:val="00C65E32"/>
    <w:rsid w:val="00C6620E"/>
    <w:rsid w:val="00C6655A"/>
    <w:rsid w:val="00C669BC"/>
    <w:rsid w:val="00C677A7"/>
    <w:rsid w:val="00C67873"/>
    <w:rsid w:val="00C679CD"/>
    <w:rsid w:val="00C679DB"/>
    <w:rsid w:val="00C67B6A"/>
    <w:rsid w:val="00C67BCC"/>
    <w:rsid w:val="00C67C7C"/>
    <w:rsid w:val="00C7037D"/>
    <w:rsid w:val="00C70386"/>
    <w:rsid w:val="00C70390"/>
    <w:rsid w:val="00C705EC"/>
    <w:rsid w:val="00C706B1"/>
    <w:rsid w:val="00C70B0F"/>
    <w:rsid w:val="00C70F05"/>
    <w:rsid w:val="00C70FEF"/>
    <w:rsid w:val="00C7115E"/>
    <w:rsid w:val="00C7121A"/>
    <w:rsid w:val="00C7168A"/>
    <w:rsid w:val="00C71805"/>
    <w:rsid w:val="00C719F7"/>
    <w:rsid w:val="00C71B0F"/>
    <w:rsid w:val="00C71B75"/>
    <w:rsid w:val="00C71E0E"/>
    <w:rsid w:val="00C720F3"/>
    <w:rsid w:val="00C7217D"/>
    <w:rsid w:val="00C72409"/>
    <w:rsid w:val="00C72816"/>
    <w:rsid w:val="00C728BB"/>
    <w:rsid w:val="00C728C1"/>
    <w:rsid w:val="00C72981"/>
    <w:rsid w:val="00C72C62"/>
    <w:rsid w:val="00C72D51"/>
    <w:rsid w:val="00C72D7A"/>
    <w:rsid w:val="00C737B5"/>
    <w:rsid w:val="00C73E47"/>
    <w:rsid w:val="00C7419B"/>
    <w:rsid w:val="00C74449"/>
    <w:rsid w:val="00C748E1"/>
    <w:rsid w:val="00C74CB3"/>
    <w:rsid w:val="00C74D55"/>
    <w:rsid w:val="00C74E67"/>
    <w:rsid w:val="00C750AF"/>
    <w:rsid w:val="00C75310"/>
    <w:rsid w:val="00C75CB5"/>
    <w:rsid w:val="00C760B0"/>
    <w:rsid w:val="00C763E6"/>
    <w:rsid w:val="00C7684D"/>
    <w:rsid w:val="00C768C9"/>
    <w:rsid w:val="00C76DA3"/>
    <w:rsid w:val="00C76FFE"/>
    <w:rsid w:val="00C77489"/>
    <w:rsid w:val="00C77663"/>
    <w:rsid w:val="00C779BA"/>
    <w:rsid w:val="00C77AD2"/>
    <w:rsid w:val="00C77BD2"/>
    <w:rsid w:val="00C77C9D"/>
    <w:rsid w:val="00C77CD1"/>
    <w:rsid w:val="00C77F08"/>
    <w:rsid w:val="00C800F2"/>
    <w:rsid w:val="00C80289"/>
    <w:rsid w:val="00C803B4"/>
    <w:rsid w:val="00C8053C"/>
    <w:rsid w:val="00C8087B"/>
    <w:rsid w:val="00C81395"/>
    <w:rsid w:val="00C81487"/>
    <w:rsid w:val="00C814B6"/>
    <w:rsid w:val="00C814B9"/>
    <w:rsid w:val="00C81875"/>
    <w:rsid w:val="00C81E01"/>
    <w:rsid w:val="00C81E2A"/>
    <w:rsid w:val="00C81EE0"/>
    <w:rsid w:val="00C82427"/>
    <w:rsid w:val="00C82B50"/>
    <w:rsid w:val="00C82B9C"/>
    <w:rsid w:val="00C82C2A"/>
    <w:rsid w:val="00C82D2F"/>
    <w:rsid w:val="00C833E0"/>
    <w:rsid w:val="00C83977"/>
    <w:rsid w:val="00C83BB2"/>
    <w:rsid w:val="00C83D19"/>
    <w:rsid w:val="00C84B93"/>
    <w:rsid w:val="00C84B9E"/>
    <w:rsid w:val="00C84F8A"/>
    <w:rsid w:val="00C84FC5"/>
    <w:rsid w:val="00C85366"/>
    <w:rsid w:val="00C85705"/>
    <w:rsid w:val="00C85780"/>
    <w:rsid w:val="00C85824"/>
    <w:rsid w:val="00C85D42"/>
    <w:rsid w:val="00C85F70"/>
    <w:rsid w:val="00C8613A"/>
    <w:rsid w:val="00C86248"/>
    <w:rsid w:val="00C8653A"/>
    <w:rsid w:val="00C86B5D"/>
    <w:rsid w:val="00C86EB9"/>
    <w:rsid w:val="00C86ED2"/>
    <w:rsid w:val="00C86F59"/>
    <w:rsid w:val="00C87209"/>
    <w:rsid w:val="00C872A6"/>
    <w:rsid w:val="00C87323"/>
    <w:rsid w:val="00C87B72"/>
    <w:rsid w:val="00C87C1B"/>
    <w:rsid w:val="00C87D95"/>
    <w:rsid w:val="00C90022"/>
    <w:rsid w:val="00C91019"/>
    <w:rsid w:val="00C91393"/>
    <w:rsid w:val="00C916E0"/>
    <w:rsid w:val="00C9186F"/>
    <w:rsid w:val="00C91EC8"/>
    <w:rsid w:val="00C921DC"/>
    <w:rsid w:val="00C9254C"/>
    <w:rsid w:val="00C9262E"/>
    <w:rsid w:val="00C9304E"/>
    <w:rsid w:val="00C933A7"/>
    <w:rsid w:val="00C9340B"/>
    <w:rsid w:val="00C93427"/>
    <w:rsid w:val="00C93644"/>
    <w:rsid w:val="00C93732"/>
    <w:rsid w:val="00C93829"/>
    <w:rsid w:val="00C93BE7"/>
    <w:rsid w:val="00C93EFB"/>
    <w:rsid w:val="00C93F98"/>
    <w:rsid w:val="00C945B8"/>
    <w:rsid w:val="00C94992"/>
    <w:rsid w:val="00C94996"/>
    <w:rsid w:val="00C94A98"/>
    <w:rsid w:val="00C94C6D"/>
    <w:rsid w:val="00C94E03"/>
    <w:rsid w:val="00C95287"/>
    <w:rsid w:val="00C95C8B"/>
    <w:rsid w:val="00C95FD3"/>
    <w:rsid w:val="00C960EF"/>
    <w:rsid w:val="00C963E9"/>
    <w:rsid w:val="00C9645F"/>
    <w:rsid w:val="00C965A3"/>
    <w:rsid w:val="00C965AF"/>
    <w:rsid w:val="00C967C4"/>
    <w:rsid w:val="00C969D3"/>
    <w:rsid w:val="00C96CF5"/>
    <w:rsid w:val="00C9721F"/>
    <w:rsid w:val="00C977B3"/>
    <w:rsid w:val="00C977E1"/>
    <w:rsid w:val="00C97A86"/>
    <w:rsid w:val="00C97BA3"/>
    <w:rsid w:val="00C97F70"/>
    <w:rsid w:val="00CA0085"/>
    <w:rsid w:val="00CA01BF"/>
    <w:rsid w:val="00CA02F3"/>
    <w:rsid w:val="00CA06A1"/>
    <w:rsid w:val="00CA0AE4"/>
    <w:rsid w:val="00CA135F"/>
    <w:rsid w:val="00CA1590"/>
    <w:rsid w:val="00CA180A"/>
    <w:rsid w:val="00CA1846"/>
    <w:rsid w:val="00CA18D1"/>
    <w:rsid w:val="00CA196D"/>
    <w:rsid w:val="00CA19BF"/>
    <w:rsid w:val="00CA19EC"/>
    <w:rsid w:val="00CA1E65"/>
    <w:rsid w:val="00CA1E6B"/>
    <w:rsid w:val="00CA20F1"/>
    <w:rsid w:val="00CA222F"/>
    <w:rsid w:val="00CA25A6"/>
    <w:rsid w:val="00CA2F1A"/>
    <w:rsid w:val="00CA322F"/>
    <w:rsid w:val="00CA3651"/>
    <w:rsid w:val="00CA3706"/>
    <w:rsid w:val="00CA3922"/>
    <w:rsid w:val="00CA3F55"/>
    <w:rsid w:val="00CA4292"/>
    <w:rsid w:val="00CA44FA"/>
    <w:rsid w:val="00CA46B1"/>
    <w:rsid w:val="00CA478E"/>
    <w:rsid w:val="00CA4997"/>
    <w:rsid w:val="00CA4B2A"/>
    <w:rsid w:val="00CA4DD0"/>
    <w:rsid w:val="00CA50A0"/>
    <w:rsid w:val="00CA534D"/>
    <w:rsid w:val="00CA53FA"/>
    <w:rsid w:val="00CA5426"/>
    <w:rsid w:val="00CA55D0"/>
    <w:rsid w:val="00CA5603"/>
    <w:rsid w:val="00CA57AF"/>
    <w:rsid w:val="00CA5914"/>
    <w:rsid w:val="00CA5E9C"/>
    <w:rsid w:val="00CA5FE0"/>
    <w:rsid w:val="00CA64A5"/>
    <w:rsid w:val="00CA66B1"/>
    <w:rsid w:val="00CA6749"/>
    <w:rsid w:val="00CA69AF"/>
    <w:rsid w:val="00CA6C4E"/>
    <w:rsid w:val="00CA7307"/>
    <w:rsid w:val="00CA7427"/>
    <w:rsid w:val="00CA768A"/>
    <w:rsid w:val="00CA7717"/>
    <w:rsid w:val="00CA7D98"/>
    <w:rsid w:val="00CA7E62"/>
    <w:rsid w:val="00CB0158"/>
    <w:rsid w:val="00CB019D"/>
    <w:rsid w:val="00CB0896"/>
    <w:rsid w:val="00CB0A57"/>
    <w:rsid w:val="00CB0DC8"/>
    <w:rsid w:val="00CB0DCB"/>
    <w:rsid w:val="00CB1663"/>
    <w:rsid w:val="00CB16ED"/>
    <w:rsid w:val="00CB17C0"/>
    <w:rsid w:val="00CB1BA9"/>
    <w:rsid w:val="00CB1F68"/>
    <w:rsid w:val="00CB218E"/>
    <w:rsid w:val="00CB2313"/>
    <w:rsid w:val="00CB25FF"/>
    <w:rsid w:val="00CB272A"/>
    <w:rsid w:val="00CB3160"/>
    <w:rsid w:val="00CB337F"/>
    <w:rsid w:val="00CB3788"/>
    <w:rsid w:val="00CB37A9"/>
    <w:rsid w:val="00CB3D86"/>
    <w:rsid w:val="00CB432B"/>
    <w:rsid w:val="00CB43FE"/>
    <w:rsid w:val="00CB46DF"/>
    <w:rsid w:val="00CB4ABD"/>
    <w:rsid w:val="00CB50FB"/>
    <w:rsid w:val="00CB51E4"/>
    <w:rsid w:val="00CB535A"/>
    <w:rsid w:val="00CB54E6"/>
    <w:rsid w:val="00CB55D2"/>
    <w:rsid w:val="00CB57FD"/>
    <w:rsid w:val="00CB5800"/>
    <w:rsid w:val="00CB5909"/>
    <w:rsid w:val="00CB5B51"/>
    <w:rsid w:val="00CB5C21"/>
    <w:rsid w:val="00CB5F55"/>
    <w:rsid w:val="00CB6171"/>
    <w:rsid w:val="00CB6268"/>
    <w:rsid w:val="00CB6941"/>
    <w:rsid w:val="00CB6AD7"/>
    <w:rsid w:val="00CB6BC9"/>
    <w:rsid w:val="00CB7362"/>
    <w:rsid w:val="00CB7471"/>
    <w:rsid w:val="00CB7566"/>
    <w:rsid w:val="00CB79B7"/>
    <w:rsid w:val="00CB79EB"/>
    <w:rsid w:val="00CB7BDD"/>
    <w:rsid w:val="00CB7D5D"/>
    <w:rsid w:val="00CB7EF2"/>
    <w:rsid w:val="00CB7FF4"/>
    <w:rsid w:val="00CC0248"/>
    <w:rsid w:val="00CC06F6"/>
    <w:rsid w:val="00CC07D2"/>
    <w:rsid w:val="00CC0AAE"/>
    <w:rsid w:val="00CC0D78"/>
    <w:rsid w:val="00CC13CD"/>
    <w:rsid w:val="00CC150E"/>
    <w:rsid w:val="00CC15F4"/>
    <w:rsid w:val="00CC16B4"/>
    <w:rsid w:val="00CC1ECF"/>
    <w:rsid w:val="00CC2083"/>
    <w:rsid w:val="00CC2530"/>
    <w:rsid w:val="00CC2531"/>
    <w:rsid w:val="00CC2715"/>
    <w:rsid w:val="00CC27F1"/>
    <w:rsid w:val="00CC294B"/>
    <w:rsid w:val="00CC2AAC"/>
    <w:rsid w:val="00CC2B2B"/>
    <w:rsid w:val="00CC326A"/>
    <w:rsid w:val="00CC35DB"/>
    <w:rsid w:val="00CC392C"/>
    <w:rsid w:val="00CC3A2E"/>
    <w:rsid w:val="00CC3D51"/>
    <w:rsid w:val="00CC3D91"/>
    <w:rsid w:val="00CC3DC2"/>
    <w:rsid w:val="00CC3E9D"/>
    <w:rsid w:val="00CC3FEB"/>
    <w:rsid w:val="00CC409A"/>
    <w:rsid w:val="00CC455F"/>
    <w:rsid w:val="00CC4769"/>
    <w:rsid w:val="00CC47AE"/>
    <w:rsid w:val="00CC47E5"/>
    <w:rsid w:val="00CC4984"/>
    <w:rsid w:val="00CC4BEE"/>
    <w:rsid w:val="00CC50B0"/>
    <w:rsid w:val="00CC52CA"/>
    <w:rsid w:val="00CC59A0"/>
    <w:rsid w:val="00CC605E"/>
    <w:rsid w:val="00CC6089"/>
    <w:rsid w:val="00CC619B"/>
    <w:rsid w:val="00CC61E4"/>
    <w:rsid w:val="00CC61F2"/>
    <w:rsid w:val="00CC62C9"/>
    <w:rsid w:val="00CC63EC"/>
    <w:rsid w:val="00CC6A3F"/>
    <w:rsid w:val="00CC6B79"/>
    <w:rsid w:val="00CC78A8"/>
    <w:rsid w:val="00CC78F3"/>
    <w:rsid w:val="00CC7940"/>
    <w:rsid w:val="00CC7B1A"/>
    <w:rsid w:val="00CC7F0C"/>
    <w:rsid w:val="00CD007F"/>
    <w:rsid w:val="00CD0144"/>
    <w:rsid w:val="00CD0374"/>
    <w:rsid w:val="00CD0717"/>
    <w:rsid w:val="00CD0B03"/>
    <w:rsid w:val="00CD0C09"/>
    <w:rsid w:val="00CD14A2"/>
    <w:rsid w:val="00CD1A3C"/>
    <w:rsid w:val="00CD1B57"/>
    <w:rsid w:val="00CD1CC8"/>
    <w:rsid w:val="00CD1DEF"/>
    <w:rsid w:val="00CD2051"/>
    <w:rsid w:val="00CD21AD"/>
    <w:rsid w:val="00CD2567"/>
    <w:rsid w:val="00CD273B"/>
    <w:rsid w:val="00CD2867"/>
    <w:rsid w:val="00CD2B30"/>
    <w:rsid w:val="00CD2D91"/>
    <w:rsid w:val="00CD326F"/>
    <w:rsid w:val="00CD36E4"/>
    <w:rsid w:val="00CD3913"/>
    <w:rsid w:val="00CD39F7"/>
    <w:rsid w:val="00CD3B26"/>
    <w:rsid w:val="00CD45B1"/>
    <w:rsid w:val="00CD4880"/>
    <w:rsid w:val="00CD4C09"/>
    <w:rsid w:val="00CD5687"/>
    <w:rsid w:val="00CD56DD"/>
    <w:rsid w:val="00CD5A9F"/>
    <w:rsid w:val="00CD5B88"/>
    <w:rsid w:val="00CD5B8E"/>
    <w:rsid w:val="00CD5CA2"/>
    <w:rsid w:val="00CD6497"/>
    <w:rsid w:val="00CD65D4"/>
    <w:rsid w:val="00CD68AB"/>
    <w:rsid w:val="00CD6EF3"/>
    <w:rsid w:val="00CD703C"/>
    <w:rsid w:val="00CD70AE"/>
    <w:rsid w:val="00CD73D9"/>
    <w:rsid w:val="00CD73E7"/>
    <w:rsid w:val="00CD7DE9"/>
    <w:rsid w:val="00CD7F48"/>
    <w:rsid w:val="00CE00EE"/>
    <w:rsid w:val="00CE0678"/>
    <w:rsid w:val="00CE0725"/>
    <w:rsid w:val="00CE08DA"/>
    <w:rsid w:val="00CE0B24"/>
    <w:rsid w:val="00CE0D26"/>
    <w:rsid w:val="00CE114E"/>
    <w:rsid w:val="00CE13E5"/>
    <w:rsid w:val="00CE1715"/>
    <w:rsid w:val="00CE1854"/>
    <w:rsid w:val="00CE1F83"/>
    <w:rsid w:val="00CE2273"/>
    <w:rsid w:val="00CE2846"/>
    <w:rsid w:val="00CE29B2"/>
    <w:rsid w:val="00CE3373"/>
    <w:rsid w:val="00CE352F"/>
    <w:rsid w:val="00CE3803"/>
    <w:rsid w:val="00CE3D01"/>
    <w:rsid w:val="00CE3D45"/>
    <w:rsid w:val="00CE3FB4"/>
    <w:rsid w:val="00CE4017"/>
    <w:rsid w:val="00CE4119"/>
    <w:rsid w:val="00CE44B9"/>
    <w:rsid w:val="00CE45A2"/>
    <w:rsid w:val="00CE493D"/>
    <w:rsid w:val="00CE4A9C"/>
    <w:rsid w:val="00CE4A9D"/>
    <w:rsid w:val="00CE50EE"/>
    <w:rsid w:val="00CE59B9"/>
    <w:rsid w:val="00CE5D3C"/>
    <w:rsid w:val="00CE5FBA"/>
    <w:rsid w:val="00CE6336"/>
    <w:rsid w:val="00CE63BE"/>
    <w:rsid w:val="00CE6546"/>
    <w:rsid w:val="00CE670C"/>
    <w:rsid w:val="00CE6D57"/>
    <w:rsid w:val="00CE7A7A"/>
    <w:rsid w:val="00CE7ECA"/>
    <w:rsid w:val="00CF03A7"/>
    <w:rsid w:val="00CF04CE"/>
    <w:rsid w:val="00CF0735"/>
    <w:rsid w:val="00CF07C3"/>
    <w:rsid w:val="00CF1134"/>
    <w:rsid w:val="00CF18DA"/>
    <w:rsid w:val="00CF1D2B"/>
    <w:rsid w:val="00CF2423"/>
    <w:rsid w:val="00CF28B6"/>
    <w:rsid w:val="00CF2914"/>
    <w:rsid w:val="00CF2E48"/>
    <w:rsid w:val="00CF2E69"/>
    <w:rsid w:val="00CF312D"/>
    <w:rsid w:val="00CF32E1"/>
    <w:rsid w:val="00CF342E"/>
    <w:rsid w:val="00CF3A8A"/>
    <w:rsid w:val="00CF3CDE"/>
    <w:rsid w:val="00CF41FD"/>
    <w:rsid w:val="00CF4437"/>
    <w:rsid w:val="00CF4659"/>
    <w:rsid w:val="00CF486E"/>
    <w:rsid w:val="00CF5075"/>
    <w:rsid w:val="00CF56E6"/>
    <w:rsid w:val="00CF56E8"/>
    <w:rsid w:val="00CF5734"/>
    <w:rsid w:val="00CF59CD"/>
    <w:rsid w:val="00CF5AA8"/>
    <w:rsid w:val="00CF5F02"/>
    <w:rsid w:val="00CF603E"/>
    <w:rsid w:val="00CF621F"/>
    <w:rsid w:val="00CF6603"/>
    <w:rsid w:val="00CF66DA"/>
    <w:rsid w:val="00CF672C"/>
    <w:rsid w:val="00CF6FEB"/>
    <w:rsid w:val="00CF7278"/>
    <w:rsid w:val="00CF779D"/>
    <w:rsid w:val="00CF7DB6"/>
    <w:rsid w:val="00CF7E0E"/>
    <w:rsid w:val="00D00476"/>
    <w:rsid w:val="00D008A6"/>
    <w:rsid w:val="00D009FE"/>
    <w:rsid w:val="00D00A43"/>
    <w:rsid w:val="00D00B0E"/>
    <w:rsid w:val="00D012B2"/>
    <w:rsid w:val="00D01869"/>
    <w:rsid w:val="00D0193B"/>
    <w:rsid w:val="00D01A49"/>
    <w:rsid w:val="00D01FC3"/>
    <w:rsid w:val="00D01FDF"/>
    <w:rsid w:val="00D02098"/>
    <w:rsid w:val="00D0209E"/>
    <w:rsid w:val="00D02175"/>
    <w:rsid w:val="00D02301"/>
    <w:rsid w:val="00D027DD"/>
    <w:rsid w:val="00D02AD6"/>
    <w:rsid w:val="00D02CA0"/>
    <w:rsid w:val="00D02D8C"/>
    <w:rsid w:val="00D02DA2"/>
    <w:rsid w:val="00D02F4E"/>
    <w:rsid w:val="00D031F3"/>
    <w:rsid w:val="00D03307"/>
    <w:rsid w:val="00D0330D"/>
    <w:rsid w:val="00D033CE"/>
    <w:rsid w:val="00D03479"/>
    <w:rsid w:val="00D03570"/>
    <w:rsid w:val="00D0376E"/>
    <w:rsid w:val="00D037E9"/>
    <w:rsid w:val="00D03831"/>
    <w:rsid w:val="00D03937"/>
    <w:rsid w:val="00D03EDE"/>
    <w:rsid w:val="00D03F03"/>
    <w:rsid w:val="00D040DA"/>
    <w:rsid w:val="00D04148"/>
    <w:rsid w:val="00D042AC"/>
    <w:rsid w:val="00D042DB"/>
    <w:rsid w:val="00D043A0"/>
    <w:rsid w:val="00D043A4"/>
    <w:rsid w:val="00D04478"/>
    <w:rsid w:val="00D047C9"/>
    <w:rsid w:val="00D055BA"/>
    <w:rsid w:val="00D056AD"/>
    <w:rsid w:val="00D05DC3"/>
    <w:rsid w:val="00D06343"/>
    <w:rsid w:val="00D064E0"/>
    <w:rsid w:val="00D06660"/>
    <w:rsid w:val="00D06A45"/>
    <w:rsid w:val="00D06A65"/>
    <w:rsid w:val="00D0715D"/>
    <w:rsid w:val="00D0769C"/>
    <w:rsid w:val="00D076D2"/>
    <w:rsid w:val="00D078F7"/>
    <w:rsid w:val="00D0792D"/>
    <w:rsid w:val="00D079AC"/>
    <w:rsid w:val="00D07A0C"/>
    <w:rsid w:val="00D1003B"/>
    <w:rsid w:val="00D10399"/>
    <w:rsid w:val="00D103EE"/>
    <w:rsid w:val="00D1052B"/>
    <w:rsid w:val="00D106FE"/>
    <w:rsid w:val="00D10A51"/>
    <w:rsid w:val="00D10EEC"/>
    <w:rsid w:val="00D1150F"/>
    <w:rsid w:val="00D116AA"/>
    <w:rsid w:val="00D1170F"/>
    <w:rsid w:val="00D117E1"/>
    <w:rsid w:val="00D123C2"/>
    <w:rsid w:val="00D124FD"/>
    <w:rsid w:val="00D12944"/>
    <w:rsid w:val="00D12CB3"/>
    <w:rsid w:val="00D12CBA"/>
    <w:rsid w:val="00D12FAB"/>
    <w:rsid w:val="00D134C0"/>
    <w:rsid w:val="00D1361E"/>
    <w:rsid w:val="00D1365F"/>
    <w:rsid w:val="00D13ADA"/>
    <w:rsid w:val="00D13E76"/>
    <w:rsid w:val="00D1445D"/>
    <w:rsid w:val="00D14789"/>
    <w:rsid w:val="00D14D5C"/>
    <w:rsid w:val="00D1511A"/>
    <w:rsid w:val="00D15161"/>
    <w:rsid w:val="00D15164"/>
    <w:rsid w:val="00D15482"/>
    <w:rsid w:val="00D15A9C"/>
    <w:rsid w:val="00D16259"/>
    <w:rsid w:val="00D1651C"/>
    <w:rsid w:val="00D1662F"/>
    <w:rsid w:val="00D16722"/>
    <w:rsid w:val="00D168AF"/>
    <w:rsid w:val="00D16A29"/>
    <w:rsid w:val="00D16CEC"/>
    <w:rsid w:val="00D16FA9"/>
    <w:rsid w:val="00D17159"/>
    <w:rsid w:val="00D171F3"/>
    <w:rsid w:val="00D1781A"/>
    <w:rsid w:val="00D17BFE"/>
    <w:rsid w:val="00D17C0F"/>
    <w:rsid w:val="00D20194"/>
    <w:rsid w:val="00D20252"/>
    <w:rsid w:val="00D20320"/>
    <w:rsid w:val="00D203FA"/>
    <w:rsid w:val="00D205AB"/>
    <w:rsid w:val="00D20600"/>
    <w:rsid w:val="00D21116"/>
    <w:rsid w:val="00D2119F"/>
    <w:rsid w:val="00D211E7"/>
    <w:rsid w:val="00D215F8"/>
    <w:rsid w:val="00D21674"/>
    <w:rsid w:val="00D21A6C"/>
    <w:rsid w:val="00D21E5F"/>
    <w:rsid w:val="00D21F55"/>
    <w:rsid w:val="00D22491"/>
    <w:rsid w:val="00D2251C"/>
    <w:rsid w:val="00D22C28"/>
    <w:rsid w:val="00D22DEA"/>
    <w:rsid w:val="00D22E6F"/>
    <w:rsid w:val="00D2328D"/>
    <w:rsid w:val="00D23493"/>
    <w:rsid w:val="00D236C5"/>
    <w:rsid w:val="00D23C50"/>
    <w:rsid w:val="00D23CC6"/>
    <w:rsid w:val="00D23DFB"/>
    <w:rsid w:val="00D23EE7"/>
    <w:rsid w:val="00D24167"/>
    <w:rsid w:val="00D247A6"/>
    <w:rsid w:val="00D2502A"/>
    <w:rsid w:val="00D2556A"/>
    <w:rsid w:val="00D25A8B"/>
    <w:rsid w:val="00D262C5"/>
    <w:rsid w:val="00D262D2"/>
    <w:rsid w:val="00D2648A"/>
    <w:rsid w:val="00D26515"/>
    <w:rsid w:val="00D267DA"/>
    <w:rsid w:val="00D26A13"/>
    <w:rsid w:val="00D26DD8"/>
    <w:rsid w:val="00D270DD"/>
    <w:rsid w:val="00D27136"/>
    <w:rsid w:val="00D2740C"/>
    <w:rsid w:val="00D278F7"/>
    <w:rsid w:val="00D27A33"/>
    <w:rsid w:val="00D27B87"/>
    <w:rsid w:val="00D27D24"/>
    <w:rsid w:val="00D27EF4"/>
    <w:rsid w:val="00D3001B"/>
    <w:rsid w:val="00D3017C"/>
    <w:rsid w:val="00D30493"/>
    <w:rsid w:val="00D3059F"/>
    <w:rsid w:val="00D30879"/>
    <w:rsid w:val="00D30A09"/>
    <w:rsid w:val="00D31465"/>
    <w:rsid w:val="00D31626"/>
    <w:rsid w:val="00D316A7"/>
    <w:rsid w:val="00D3177E"/>
    <w:rsid w:val="00D3179F"/>
    <w:rsid w:val="00D3198D"/>
    <w:rsid w:val="00D324FF"/>
    <w:rsid w:val="00D32B56"/>
    <w:rsid w:val="00D32B8B"/>
    <w:rsid w:val="00D32CA3"/>
    <w:rsid w:val="00D32D80"/>
    <w:rsid w:val="00D331DE"/>
    <w:rsid w:val="00D33562"/>
    <w:rsid w:val="00D340A2"/>
    <w:rsid w:val="00D343E1"/>
    <w:rsid w:val="00D3445E"/>
    <w:rsid w:val="00D34834"/>
    <w:rsid w:val="00D349C0"/>
    <w:rsid w:val="00D34A8C"/>
    <w:rsid w:val="00D34AAB"/>
    <w:rsid w:val="00D3500E"/>
    <w:rsid w:val="00D352AA"/>
    <w:rsid w:val="00D352D1"/>
    <w:rsid w:val="00D358CF"/>
    <w:rsid w:val="00D358DC"/>
    <w:rsid w:val="00D3601F"/>
    <w:rsid w:val="00D36305"/>
    <w:rsid w:val="00D363DB"/>
    <w:rsid w:val="00D3648C"/>
    <w:rsid w:val="00D3683E"/>
    <w:rsid w:val="00D36A2E"/>
    <w:rsid w:val="00D36CC8"/>
    <w:rsid w:val="00D37407"/>
    <w:rsid w:val="00D375BC"/>
    <w:rsid w:val="00D37707"/>
    <w:rsid w:val="00D378E8"/>
    <w:rsid w:val="00D378EA"/>
    <w:rsid w:val="00D37A42"/>
    <w:rsid w:val="00D37CDF"/>
    <w:rsid w:val="00D37D94"/>
    <w:rsid w:val="00D37DF4"/>
    <w:rsid w:val="00D37EBE"/>
    <w:rsid w:val="00D37F80"/>
    <w:rsid w:val="00D400C6"/>
    <w:rsid w:val="00D40193"/>
    <w:rsid w:val="00D401C4"/>
    <w:rsid w:val="00D40812"/>
    <w:rsid w:val="00D409AF"/>
    <w:rsid w:val="00D40CB2"/>
    <w:rsid w:val="00D413F4"/>
    <w:rsid w:val="00D41912"/>
    <w:rsid w:val="00D41C27"/>
    <w:rsid w:val="00D42007"/>
    <w:rsid w:val="00D42025"/>
    <w:rsid w:val="00D42141"/>
    <w:rsid w:val="00D421C8"/>
    <w:rsid w:val="00D421F1"/>
    <w:rsid w:val="00D422AE"/>
    <w:rsid w:val="00D423A2"/>
    <w:rsid w:val="00D424E6"/>
    <w:rsid w:val="00D42A87"/>
    <w:rsid w:val="00D42FE2"/>
    <w:rsid w:val="00D43517"/>
    <w:rsid w:val="00D437AA"/>
    <w:rsid w:val="00D43A61"/>
    <w:rsid w:val="00D43B8D"/>
    <w:rsid w:val="00D43E8A"/>
    <w:rsid w:val="00D43F78"/>
    <w:rsid w:val="00D4423B"/>
    <w:rsid w:val="00D44C89"/>
    <w:rsid w:val="00D44FC7"/>
    <w:rsid w:val="00D44FE9"/>
    <w:rsid w:val="00D455CF"/>
    <w:rsid w:val="00D4566F"/>
    <w:rsid w:val="00D45744"/>
    <w:rsid w:val="00D4585A"/>
    <w:rsid w:val="00D45A13"/>
    <w:rsid w:val="00D45C76"/>
    <w:rsid w:val="00D45EC1"/>
    <w:rsid w:val="00D4607C"/>
    <w:rsid w:val="00D46199"/>
    <w:rsid w:val="00D461D1"/>
    <w:rsid w:val="00D46BF2"/>
    <w:rsid w:val="00D46C44"/>
    <w:rsid w:val="00D46F81"/>
    <w:rsid w:val="00D47A73"/>
    <w:rsid w:val="00D47DC1"/>
    <w:rsid w:val="00D47F4D"/>
    <w:rsid w:val="00D50695"/>
    <w:rsid w:val="00D509BA"/>
    <w:rsid w:val="00D51464"/>
    <w:rsid w:val="00D5153F"/>
    <w:rsid w:val="00D517CE"/>
    <w:rsid w:val="00D517F1"/>
    <w:rsid w:val="00D51BF3"/>
    <w:rsid w:val="00D51D33"/>
    <w:rsid w:val="00D52169"/>
    <w:rsid w:val="00D52253"/>
    <w:rsid w:val="00D522D8"/>
    <w:rsid w:val="00D52812"/>
    <w:rsid w:val="00D52AC6"/>
    <w:rsid w:val="00D52C26"/>
    <w:rsid w:val="00D52D95"/>
    <w:rsid w:val="00D52DE6"/>
    <w:rsid w:val="00D53366"/>
    <w:rsid w:val="00D5368F"/>
    <w:rsid w:val="00D5398D"/>
    <w:rsid w:val="00D53ACC"/>
    <w:rsid w:val="00D53E8B"/>
    <w:rsid w:val="00D53EA3"/>
    <w:rsid w:val="00D540E1"/>
    <w:rsid w:val="00D540E2"/>
    <w:rsid w:val="00D54820"/>
    <w:rsid w:val="00D54B49"/>
    <w:rsid w:val="00D54C99"/>
    <w:rsid w:val="00D54F80"/>
    <w:rsid w:val="00D55105"/>
    <w:rsid w:val="00D5512F"/>
    <w:rsid w:val="00D555D6"/>
    <w:rsid w:val="00D558B0"/>
    <w:rsid w:val="00D55D09"/>
    <w:rsid w:val="00D55E2F"/>
    <w:rsid w:val="00D56024"/>
    <w:rsid w:val="00D561F7"/>
    <w:rsid w:val="00D56200"/>
    <w:rsid w:val="00D565D0"/>
    <w:rsid w:val="00D56C4C"/>
    <w:rsid w:val="00D56CC5"/>
    <w:rsid w:val="00D570F6"/>
    <w:rsid w:val="00D574D7"/>
    <w:rsid w:val="00D5767E"/>
    <w:rsid w:val="00D57784"/>
    <w:rsid w:val="00D579CC"/>
    <w:rsid w:val="00D601E3"/>
    <w:rsid w:val="00D60399"/>
    <w:rsid w:val="00D6040B"/>
    <w:rsid w:val="00D60448"/>
    <w:rsid w:val="00D60658"/>
    <w:rsid w:val="00D60746"/>
    <w:rsid w:val="00D607B8"/>
    <w:rsid w:val="00D60963"/>
    <w:rsid w:val="00D60A57"/>
    <w:rsid w:val="00D60DF5"/>
    <w:rsid w:val="00D61029"/>
    <w:rsid w:val="00D618C8"/>
    <w:rsid w:val="00D61B27"/>
    <w:rsid w:val="00D61C12"/>
    <w:rsid w:val="00D61C80"/>
    <w:rsid w:val="00D61EC8"/>
    <w:rsid w:val="00D6215F"/>
    <w:rsid w:val="00D62214"/>
    <w:rsid w:val="00D623A3"/>
    <w:rsid w:val="00D6291B"/>
    <w:rsid w:val="00D62A81"/>
    <w:rsid w:val="00D62C1A"/>
    <w:rsid w:val="00D62CA0"/>
    <w:rsid w:val="00D62ED8"/>
    <w:rsid w:val="00D62F3F"/>
    <w:rsid w:val="00D62FB1"/>
    <w:rsid w:val="00D6348C"/>
    <w:rsid w:val="00D634D8"/>
    <w:rsid w:val="00D6398E"/>
    <w:rsid w:val="00D63C4F"/>
    <w:rsid w:val="00D63CBA"/>
    <w:rsid w:val="00D63DC0"/>
    <w:rsid w:val="00D6431C"/>
    <w:rsid w:val="00D643C7"/>
    <w:rsid w:val="00D64408"/>
    <w:rsid w:val="00D6454F"/>
    <w:rsid w:val="00D645CD"/>
    <w:rsid w:val="00D64689"/>
    <w:rsid w:val="00D647DE"/>
    <w:rsid w:val="00D64861"/>
    <w:rsid w:val="00D648B0"/>
    <w:rsid w:val="00D6493A"/>
    <w:rsid w:val="00D64B71"/>
    <w:rsid w:val="00D64B99"/>
    <w:rsid w:val="00D64C11"/>
    <w:rsid w:val="00D64CB2"/>
    <w:rsid w:val="00D652E9"/>
    <w:rsid w:val="00D655E4"/>
    <w:rsid w:val="00D656A5"/>
    <w:rsid w:val="00D65D39"/>
    <w:rsid w:val="00D660BA"/>
    <w:rsid w:val="00D66277"/>
    <w:rsid w:val="00D666BE"/>
    <w:rsid w:val="00D66829"/>
    <w:rsid w:val="00D668EC"/>
    <w:rsid w:val="00D66A66"/>
    <w:rsid w:val="00D66D91"/>
    <w:rsid w:val="00D66F6A"/>
    <w:rsid w:val="00D67007"/>
    <w:rsid w:val="00D67347"/>
    <w:rsid w:val="00D673C0"/>
    <w:rsid w:val="00D67418"/>
    <w:rsid w:val="00D70901"/>
    <w:rsid w:val="00D70902"/>
    <w:rsid w:val="00D70BEA"/>
    <w:rsid w:val="00D70C5A"/>
    <w:rsid w:val="00D70C9B"/>
    <w:rsid w:val="00D7107F"/>
    <w:rsid w:val="00D71586"/>
    <w:rsid w:val="00D7158B"/>
    <w:rsid w:val="00D717E9"/>
    <w:rsid w:val="00D718FC"/>
    <w:rsid w:val="00D71AAA"/>
    <w:rsid w:val="00D71B41"/>
    <w:rsid w:val="00D722E9"/>
    <w:rsid w:val="00D72304"/>
    <w:rsid w:val="00D72A0C"/>
    <w:rsid w:val="00D72A1B"/>
    <w:rsid w:val="00D72A3A"/>
    <w:rsid w:val="00D72A64"/>
    <w:rsid w:val="00D72B85"/>
    <w:rsid w:val="00D72DFD"/>
    <w:rsid w:val="00D72E96"/>
    <w:rsid w:val="00D72EE0"/>
    <w:rsid w:val="00D736A6"/>
    <w:rsid w:val="00D73C3F"/>
    <w:rsid w:val="00D73CC2"/>
    <w:rsid w:val="00D73F5C"/>
    <w:rsid w:val="00D74850"/>
    <w:rsid w:val="00D7536E"/>
    <w:rsid w:val="00D7554C"/>
    <w:rsid w:val="00D7588D"/>
    <w:rsid w:val="00D75950"/>
    <w:rsid w:val="00D75A9E"/>
    <w:rsid w:val="00D75E4B"/>
    <w:rsid w:val="00D75FA7"/>
    <w:rsid w:val="00D761B5"/>
    <w:rsid w:val="00D763B2"/>
    <w:rsid w:val="00D763CD"/>
    <w:rsid w:val="00D76CED"/>
    <w:rsid w:val="00D76E63"/>
    <w:rsid w:val="00D76FBC"/>
    <w:rsid w:val="00D7710A"/>
    <w:rsid w:val="00D77794"/>
    <w:rsid w:val="00D777D0"/>
    <w:rsid w:val="00D77C88"/>
    <w:rsid w:val="00D77F53"/>
    <w:rsid w:val="00D8016D"/>
    <w:rsid w:val="00D8056B"/>
    <w:rsid w:val="00D80749"/>
    <w:rsid w:val="00D80800"/>
    <w:rsid w:val="00D80E37"/>
    <w:rsid w:val="00D80E6C"/>
    <w:rsid w:val="00D80F4C"/>
    <w:rsid w:val="00D80F9C"/>
    <w:rsid w:val="00D812E6"/>
    <w:rsid w:val="00D815A4"/>
    <w:rsid w:val="00D81A92"/>
    <w:rsid w:val="00D81C71"/>
    <w:rsid w:val="00D81C96"/>
    <w:rsid w:val="00D81DD1"/>
    <w:rsid w:val="00D81E2E"/>
    <w:rsid w:val="00D82008"/>
    <w:rsid w:val="00D82226"/>
    <w:rsid w:val="00D826C8"/>
    <w:rsid w:val="00D82D2B"/>
    <w:rsid w:val="00D830B7"/>
    <w:rsid w:val="00D8356F"/>
    <w:rsid w:val="00D8401D"/>
    <w:rsid w:val="00D842F6"/>
    <w:rsid w:val="00D84518"/>
    <w:rsid w:val="00D84540"/>
    <w:rsid w:val="00D84AF0"/>
    <w:rsid w:val="00D84C5F"/>
    <w:rsid w:val="00D84D93"/>
    <w:rsid w:val="00D84DD1"/>
    <w:rsid w:val="00D84F54"/>
    <w:rsid w:val="00D8503D"/>
    <w:rsid w:val="00D85248"/>
    <w:rsid w:val="00D852EC"/>
    <w:rsid w:val="00D857A0"/>
    <w:rsid w:val="00D857B6"/>
    <w:rsid w:val="00D8594F"/>
    <w:rsid w:val="00D85AA4"/>
    <w:rsid w:val="00D85C6D"/>
    <w:rsid w:val="00D85D52"/>
    <w:rsid w:val="00D85F24"/>
    <w:rsid w:val="00D85FC5"/>
    <w:rsid w:val="00D86550"/>
    <w:rsid w:val="00D86859"/>
    <w:rsid w:val="00D86911"/>
    <w:rsid w:val="00D86B68"/>
    <w:rsid w:val="00D86F58"/>
    <w:rsid w:val="00D87356"/>
    <w:rsid w:val="00D874A0"/>
    <w:rsid w:val="00D87695"/>
    <w:rsid w:val="00D87FC2"/>
    <w:rsid w:val="00D87FCD"/>
    <w:rsid w:val="00D87FEA"/>
    <w:rsid w:val="00D90410"/>
    <w:rsid w:val="00D90513"/>
    <w:rsid w:val="00D9121D"/>
    <w:rsid w:val="00D913C4"/>
    <w:rsid w:val="00D914E4"/>
    <w:rsid w:val="00D91552"/>
    <w:rsid w:val="00D91612"/>
    <w:rsid w:val="00D91B41"/>
    <w:rsid w:val="00D91C0C"/>
    <w:rsid w:val="00D92004"/>
    <w:rsid w:val="00D92008"/>
    <w:rsid w:val="00D92359"/>
    <w:rsid w:val="00D929D6"/>
    <w:rsid w:val="00D929E1"/>
    <w:rsid w:val="00D92AB0"/>
    <w:rsid w:val="00D92DB7"/>
    <w:rsid w:val="00D92F70"/>
    <w:rsid w:val="00D937D3"/>
    <w:rsid w:val="00D938E0"/>
    <w:rsid w:val="00D9399A"/>
    <w:rsid w:val="00D93E1C"/>
    <w:rsid w:val="00D943F0"/>
    <w:rsid w:val="00D94959"/>
    <w:rsid w:val="00D94E43"/>
    <w:rsid w:val="00D9525E"/>
    <w:rsid w:val="00D95432"/>
    <w:rsid w:val="00D9566A"/>
    <w:rsid w:val="00D956AD"/>
    <w:rsid w:val="00D95A41"/>
    <w:rsid w:val="00D95A92"/>
    <w:rsid w:val="00D96064"/>
    <w:rsid w:val="00D960DB"/>
    <w:rsid w:val="00D9735A"/>
    <w:rsid w:val="00D97B83"/>
    <w:rsid w:val="00DA08FC"/>
    <w:rsid w:val="00DA0CB4"/>
    <w:rsid w:val="00DA0DDB"/>
    <w:rsid w:val="00DA102D"/>
    <w:rsid w:val="00DA16A2"/>
    <w:rsid w:val="00DA16F3"/>
    <w:rsid w:val="00DA1A86"/>
    <w:rsid w:val="00DA1E7C"/>
    <w:rsid w:val="00DA2375"/>
    <w:rsid w:val="00DA26F4"/>
    <w:rsid w:val="00DA28A7"/>
    <w:rsid w:val="00DA2DA3"/>
    <w:rsid w:val="00DA3068"/>
    <w:rsid w:val="00DA33F1"/>
    <w:rsid w:val="00DA395D"/>
    <w:rsid w:val="00DA3AAA"/>
    <w:rsid w:val="00DA3CCF"/>
    <w:rsid w:val="00DA3CDA"/>
    <w:rsid w:val="00DA3ECB"/>
    <w:rsid w:val="00DA4265"/>
    <w:rsid w:val="00DA42F1"/>
    <w:rsid w:val="00DA4CB8"/>
    <w:rsid w:val="00DA4E5C"/>
    <w:rsid w:val="00DA4E98"/>
    <w:rsid w:val="00DA55A7"/>
    <w:rsid w:val="00DA55EC"/>
    <w:rsid w:val="00DA5FEF"/>
    <w:rsid w:val="00DA603D"/>
    <w:rsid w:val="00DA60FA"/>
    <w:rsid w:val="00DA62F7"/>
    <w:rsid w:val="00DA64BF"/>
    <w:rsid w:val="00DA6851"/>
    <w:rsid w:val="00DA68CB"/>
    <w:rsid w:val="00DA6B56"/>
    <w:rsid w:val="00DA6E59"/>
    <w:rsid w:val="00DA71B4"/>
    <w:rsid w:val="00DA749B"/>
    <w:rsid w:val="00DA77EE"/>
    <w:rsid w:val="00DA79F4"/>
    <w:rsid w:val="00DA7CA1"/>
    <w:rsid w:val="00DB0121"/>
    <w:rsid w:val="00DB09F8"/>
    <w:rsid w:val="00DB0BDD"/>
    <w:rsid w:val="00DB0E02"/>
    <w:rsid w:val="00DB0E72"/>
    <w:rsid w:val="00DB0EE1"/>
    <w:rsid w:val="00DB12AF"/>
    <w:rsid w:val="00DB13A5"/>
    <w:rsid w:val="00DB1C92"/>
    <w:rsid w:val="00DB1F35"/>
    <w:rsid w:val="00DB1F8C"/>
    <w:rsid w:val="00DB2368"/>
    <w:rsid w:val="00DB2556"/>
    <w:rsid w:val="00DB2723"/>
    <w:rsid w:val="00DB2A0C"/>
    <w:rsid w:val="00DB2ABD"/>
    <w:rsid w:val="00DB2BA4"/>
    <w:rsid w:val="00DB2BAC"/>
    <w:rsid w:val="00DB2D82"/>
    <w:rsid w:val="00DB303E"/>
    <w:rsid w:val="00DB329A"/>
    <w:rsid w:val="00DB36E4"/>
    <w:rsid w:val="00DB3863"/>
    <w:rsid w:val="00DB3AC1"/>
    <w:rsid w:val="00DB3E9B"/>
    <w:rsid w:val="00DB3F52"/>
    <w:rsid w:val="00DB4133"/>
    <w:rsid w:val="00DB42B7"/>
    <w:rsid w:val="00DB43C4"/>
    <w:rsid w:val="00DB4722"/>
    <w:rsid w:val="00DB5098"/>
    <w:rsid w:val="00DB52A3"/>
    <w:rsid w:val="00DB53DD"/>
    <w:rsid w:val="00DB5D60"/>
    <w:rsid w:val="00DB5F29"/>
    <w:rsid w:val="00DB60A1"/>
    <w:rsid w:val="00DB6111"/>
    <w:rsid w:val="00DB6131"/>
    <w:rsid w:val="00DB644D"/>
    <w:rsid w:val="00DB652D"/>
    <w:rsid w:val="00DB6B78"/>
    <w:rsid w:val="00DB6CF8"/>
    <w:rsid w:val="00DB6E29"/>
    <w:rsid w:val="00DB6E9C"/>
    <w:rsid w:val="00DB6E9D"/>
    <w:rsid w:val="00DB6F3A"/>
    <w:rsid w:val="00DB726B"/>
    <w:rsid w:val="00DB72E5"/>
    <w:rsid w:val="00DB7380"/>
    <w:rsid w:val="00DB762B"/>
    <w:rsid w:val="00DB7D79"/>
    <w:rsid w:val="00DC049B"/>
    <w:rsid w:val="00DC058A"/>
    <w:rsid w:val="00DC07FB"/>
    <w:rsid w:val="00DC092D"/>
    <w:rsid w:val="00DC0FAC"/>
    <w:rsid w:val="00DC107E"/>
    <w:rsid w:val="00DC15A6"/>
    <w:rsid w:val="00DC17B1"/>
    <w:rsid w:val="00DC183E"/>
    <w:rsid w:val="00DC1A35"/>
    <w:rsid w:val="00DC20F9"/>
    <w:rsid w:val="00DC251F"/>
    <w:rsid w:val="00DC2640"/>
    <w:rsid w:val="00DC293C"/>
    <w:rsid w:val="00DC2A08"/>
    <w:rsid w:val="00DC2C30"/>
    <w:rsid w:val="00DC2EAD"/>
    <w:rsid w:val="00DC32D4"/>
    <w:rsid w:val="00DC3B86"/>
    <w:rsid w:val="00DC3CF3"/>
    <w:rsid w:val="00DC3CFD"/>
    <w:rsid w:val="00DC3EC8"/>
    <w:rsid w:val="00DC3EDB"/>
    <w:rsid w:val="00DC3F44"/>
    <w:rsid w:val="00DC3FF8"/>
    <w:rsid w:val="00DC46DE"/>
    <w:rsid w:val="00DC4711"/>
    <w:rsid w:val="00DC48C3"/>
    <w:rsid w:val="00DC4F39"/>
    <w:rsid w:val="00DC5761"/>
    <w:rsid w:val="00DC596B"/>
    <w:rsid w:val="00DC5C1B"/>
    <w:rsid w:val="00DC5D20"/>
    <w:rsid w:val="00DC5D5F"/>
    <w:rsid w:val="00DC5DA2"/>
    <w:rsid w:val="00DC6550"/>
    <w:rsid w:val="00DC65A2"/>
    <w:rsid w:val="00DC66CF"/>
    <w:rsid w:val="00DC6B2A"/>
    <w:rsid w:val="00DC6E6C"/>
    <w:rsid w:val="00DC7042"/>
    <w:rsid w:val="00DC71F1"/>
    <w:rsid w:val="00DC7622"/>
    <w:rsid w:val="00DC777A"/>
    <w:rsid w:val="00DC7BCD"/>
    <w:rsid w:val="00DC7DE6"/>
    <w:rsid w:val="00DD0420"/>
    <w:rsid w:val="00DD0556"/>
    <w:rsid w:val="00DD07F1"/>
    <w:rsid w:val="00DD0C8B"/>
    <w:rsid w:val="00DD0CA2"/>
    <w:rsid w:val="00DD0EE7"/>
    <w:rsid w:val="00DD0FBF"/>
    <w:rsid w:val="00DD116F"/>
    <w:rsid w:val="00DD136C"/>
    <w:rsid w:val="00DD14DB"/>
    <w:rsid w:val="00DD166B"/>
    <w:rsid w:val="00DD1BCF"/>
    <w:rsid w:val="00DD1DE9"/>
    <w:rsid w:val="00DD21D0"/>
    <w:rsid w:val="00DD22FB"/>
    <w:rsid w:val="00DD24E4"/>
    <w:rsid w:val="00DD254E"/>
    <w:rsid w:val="00DD272C"/>
    <w:rsid w:val="00DD2A8C"/>
    <w:rsid w:val="00DD2C40"/>
    <w:rsid w:val="00DD497F"/>
    <w:rsid w:val="00DD4EE4"/>
    <w:rsid w:val="00DD531A"/>
    <w:rsid w:val="00DD5903"/>
    <w:rsid w:val="00DD60D0"/>
    <w:rsid w:val="00DD6289"/>
    <w:rsid w:val="00DD6466"/>
    <w:rsid w:val="00DD64D5"/>
    <w:rsid w:val="00DD65D8"/>
    <w:rsid w:val="00DD688E"/>
    <w:rsid w:val="00DD74B7"/>
    <w:rsid w:val="00DD763E"/>
    <w:rsid w:val="00DD7A37"/>
    <w:rsid w:val="00DD7AA8"/>
    <w:rsid w:val="00DE058F"/>
    <w:rsid w:val="00DE07B9"/>
    <w:rsid w:val="00DE0DC9"/>
    <w:rsid w:val="00DE0E8A"/>
    <w:rsid w:val="00DE0E9B"/>
    <w:rsid w:val="00DE1666"/>
    <w:rsid w:val="00DE1708"/>
    <w:rsid w:val="00DE17B5"/>
    <w:rsid w:val="00DE1BAD"/>
    <w:rsid w:val="00DE1D92"/>
    <w:rsid w:val="00DE1F88"/>
    <w:rsid w:val="00DE20D3"/>
    <w:rsid w:val="00DE21C1"/>
    <w:rsid w:val="00DE2998"/>
    <w:rsid w:val="00DE2A30"/>
    <w:rsid w:val="00DE2A8F"/>
    <w:rsid w:val="00DE2CF0"/>
    <w:rsid w:val="00DE2D27"/>
    <w:rsid w:val="00DE2F86"/>
    <w:rsid w:val="00DE31BE"/>
    <w:rsid w:val="00DE33E3"/>
    <w:rsid w:val="00DE35AD"/>
    <w:rsid w:val="00DE3708"/>
    <w:rsid w:val="00DE388C"/>
    <w:rsid w:val="00DE3B32"/>
    <w:rsid w:val="00DE3CC1"/>
    <w:rsid w:val="00DE3EF7"/>
    <w:rsid w:val="00DE4223"/>
    <w:rsid w:val="00DE4322"/>
    <w:rsid w:val="00DE469E"/>
    <w:rsid w:val="00DE494B"/>
    <w:rsid w:val="00DE4CE0"/>
    <w:rsid w:val="00DE4D06"/>
    <w:rsid w:val="00DE4D5D"/>
    <w:rsid w:val="00DE4DA4"/>
    <w:rsid w:val="00DE50F7"/>
    <w:rsid w:val="00DE52A7"/>
    <w:rsid w:val="00DE5430"/>
    <w:rsid w:val="00DE5733"/>
    <w:rsid w:val="00DE5879"/>
    <w:rsid w:val="00DE5F68"/>
    <w:rsid w:val="00DE6626"/>
    <w:rsid w:val="00DE6BA9"/>
    <w:rsid w:val="00DE6F11"/>
    <w:rsid w:val="00DE7A6D"/>
    <w:rsid w:val="00DE7CA5"/>
    <w:rsid w:val="00DF0E08"/>
    <w:rsid w:val="00DF1254"/>
    <w:rsid w:val="00DF150F"/>
    <w:rsid w:val="00DF1570"/>
    <w:rsid w:val="00DF1D77"/>
    <w:rsid w:val="00DF1EA2"/>
    <w:rsid w:val="00DF2411"/>
    <w:rsid w:val="00DF2541"/>
    <w:rsid w:val="00DF266F"/>
    <w:rsid w:val="00DF2BC2"/>
    <w:rsid w:val="00DF2CAC"/>
    <w:rsid w:val="00DF2DCD"/>
    <w:rsid w:val="00DF2EFD"/>
    <w:rsid w:val="00DF2FCC"/>
    <w:rsid w:val="00DF326B"/>
    <w:rsid w:val="00DF3397"/>
    <w:rsid w:val="00DF3AA0"/>
    <w:rsid w:val="00DF3FEF"/>
    <w:rsid w:val="00DF4001"/>
    <w:rsid w:val="00DF4255"/>
    <w:rsid w:val="00DF4503"/>
    <w:rsid w:val="00DF46C7"/>
    <w:rsid w:val="00DF4AF0"/>
    <w:rsid w:val="00DF4C31"/>
    <w:rsid w:val="00DF4CEB"/>
    <w:rsid w:val="00DF5066"/>
    <w:rsid w:val="00DF5109"/>
    <w:rsid w:val="00DF53F7"/>
    <w:rsid w:val="00DF5BCD"/>
    <w:rsid w:val="00DF5CC4"/>
    <w:rsid w:val="00DF60B4"/>
    <w:rsid w:val="00DF6381"/>
    <w:rsid w:val="00DF6924"/>
    <w:rsid w:val="00DF69B6"/>
    <w:rsid w:val="00DF6D9E"/>
    <w:rsid w:val="00DF6E20"/>
    <w:rsid w:val="00DF72A7"/>
    <w:rsid w:val="00DF74A9"/>
    <w:rsid w:val="00DF74D4"/>
    <w:rsid w:val="00DF7949"/>
    <w:rsid w:val="00DF7B31"/>
    <w:rsid w:val="00DF7BB3"/>
    <w:rsid w:val="00DF7D84"/>
    <w:rsid w:val="00DF7DDD"/>
    <w:rsid w:val="00DF7DF1"/>
    <w:rsid w:val="00E00923"/>
    <w:rsid w:val="00E00B08"/>
    <w:rsid w:val="00E00DCB"/>
    <w:rsid w:val="00E00F53"/>
    <w:rsid w:val="00E00FD5"/>
    <w:rsid w:val="00E01421"/>
    <w:rsid w:val="00E01862"/>
    <w:rsid w:val="00E019C9"/>
    <w:rsid w:val="00E01E59"/>
    <w:rsid w:val="00E0218C"/>
    <w:rsid w:val="00E02266"/>
    <w:rsid w:val="00E0242A"/>
    <w:rsid w:val="00E02481"/>
    <w:rsid w:val="00E025C4"/>
    <w:rsid w:val="00E027F7"/>
    <w:rsid w:val="00E02E8F"/>
    <w:rsid w:val="00E02FE5"/>
    <w:rsid w:val="00E03628"/>
    <w:rsid w:val="00E036A8"/>
    <w:rsid w:val="00E04738"/>
    <w:rsid w:val="00E04A0D"/>
    <w:rsid w:val="00E04DF0"/>
    <w:rsid w:val="00E0541E"/>
    <w:rsid w:val="00E0554B"/>
    <w:rsid w:val="00E05771"/>
    <w:rsid w:val="00E0610F"/>
    <w:rsid w:val="00E06208"/>
    <w:rsid w:val="00E06752"/>
    <w:rsid w:val="00E06865"/>
    <w:rsid w:val="00E0694C"/>
    <w:rsid w:val="00E06C3D"/>
    <w:rsid w:val="00E06D60"/>
    <w:rsid w:val="00E07295"/>
    <w:rsid w:val="00E07347"/>
    <w:rsid w:val="00E07659"/>
    <w:rsid w:val="00E076CE"/>
    <w:rsid w:val="00E078FA"/>
    <w:rsid w:val="00E07E06"/>
    <w:rsid w:val="00E07F46"/>
    <w:rsid w:val="00E10157"/>
    <w:rsid w:val="00E1017A"/>
    <w:rsid w:val="00E101B6"/>
    <w:rsid w:val="00E1022A"/>
    <w:rsid w:val="00E105B1"/>
    <w:rsid w:val="00E11191"/>
    <w:rsid w:val="00E11356"/>
    <w:rsid w:val="00E114D2"/>
    <w:rsid w:val="00E116C9"/>
    <w:rsid w:val="00E11769"/>
    <w:rsid w:val="00E117C9"/>
    <w:rsid w:val="00E1195B"/>
    <w:rsid w:val="00E11E5E"/>
    <w:rsid w:val="00E12D8B"/>
    <w:rsid w:val="00E130E2"/>
    <w:rsid w:val="00E13396"/>
    <w:rsid w:val="00E136FE"/>
    <w:rsid w:val="00E138FC"/>
    <w:rsid w:val="00E13939"/>
    <w:rsid w:val="00E13AAC"/>
    <w:rsid w:val="00E13AD8"/>
    <w:rsid w:val="00E13B5A"/>
    <w:rsid w:val="00E13CE2"/>
    <w:rsid w:val="00E142F7"/>
    <w:rsid w:val="00E145E0"/>
    <w:rsid w:val="00E14723"/>
    <w:rsid w:val="00E14986"/>
    <w:rsid w:val="00E14B9B"/>
    <w:rsid w:val="00E14CE6"/>
    <w:rsid w:val="00E14D9E"/>
    <w:rsid w:val="00E150EC"/>
    <w:rsid w:val="00E15142"/>
    <w:rsid w:val="00E152B6"/>
    <w:rsid w:val="00E1567B"/>
    <w:rsid w:val="00E15764"/>
    <w:rsid w:val="00E157FE"/>
    <w:rsid w:val="00E15841"/>
    <w:rsid w:val="00E15E10"/>
    <w:rsid w:val="00E16011"/>
    <w:rsid w:val="00E166AA"/>
    <w:rsid w:val="00E16E56"/>
    <w:rsid w:val="00E16EF7"/>
    <w:rsid w:val="00E17068"/>
    <w:rsid w:val="00E172CB"/>
    <w:rsid w:val="00E17313"/>
    <w:rsid w:val="00E17531"/>
    <w:rsid w:val="00E17710"/>
    <w:rsid w:val="00E17782"/>
    <w:rsid w:val="00E17789"/>
    <w:rsid w:val="00E17F7C"/>
    <w:rsid w:val="00E20304"/>
    <w:rsid w:val="00E2036E"/>
    <w:rsid w:val="00E20C27"/>
    <w:rsid w:val="00E20C33"/>
    <w:rsid w:val="00E20C91"/>
    <w:rsid w:val="00E20D12"/>
    <w:rsid w:val="00E20D62"/>
    <w:rsid w:val="00E20E1F"/>
    <w:rsid w:val="00E20E3C"/>
    <w:rsid w:val="00E20FEC"/>
    <w:rsid w:val="00E210DF"/>
    <w:rsid w:val="00E2164A"/>
    <w:rsid w:val="00E21697"/>
    <w:rsid w:val="00E21925"/>
    <w:rsid w:val="00E21969"/>
    <w:rsid w:val="00E21B82"/>
    <w:rsid w:val="00E2213B"/>
    <w:rsid w:val="00E2269A"/>
    <w:rsid w:val="00E22ED1"/>
    <w:rsid w:val="00E23046"/>
    <w:rsid w:val="00E23880"/>
    <w:rsid w:val="00E23DEA"/>
    <w:rsid w:val="00E23E34"/>
    <w:rsid w:val="00E240F2"/>
    <w:rsid w:val="00E242FF"/>
    <w:rsid w:val="00E248AA"/>
    <w:rsid w:val="00E2493A"/>
    <w:rsid w:val="00E24D74"/>
    <w:rsid w:val="00E2554A"/>
    <w:rsid w:val="00E255AB"/>
    <w:rsid w:val="00E2563C"/>
    <w:rsid w:val="00E25649"/>
    <w:rsid w:val="00E256F3"/>
    <w:rsid w:val="00E25748"/>
    <w:rsid w:val="00E25A04"/>
    <w:rsid w:val="00E25A9E"/>
    <w:rsid w:val="00E25C65"/>
    <w:rsid w:val="00E25FBA"/>
    <w:rsid w:val="00E2606B"/>
    <w:rsid w:val="00E2636D"/>
    <w:rsid w:val="00E2670A"/>
    <w:rsid w:val="00E26BA9"/>
    <w:rsid w:val="00E26C81"/>
    <w:rsid w:val="00E26D1D"/>
    <w:rsid w:val="00E26DDD"/>
    <w:rsid w:val="00E26F51"/>
    <w:rsid w:val="00E271A1"/>
    <w:rsid w:val="00E273DC"/>
    <w:rsid w:val="00E2766F"/>
    <w:rsid w:val="00E277CA"/>
    <w:rsid w:val="00E277DA"/>
    <w:rsid w:val="00E2798E"/>
    <w:rsid w:val="00E27B2B"/>
    <w:rsid w:val="00E27BE5"/>
    <w:rsid w:val="00E27EEC"/>
    <w:rsid w:val="00E27FA0"/>
    <w:rsid w:val="00E305B8"/>
    <w:rsid w:val="00E30638"/>
    <w:rsid w:val="00E30AD4"/>
    <w:rsid w:val="00E31103"/>
    <w:rsid w:val="00E31893"/>
    <w:rsid w:val="00E31B8C"/>
    <w:rsid w:val="00E32343"/>
    <w:rsid w:val="00E32650"/>
    <w:rsid w:val="00E326FB"/>
    <w:rsid w:val="00E32886"/>
    <w:rsid w:val="00E3296E"/>
    <w:rsid w:val="00E32DAE"/>
    <w:rsid w:val="00E337D8"/>
    <w:rsid w:val="00E33B36"/>
    <w:rsid w:val="00E33BDC"/>
    <w:rsid w:val="00E33D50"/>
    <w:rsid w:val="00E33D72"/>
    <w:rsid w:val="00E33DDC"/>
    <w:rsid w:val="00E340DA"/>
    <w:rsid w:val="00E3419E"/>
    <w:rsid w:val="00E341F4"/>
    <w:rsid w:val="00E342EA"/>
    <w:rsid w:val="00E349E7"/>
    <w:rsid w:val="00E34A26"/>
    <w:rsid w:val="00E34EFC"/>
    <w:rsid w:val="00E34F79"/>
    <w:rsid w:val="00E351EE"/>
    <w:rsid w:val="00E35466"/>
    <w:rsid w:val="00E35A4E"/>
    <w:rsid w:val="00E35B4F"/>
    <w:rsid w:val="00E35C6B"/>
    <w:rsid w:val="00E35CC9"/>
    <w:rsid w:val="00E362BF"/>
    <w:rsid w:val="00E365B0"/>
    <w:rsid w:val="00E36859"/>
    <w:rsid w:val="00E36A3D"/>
    <w:rsid w:val="00E36A53"/>
    <w:rsid w:val="00E36A63"/>
    <w:rsid w:val="00E36B78"/>
    <w:rsid w:val="00E36E40"/>
    <w:rsid w:val="00E36FD6"/>
    <w:rsid w:val="00E370E1"/>
    <w:rsid w:val="00E375BB"/>
    <w:rsid w:val="00E37673"/>
    <w:rsid w:val="00E378BC"/>
    <w:rsid w:val="00E37C4F"/>
    <w:rsid w:val="00E400E4"/>
    <w:rsid w:val="00E402B7"/>
    <w:rsid w:val="00E4061D"/>
    <w:rsid w:val="00E4080B"/>
    <w:rsid w:val="00E40964"/>
    <w:rsid w:val="00E40F51"/>
    <w:rsid w:val="00E412E4"/>
    <w:rsid w:val="00E4192D"/>
    <w:rsid w:val="00E419CE"/>
    <w:rsid w:val="00E41B32"/>
    <w:rsid w:val="00E41CC5"/>
    <w:rsid w:val="00E41D8B"/>
    <w:rsid w:val="00E41F5B"/>
    <w:rsid w:val="00E42301"/>
    <w:rsid w:val="00E42568"/>
    <w:rsid w:val="00E42860"/>
    <w:rsid w:val="00E428E8"/>
    <w:rsid w:val="00E42AB6"/>
    <w:rsid w:val="00E42E1E"/>
    <w:rsid w:val="00E42EAF"/>
    <w:rsid w:val="00E4302F"/>
    <w:rsid w:val="00E431DC"/>
    <w:rsid w:val="00E4324A"/>
    <w:rsid w:val="00E435BA"/>
    <w:rsid w:val="00E43661"/>
    <w:rsid w:val="00E43798"/>
    <w:rsid w:val="00E43FB4"/>
    <w:rsid w:val="00E44002"/>
    <w:rsid w:val="00E444BF"/>
    <w:rsid w:val="00E4456F"/>
    <w:rsid w:val="00E44773"/>
    <w:rsid w:val="00E447A6"/>
    <w:rsid w:val="00E451BE"/>
    <w:rsid w:val="00E453E4"/>
    <w:rsid w:val="00E4541D"/>
    <w:rsid w:val="00E455FF"/>
    <w:rsid w:val="00E4561F"/>
    <w:rsid w:val="00E4585A"/>
    <w:rsid w:val="00E45923"/>
    <w:rsid w:val="00E45AF8"/>
    <w:rsid w:val="00E4601E"/>
    <w:rsid w:val="00E46068"/>
    <w:rsid w:val="00E4622E"/>
    <w:rsid w:val="00E4629D"/>
    <w:rsid w:val="00E4635C"/>
    <w:rsid w:val="00E46644"/>
    <w:rsid w:val="00E4689F"/>
    <w:rsid w:val="00E46984"/>
    <w:rsid w:val="00E46B1A"/>
    <w:rsid w:val="00E473E2"/>
    <w:rsid w:val="00E47693"/>
    <w:rsid w:val="00E479A5"/>
    <w:rsid w:val="00E479E9"/>
    <w:rsid w:val="00E47F2D"/>
    <w:rsid w:val="00E502FA"/>
    <w:rsid w:val="00E505B1"/>
    <w:rsid w:val="00E508B9"/>
    <w:rsid w:val="00E50B94"/>
    <w:rsid w:val="00E510AE"/>
    <w:rsid w:val="00E5121F"/>
    <w:rsid w:val="00E516BE"/>
    <w:rsid w:val="00E518DA"/>
    <w:rsid w:val="00E51F07"/>
    <w:rsid w:val="00E529FE"/>
    <w:rsid w:val="00E52A52"/>
    <w:rsid w:val="00E53456"/>
    <w:rsid w:val="00E5352C"/>
    <w:rsid w:val="00E53827"/>
    <w:rsid w:val="00E538D3"/>
    <w:rsid w:val="00E5392B"/>
    <w:rsid w:val="00E53FEF"/>
    <w:rsid w:val="00E54095"/>
    <w:rsid w:val="00E54187"/>
    <w:rsid w:val="00E5429B"/>
    <w:rsid w:val="00E54356"/>
    <w:rsid w:val="00E54457"/>
    <w:rsid w:val="00E545C1"/>
    <w:rsid w:val="00E546FF"/>
    <w:rsid w:val="00E5479D"/>
    <w:rsid w:val="00E547BB"/>
    <w:rsid w:val="00E551E5"/>
    <w:rsid w:val="00E55247"/>
    <w:rsid w:val="00E552C0"/>
    <w:rsid w:val="00E5538A"/>
    <w:rsid w:val="00E556BB"/>
    <w:rsid w:val="00E559ED"/>
    <w:rsid w:val="00E55A96"/>
    <w:rsid w:val="00E55A98"/>
    <w:rsid w:val="00E55F91"/>
    <w:rsid w:val="00E565B9"/>
    <w:rsid w:val="00E56A6E"/>
    <w:rsid w:val="00E56A72"/>
    <w:rsid w:val="00E56DFE"/>
    <w:rsid w:val="00E56EA0"/>
    <w:rsid w:val="00E56EE1"/>
    <w:rsid w:val="00E5709F"/>
    <w:rsid w:val="00E572B7"/>
    <w:rsid w:val="00E573B1"/>
    <w:rsid w:val="00E57431"/>
    <w:rsid w:val="00E57688"/>
    <w:rsid w:val="00E6046B"/>
    <w:rsid w:val="00E60568"/>
    <w:rsid w:val="00E6073C"/>
    <w:rsid w:val="00E60EBC"/>
    <w:rsid w:val="00E60F73"/>
    <w:rsid w:val="00E613AD"/>
    <w:rsid w:val="00E6163F"/>
    <w:rsid w:val="00E616DC"/>
    <w:rsid w:val="00E61823"/>
    <w:rsid w:val="00E61A8A"/>
    <w:rsid w:val="00E61B45"/>
    <w:rsid w:val="00E61C31"/>
    <w:rsid w:val="00E61D1F"/>
    <w:rsid w:val="00E61DDE"/>
    <w:rsid w:val="00E61F35"/>
    <w:rsid w:val="00E6246F"/>
    <w:rsid w:val="00E62734"/>
    <w:rsid w:val="00E62881"/>
    <w:rsid w:val="00E62EF8"/>
    <w:rsid w:val="00E63135"/>
    <w:rsid w:val="00E6316D"/>
    <w:rsid w:val="00E632A8"/>
    <w:rsid w:val="00E633A6"/>
    <w:rsid w:val="00E6388E"/>
    <w:rsid w:val="00E63C8C"/>
    <w:rsid w:val="00E63D25"/>
    <w:rsid w:val="00E63EF0"/>
    <w:rsid w:val="00E63F60"/>
    <w:rsid w:val="00E6423A"/>
    <w:rsid w:val="00E64633"/>
    <w:rsid w:val="00E648A0"/>
    <w:rsid w:val="00E6497C"/>
    <w:rsid w:val="00E64A5A"/>
    <w:rsid w:val="00E64FAB"/>
    <w:rsid w:val="00E65671"/>
    <w:rsid w:val="00E65B85"/>
    <w:rsid w:val="00E65B97"/>
    <w:rsid w:val="00E66636"/>
    <w:rsid w:val="00E66708"/>
    <w:rsid w:val="00E66888"/>
    <w:rsid w:val="00E670DD"/>
    <w:rsid w:val="00E67946"/>
    <w:rsid w:val="00E67A71"/>
    <w:rsid w:val="00E67B6F"/>
    <w:rsid w:val="00E67D46"/>
    <w:rsid w:val="00E70047"/>
    <w:rsid w:val="00E7042A"/>
    <w:rsid w:val="00E7067E"/>
    <w:rsid w:val="00E70C87"/>
    <w:rsid w:val="00E70E41"/>
    <w:rsid w:val="00E71565"/>
    <w:rsid w:val="00E716C4"/>
    <w:rsid w:val="00E71B3D"/>
    <w:rsid w:val="00E71D1F"/>
    <w:rsid w:val="00E7204C"/>
    <w:rsid w:val="00E72672"/>
    <w:rsid w:val="00E7271E"/>
    <w:rsid w:val="00E728E3"/>
    <w:rsid w:val="00E736B6"/>
    <w:rsid w:val="00E73F17"/>
    <w:rsid w:val="00E749A4"/>
    <w:rsid w:val="00E74CA0"/>
    <w:rsid w:val="00E74FBC"/>
    <w:rsid w:val="00E74FD4"/>
    <w:rsid w:val="00E7542F"/>
    <w:rsid w:val="00E757C2"/>
    <w:rsid w:val="00E7599A"/>
    <w:rsid w:val="00E75A49"/>
    <w:rsid w:val="00E76388"/>
    <w:rsid w:val="00E76845"/>
    <w:rsid w:val="00E76B57"/>
    <w:rsid w:val="00E77414"/>
    <w:rsid w:val="00E77850"/>
    <w:rsid w:val="00E77DA7"/>
    <w:rsid w:val="00E8007A"/>
    <w:rsid w:val="00E800A9"/>
    <w:rsid w:val="00E80143"/>
    <w:rsid w:val="00E80187"/>
    <w:rsid w:val="00E802E4"/>
    <w:rsid w:val="00E809F0"/>
    <w:rsid w:val="00E81CC4"/>
    <w:rsid w:val="00E81E8F"/>
    <w:rsid w:val="00E820CE"/>
    <w:rsid w:val="00E82BAF"/>
    <w:rsid w:val="00E82C17"/>
    <w:rsid w:val="00E831A4"/>
    <w:rsid w:val="00E8320A"/>
    <w:rsid w:val="00E83483"/>
    <w:rsid w:val="00E83D02"/>
    <w:rsid w:val="00E83DC7"/>
    <w:rsid w:val="00E83DF1"/>
    <w:rsid w:val="00E843B1"/>
    <w:rsid w:val="00E84401"/>
    <w:rsid w:val="00E845B2"/>
    <w:rsid w:val="00E849E0"/>
    <w:rsid w:val="00E849F4"/>
    <w:rsid w:val="00E85242"/>
    <w:rsid w:val="00E8531F"/>
    <w:rsid w:val="00E853CD"/>
    <w:rsid w:val="00E85716"/>
    <w:rsid w:val="00E858BA"/>
    <w:rsid w:val="00E85C60"/>
    <w:rsid w:val="00E85E86"/>
    <w:rsid w:val="00E85EDB"/>
    <w:rsid w:val="00E862A1"/>
    <w:rsid w:val="00E865E2"/>
    <w:rsid w:val="00E86B8D"/>
    <w:rsid w:val="00E86D57"/>
    <w:rsid w:val="00E8701F"/>
    <w:rsid w:val="00E871C3"/>
    <w:rsid w:val="00E8728E"/>
    <w:rsid w:val="00E87383"/>
    <w:rsid w:val="00E878C9"/>
    <w:rsid w:val="00E87A94"/>
    <w:rsid w:val="00E87C42"/>
    <w:rsid w:val="00E87CD8"/>
    <w:rsid w:val="00E904B1"/>
    <w:rsid w:val="00E906EC"/>
    <w:rsid w:val="00E90888"/>
    <w:rsid w:val="00E90B48"/>
    <w:rsid w:val="00E912EC"/>
    <w:rsid w:val="00E9156D"/>
    <w:rsid w:val="00E915A2"/>
    <w:rsid w:val="00E91877"/>
    <w:rsid w:val="00E91E0A"/>
    <w:rsid w:val="00E91EA5"/>
    <w:rsid w:val="00E91FD0"/>
    <w:rsid w:val="00E9226B"/>
    <w:rsid w:val="00E92577"/>
    <w:rsid w:val="00E925E3"/>
    <w:rsid w:val="00E9269A"/>
    <w:rsid w:val="00E92767"/>
    <w:rsid w:val="00E92864"/>
    <w:rsid w:val="00E92C6A"/>
    <w:rsid w:val="00E9305F"/>
    <w:rsid w:val="00E931D0"/>
    <w:rsid w:val="00E931E3"/>
    <w:rsid w:val="00E938E9"/>
    <w:rsid w:val="00E939DB"/>
    <w:rsid w:val="00E93AE6"/>
    <w:rsid w:val="00E94AA8"/>
    <w:rsid w:val="00E95019"/>
    <w:rsid w:val="00E95A1A"/>
    <w:rsid w:val="00E95A85"/>
    <w:rsid w:val="00E95B2F"/>
    <w:rsid w:val="00E968A7"/>
    <w:rsid w:val="00E96BB7"/>
    <w:rsid w:val="00E96C7C"/>
    <w:rsid w:val="00E96F53"/>
    <w:rsid w:val="00E9783F"/>
    <w:rsid w:val="00E978EE"/>
    <w:rsid w:val="00E97988"/>
    <w:rsid w:val="00E97FF6"/>
    <w:rsid w:val="00EA03E8"/>
    <w:rsid w:val="00EA0441"/>
    <w:rsid w:val="00EA0BE7"/>
    <w:rsid w:val="00EA0DB8"/>
    <w:rsid w:val="00EA0EF8"/>
    <w:rsid w:val="00EA126C"/>
    <w:rsid w:val="00EA16D6"/>
    <w:rsid w:val="00EA1B3D"/>
    <w:rsid w:val="00EA23D1"/>
    <w:rsid w:val="00EA277D"/>
    <w:rsid w:val="00EA27FD"/>
    <w:rsid w:val="00EA2CEF"/>
    <w:rsid w:val="00EA2DED"/>
    <w:rsid w:val="00EA333A"/>
    <w:rsid w:val="00EA33DB"/>
    <w:rsid w:val="00EA347F"/>
    <w:rsid w:val="00EA378A"/>
    <w:rsid w:val="00EA39D3"/>
    <w:rsid w:val="00EA3A3A"/>
    <w:rsid w:val="00EA3B6D"/>
    <w:rsid w:val="00EA3CF9"/>
    <w:rsid w:val="00EA447F"/>
    <w:rsid w:val="00EA4AA7"/>
    <w:rsid w:val="00EA4C9D"/>
    <w:rsid w:val="00EA52E2"/>
    <w:rsid w:val="00EA52F4"/>
    <w:rsid w:val="00EA533B"/>
    <w:rsid w:val="00EA53F6"/>
    <w:rsid w:val="00EA557C"/>
    <w:rsid w:val="00EA5B64"/>
    <w:rsid w:val="00EA64EF"/>
    <w:rsid w:val="00EA6763"/>
    <w:rsid w:val="00EA68F6"/>
    <w:rsid w:val="00EA6A07"/>
    <w:rsid w:val="00EA6B1B"/>
    <w:rsid w:val="00EA6C83"/>
    <w:rsid w:val="00EA6DEC"/>
    <w:rsid w:val="00EA6E0A"/>
    <w:rsid w:val="00EA773F"/>
    <w:rsid w:val="00EA79AA"/>
    <w:rsid w:val="00EB0426"/>
    <w:rsid w:val="00EB0613"/>
    <w:rsid w:val="00EB0AA0"/>
    <w:rsid w:val="00EB0E09"/>
    <w:rsid w:val="00EB0E4B"/>
    <w:rsid w:val="00EB14B0"/>
    <w:rsid w:val="00EB1A78"/>
    <w:rsid w:val="00EB1A8C"/>
    <w:rsid w:val="00EB1C2A"/>
    <w:rsid w:val="00EB1D5E"/>
    <w:rsid w:val="00EB1E7A"/>
    <w:rsid w:val="00EB2565"/>
    <w:rsid w:val="00EB2BD8"/>
    <w:rsid w:val="00EB2BDC"/>
    <w:rsid w:val="00EB2BEE"/>
    <w:rsid w:val="00EB2D09"/>
    <w:rsid w:val="00EB320E"/>
    <w:rsid w:val="00EB34A5"/>
    <w:rsid w:val="00EB353C"/>
    <w:rsid w:val="00EB3DE2"/>
    <w:rsid w:val="00EB41C6"/>
    <w:rsid w:val="00EB46AA"/>
    <w:rsid w:val="00EB4820"/>
    <w:rsid w:val="00EB4A9C"/>
    <w:rsid w:val="00EB4AF2"/>
    <w:rsid w:val="00EB4BB3"/>
    <w:rsid w:val="00EB517F"/>
    <w:rsid w:val="00EB51F9"/>
    <w:rsid w:val="00EB5340"/>
    <w:rsid w:val="00EB57BE"/>
    <w:rsid w:val="00EB58BF"/>
    <w:rsid w:val="00EB5E58"/>
    <w:rsid w:val="00EB60BF"/>
    <w:rsid w:val="00EB6A9E"/>
    <w:rsid w:val="00EB6CA5"/>
    <w:rsid w:val="00EB6CDB"/>
    <w:rsid w:val="00EB6EF2"/>
    <w:rsid w:val="00EB7135"/>
    <w:rsid w:val="00EB73A5"/>
    <w:rsid w:val="00EB73F9"/>
    <w:rsid w:val="00EB78E4"/>
    <w:rsid w:val="00EB794A"/>
    <w:rsid w:val="00EB7CD7"/>
    <w:rsid w:val="00EC0231"/>
    <w:rsid w:val="00EC0306"/>
    <w:rsid w:val="00EC05A7"/>
    <w:rsid w:val="00EC05AA"/>
    <w:rsid w:val="00EC0C4F"/>
    <w:rsid w:val="00EC0C68"/>
    <w:rsid w:val="00EC0E8C"/>
    <w:rsid w:val="00EC1742"/>
    <w:rsid w:val="00EC1811"/>
    <w:rsid w:val="00EC1866"/>
    <w:rsid w:val="00EC18F7"/>
    <w:rsid w:val="00EC1968"/>
    <w:rsid w:val="00EC1D65"/>
    <w:rsid w:val="00EC1F8B"/>
    <w:rsid w:val="00EC2219"/>
    <w:rsid w:val="00EC2637"/>
    <w:rsid w:val="00EC2A54"/>
    <w:rsid w:val="00EC2D79"/>
    <w:rsid w:val="00EC2F61"/>
    <w:rsid w:val="00EC34B1"/>
    <w:rsid w:val="00EC358B"/>
    <w:rsid w:val="00EC3D23"/>
    <w:rsid w:val="00EC40C4"/>
    <w:rsid w:val="00EC4175"/>
    <w:rsid w:val="00EC4465"/>
    <w:rsid w:val="00EC447B"/>
    <w:rsid w:val="00EC4662"/>
    <w:rsid w:val="00EC4BFB"/>
    <w:rsid w:val="00EC4CE1"/>
    <w:rsid w:val="00EC5100"/>
    <w:rsid w:val="00EC5300"/>
    <w:rsid w:val="00EC5396"/>
    <w:rsid w:val="00EC540D"/>
    <w:rsid w:val="00EC5DF5"/>
    <w:rsid w:val="00EC5F7B"/>
    <w:rsid w:val="00EC600D"/>
    <w:rsid w:val="00EC6156"/>
    <w:rsid w:val="00EC62CC"/>
    <w:rsid w:val="00EC6364"/>
    <w:rsid w:val="00EC6654"/>
    <w:rsid w:val="00EC67DD"/>
    <w:rsid w:val="00EC6940"/>
    <w:rsid w:val="00EC70BB"/>
    <w:rsid w:val="00EC7BE1"/>
    <w:rsid w:val="00EC7C7C"/>
    <w:rsid w:val="00ED0017"/>
    <w:rsid w:val="00ED003D"/>
    <w:rsid w:val="00ED0195"/>
    <w:rsid w:val="00ED03FA"/>
    <w:rsid w:val="00ED0473"/>
    <w:rsid w:val="00ED05C2"/>
    <w:rsid w:val="00ED089E"/>
    <w:rsid w:val="00ED0A42"/>
    <w:rsid w:val="00ED0C2A"/>
    <w:rsid w:val="00ED0C6F"/>
    <w:rsid w:val="00ED0F4A"/>
    <w:rsid w:val="00ED0FDA"/>
    <w:rsid w:val="00ED1309"/>
    <w:rsid w:val="00ED1363"/>
    <w:rsid w:val="00ED168D"/>
    <w:rsid w:val="00ED1C34"/>
    <w:rsid w:val="00ED1E01"/>
    <w:rsid w:val="00ED1FFE"/>
    <w:rsid w:val="00ED22DE"/>
    <w:rsid w:val="00ED25D9"/>
    <w:rsid w:val="00ED2815"/>
    <w:rsid w:val="00ED2970"/>
    <w:rsid w:val="00ED2DBE"/>
    <w:rsid w:val="00ED2DEF"/>
    <w:rsid w:val="00ED2E7B"/>
    <w:rsid w:val="00ED2EC8"/>
    <w:rsid w:val="00ED3447"/>
    <w:rsid w:val="00ED34AF"/>
    <w:rsid w:val="00ED3517"/>
    <w:rsid w:val="00ED3595"/>
    <w:rsid w:val="00ED3713"/>
    <w:rsid w:val="00ED380B"/>
    <w:rsid w:val="00ED3931"/>
    <w:rsid w:val="00ED3ABC"/>
    <w:rsid w:val="00ED3BA3"/>
    <w:rsid w:val="00ED3BEB"/>
    <w:rsid w:val="00ED3E8D"/>
    <w:rsid w:val="00ED442F"/>
    <w:rsid w:val="00ED447E"/>
    <w:rsid w:val="00ED46B7"/>
    <w:rsid w:val="00ED48E1"/>
    <w:rsid w:val="00ED4A96"/>
    <w:rsid w:val="00ED4E8A"/>
    <w:rsid w:val="00ED547E"/>
    <w:rsid w:val="00ED5655"/>
    <w:rsid w:val="00ED57E2"/>
    <w:rsid w:val="00ED5802"/>
    <w:rsid w:val="00ED58C2"/>
    <w:rsid w:val="00ED5A60"/>
    <w:rsid w:val="00ED5C16"/>
    <w:rsid w:val="00ED6137"/>
    <w:rsid w:val="00ED6B01"/>
    <w:rsid w:val="00ED6CB8"/>
    <w:rsid w:val="00ED6F15"/>
    <w:rsid w:val="00ED70E8"/>
    <w:rsid w:val="00ED7242"/>
    <w:rsid w:val="00ED734A"/>
    <w:rsid w:val="00ED7496"/>
    <w:rsid w:val="00ED74A8"/>
    <w:rsid w:val="00ED7CF8"/>
    <w:rsid w:val="00ED7D45"/>
    <w:rsid w:val="00EE0388"/>
    <w:rsid w:val="00EE0771"/>
    <w:rsid w:val="00EE0D6C"/>
    <w:rsid w:val="00EE0DBE"/>
    <w:rsid w:val="00EE0F88"/>
    <w:rsid w:val="00EE12E0"/>
    <w:rsid w:val="00EE12F5"/>
    <w:rsid w:val="00EE134D"/>
    <w:rsid w:val="00EE175A"/>
    <w:rsid w:val="00EE19F5"/>
    <w:rsid w:val="00EE1AAA"/>
    <w:rsid w:val="00EE1B98"/>
    <w:rsid w:val="00EE1C27"/>
    <w:rsid w:val="00EE1E09"/>
    <w:rsid w:val="00EE23AD"/>
    <w:rsid w:val="00EE2485"/>
    <w:rsid w:val="00EE276D"/>
    <w:rsid w:val="00EE2912"/>
    <w:rsid w:val="00EE303E"/>
    <w:rsid w:val="00EE33B8"/>
    <w:rsid w:val="00EE34AC"/>
    <w:rsid w:val="00EE3C4B"/>
    <w:rsid w:val="00EE3DC4"/>
    <w:rsid w:val="00EE4075"/>
    <w:rsid w:val="00EE415F"/>
    <w:rsid w:val="00EE41A4"/>
    <w:rsid w:val="00EE43A7"/>
    <w:rsid w:val="00EE440A"/>
    <w:rsid w:val="00EE461F"/>
    <w:rsid w:val="00EE4E20"/>
    <w:rsid w:val="00EE4E81"/>
    <w:rsid w:val="00EE524F"/>
    <w:rsid w:val="00EE5286"/>
    <w:rsid w:val="00EE592A"/>
    <w:rsid w:val="00EE624C"/>
    <w:rsid w:val="00EE63A8"/>
    <w:rsid w:val="00EE655A"/>
    <w:rsid w:val="00EE6836"/>
    <w:rsid w:val="00EE6CFA"/>
    <w:rsid w:val="00EE6DD6"/>
    <w:rsid w:val="00EE70CA"/>
    <w:rsid w:val="00EE70F8"/>
    <w:rsid w:val="00EE7157"/>
    <w:rsid w:val="00EE73DD"/>
    <w:rsid w:val="00EE7743"/>
    <w:rsid w:val="00EE77B0"/>
    <w:rsid w:val="00EE7CC5"/>
    <w:rsid w:val="00EF029C"/>
    <w:rsid w:val="00EF04BD"/>
    <w:rsid w:val="00EF0503"/>
    <w:rsid w:val="00EF086E"/>
    <w:rsid w:val="00EF10C5"/>
    <w:rsid w:val="00EF1153"/>
    <w:rsid w:val="00EF19C7"/>
    <w:rsid w:val="00EF1CB3"/>
    <w:rsid w:val="00EF200D"/>
    <w:rsid w:val="00EF244D"/>
    <w:rsid w:val="00EF2540"/>
    <w:rsid w:val="00EF2905"/>
    <w:rsid w:val="00EF2F80"/>
    <w:rsid w:val="00EF3B0E"/>
    <w:rsid w:val="00EF44DF"/>
    <w:rsid w:val="00EF4621"/>
    <w:rsid w:val="00EF49D7"/>
    <w:rsid w:val="00EF4A89"/>
    <w:rsid w:val="00EF4E22"/>
    <w:rsid w:val="00EF5247"/>
    <w:rsid w:val="00EF576D"/>
    <w:rsid w:val="00EF610E"/>
    <w:rsid w:val="00EF6135"/>
    <w:rsid w:val="00EF637A"/>
    <w:rsid w:val="00EF640D"/>
    <w:rsid w:val="00EF641D"/>
    <w:rsid w:val="00EF6421"/>
    <w:rsid w:val="00EF6908"/>
    <w:rsid w:val="00EF6AB7"/>
    <w:rsid w:val="00EF6BC2"/>
    <w:rsid w:val="00EF7004"/>
    <w:rsid w:val="00EF7063"/>
    <w:rsid w:val="00EF75D9"/>
    <w:rsid w:val="00EF7640"/>
    <w:rsid w:val="00EF7692"/>
    <w:rsid w:val="00EF7715"/>
    <w:rsid w:val="00EF79C0"/>
    <w:rsid w:val="00EF7C93"/>
    <w:rsid w:val="00F00058"/>
    <w:rsid w:val="00F00226"/>
    <w:rsid w:val="00F002E6"/>
    <w:rsid w:val="00F00533"/>
    <w:rsid w:val="00F006BD"/>
    <w:rsid w:val="00F00BA1"/>
    <w:rsid w:val="00F00C00"/>
    <w:rsid w:val="00F00C59"/>
    <w:rsid w:val="00F00DDA"/>
    <w:rsid w:val="00F01237"/>
    <w:rsid w:val="00F0123D"/>
    <w:rsid w:val="00F012E8"/>
    <w:rsid w:val="00F01311"/>
    <w:rsid w:val="00F01919"/>
    <w:rsid w:val="00F020FD"/>
    <w:rsid w:val="00F02131"/>
    <w:rsid w:val="00F02258"/>
    <w:rsid w:val="00F02598"/>
    <w:rsid w:val="00F02CEE"/>
    <w:rsid w:val="00F03063"/>
    <w:rsid w:val="00F03109"/>
    <w:rsid w:val="00F0318A"/>
    <w:rsid w:val="00F032A8"/>
    <w:rsid w:val="00F034CB"/>
    <w:rsid w:val="00F03522"/>
    <w:rsid w:val="00F03788"/>
    <w:rsid w:val="00F03E2B"/>
    <w:rsid w:val="00F041C2"/>
    <w:rsid w:val="00F04203"/>
    <w:rsid w:val="00F04379"/>
    <w:rsid w:val="00F0444A"/>
    <w:rsid w:val="00F045D8"/>
    <w:rsid w:val="00F047C1"/>
    <w:rsid w:val="00F04CE9"/>
    <w:rsid w:val="00F04EA8"/>
    <w:rsid w:val="00F0502A"/>
    <w:rsid w:val="00F0521C"/>
    <w:rsid w:val="00F053D3"/>
    <w:rsid w:val="00F0552D"/>
    <w:rsid w:val="00F06630"/>
    <w:rsid w:val="00F066DA"/>
    <w:rsid w:val="00F0683A"/>
    <w:rsid w:val="00F07122"/>
    <w:rsid w:val="00F07536"/>
    <w:rsid w:val="00F07894"/>
    <w:rsid w:val="00F07EC3"/>
    <w:rsid w:val="00F1008F"/>
    <w:rsid w:val="00F100BE"/>
    <w:rsid w:val="00F10700"/>
    <w:rsid w:val="00F10738"/>
    <w:rsid w:val="00F10A05"/>
    <w:rsid w:val="00F10B87"/>
    <w:rsid w:val="00F10DD1"/>
    <w:rsid w:val="00F10E23"/>
    <w:rsid w:val="00F1104F"/>
    <w:rsid w:val="00F110AF"/>
    <w:rsid w:val="00F112BB"/>
    <w:rsid w:val="00F1145D"/>
    <w:rsid w:val="00F11C2D"/>
    <w:rsid w:val="00F11D74"/>
    <w:rsid w:val="00F11F0C"/>
    <w:rsid w:val="00F11F0E"/>
    <w:rsid w:val="00F11F2B"/>
    <w:rsid w:val="00F1201B"/>
    <w:rsid w:val="00F124F4"/>
    <w:rsid w:val="00F126C4"/>
    <w:rsid w:val="00F12756"/>
    <w:rsid w:val="00F12F54"/>
    <w:rsid w:val="00F1374A"/>
    <w:rsid w:val="00F13A24"/>
    <w:rsid w:val="00F13E80"/>
    <w:rsid w:val="00F14FB0"/>
    <w:rsid w:val="00F14FF7"/>
    <w:rsid w:val="00F152ED"/>
    <w:rsid w:val="00F1537A"/>
    <w:rsid w:val="00F1581F"/>
    <w:rsid w:val="00F15D15"/>
    <w:rsid w:val="00F15EC6"/>
    <w:rsid w:val="00F1605C"/>
    <w:rsid w:val="00F160DB"/>
    <w:rsid w:val="00F163A1"/>
    <w:rsid w:val="00F163B9"/>
    <w:rsid w:val="00F16472"/>
    <w:rsid w:val="00F166FE"/>
    <w:rsid w:val="00F16BBA"/>
    <w:rsid w:val="00F16E6C"/>
    <w:rsid w:val="00F171BB"/>
    <w:rsid w:val="00F17638"/>
    <w:rsid w:val="00F17672"/>
    <w:rsid w:val="00F179D0"/>
    <w:rsid w:val="00F17AFD"/>
    <w:rsid w:val="00F17BFA"/>
    <w:rsid w:val="00F17C1A"/>
    <w:rsid w:val="00F202DD"/>
    <w:rsid w:val="00F203F5"/>
    <w:rsid w:val="00F2077E"/>
    <w:rsid w:val="00F20A0D"/>
    <w:rsid w:val="00F20EE7"/>
    <w:rsid w:val="00F20F80"/>
    <w:rsid w:val="00F211FE"/>
    <w:rsid w:val="00F2138A"/>
    <w:rsid w:val="00F21427"/>
    <w:rsid w:val="00F215CD"/>
    <w:rsid w:val="00F216C5"/>
    <w:rsid w:val="00F21826"/>
    <w:rsid w:val="00F21A57"/>
    <w:rsid w:val="00F2297D"/>
    <w:rsid w:val="00F229B0"/>
    <w:rsid w:val="00F22A41"/>
    <w:rsid w:val="00F22C5F"/>
    <w:rsid w:val="00F22E3B"/>
    <w:rsid w:val="00F22E5B"/>
    <w:rsid w:val="00F236AD"/>
    <w:rsid w:val="00F23EF5"/>
    <w:rsid w:val="00F23F62"/>
    <w:rsid w:val="00F23F9E"/>
    <w:rsid w:val="00F23FF8"/>
    <w:rsid w:val="00F24495"/>
    <w:rsid w:val="00F2476F"/>
    <w:rsid w:val="00F247D3"/>
    <w:rsid w:val="00F24B59"/>
    <w:rsid w:val="00F25868"/>
    <w:rsid w:val="00F258B4"/>
    <w:rsid w:val="00F2594A"/>
    <w:rsid w:val="00F25A75"/>
    <w:rsid w:val="00F25C4D"/>
    <w:rsid w:val="00F26232"/>
    <w:rsid w:val="00F262B6"/>
    <w:rsid w:val="00F263A6"/>
    <w:rsid w:val="00F266F0"/>
    <w:rsid w:val="00F26989"/>
    <w:rsid w:val="00F26AF5"/>
    <w:rsid w:val="00F26FD4"/>
    <w:rsid w:val="00F2709D"/>
    <w:rsid w:val="00F27347"/>
    <w:rsid w:val="00F275FB"/>
    <w:rsid w:val="00F27631"/>
    <w:rsid w:val="00F27635"/>
    <w:rsid w:val="00F2766F"/>
    <w:rsid w:val="00F27716"/>
    <w:rsid w:val="00F27A57"/>
    <w:rsid w:val="00F27BED"/>
    <w:rsid w:val="00F306C1"/>
    <w:rsid w:val="00F308D6"/>
    <w:rsid w:val="00F309BB"/>
    <w:rsid w:val="00F30B49"/>
    <w:rsid w:val="00F30E55"/>
    <w:rsid w:val="00F30FAA"/>
    <w:rsid w:val="00F31396"/>
    <w:rsid w:val="00F314A1"/>
    <w:rsid w:val="00F31505"/>
    <w:rsid w:val="00F3160A"/>
    <w:rsid w:val="00F316FA"/>
    <w:rsid w:val="00F318C6"/>
    <w:rsid w:val="00F31966"/>
    <w:rsid w:val="00F31B17"/>
    <w:rsid w:val="00F31B6E"/>
    <w:rsid w:val="00F31D1F"/>
    <w:rsid w:val="00F31F8D"/>
    <w:rsid w:val="00F31FAE"/>
    <w:rsid w:val="00F32670"/>
    <w:rsid w:val="00F326A1"/>
    <w:rsid w:val="00F327DF"/>
    <w:rsid w:val="00F329B6"/>
    <w:rsid w:val="00F32D12"/>
    <w:rsid w:val="00F32DA2"/>
    <w:rsid w:val="00F33044"/>
    <w:rsid w:val="00F330F2"/>
    <w:rsid w:val="00F3328E"/>
    <w:rsid w:val="00F3329F"/>
    <w:rsid w:val="00F3347A"/>
    <w:rsid w:val="00F335F4"/>
    <w:rsid w:val="00F3379C"/>
    <w:rsid w:val="00F3397C"/>
    <w:rsid w:val="00F342B1"/>
    <w:rsid w:val="00F34488"/>
    <w:rsid w:val="00F3466C"/>
    <w:rsid w:val="00F34698"/>
    <w:rsid w:val="00F3482C"/>
    <w:rsid w:val="00F34D63"/>
    <w:rsid w:val="00F34E76"/>
    <w:rsid w:val="00F34EF4"/>
    <w:rsid w:val="00F350D9"/>
    <w:rsid w:val="00F35440"/>
    <w:rsid w:val="00F35C19"/>
    <w:rsid w:val="00F35E99"/>
    <w:rsid w:val="00F35F74"/>
    <w:rsid w:val="00F36200"/>
    <w:rsid w:val="00F36491"/>
    <w:rsid w:val="00F36563"/>
    <w:rsid w:val="00F3664D"/>
    <w:rsid w:val="00F36717"/>
    <w:rsid w:val="00F36C95"/>
    <w:rsid w:val="00F36CA5"/>
    <w:rsid w:val="00F372D4"/>
    <w:rsid w:val="00F37D39"/>
    <w:rsid w:val="00F37D42"/>
    <w:rsid w:val="00F37F5C"/>
    <w:rsid w:val="00F40073"/>
    <w:rsid w:val="00F40259"/>
    <w:rsid w:val="00F40619"/>
    <w:rsid w:val="00F40683"/>
    <w:rsid w:val="00F4089B"/>
    <w:rsid w:val="00F41119"/>
    <w:rsid w:val="00F41519"/>
    <w:rsid w:val="00F41758"/>
    <w:rsid w:val="00F41C37"/>
    <w:rsid w:val="00F41CC4"/>
    <w:rsid w:val="00F41CF8"/>
    <w:rsid w:val="00F41D8E"/>
    <w:rsid w:val="00F4293A"/>
    <w:rsid w:val="00F42C9F"/>
    <w:rsid w:val="00F4300A"/>
    <w:rsid w:val="00F4370E"/>
    <w:rsid w:val="00F4410C"/>
    <w:rsid w:val="00F44310"/>
    <w:rsid w:val="00F446DB"/>
    <w:rsid w:val="00F4488D"/>
    <w:rsid w:val="00F44AAC"/>
    <w:rsid w:val="00F44DC2"/>
    <w:rsid w:val="00F44DF8"/>
    <w:rsid w:val="00F45101"/>
    <w:rsid w:val="00F4587F"/>
    <w:rsid w:val="00F45E2A"/>
    <w:rsid w:val="00F45F80"/>
    <w:rsid w:val="00F4636A"/>
    <w:rsid w:val="00F468D7"/>
    <w:rsid w:val="00F46FF4"/>
    <w:rsid w:val="00F4705C"/>
    <w:rsid w:val="00F47385"/>
    <w:rsid w:val="00F47428"/>
    <w:rsid w:val="00F47713"/>
    <w:rsid w:val="00F47735"/>
    <w:rsid w:val="00F47E7C"/>
    <w:rsid w:val="00F502D3"/>
    <w:rsid w:val="00F5040B"/>
    <w:rsid w:val="00F5057C"/>
    <w:rsid w:val="00F50795"/>
    <w:rsid w:val="00F50DD6"/>
    <w:rsid w:val="00F50FDF"/>
    <w:rsid w:val="00F513DA"/>
    <w:rsid w:val="00F5194C"/>
    <w:rsid w:val="00F519B0"/>
    <w:rsid w:val="00F519C2"/>
    <w:rsid w:val="00F51BE3"/>
    <w:rsid w:val="00F51EED"/>
    <w:rsid w:val="00F52393"/>
    <w:rsid w:val="00F5268C"/>
    <w:rsid w:val="00F526FD"/>
    <w:rsid w:val="00F52BEF"/>
    <w:rsid w:val="00F52DD1"/>
    <w:rsid w:val="00F52EAD"/>
    <w:rsid w:val="00F53532"/>
    <w:rsid w:val="00F53666"/>
    <w:rsid w:val="00F53A10"/>
    <w:rsid w:val="00F53A70"/>
    <w:rsid w:val="00F53AEE"/>
    <w:rsid w:val="00F53D98"/>
    <w:rsid w:val="00F543B8"/>
    <w:rsid w:val="00F54662"/>
    <w:rsid w:val="00F54736"/>
    <w:rsid w:val="00F549D0"/>
    <w:rsid w:val="00F549E3"/>
    <w:rsid w:val="00F54B3D"/>
    <w:rsid w:val="00F54DED"/>
    <w:rsid w:val="00F54F6A"/>
    <w:rsid w:val="00F55267"/>
    <w:rsid w:val="00F552D8"/>
    <w:rsid w:val="00F55A60"/>
    <w:rsid w:val="00F55A65"/>
    <w:rsid w:val="00F55C98"/>
    <w:rsid w:val="00F55DFC"/>
    <w:rsid w:val="00F55EA8"/>
    <w:rsid w:val="00F56022"/>
    <w:rsid w:val="00F565E2"/>
    <w:rsid w:val="00F56688"/>
    <w:rsid w:val="00F56703"/>
    <w:rsid w:val="00F56B2F"/>
    <w:rsid w:val="00F56D08"/>
    <w:rsid w:val="00F579E3"/>
    <w:rsid w:val="00F57B7A"/>
    <w:rsid w:val="00F57FDB"/>
    <w:rsid w:val="00F601C7"/>
    <w:rsid w:val="00F6021C"/>
    <w:rsid w:val="00F60A15"/>
    <w:rsid w:val="00F60B1D"/>
    <w:rsid w:val="00F60C61"/>
    <w:rsid w:val="00F6173E"/>
    <w:rsid w:val="00F61B61"/>
    <w:rsid w:val="00F61E1B"/>
    <w:rsid w:val="00F61F8B"/>
    <w:rsid w:val="00F61FA9"/>
    <w:rsid w:val="00F62091"/>
    <w:rsid w:val="00F620E4"/>
    <w:rsid w:val="00F62392"/>
    <w:rsid w:val="00F6251D"/>
    <w:rsid w:val="00F626A7"/>
    <w:rsid w:val="00F62CFF"/>
    <w:rsid w:val="00F6300D"/>
    <w:rsid w:val="00F63446"/>
    <w:rsid w:val="00F6346A"/>
    <w:rsid w:val="00F63502"/>
    <w:rsid w:val="00F636CA"/>
    <w:rsid w:val="00F636E0"/>
    <w:rsid w:val="00F64353"/>
    <w:rsid w:val="00F64477"/>
    <w:rsid w:val="00F648F2"/>
    <w:rsid w:val="00F64C3A"/>
    <w:rsid w:val="00F650F5"/>
    <w:rsid w:val="00F65211"/>
    <w:rsid w:val="00F6540D"/>
    <w:rsid w:val="00F656A6"/>
    <w:rsid w:val="00F658D8"/>
    <w:rsid w:val="00F65B13"/>
    <w:rsid w:val="00F65D5C"/>
    <w:rsid w:val="00F66077"/>
    <w:rsid w:val="00F6613E"/>
    <w:rsid w:val="00F6635C"/>
    <w:rsid w:val="00F664A4"/>
    <w:rsid w:val="00F6654C"/>
    <w:rsid w:val="00F6670C"/>
    <w:rsid w:val="00F66C07"/>
    <w:rsid w:val="00F66CF3"/>
    <w:rsid w:val="00F66DEC"/>
    <w:rsid w:val="00F66F5C"/>
    <w:rsid w:val="00F670A2"/>
    <w:rsid w:val="00F6788A"/>
    <w:rsid w:val="00F67B09"/>
    <w:rsid w:val="00F70182"/>
    <w:rsid w:val="00F708F3"/>
    <w:rsid w:val="00F709AB"/>
    <w:rsid w:val="00F715AE"/>
    <w:rsid w:val="00F71833"/>
    <w:rsid w:val="00F719A6"/>
    <w:rsid w:val="00F71AAF"/>
    <w:rsid w:val="00F71AFA"/>
    <w:rsid w:val="00F71FAB"/>
    <w:rsid w:val="00F72701"/>
    <w:rsid w:val="00F72790"/>
    <w:rsid w:val="00F72904"/>
    <w:rsid w:val="00F72A5F"/>
    <w:rsid w:val="00F7309B"/>
    <w:rsid w:val="00F73218"/>
    <w:rsid w:val="00F733A2"/>
    <w:rsid w:val="00F73EAB"/>
    <w:rsid w:val="00F741B0"/>
    <w:rsid w:val="00F74972"/>
    <w:rsid w:val="00F74A54"/>
    <w:rsid w:val="00F74B0D"/>
    <w:rsid w:val="00F74DA4"/>
    <w:rsid w:val="00F74F36"/>
    <w:rsid w:val="00F750D6"/>
    <w:rsid w:val="00F7535F"/>
    <w:rsid w:val="00F753F2"/>
    <w:rsid w:val="00F754E3"/>
    <w:rsid w:val="00F75739"/>
    <w:rsid w:val="00F75E7B"/>
    <w:rsid w:val="00F76050"/>
    <w:rsid w:val="00F7629C"/>
    <w:rsid w:val="00F766C5"/>
    <w:rsid w:val="00F76926"/>
    <w:rsid w:val="00F76ACA"/>
    <w:rsid w:val="00F76FCC"/>
    <w:rsid w:val="00F770BB"/>
    <w:rsid w:val="00F7748E"/>
    <w:rsid w:val="00F77DC4"/>
    <w:rsid w:val="00F77FEB"/>
    <w:rsid w:val="00F80164"/>
    <w:rsid w:val="00F80639"/>
    <w:rsid w:val="00F80823"/>
    <w:rsid w:val="00F8089C"/>
    <w:rsid w:val="00F809F3"/>
    <w:rsid w:val="00F80D66"/>
    <w:rsid w:val="00F80E95"/>
    <w:rsid w:val="00F81A09"/>
    <w:rsid w:val="00F81CBA"/>
    <w:rsid w:val="00F81E32"/>
    <w:rsid w:val="00F81F72"/>
    <w:rsid w:val="00F81FE0"/>
    <w:rsid w:val="00F8207D"/>
    <w:rsid w:val="00F8223E"/>
    <w:rsid w:val="00F8279D"/>
    <w:rsid w:val="00F82A20"/>
    <w:rsid w:val="00F82F41"/>
    <w:rsid w:val="00F83039"/>
    <w:rsid w:val="00F8313B"/>
    <w:rsid w:val="00F83329"/>
    <w:rsid w:val="00F83821"/>
    <w:rsid w:val="00F83B0B"/>
    <w:rsid w:val="00F83F2E"/>
    <w:rsid w:val="00F842A1"/>
    <w:rsid w:val="00F844C7"/>
    <w:rsid w:val="00F84540"/>
    <w:rsid w:val="00F8466E"/>
    <w:rsid w:val="00F847CC"/>
    <w:rsid w:val="00F849D6"/>
    <w:rsid w:val="00F84E5F"/>
    <w:rsid w:val="00F85208"/>
    <w:rsid w:val="00F85391"/>
    <w:rsid w:val="00F85A78"/>
    <w:rsid w:val="00F85AB4"/>
    <w:rsid w:val="00F860A3"/>
    <w:rsid w:val="00F860E5"/>
    <w:rsid w:val="00F86200"/>
    <w:rsid w:val="00F86211"/>
    <w:rsid w:val="00F86359"/>
    <w:rsid w:val="00F8669A"/>
    <w:rsid w:val="00F867E0"/>
    <w:rsid w:val="00F86BD9"/>
    <w:rsid w:val="00F86F67"/>
    <w:rsid w:val="00F87148"/>
    <w:rsid w:val="00F87158"/>
    <w:rsid w:val="00F871AD"/>
    <w:rsid w:val="00F8721A"/>
    <w:rsid w:val="00F87519"/>
    <w:rsid w:val="00F877E5"/>
    <w:rsid w:val="00F90215"/>
    <w:rsid w:val="00F903FF"/>
    <w:rsid w:val="00F908C6"/>
    <w:rsid w:val="00F9121F"/>
    <w:rsid w:val="00F91441"/>
    <w:rsid w:val="00F914B2"/>
    <w:rsid w:val="00F916B8"/>
    <w:rsid w:val="00F917D8"/>
    <w:rsid w:val="00F91BE8"/>
    <w:rsid w:val="00F91D7D"/>
    <w:rsid w:val="00F922BE"/>
    <w:rsid w:val="00F9233C"/>
    <w:rsid w:val="00F926C6"/>
    <w:rsid w:val="00F926F0"/>
    <w:rsid w:val="00F9271F"/>
    <w:rsid w:val="00F92793"/>
    <w:rsid w:val="00F929B6"/>
    <w:rsid w:val="00F92ABF"/>
    <w:rsid w:val="00F92EED"/>
    <w:rsid w:val="00F931B9"/>
    <w:rsid w:val="00F93B85"/>
    <w:rsid w:val="00F93EA1"/>
    <w:rsid w:val="00F940EF"/>
    <w:rsid w:val="00F94155"/>
    <w:rsid w:val="00F942C5"/>
    <w:rsid w:val="00F946BB"/>
    <w:rsid w:val="00F94BB6"/>
    <w:rsid w:val="00F94D56"/>
    <w:rsid w:val="00F94F8D"/>
    <w:rsid w:val="00F95155"/>
    <w:rsid w:val="00F954A9"/>
    <w:rsid w:val="00F9563B"/>
    <w:rsid w:val="00F956C2"/>
    <w:rsid w:val="00F9580E"/>
    <w:rsid w:val="00F95831"/>
    <w:rsid w:val="00F95A2C"/>
    <w:rsid w:val="00F95B6A"/>
    <w:rsid w:val="00F95C53"/>
    <w:rsid w:val="00F95DB1"/>
    <w:rsid w:val="00F96093"/>
    <w:rsid w:val="00F9617D"/>
    <w:rsid w:val="00F96508"/>
    <w:rsid w:val="00F97075"/>
    <w:rsid w:val="00F973C6"/>
    <w:rsid w:val="00F97402"/>
    <w:rsid w:val="00F97520"/>
    <w:rsid w:val="00F97A51"/>
    <w:rsid w:val="00F97E0B"/>
    <w:rsid w:val="00F97E4E"/>
    <w:rsid w:val="00F97F7A"/>
    <w:rsid w:val="00FA0265"/>
    <w:rsid w:val="00FA02D4"/>
    <w:rsid w:val="00FA0707"/>
    <w:rsid w:val="00FA07B5"/>
    <w:rsid w:val="00FA0938"/>
    <w:rsid w:val="00FA0A9B"/>
    <w:rsid w:val="00FA11E4"/>
    <w:rsid w:val="00FA1326"/>
    <w:rsid w:val="00FA17FB"/>
    <w:rsid w:val="00FA18F2"/>
    <w:rsid w:val="00FA1ACD"/>
    <w:rsid w:val="00FA1C57"/>
    <w:rsid w:val="00FA1CAF"/>
    <w:rsid w:val="00FA1CB9"/>
    <w:rsid w:val="00FA204A"/>
    <w:rsid w:val="00FA2441"/>
    <w:rsid w:val="00FA2A18"/>
    <w:rsid w:val="00FA2EAD"/>
    <w:rsid w:val="00FA3662"/>
    <w:rsid w:val="00FA3EB6"/>
    <w:rsid w:val="00FA3EC5"/>
    <w:rsid w:val="00FA3F9E"/>
    <w:rsid w:val="00FA409D"/>
    <w:rsid w:val="00FA4328"/>
    <w:rsid w:val="00FA437A"/>
    <w:rsid w:val="00FA43F4"/>
    <w:rsid w:val="00FA4618"/>
    <w:rsid w:val="00FA4781"/>
    <w:rsid w:val="00FA4969"/>
    <w:rsid w:val="00FA4F23"/>
    <w:rsid w:val="00FA526D"/>
    <w:rsid w:val="00FA5276"/>
    <w:rsid w:val="00FA53C2"/>
    <w:rsid w:val="00FA5C83"/>
    <w:rsid w:val="00FA5CC8"/>
    <w:rsid w:val="00FA5DAF"/>
    <w:rsid w:val="00FA5EC4"/>
    <w:rsid w:val="00FA5F92"/>
    <w:rsid w:val="00FA60CB"/>
    <w:rsid w:val="00FA6217"/>
    <w:rsid w:val="00FA64BC"/>
    <w:rsid w:val="00FA66CD"/>
    <w:rsid w:val="00FA6C25"/>
    <w:rsid w:val="00FA719E"/>
    <w:rsid w:val="00FA7558"/>
    <w:rsid w:val="00FA7782"/>
    <w:rsid w:val="00FA7946"/>
    <w:rsid w:val="00FA7CA2"/>
    <w:rsid w:val="00FA7CE3"/>
    <w:rsid w:val="00FA7E85"/>
    <w:rsid w:val="00FB036C"/>
    <w:rsid w:val="00FB0665"/>
    <w:rsid w:val="00FB07E7"/>
    <w:rsid w:val="00FB0D66"/>
    <w:rsid w:val="00FB0DDF"/>
    <w:rsid w:val="00FB0FA5"/>
    <w:rsid w:val="00FB10B7"/>
    <w:rsid w:val="00FB12D5"/>
    <w:rsid w:val="00FB138B"/>
    <w:rsid w:val="00FB13CC"/>
    <w:rsid w:val="00FB1B17"/>
    <w:rsid w:val="00FB1D01"/>
    <w:rsid w:val="00FB21CE"/>
    <w:rsid w:val="00FB2268"/>
    <w:rsid w:val="00FB2282"/>
    <w:rsid w:val="00FB2639"/>
    <w:rsid w:val="00FB27E7"/>
    <w:rsid w:val="00FB2868"/>
    <w:rsid w:val="00FB2918"/>
    <w:rsid w:val="00FB29C4"/>
    <w:rsid w:val="00FB2A80"/>
    <w:rsid w:val="00FB2EB4"/>
    <w:rsid w:val="00FB2F24"/>
    <w:rsid w:val="00FB310E"/>
    <w:rsid w:val="00FB3328"/>
    <w:rsid w:val="00FB376F"/>
    <w:rsid w:val="00FB377E"/>
    <w:rsid w:val="00FB380E"/>
    <w:rsid w:val="00FB382E"/>
    <w:rsid w:val="00FB3AB7"/>
    <w:rsid w:val="00FB3EC9"/>
    <w:rsid w:val="00FB481F"/>
    <w:rsid w:val="00FB4CFA"/>
    <w:rsid w:val="00FB4DEE"/>
    <w:rsid w:val="00FB4E0E"/>
    <w:rsid w:val="00FB516C"/>
    <w:rsid w:val="00FB54B2"/>
    <w:rsid w:val="00FB591F"/>
    <w:rsid w:val="00FB5D01"/>
    <w:rsid w:val="00FB60BD"/>
    <w:rsid w:val="00FB6B59"/>
    <w:rsid w:val="00FB6CC5"/>
    <w:rsid w:val="00FB7101"/>
    <w:rsid w:val="00FB7614"/>
    <w:rsid w:val="00FB7645"/>
    <w:rsid w:val="00FB773C"/>
    <w:rsid w:val="00FB7D52"/>
    <w:rsid w:val="00FB7DF8"/>
    <w:rsid w:val="00FB7F91"/>
    <w:rsid w:val="00FC0358"/>
    <w:rsid w:val="00FC038C"/>
    <w:rsid w:val="00FC06F7"/>
    <w:rsid w:val="00FC0B84"/>
    <w:rsid w:val="00FC114A"/>
    <w:rsid w:val="00FC115D"/>
    <w:rsid w:val="00FC1239"/>
    <w:rsid w:val="00FC1542"/>
    <w:rsid w:val="00FC2233"/>
    <w:rsid w:val="00FC2307"/>
    <w:rsid w:val="00FC234F"/>
    <w:rsid w:val="00FC26F8"/>
    <w:rsid w:val="00FC2BBC"/>
    <w:rsid w:val="00FC2C5E"/>
    <w:rsid w:val="00FC336D"/>
    <w:rsid w:val="00FC3417"/>
    <w:rsid w:val="00FC374C"/>
    <w:rsid w:val="00FC3A46"/>
    <w:rsid w:val="00FC3F05"/>
    <w:rsid w:val="00FC432D"/>
    <w:rsid w:val="00FC4526"/>
    <w:rsid w:val="00FC4741"/>
    <w:rsid w:val="00FC4D07"/>
    <w:rsid w:val="00FC4E7F"/>
    <w:rsid w:val="00FC5291"/>
    <w:rsid w:val="00FC58A3"/>
    <w:rsid w:val="00FC5E57"/>
    <w:rsid w:val="00FC5EC9"/>
    <w:rsid w:val="00FC6314"/>
    <w:rsid w:val="00FC640F"/>
    <w:rsid w:val="00FC6550"/>
    <w:rsid w:val="00FC684A"/>
    <w:rsid w:val="00FC6DCF"/>
    <w:rsid w:val="00FC7520"/>
    <w:rsid w:val="00FC7690"/>
    <w:rsid w:val="00FC7B7E"/>
    <w:rsid w:val="00FC7C87"/>
    <w:rsid w:val="00FC7D08"/>
    <w:rsid w:val="00FC7E5E"/>
    <w:rsid w:val="00FC7FF0"/>
    <w:rsid w:val="00FD0238"/>
    <w:rsid w:val="00FD03FE"/>
    <w:rsid w:val="00FD0560"/>
    <w:rsid w:val="00FD0F74"/>
    <w:rsid w:val="00FD1011"/>
    <w:rsid w:val="00FD117E"/>
    <w:rsid w:val="00FD11F7"/>
    <w:rsid w:val="00FD12CD"/>
    <w:rsid w:val="00FD14A3"/>
    <w:rsid w:val="00FD17C6"/>
    <w:rsid w:val="00FD18C5"/>
    <w:rsid w:val="00FD1A0F"/>
    <w:rsid w:val="00FD1A5C"/>
    <w:rsid w:val="00FD2290"/>
    <w:rsid w:val="00FD239E"/>
    <w:rsid w:val="00FD2620"/>
    <w:rsid w:val="00FD2706"/>
    <w:rsid w:val="00FD2972"/>
    <w:rsid w:val="00FD2CE2"/>
    <w:rsid w:val="00FD3789"/>
    <w:rsid w:val="00FD39A6"/>
    <w:rsid w:val="00FD39B8"/>
    <w:rsid w:val="00FD3B6F"/>
    <w:rsid w:val="00FD3C56"/>
    <w:rsid w:val="00FD3E1B"/>
    <w:rsid w:val="00FD44DE"/>
    <w:rsid w:val="00FD4858"/>
    <w:rsid w:val="00FD491F"/>
    <w:rsid w:val="00FD4E92"/>
    <w:rsid w:val="00FD4F0E"/>
    <w:rsid w:val="00FD4FD3"/>
    <w:rsid w:val="00FD5995"/>
    <w:rsid w:val="00FD6192"/>
    <w:rsid w:val="00FD6254"/>
    <w:rsid w:val="00FD646E"/>
    <w:rsid w:val="00FD668F"/>
    <w:rsid w:val="00FD6835"/>
    <w:rsid w:val="00FD697F"/>
    <w:rsid w:val="00FD6B46"/>
    <w:rsid w:val="00FD6C9B"/>
    <w:rsid w:val="00FD6FE1"/>
    <w:rsid w:val="00FD782E"/>
    <w:rsid w:val="00FD7966"/>
    <w:rsid w:val="00FD7AC0"/>
    <w:rsid w:val="00FE05C9"/>
    <w:rsid w:val="00FE07EE"/>
    <w:rsid w:val="00FE0914"/>
    <w:rsid w:val="00FE0A4F"/>
    <w:rsid w:val="00FE0C40"/>
    <w:rsid w:val="00FE11AD"/>
    <w:rsid w:val="00FE1288"/>
    <w:rsid w:val="00FE1350"/>
    <w:rsid w:val="00FE1375"/>
    <w:rsid w:val="00FE194D"/>
    <w:rsid w:val="00FE1A6A"/>
    <w:rsid w:val="00FE255D"/>
    <w:rsid w:val="00FE2DB0"/>
    <w:rsid w:val="00FE2E82"/>
    <w:rsid w:val="00FE2F4E"/>
    <w:rsid w:val="00FE30B0"/>
    <w:rsid w:val="00FE3180"/>
    <w:rsid w:val="00FE3B56"/>
    <w:rsid w:val="00FE3BE4"/>
    <w:rsid w:val="00FE4112"/>
    <w:rsid w:val="00FE4333"/>
    <w:rsid w:val="00FE4D07"/>
    <w:rsid w:val="00FE505A"/>
    <w:rsid w:val="00FE59AD"/>
    <w:rsid w:val="00FE5FFB"/>
    <w:rsid w:val="00FE60B9"/>
    <w:rsid w:val="00FE6183"/>
    <w:rsid w:val="00FE643A"/>
    <w:rsid w:val="00FE658F"/>
    <w:rsid w:val="00FE65E4"/>
    <w:rsid w:val="00FE6787"/>
    <w:rsid w:val="00FE69E4"/>
    <w:rsid w:val="00FE6AA1"/>
    <w:rsid w:val="00FE6B9A"/>
    <w:rsid w:val="00FE6BD9"/>
    <w:rsid w:val="00FE73BB"/>
    <w:rsid w:val="00FE7486"/>
    <w:rsid w:val="00FE798F"/>
    <w:rsid w:val="00FE7CF3"/>
    <w:rsid w:val="00FE7D3F"/>
    <w:rsid w:val="00FE7E03"/>
    <w:rsid w:val="00FE7F6C"/>
    <w:rsid w:val="00FF0023"/>
    <w:rsid w:val="00FF0144"/>
    <w:rsid w:val="00FF0798"/>
    <w:rsid w:val="00FF08E7"/>
    <w:rsid w:val="00FF0B73"/>
    <w:rsid w:val="00FF0E95"/>
    <w:rsid w:val="00FF0F85"/>
    <w:rsid w:val="00FF11EA"/>
    <w:rsid w:val="00FF12F8"/>
    <w:rsid w:val="00FF146D"/>
    <w:rsid w:val="00FF1567"/>
    <w:rsid w:val="00FF173E"/>
    <w:rsid w:val="00FF1801"/>
    <w:rsid w:val="00FF1902"/>
    <w:rsid w:val="00FF1A38"/>
    <w:rsid w:val="00FF1F3D"/>
    <w:rsid w:val="00FF1F82"/>
    <w:rsid w:val="00FF2144"/>
    <w:rsid w:val="00FF2245"/>
    <w:rsid w:val="00FF2551"/>
    <w:rsid w:val="00FF2850"/>
    <w:rsid w:val="00FF2998"/>
    <w:rsid w:val="00FF29A0"/>
    <w:rsid w:val="00FF3100"/>
    <w:rsid w:val="00FF3139"/>
    <w:rsid w:val="00FF319D"/>
    <w:rsid w:val="00FF3300"/>
    <w:rsid w:val="00FF349F"/>
    <w:rsid w:val="00FF3508"/>
    <w:rsid w:val="00FF350F"/>
    <w:rsid w:val="00FF36BF"/>
    <w:rsid w:val="00FF40AE"/>
    <w:rsid w:val="00FF40F0"/>
    <w:rsid w:val="00FF40F6"/>
    <w:rsid w:val="00FF4278"/>
    <w:rsid w:val="00FF433C"/>
    <w:rsid w:val="00FF469A"/>
    <w:rsid w:val="00FF46CB"/>
    <w:rsid w:val="00FF4778"/>
    <w:rsid w:val="00FF4848"/>
    <w:rsid w:val="00FF4912"/>
    <w:rsid w:val="00FF4B89"/>
    <w:rsid w:val="00FF4BED"/>
    <w:rsid w:val="00FF4E39"/>
    <w:rsid w:val="00FF4EDF"/>
    <w:rsid w:val="00FF5197"/>
    <w:rsid w:val="00FF52AC"/>
    <w:rsid w:val="00FF5481"/>
    <w:rsid w:val="00FF55AC"/>
    <w:rsid w:val="00FF55EE"/>
    <w:rsid w:val="00FF5649"/>
    <w:rsid w:val="00FF57D9"/>
    <w:rsid w:val="00FF5920"/>
    <w:rsid w:val="00FF599F"/>
    <w:rsid w:val="00FF59A8"/>
    <w:rsid w:val="00FF5FD7"/>
    <w:rsid w:val="00FF63AE"/>
    <w:rsid w:val="00FF6472"/>
    <w:rsid w:val="00FF66FF"/>
    <w:rsid w:val="00FF6886"/>
    <w:rsid w:val="00FF68B9"/>
    <w:rsid w:val="00FF698C"/>
    <w:rsid w:val="00FF6AB5"/>
    <w:rsid w:val="00FF6D25"/>
    <w:rsid w:val="00FF72F7"/>
    <w:rsid w:val="00FF7993"/>
    <w:rsid w:val="00FF7B6B"/>
    <w:rsid w:val="00FF7C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48B70832"/>
  <w15:docId w15:val="{7FD519C3-B2D8-E44C-A3E7-153DD9DB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414"/>
    <w:rPr>
      <w:rFonts w:ascii="Times New Roman" w:hAnsi="Times New Roman"/>
      <w:lang w:eastAsia="en-GB"/>
    </w:rPr>
  </w:style>
  <w:style w:type="paragraph" w:styleId="Heading1">
    <w:name w:val="heading 1"/>
    <w:aliases w:val="Para (1),Heading 1 Char1 Char,Heading 1 Char Char Char,Para (1) Char Char Char,Para (1) Char1 Char,Heading 1 Char1,Heading 1 Char Char,Para (1) Char Char,Para (1) Char1,Heading 1 Char1 Char Char,Heading 1 Char,Heading 1 Char1 Char Char Char"/>
    <w:basedOn w:val="Normal"/>
    <w:next w:val="Normal"/>
    <w:qFormat/>
    <w:rsid w:val="00842135"/>
    <w:pPr>
      <w:keepNext/>
      <w:numPr>
        <w:numId w:val="15"/>
      </w:numPr>
      <w:tabs>
        <w:tab w:val="left" w:pos="1077"/>
      </w:tabs>
      <w:spacing w:before="120" w:after="240"/>
      <w:outlineLvl w:val="0"/>
    </w:pPr>
    <w:rPr>
      <w:b/>
      <w:sz w:val="28"/>
    </w:rPr>
  </w:style>
  <w:style w:type="paragraph" w:styleId="Heading2">
    <w:name w:val="heading 2"/>
    <w:aliases w:val="SubPara (a),Heading 2 Char1 Char,SubPara (a) Char1 Char,Heading 2 Char3 Char Char,Heading 2 Char Char2 Char Char,Heading 2 Char1 Char Char1 Char Char,SubPara (a) Char Char Char1 Char Char,Heading 2 Char Char Char Char1 Char Char"/>
    <w:basedOn w:val="Heading1"/>
    <w:next w:val="Normal"/>
    <w:autoRedefine/>
    <w:qFormat/>
    <w:rsid w:val="00324056"/>
    <w:pPr>
      <w:numPr>
        <w:ilvl w:val="1"/>
      </w:numPr>
      <w:tabs>
        <w:tab w:val="clear" w:pos="1077"/>
        <w:tab w:val="left" w:pos="0"/>
      </w:tabs>
      <w:spacing w:before="0"/>
      <w:outlineLvl w:val="1"/>
    </w:pPr>
    <w:rPr>
      <w:snapToGrid w:val="0"/>
      <w:sz w:val="24"/>
      <w:lang w:val="en-US"/>
    </w:rPr>
  </w:style>
  <w:style w:type="paragraph" w:styleId="Heading3">
    <w:name w:val="heading 3"/>
    <w:aliases w:val="Heading 3 Char1 Char,Heading 3 Char Char Char,Char Char Char Char,Char Char1 Char"/>
    <w:basedOn w:val="Heading2"/>
    <w:next w:val="Normal"/>
    <w:qFormat/>
    <w:rsid w:val="00F97402"/>
    <w:pPr>
      <w:numPr>
        <w:ilvl w:val="2"/>
      </w:numPr>
      <w:outlineLvl w:val="2"/>
    </w:pPr>
    <w:rPr>
      <w:i/>
    </w:rPr>
  </w:style>
  <w:style w:type="paragraph" w:styleId="Heading4">
    <w:name w:val="heading 4"/>
    <w:basedOn w:val="Heading3"/>
    <w:next w:val="Normal"/>
    <w:autoRedefine/>
    <w:qFormat/>
    <w:rsid w:val="008D3E80"/>
    <w:pPr>
      <w:numPr>
        <w:ilvl w:val="3"/>
      </w:numPr>
      <w:outlineLvl w:val="3"/>
    </w:pPr>
    <w:rPr>
      <w:b w:val="0"/>
    </w:rPr>
  </w:style>
  <w:style w:type="paragraph" w:styleId="Heading5">
    <w:name w:val="heading 5"/>
    <w:basedOn w:val="Heading1"/>
    <w:next w:val="Normal"/>
    <w:qFormat/>
    <w:rsid w:val="00F97402"/>
    <w:pPr>
      <w:widowControl w:val="0"/>
      <w:numPr>
        <w:ilvl w:val="4"/>
      </w:numPr>
      <w:outlineLvl w:val="4"/>
    </w:pPr>
    <w:rPr>
      <w:i/>
    </w:rPr>
  </w:style>
  <w:style w:type="paragraph" w:styleId="Heading6">
    <w:name w:val="heading 6"/>
    <w:basedOn w:val="Normal"/>
    <w:next w:val="Normal"/>
    <w:qFormat/>
    <w:rsid w:val="00F97402"/>
    <w:pPr>
      <w:keepNext/>
      <w:numPr>
        <w:ilvl w:val="5"/>
        <w:numId w:val="15"/>
      </w:numPr>
      <w:tabs>
        <w:tab w:val="left" w:pos="230"/>
        <w:tab w:val="left" w:pos="1877"/>
      </w:tabs>
      <w:spacing w:before="48"/>
      <w:outlineLvl w:val="5"/>
    </w:pPr>
  </w:style>
  <w:style w:type="paragraph" w:styleId="Heading7">
    <w:name w:val="heading 7"/>
    <w:basedOn w:val="Normal"/>
    <w:next w:val="Normal"/>
    <w:qFormat/>
    <w:rsid w:val="00F97402"/>
    <w:pPr>
      <w:keepNext/>
      <w:numPr>
        <w:ilvl w:val="6"/>
        <w:numId w:val="15"/>
      </w:numPr>
      <w:spacing w:before="48"/>
      <w:jc w:val="center"/>
      <w:outlineLvl w:val="6"/>
    </w:pPr>
    <w:rPr>
      <w:b/>
    </w:rPr>
  </w:style>
  <w:style w:type="paragraph" w:styleId="Heading8">
    <w:name w:val="heading 8"/>
    <w:basedOn w:val="Normal"/>
    <w:next w:val="Normal"/>
    <w:qFormat/>
    <w:rsid w:val="00F97402"/>
    <w:pPr>
      <w:keepNext/>
      <w:numPr>
        <w:ilvl w:val="7"/>
        <w:numId w:val="15"/>
      </w:numPr>
      <w:tabs>
        <w:tab w:val="left" w:pos="2160"/>
        <w:tab w:val="left" w:pos="2880"/>
        <w:tab w:val="left" w:pos="3600"/>
        <w:tab w:val="left" w:pos="6480"/>
        <w:tab w:val="left" w:pos="7290"/>
        <w:tab w:val="left" w:pos="7920"/>
        <w:tab w:val="left" w:pos="8640"/>
      </w:tabs>
      <w:spacing w:line="240" w:lineRule="exact"/>
      <w:outlineLvl w:val="7"/>
    </w:pPr>
    <w:rPr>
      <w:b/>
    </w:rPr>
  </w:style>
  <w:style w:type="paragraph" w:styleId="Heading9">
    <w:name w:val="heading 9"/>
    <w:basedOn w:val="Normal"/>
    <w:next w:val="Normal"/>
    <w:qFormat/>
    <w:rsid w:val="00F97402"/>
    <w:pPr>
      <w:keepNext/>
      <w:numPr>
        <w:ilvl w:val="8"/>
        <w:numId w:val="15"/>
      </w:numPr>
      <w:spacing w:line="240" w:lineRule="atLeas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Char Char"/>
    <w:basedOn w:val="Normal"/>
    <w:link w:val="BodyTextChar"/>
    <w:pPr>
      <w:spacing w:line="240" w:lineRule="atLeast"/>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hapterHeading">
    <w:name w:val="Chapter Heading"/>
    <w:basedOn w:val="Heading1"/>
    <w:pPr>
      <w:keepNext w:val="0"/>
      <w:keepLines/>
      <w:ind w:left="2520" w:hanging="1440"/>
    </w:pPr>
    <w:rPr>
      <w:sz w:val="32"/>
    </w:rPr>
  </w:style>
  <w:style w:type="paragraph" w:customStyle="1" w:styleId="Bullet">
    <w:name w:val="Bullet"/>
    <w:basedOn w:val="Normal"/>
    <w:pPr>
      <w:numPr>
        <w:numId w:val="1"/>
      </w:numPr>
      <w:tabs>
        <w:tab w:val="left" w:pos="1531"/>
      </w:tabs>
      <w:spacing w:before="60" w:after="60"/>
    </w:pPr>
  </w:style>
  <w:style w:type="character" w:styleId="FootnoteReference">
    <w:name w:val="footnote reference"/>
    <w:basedOn w:val="DefaultParagraphFont"/>
    <w:semiHidden/>
    <w:rPr>
      <w:vertAlign w:val="superscript"/>
    </w:rPr>
  </w:style>
  <w:style w:type="paragraph" w:styleId="ListBullet">
    <w:name w:val="List Bullet"/>
    <w:basedOn w:val="Normal"/>
    <w:pPr>
      <w:widowControl w:val="0"/>
      <w:ind w:left="425" w:hanging="425"/>
    </w:pPr>
  </w:style>
  <w:style w:type="paragraph" w:styleId="ListNumber">
    <w:name w:val="List Number"/>
    <w:basedOn w:val="Normal"/>
    <w:pPr>
      <w:widowControl w:val="0"/>
      <w:spacing w:before="120"/>
      <w:ind w:left="1512" w:hanging="432"/>
    </w:pPr>
  </w:style>
  <w:style w:type="paragraph" w:styleId="FootnoteText">
    <w:name w:val="footnote text"/>
    <w:basedOn w:val="Normal"/>
    <w:semiHidden/>
    <w:rsid w:val="00C1140B"/>
    <w:pPr>
      <w:widowControl w:val="0"/>
      <w:spacing w:after="120"/>
    </w:pPr>
    <w:rPr>
      <w:sz w:val="20"/>
    </w:rPr>
  </w:style>
  <w:style w:type="paragraph" w:styleId="BodyTextIndent">
    <w:name w:val="Body Text Indent"/>
    <w:basedOn w:val="Normal"/>
    <w:link w:val="BodyTextIndentChar"/>
    <w:pPr>
      <w:spacing w:line="240" w:lineRule="atLeast"/>
      <w:ind w:left="2127" w:hanging="993"/>
    </w:pPr>
  </w:style>
  <w:style w:type="character" w:styleId="LineNumber">
    <w:name w:val="line number"/>
    <w:basedOn w:val="DefaultParagraphFont"/>
  </w:style>
  <w:style w:type="paragraph" w:customStyle="1" w:styleId="SummaryShading">
    <w:name w:val="Summary Shading"/>
    <w:basedOn w:val="Normal"/>
    <w:pPr>
      <w:shd w:val="pct5" w:color="808080" w:fill="auto"/>
      <w:spacing w:before="120" w:after="120"/>
      <w:jc w:val="both"/>
    </w:pPr>
    <w:rPr>
      <w:rFonts w:ascii="Garamond" w:hAnsi="Garamond"/>
    </w:rPr>
  </w:style>
  <w:style w:type="paragraph" w:customStyle="1" w:styleId="MainText">
    <w:name w:val="Main Text"/>
    <w:pPr>
      <w:widowControl w:val="0"/>
      <w:spacing w:line="240" w:lineRule="exact"/>
      <w:ind w:left="567" w:hanging="567"/>
    </w:pPr>
    <w:rPr>
      <w:color w:val="000000"/>
      <w:lang w:val="en-US" w:eastAsia="zh-CN"/>
    </w:rPr>
  </w:style>
  <w:style w:type="paragraph" w:customStyle="1" w:styleId="Paragraph">
    <w:name w:val="Paragraph"/>
    <w:basedOn w:val="Normal"/>
    <w:pPr>
      <w:spacing w:before="120" w:after="120"/>
      <w:jc w:val="both"/>
    </w:pPr>
    <w:rPr>
      <w:rFonts w:ascii="Garamond" w:hAnsi="Garamond"/>
      <w:lang w:val="de-DE"/>
    </w:rPr>
  </w:style>
  <w:style w:type="paragraph" w:customStyle="1" w:styleId="DotPoints">
    <w:name w:val="Dot Points"/>
    <w:basedOn w:val="Normal"/>
    <w:pPr>
      <w:spacing w:after="60"/>
      <w:ind w:left="709" w:right="284" w:hanging="284"/>
      <w:jc w:val="both"/>
    </w:pPr>
    <w:rPr>
      <w:rFonts w:ascii="Garamond" w:hAnsi="Garamond"/>
    </w:rPr>
  </w:style>
  <w:style w:type="paragraph" w:customStyle="1" w:styleId="Style1">
    <w:name w:val="Style1"/>
    <w:basedOn w:val="Normal"/>
    <w:pPr>
      <w:spacing w:before="120" w:after="120" w:line="360" w:lineRule="auto"/>
    </w:pPr>
    <w:rPr>
      <w:rFonts w:ascii="Garamond" w:hAnsi="Garamond"/>
    </w:rPr>
  </w:style>
  <w:style w:type="paragraph" w:customStyle="1" w:styleId="TableColumnHeading">
    <w:name w:val="Table Column Heading"/>
    <w:basedOn w:val="Normal"/>
    <w:pPr>
      <w:spacing w:before="80" w:after="120"/>
      <w:jc w:val="center"/>
    </w:pPr>
    <w:rPr>
      <w:rFonts w:ascii="Arial Narrow" w:hAnsi="Arial Narrow"/>
      <w:b/>
      <w:sz w:val="20"/>
    </w:rPr>
  </w:style>
  <w:style w:type="paragraph" w:customStyle="1" w:styleId="TableDetails">
    <w:name w:val="Table Details"/>
    <w:basedOn w:val="Normal"/>
    <w:pPr>
      <w:spacing w:before="60" w:after="60"/>
      <w:ind w:left="113" w:right="113"/>
      <w:jc w:val="both"/>
    </w:pPr>
    <w:rPr>
      <w:rFonts w:ascii="Arial Narrow" w:hAnsi="Arial Narrow"/>
      <w:sz w:val="20"/>
    </w:rPr>
  </w:style>
  <w:style w:type="paragraph" w:customStyle="1" w:styleId="TableHeading">
    <w:name w:val="Table Heading"/>
    <w:basedOn w:val="Normal"/>
    <w:pPr>
      <w:spacing w:before="120" w:after="120"/>
      <w:ind w:left="1134" w:hanging="1134"/>
      <w:jc w:val="both"/>
    </w:pPr>
    <w:rPr>
      <w:rFonts w:ascii="Arial" w:hAnsi="Arial"/>
      <w:b/>
      <w:sz w:val="20"/>
    </w:rPr>
  </w:style>
  <w:style w:type="paragraph" w:customStyle="1" w:styleId="References">
    <w:name w:val="References"/>
    <w:basedOn w:val="Normal"/>
    <w:pPr>
      <w:keepLines/>
      <w:spacing w:before="60" w:after="60"/>
      <w:ind w:left="1134" w:hanging="1134"/>
      <w:jc w:val="both"/>
    </w:pPr>
    <w:rPr>
      <w:rFonts w:ascii="Garamond" w:hAnsi="Garamond"/>
      <w:sz w:val="20"/>
    </w:rPr>
  </w:style>
  <w:style w:type="character" w:styleId="Hyperlink">
    <w:name w:val="Hyperlink"/>
    <w:basedOn w:val="DefaultParagraphFont"/>
    <w:rPr>
      <w:color w:val="0000FF"/>
      <w:u w:val="single"/>
    </w:rPr>
  </w:style>
  <w:style w:type="paragraph" w:styleId="Caption">
    <w:name w:val="caption"/>
    <w:basedOn w:val="Normal"/>
    <w:next w:val="Normal"/>
    <w:qFormat/>
    <w:pPr>
      <w:spacing w:line="240" w:lineRule="atLeast"/>
      <w:ind w:left="1077"/>
    </w:pPr>
    <w:rPr>
      <w:i/>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pPr>
      <w:widowControl w:val="0"/>
    </w:pPr>
    <w:rPr>
      <w:rFonts w:ascii="Arial" w:hAnsi="Arial"/>
      <w:sz w:val="20"/>
    </w:rPr>
  </w:style>
  <w:style w:type="paragraph" w:styleId="TOC1">
    <w:name w:val="toc 1"/>
    <w:basedOn w:val="Normal"/>
    <w:next w:val="Normal"/>
    <w:autoRedefine/>
    <w:uiPriority w:val="39"/>
    <w:rsid w:val="000D0DC0"/>
    <w:pPr>
      <w:keepNext/>
      <w:keepLines/>
      <w:tabs>
        <w:tab w:val="left" w:pos="340"/>
        <w:tab w:val="left" w:pos="1134"/>
        <w:tab w:val="right" w:leader="dot" w:pos="8640"/>
      </w:tabs>
      <w:spacing w:before="60" w:after="60"/>
      <w:ind w:left="1134" w:right="720" w:hanging="1134"/>
    </w:pPr>
    <w:rPr>
      <w:b/>
      <w:caps/>
      <w:noProof/>
      <w:sz w:val="20"/>
    </w:rPr>
  </w:style>
  <w:style w:type="paragraph" w:styleId="TOC2">
    <w:name w:val="toc 2"/>
    <w:basedOn w:val="Normal"/>
    <w:next w:val="Normal"/>
    <w:autoRedefine/>
    <w:uiPriority w:val="39"/>
    <w:pPr>
      <w:tabs>
        <w:tab w:val="left" w:pos="1134"/>
        <w:tab w:val="right" w:leader="dot" w:pos="8640"/>
      </w:tabs>
      <w:ind w:left="1145" w:right="720" w:hanging="907"/>
    </w:pPr>
    <w:rPr>
      <w:smallCaps/>
      <w:noProof/>
      <w:sz w:val="20"/>
    </w:rPr>
  </w:style>
  <w:style w:type="paragraph" w:styleId="TOC3">
    <w:name w:val="toc 3"/>
    <w:basedOn w:val="Normal"/>
    <w:next w:val="Normal"/>
    <w:autoRedefine/>
    <w:uiPriority w:val="39"/>
    <w:pPr>
      <w:tabs>
        <w:tab w:val="left" w:pos="1134"/>
        <w:tab w:val="right" w:leader="dot" w:pos="8640"/>
      </w:tabs>
      <w:ind w:left="1134" w:right="737" w:hanging="680"/>
    </w:pPr>
    <w:rPr>
      <w:i/>
      <w:noProof/>
      <w:sz w:val="20"/>
    </w:rPr>
  </w:style>
  <w:style w:type="paragraph" w:styleId="TOC4">
    <w:name w:val="toc 4"/>
    <w:basedOn w:val="Normal"/>
    <w:next w:val="Normal"/>
    <w:autoRedefine/>
    <w:uiPriority w:val="39"/>
    <w:pPr>
      <w:tabs>
        <w:tab w:val="left" w:pos="1440"/>
        <w:tab w:val="right" w:leader="dot" w:pos="8640"/>
      </w:tabs>
      <w:ind w:left="1440" w:right="722" w:hanging="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customStyle="1" w:styleId="Table-Labels">
    <w:name w:val="Table-Labels"/>
    <w:basedOn w:val="Normal"/>
    <w:next w:val="Normal"/>
    <w:pPr>
      <w:keepNext/>
      <w:keepLines/>
      <w:spacing w:after="60"/>
      <w:ind w:left="2160" w:hanging="1080"/>
    </w:pPr>
    <w:rPr>
      <w:i/>
      <w:sz w:val="22"/>
    </w:rPr>
  </w:style>
  <w:style w:type="paragraph" w:styleId="DocumentMap">
    <w:name w:val="Document Map"/>
    <w:basedOn w:val="Normal"/>
    <w:semiHidden/>
    <w:pPr>
      <w:shd w:val="clear" w:color="auto" w:fill="000080"/>
    </w:pPr>
    <w:rPr>
      <w:rFonts w:ascii="Tahoma" w:hAnsi="Tahoma"/>
    </w:rPr>
  </w:style>
  <w:style w:type="paragraph" w:customStyle="1" w:styleId="Table">
    <w:name w:val="Table"/>
    <w:basedOn w:val="Normal"/>
    <w:pPr>
      <w:keepLines/>
      <w:ind w:left="72" w:right="72"/>
    </w:pPr>
    <w:rPr>
      <w:snapToGrid w:val="0"/>
      <w:sz w:val="20"/>
    </w:rPr>
  </w:style>
  <w:style w:type="paragraph" w:customStyle="1" w:styleId="Tabel">
    <w:name w:val="Tabel"/>
    <w:basedOn w:val="Normal"/>
    <w:pPr>
      <w:spacing w:after="120"/>
    </w:pPr>
  </w:style>
  <w:style w:type="paragraph" w:styleId="BlockText">
    <w:name w:val="Block Text"/>
    <w:basedOn w:val="Normal"/>
    <w:pPr>
      <w:spacing w:before="120" w:after="120"/>
      <w:ind w:left="450" w:right="566"/>
      <w:jc w:val="both"/>
    </w:pPr>
    <w:rPr>
      <w:rFonts w:ascii="Garamond" w:hAnsi="Garamond"/>
      <w:i/>
    </w:rPr>
  </w:style>
  <w:style w:type="paragraph" w:customStyle="1" w:styleId="Document">
    <w:name w:val="Document"/>
    <w:basedOn w:val="Normal"/>
    <w:pPr>
      <w:jc w:val="center"/>
    </w:pPr>
    <w:rPr>
      <w:rFonts w:ascii="CG Times" w:hAnsi="CG Times"/>
    </w:rPr>
  </w:style>
  <w:style w:type="paragraph" w:customStyle="1" w:styleId="Bibliogrphy">
    <w:name w:val="Bibliogrphy"/>
    <w:basedOn w:val="Normal"/>
    <w:pPr>
      <w:ind w:left="720" w:firstLine="720"/>
    </w:pPr>
    <w:rPr>
      <w:rFonts w:ascii="CG Times" w:hAnsi="CG Times"/>
    </w:rPr>
  </w:style>
  <w:style w:type="paragraph" w:customStyle="1" w:styleId="TechInit">
    <w:name w:val="Tech Init"/>
    <w:basedOn w:val="Normal"/>
    <w:rPr>
      <w:rFonts w:ascii="CG Times" w:hAnsi="CG Times"/>
    </w:rPr>
  </w:style>
  <w:style w:type="paragraph" w:customStyle="1" w:styleId="Technical">
    <w:name w:val="Technical"/>
    <w:basedOn w:val="Normal"/>
    <w:rPr>
      <w:rFonts w:ascii="CG Times" w:hAnsi="CG Times"/>
    </w:rPr>
  </w:style>
  <w:style w:type="paragraph" w:customStyle="1" w:styleId="Pleading">
    <w:name w:val="Pleading"/>
    <w:basedOn w:val="Normal"/>
    <w:pPr>
      <w:tabs>
        <w:tab w:val="right" w:pos="288"/>
      </w:tabs>
    </w:pPr>
    <w:rPr>
      <w:rFonts w:ascii="CG Times" w:hAnsi="CG Times"/>
    </w:rPr>
  </w:style>
  <w:style w:type="paragraph" w:customStyle="1" w:styleId="BulletList">
    <w:name w:val="Bullet List"/>
    <w:basedOn w:val="Normal"/>
    <w:pPr>
      <w:ind w:left="720"/>
    </w:pPr>
    <w:rPr>
      <w:rFonts w:ascii="Roman" w:hAnsi="Roman"/>
      <w:lang w:val="it-IT"/>
    </w:rPr>
  </w:style>
  <w:style w:type="character" w:styleId="FollowedHyperlink">
    <w:name w:val="FollowedHyperlink"/>
    <w:basedOn w:val="DefaultParagraphFont"/>
    <w:rPr>
      <w:color w:val="800080"/>
      <w:u w:val="single"/>
    </w:rPr>
  </w:style>
  <w:style w:type="paragraph" w:styleId="Title">
    <w:name w:val="Title"/>
    <w:basedOn w:val="Normal"/>
    <w:qFormat/>
    <w:pPr>
      <w:spacing w:line="240" w:lineRule="atLeast"/>
      <w:jc w:val="center"/>
    </w:pPr>
    <w:rPr>
      <w:b/>
      <w:sz w:val="32"/>
    </w:rPr>
  </w:style>
  <w:style w:type="paragraph" w:customStyle="1" w:styleId="Outline">
    <w:name w:val="Outline"/>
    <w:basedOn w:val="Normal"/>
    <w:pPr>
      <w:spacing w:before="240"/>
    </w:pPr>
    <w:rPr>
      <w:rFonts w:eastAsia="SimSun"/>
      <w:kern w:val="28"/>
    </w:rPr>
  </w:style>
  <w:style w:type="paragraph" w:customStyle="1" w:styleId="Body">
    <w:name w:val="Body"/>
    <w:pPr>
      <w:widowControl w:val="0"/>
    </w:pPr>
    <w:rPr>
      <w:rFonts w:ascii="Times New Roman" w:hAnsi="Times New Roman"/>
      <w:lang w:val="en-GB" w:eastAsia="zh-CN"/>
    </w:rPr>
  </w:style>
  <w:style w:type="character" w:styleId="EndnoteReference">
    <w:name w:val="endnote reference"/>
    <w:basedOn w:val="DefaultParagraphFont"/>
    <w:semiHidden/>
    <w:rPr>
      <w:vertAlign w:val="superscript"/>
    </w:rPr>
  </w:style>
  <w:style w:type="paragraph" w:customStyle="1" w:styleId="DefaultText">
    <w:name w:val="Default Text"/>
    <w:basedOn w:val="Normal"/>
    <w:pPr>
      <w:autoSpaceDE w:val="0"/>
      <w:autoSpaceDN w:val="0"/>
      <w:adjustRightInd w:val="0"/>
    </w:pPr>
  </w:style>
  <w:style w:type="paragraph" w:customStyle="1" w:styleId="MSNormal">
    <w:name w:val="MSNormal"/>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rFonts w:ascii="Chicago" w:hAnsi="Chicago"/>
    </w:rPr>
  </w:style>
  <w:style w:type="paragraph" w:styleId="PlainText">
    <w:name w:val="Plain Text"/>
    <w:basedOn w:val="Normal"/>
    <w:rPr>
      <w:rFonts w:ascii="Courier" w:eastAsia="Times" w:hAnsi="Courier"/>
    </w:rPr>
  </w:style>
  <w:style w:type="paragraph" w:customStyle="1" w:styleId="Reference">
    <w:name w:val="Reference"/>
    <w:basedOn w:val="Normal"/>
    <w:pPr>
      <w:spacing w:after="60"/>
      <w:ind w:left="284"/>
    </w:pPr>
    <w:rPr>
      <w:sz w:val="22"/>
    </w:rPr>
  </w:style>
  <w:style w:type="paragraph" w:customStyle="1" w:styleId="Figures">
    <w:name w:val="Figures"/>
    <w:basedOn w:val="Normal"/>
    <w:pPr>
      <w:tabs>
        <w:tab w:val="center" w:pos="4680"/>
      </w:tabs>
      <w:suppressAutoHyphens/>
      <w:overflowPunct w:val="0"/>
      <w:autoSpaceDE w:val="0"/>
      <w:autoSpaceDN w:val="0"/>
      <w:adjustRightInd w:val="0"/>
      <w:spacing w:before="240" w:after="120"/>
      <w:jc w:val="both"/>
      <w:textAlignment w:val="baseline"/>
    </w:pPr>
    <w:rPr>
      <w:b/>
    </w:rPr>
  </w:style>
  <w:style w:type="paragraph" w:styleId="BodyTextIndent2">
    <w:name w:val="Body Text Indent 2"/>
    <w:basedOn w:val="Normal"/>
    <w:pPr>
      <w:widowControl w:val="0"/>
      <w:ind w:firstLine="720"/>
      <w:jc w:val="both"/>
    </w:pPr>
    <w:rPr>
      <w:snapToGrid w:val="0"/>
    </w:rPr>
  </w:style>
  <w:style w:type="paragraph" w:styleId="BodyTextIndent3">
    <w:name w:val="Body Text Indent 3"/>
    <w:basedOn w:val="Normal"/>
    <w:pPr>
      <w:widowControl w:val="0"/>
      <w:ind w:firstLine="720"/>
      <w:jc w:val="both"/>
    </w:pPr>
    <w:rPr>
      <w:snapToGrid w:val="0"/>
      <w:color w:val="FF0000"/>
    </w:rPr>
  </w:style>
  <w:style w:type="paragraph" w:styleId="BodyText2">
    <w:name w:val="Body Text 2"/>
    <w:basedOn w:val="Normal"/>
    <w:pPr>
      <w:jc w:val="center"/>
    </w:pPr>
    <w:rPr>
      <w:sz w:val="48"/>
    </w:rPr>
  </w:style>
  <w:style w:type="paragraph" w:styleId="BodyText3">
    <w:name w:val="Body Text 3"/>
    <w:basedOn w:val="Normal"/>
    <w:pPr>
      <w:jc w:val="center"/>
    </w:pPr>
    <w:rPr>
      <w:sz w:val="36"/>
    </w:rPr>
  </w:style>
  <w:style w:type="paragraph" w:customStyle="1" w:styleId="DefinitionL">
    <w:name w:val="Definition 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napToGrid w:val="0"/>
      <w:lang w:val="en-US" w:eastAsia="zh-CN"/>
    </w:rPr>
  </w:style>
  <w:style w:type="paragraph" w:customStyle="1" w:styleId="Tableheading0">
    <w:name w:val="Table heading"/>
    <w:basedOn w:val="Normal"/>
    <w:pPr>
      <w:keepNext/>
      <w:spacing w:before="120"/>
      <w:ind w:left="1984" w:hanging="907"/>
    </w:pPr>
    <w:rPr>
      <w:i/>
    </w:rPr>
  </w:style>
  <w:style w:type="paragraph" w:customStyle="1" w:styleId="Figure">
    <w:name w:val="Figure"/>
    <w:basedOn w:val="Normal"/>
    <w:pPr>
      <w:widowControl w:val="0"/>
      <w:spacing w:line="-240" w:lineRule="auto"/>
      <w:ind w:left="1077"/>
    </w:pPr>
    <w:rPr>
      <w:rFonts w:ascii="Arial" w:hAnsi="Arial"/>
      <w:b/>
    </w:rPr>
  </w:style>
  <w:style w:type="paragraph" w:styleId="Index1">
    <w:name w:val="index 1"/>
    <w:basedOn w:val="Normal"/>
    <w:next w:val="Normal"/>
    <w:autoRedefine/>
    <w:semiHidden/>
    <w:pPr>
      <w:ind w:left="240" w:hanging="24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b/>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b/>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b/>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b/>
    </w:rPr>
  </w:style>
  <w:style w:type="character" w:styleId="Strong">
    <w:name w:val="Strong"/>
    <w:basedOn w:val="DefaultParagraphFont"/>
    <w:qFormat/>
    <w:rPr>
      <w:b/>
    </w:rPr>
  </w:style>
  <w:style w:type="paragraph" w:styleId="BalloonText">
    <w:name w:val="Balloon Text"/>
    <w:basedOn w:val="Normal"/>
    <w:rPr>
      <w:rFonts w:ascii="Tahoma" w:eastAsia="SimSun" w:hAnsi="Tahoma"/>
      <w:sz w:val="16"/>
    </w:rPr>
  </w:style>
  <w:style w:type="paragraph" w:styleId="NormalWeb">
    <w:name w:val="Normal (Web)"/>
    <w:basedOn w:val="Normal"/>
    <w:uiPriority w:val="99"/>
    <w:pPr>
      <w:spacing w:before="100" w:after="100"/>
    </w:pPr>
    <w:rPr>
      <w:lang w:val="en-US"/>
    </w:rPr>
  </w:style>
  <w:style w:type="paragraph" w:customStyle="1" w:styleId="Thesisheading1">
    <w:name w:val="Thesisheading1"/>
    <w:basedOn w:val="BodyTextIndent2"/>
    <w:pPr>
      <w:widowControl/>
      <w:numPr>
        <w:numId w:val="2"/>
      </w:numPr>
      <w:spacing w:line="360" w:lineRule="auto"/>
    </w:pPr>
    <w:rPr>
      <w:rFonts w:ascii="Arial" w:hAnsi="Arial"/>
      <w:b/>
      <w:caps/>
      <w:snapToGrid/>
      <w:sz w:val="32"/>
    </w:rPr>
  </w:style>
  <w:style w:type="paragraph" w:customStyle="1" w:styleId="Thesisheading4">
    <w:name w:val="Thesisheading4"/>
    <w:basedOn w:val="Heading3"/>
    <w:pPr>
      <w:numPr>
        <w:numId w:val="2"/>
      </w:numPr>
      <w:tabs>
        <w:tab w:val="clear" w:pos="720"/>
        <w:tab w:val="num" w:pos="2880"/>
      </w:tabs>
      <w:spacing w:line="360" w:lineRule="auto"/>
      <w:ind w:left="2880" w:hanging="360"/>
      <w:jc w:val="both"/>
    </w:pPr>
    <w:rPr>
      <w:rFonts w:ascii="Arial" w:hAnsi="Arial"/>
      <w:b w:val="0"/>
      <w:snapToGrid/>
    </w:rPr>
  </w:style>
  <w:style w:type="paragraph" w:customStyle="1" w:styleId="font5">
    <w:name w:val="font5"/>
    <w:basedOn w:val="Normal"/>
    <w:pPr>
      <w:spacing w:before="100" w:after="100"/>
    </w:pPr>
    <w:rPr>
      <w:rFonts w:ascii="Arial" w:eastAsia="Arial Unicode MS" w:hAnsi="Arial"/>
      <w:color w:val="00FF00"/>
      <w:sz w:val="20"/>
    </w:rPr>
  </w:style>
  <w:style w:type="paragraph" w:customStyle="1" w:styleId="xl34">
    <w:name w:val="xl34"/>
    <w:basedOn w:val="Normal"/>
    <w:pPr>
      <w:pBdr>
        <w:left w:val="single" w:sz="4" w:space="0" w:color="auto"/>
        <w:bottom w:val="single" w:sz="4" w:space="0" w:color="auto"/>
        <w:right w:val="single" w:sz="4" w:space="0" w:color="auto"/>
      </w:pBdr>
      <w:spacing w:before="100" w:after="100"/>
      <w:textAlignment w:val="top"/>
    </w:pPr>
    <w:rPr>
      <w:rFonts w:ascii="Arial" w:eastAsia="Arial Unicode MS" w:hAnsi="Arial"/>
    </w:rPr>
  </w:style>
  <w:style w:type="paragraph" w:customStyle="1" w:styleId="xl35">
    <w:name w:val="xl35"/>
    <w:basedOn w:val="Normal"/>
    <w:pPr>
      <w:pBdr>
        <w:left w:val="single" w:sz="4" w:space="0" w:color="auto"/>
        <w:bottom w:val="single" w:sz="4" w:space="0" w:color="auto"/>
        <w:right w:val="single" w:sz="4" w:space="0" w:color="auto"/>
      </w:pBdr>
      <w:spacing w:before="100" w:after="100"/>
      <w:textAlignment w:val="top"/>
    </w:pPr>
    <w:rPr>
      <w:rFonts w:ascii="Arial" w:eastAsia="Arial Unicode MS" w:hAnsi="Arial"/>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after="100"/>
      <w:textAlignment w:val="top"/>
    </w:pPr>
    <w:rPr>
      <w:rFonts w:ascii="Arial" w:eastAsia="Arial Unicode MS" w:hAnsi="Arial"/>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after="100"/>
      <w:textAlignment w:val="top"/>
    </w:pPr>
    <w:rPr>
      <w:rFonts w:ascii="Arial" w:eastAsia="Arial Unicode MS" w:hAnsi="Arial"/>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after="100"/>
      <w:textAlignment w:val="top"/>
    </w:pPr>
    <w:rPr>
      <w:rFonts w:ascii="Arial" w:eastAsia="Arial Unicode MS" w:hAnsi="Arial"/>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hd w:val="clear" w:color="auto" w:fill="FFFFFF"/>
      <w:spacing w:before="100" w:after="100"/>
      <w:jc w:val="both"/>
      <w:textAlignment w:val="top"/>
    </w:pPr>
    <w:rPr>
      <w:rFonts w:ascii="Arial" w:eastAsia="Arial Unicode MS" w:hAnsi="Arial"/>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FF"/>
      <w:spacing w:before="100" w:after="100"/>
      <w:textAlignment w:val="top"/>
    </w:pPr>
    <w:rPr>
      <w:rFonts w:ascii="Arial" w:eastAsia="Arial Unicode MS" w:hAnsi="Arial"/>
    </w:rPr>
  </w:style>
  <w:style w:type="paragraph" w:customStyle="1" w:styleId="xl41">
    <w:name w:val="xl41"/>
    <w:basedOn w:val="Normal"/>
    <w:pPr>
      <w:spacing w:before="100" w:after="100"/>
    </w:pPr>
    <w:rPr>
      <w:rFonts w:ascii="Arial" w:eastAsia="Arial Unicode MS" w:hAnsi="Arial"/>
    </w:rPr>
  </w:style>
  <w:style w:type="paragraph" w:customStyle="1" w:styleId="xl42">
    <w:name w:val="xl42"/>
    <w:basedOn w:val="Normal"/>
    <w:pPr>
      <w:pBdr>
        <w:top w:val="single" w:sz="4" w:space="0" w:color="auto"/>
        <w:left w:val="single" w:sz="4" w:space="0" w:color="000000"/>
        <w:right w:val="single" w:sz="4" w:space="0" w:color="auto"/>
      </w:pBdr>
      <w:spacing w:before="100" w:after="100"/>
      <w:textAlignment w:val="top"/>
    </w:pPr>
    <w:rPr>
      <w:rFonts w:ascii="Arial" w:eastAsia="Arial Unicode MS" w:hAnsi="Arial"/>
    </w:rPr>
  </w:style>
  <w:style w:type="paragraph" w:customStyle="1" w:styleId="xl43">
    <w:name w:val="xl43"/>
    <w:basedOn w:val="Normal"/>
    <w:pPr>
      <w:spacing w:before="100" w:after="100"/>
      <w:jc w:val="center"/>
    </w:pPr>
    <w:rPr>
      <w:rFonts w:ascii="Arial" w:eastAsia="Arial Unicode MS" w:hAnsi="Arial"/>
    </w:rPr>
  </w:style>
  <w:style w:type="paragraph" w:customStyle="1" w:styleId="xl44">
    <w:name w:val="xl44"/>
    <w:basedOn w:val="Normal"/>
    <w:pPr>
      <w:spacing w:before="100" w:after="100"/>
      <w:textAlignment w:val="top"/>
    </w:pPr>
    <w:rPr>
      <w:rFonts w:ascii="Arial" w:eastAsia="Arial Unicode MS" w:hAnsi="Arial"/>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hd w:val="clear" w:color="auto" w:fill="FFFFFF"/>
      <w:spacing w:before="100" w:after="100"/>
      <w:textAlignment w:val="top"/>
    </w:pPr>
    <w:rPr>
      <w:rFonts w:ascii="Arial" w:eastAsia="Arial Unicode MS" w:hAnsi="Arial"/>
    </w:rPr>
  </w:style>
  <w:style w:type="paragraph" w:customStyle="1" w:styleId="xl47">
    <w:name w:val="xl47"/>
    <w:basedOn w:val="Normal"/>
    <w:pPr>
      <w:pBdr>
        <w:left w:val="single" w:sz="4" w:space="0" w:color="auto"/>
        <w:bottom w:val="single" w:sz="4" w:space="0" w:color="auto"/>
        <w:right w:val="single" w:sz="4" w:space="0" w:color="auto"/>
      </w:pBdr>
      <w:spacing w:before="100" w:after="100"/>
      <w:jc w:val="center"/>
      <w:textAlignment w:val="top"/>
    </w:pPr>
    <w:rPr>
      <w:rFonts w:ascii="Arial" w:eastAsia="Arial Unicode MS" w:hAnsi="Arial"/>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rPr>
  </w:style>
  <w:style w:type="paragraph" w:customStyle="1" w:styleId="xl49">
    <w:name w:val="xl49"/>
    <w:basedOn w:val="Normal"/>
    <w:pPr>
      <w:pBdr>
        <w:left w:val="single" w:sz="4" w:space="0" w:color="auto"/>
        <w:bottom w:val="single" w:sz="4" w:space="0" w:color="auto"/>
        <w:right w:val="single" w:sz="4" w:space="0" w:color="auto"/>
      </w:pBdr>
      <w:spacing w:before="100" w:after="100"/>
      <w:jc w:val="center"/>
      <w:textAlignment w:val="top"/>
    </w:pPr>
    <w:rPr>
      <w:rFonts w:ascii="Arial" w:eastAsia="Arial Unicode MS" w:hAnsi="Arial"/>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hd w:val="clear" w:color="auto" w:fill="FFFFFF"/>
      <w:spacing w:before="100" w:after="100"/>
      <w:jc w:val="center"/>
      <w:textAlignment w:val="top"/>
    </w:pPr>
    <w:rPr>
      <w:rFonts w:ascii="Arial" w:eastAsia="Arial Unicode MS" w:hAnsi="Arial"/>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rPr>
  </w:style>
  <w:style w:type="paragraph" w:customStyle="1" w:styleId="xl56">
    <w:name w:val="xl56"/>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rPr>
  </w:style>
  <w:style w:type="paragraph" w:customStyle="1" w:styleId="Default">
    <w:name w:val="Default"/>
    <w:pPr>
      <w:autoSpaceDE w:val="0"/>
      <w:autoSpaceDN w:val="0"/>
      <w:adjustRightInd w:val="0"/>
    </w:pPr>
    <w:rPr>
      <w:rFonts w:ascii="Times New Roman" w:hAnsi="Times New Roman"/>
      <w:color w:val="000000"/>
      <w:lang w:val="en-US"/>
    </w:rPr>
  </w:style>
  <w:style w:type="paragraph" w:styleId="ListNumber5">
    <w:name w:val="List Number 5"/>
    <w:basedOn w:val="Normal"/>
    <w:pPr>
      <w:numPr>
        <w:numId w:val="3"/>
      </w:numPr>
      <w:tabs>
        <w:tab w:val="clear" w:pos="1492"/>
        <w:tab w:val="num" w:pos="1800"/>
      </w:tabs>
      <w:ind w:left="1800"/>
    </w:pPr>
    <w:rPr>
      <w:lang w:val="en-US"/>
    </w:rPr>
  </w:style>
  <w:style w:type="paragraph" w:customStyle="1" w:styleId="Sectionheading">
    <w:name w:val="Section heading"/>
    <w:basedOn w:val="Heading2"/>
    <w:pPr>
      <w:spacing w:before="120"/>
      <w:ind w:left="1080" w:hanging="1080"/>
    </w:pPr>
    <w:rPr>
      <w:snapToGrid/>
    </w:rPr>
  </w:style>
  <w:style w:type="paragraph" w:customStyle="1" w:styleId="Sectionsub-heading">
    <w:name w:val="Section sub-heading"/>
    <w:basedOn w:val="Heading3"/>
    <w:pPr>
      <w:numPr>
        <w:ilvl w:val="0"/>
        <w:numId w:val="0"/>
      </w:numPr>
      <w:spacing w:before="60"/>
      <w:ind w:left="2126" w:hanging="1049"/>
    </w:pPr>
    <w:rPr>
      <w:snapToGrid/>
    </w:rPr>
  </w:style>
  <w:style w:type="paragraph" w:customStyle="1" w:styleId="MainTextIndent">
    <w:name w:val="Main Text Indent"/>
    <w:basedOn w:val="MainText"/>
    <w:pPr>
      <w:tabs>
        <w:tab w:val="left" w:pos="567"/>
      </w:tabs>
      <w:ind w:left="993" w:hanging="993"/>
    </w:pPr>
  </w:style>
  <w:style w:type="paragraph" w:customStyle="1" w:styleId="MainTextDoubleIndent">
    <w:name w:val="Main Text Double Indent"/>
    <w:basedOn w:val="MainTextIndent"/>
    <w:pPr>
      <w:tabs>
        <w:tab w:val="left" w:pos="993"/>
      </w:tabs>
      <w:ind w:left="1418" w:hanging="1418"/>
    </w:pPr>
  </w:style>
  <w:style w:type="paragraph" w:customStyle="1" w:styleId="HeadingSub">
    <w:name w:val="Heading: Sub"/>
    <w:basedOn w:val="MainText"/>
    <w:rPr>
      <w:rFonts w:ascii="Futura" w:hAnsi="Futura"/>
    </w:rPr>
  </w:style>
  <w:style w:type="paragraph" w:customStyle="1" w:styleId="MainTextNon-indent">
    <w:name w:val="Main Text Non-indent"/>
    <w:basedOn w:val="MainText"/>
    <w:pPr>
      <w:ind w:left="0" w:firstLine="0"/>
    </w:pPr>
  </w:style>
  <w:style w:type="paragraph" w:customStyle="1" w:styleId="HeadingSection">
    <w:name w:val="Heading: Section"/>
    <w:basedOn w:val="Normal"/>
    <w:pPr>
      <w:widowControl w:val="0"/>
      <w:tabs>
        <w:tab w:val="left" w:pos="3969"/>
      </w:tabs>
      <w:spacing w:line="360" w:lineRule="exact"/>
      <w:ind w:left="1701" w:hanging="1701"/>
    </w:pPr>
    <w:rPr>
      <w:rFonts w:ascii="Arial" w:hAnsi="Arial"/>
    </w:rPr>
  </w:style>
  <w:style w:type="paragraph" w:customStyle="1" w:styleId="GCDCB12">
    <w:name w:val="GCD_CB12"/>
    <w:basedOn w:val="Normal"/>
    <w:next w:val="Normal"/>
    <w:pPr>
      <w:jc w:val="center"/>
    </w:pPr>
    <w:rPr>
      <w:b/>
    </w:rPr>
  </w:style>
  <w:style w:type="paragraph" w:customStyle="1" w:styleId="Closeup">
    <w:name w:val="Closeup"/>
    <w:basedOn w:val="Normal"/>
    <w:rPr>
      <w:lang w:eastAsia="ja-JP"/>
    </w:rPr>
  </w:style>
  <w:style w:type="paragraph" w:customStyle="1" w:styleId="ScreenFormat-1">
    <w:name w:val="ScreenFormat-1"/>
    <w:basedOn w:val="Normal"/>
    <w:pPr>
      <w:spacing w:before="120" w:after="120"/>
    </w:pPr>
    <w:rPr>
      <w:sz w:val="32"/>
      <w:lang w:eastAsia="ja-JP"/>
    </w:rPr>
  </w:style>
  <w:style w:type="paragraph" w:customStyle="1" w:styleId="TableText">
    <w:name w:val="TableText"/>
    <w:basedOn w:val="BodyText"/>
    <w:pPr>
      <w:keepLines/>
      <w:spacing w:line="240" w:lineRule="auto"/>
    </w:pPr>
    <w:rPr>
      <w:rFonts w:eastAsia="Times"/>
      <w:sz w:val="20"/>
      <w:lang w:val="en-US" w:eastAsia="ja-JP"/>
    </w:rPr>
  </w:style>
  <w:style w:type="paragraph" w:customStyle="1" w:styleId="Equation">
    <w:name w:val="Equation"/>
    <w:basedOn w:val="BodyText"/>
    <w:pPr>
      <w:keepLines/>
      <w:tabs>
        <w:tab w:val="right" w:pos="9639"/>
      </w:tabs>
      <w:spacing w:line="240" w:lineRule="auto"/>
      <w:ind w:left="567"/>
    </w:pPr>
    <w:rPr>
      <w:rFonts w:eastAsia="Times"/>
      <w:lang w:val="en-US" w:eastAsia="ja-JP"/>
    </w:rPr>
  </w:style>
  <w:style w:type="paragraph" w:customStyle="1" w:styleId="Note">
    <w:name w:val="Note"/>
    <w:basedOn w:val="BodyText"/>
    <w:pPr>
      <w:keepLines/>
      <w:pBdr>
        <w:top w:val="single" w:sz="2" w:space="1" w:color="808080"/>
        <w:left w:val="single" w:sz="2" w:space="4" w:color="808080"/>
        <w:bottom w:val="single" w:sz="2" w:space="1" w:color="808080"/>
        <w:right w:val="single" w:sz="2" w:space="4" w:color="808080"/>
      </w:pBdr>
      <w:spacing w:line="240" w:lineRule="auto"/>
    </w:pPr>
    <w:rPr>
      <w:rFonts w:eastAsia="Times"/>
      <w:i/>
      <w:lang w:val="en-US" w:eastAsia="ja-JP"/>
    </w:rPr>
  </w:style>
  <w:style w:type="paragraph" w:customStyle="1" w:styleId="AR4Listbullet1">
    <w:name w:val="AR4 List bullet 1"/>
    <w:basedOn w:val="Normal"/>
    <w:pPr>
      <w:numPr>
        <w:numId w:val="4"/>
      </w:numPr>
    </w:pPr>
    <w:rPr>
      <w:rFonts w:ascii="Times" w:eastAsia="Times" w:hAnsi="Times"/>
      <w:lang w:val="en-US" w:eastAsia="ja-JP"/>
    </w:rPr>
  </w:style>
  <w:style w:type="paragraph" w:customStyle="1" w:styleId="OurCaption">
    <w:name w:val="OurCaption"/>
    <w:basedOn w:val="Normal"/>
    <w:pPr>
      <w:ind w:right="12"/>
    </w:pPr>
    <w:rPr>
      <w:rFonts w:eastAsia="Times"/>
      <w:sz w:val="20"/>
      <w:lang w:eastAsia="ja-JP"/>
    </w:rPr>
  </w:style>
  <w:style w:type="paragraph" w:customStyle="1" w:styleId="Paralevel1">
    <w:name w:val="Para level1"/>
    <w:basedOn w:val="Normal"/>
    <w:autoRedefine/>
    <w:pPr>
      <w:numPr>
        <w:numId w:val="5"/>
      </w:numPr>
      <w:tabs>
        <w:tab w:val="left" w:pos="2070"/>
      </w:tabs>
      <w:suppressAutoHyphens/>
      <w:spacing w:after="120"/>
    </w:pPr>
    <w:rPr>
      <w:sz w:val="20"/>
    </w:rPr>
  </w:style>
  <w:style w:type="paragraph" w:customStyle="1" w:styleId="CH4">
    <w:name w:val="CH4"/>
    <w:basedOn w:val="Normal"/>
    <w:autoRedefine/>
    <w:pPr>
      <w:keepNext/>
      <w:keepLines/>
      <w:numPr>
        <w:numId w:val="6"/>
      </w:numPr>
      <w:tabs>
        <w:tab w:val="clear" w:pos="0"/>
        <w:tab w:val="num" w:pos="360"/>
      </w:tabs>
      <w:spacing w:before="120"/>
      <w:ind w:left="0"/>
    </w:pPr>
    <w:rPr>
      <w:b/>
      <w:sz w:val="20"/>
    </w:rPr>
  </w:style>
  <w:style w:type="character" w:customStyle="1" w:styleId="Para1Car">
    <w:name w:val="Para (1) Car"/>
    <w:aliases w:val="Heading 1 Char1 Char Car,Heading 1 Char Char Char Car,Para (1) Char Char Char Car,Para (1) Char1 Char Car,Heading 1 Char1 Car,Heading 1 Char Char Car,Para (1) Char Char Car,Para (1) Char1 Car,Heading 1 Char1 Char Char Car,Heading 1 Char Car"/>
    <w:basedOn w:val="DefaultParagraphFont"/>
    <w:rPr>
      <w:rFonts w:ascii="Arial" w:eastAsia="MS Mincho" w:hAnsi="Arial" w:cs="Arial"/>
      <w:b/>
      <w:bCs/>
      <w:noProof w:val="0"/>
      <w:kern w:val="32"/>
      <w:sz w:val="32"/>
      <w:szCs w:val="32"/>
      <w:lang w:val="en-US" w:eastAsia="ja-JP" w:bidi="ar-SA"/>
    </w:rPr>
  </w:style>
  <w:style w:type="paragraph" w:customStyle="1" w:styleId="Titulo3">
    <w:name w:val="Titulo 3"/>
    <w:basedOn w:val="Normal"/>
    <w:pPr>
      <w:widowControl w:val="0"/>
      <w:ind w:left="1185"/>
      <w:jc w:val="both"/>
    </w:pPr>
    <w:rPr>
      <w:rFonts w:eastAsia="MS Mincho"/>
      <w:b/>
      <w:i/>
      <w:kern w:val="2"/>
      <w:lang w:val="en-US" w:eastAsia="ja-JP"/>
    </w:rPr>
  </w:style>
  <w:style w:type="paragraph" w:customStyle="1" w:styleId="Style2">
    <w:name w:val="Style2"/>
    <w:basedOn w:val="Normal"/>
  </w:style>
  <w:style w:type="paragraph" w:customStyle="1" w:styleId="TEXTO">
    <w:name w:val="TEXTO"/>
    <w:pPr>
      <w:autoSpaceDE w:val="0"/>
      <w:autoSpaceDN w:val="0"/>
      <w:adjustRightInd w:val="0"/>
      <w:jc w:val="both"/>
    </w:pPr>
    <w:rPr>
      <w:rFonts w:ascii="Galliard" w:hAnsi="Galliard"/>
      <w:color w:val="000000"/>
      <w:sz w:val="22"/>
      <w:szCs w:val="22"/>
      <w:lang w:val="en-US"/>
    </w:rPr>
  </w:style>
  <w:style w:type="paragraph" w:customStyle="1" w:styleId="font6">
    <w:name w:val="font6"/>
    <w:basedOn w:val="Normal"/>
    <w:pPr>
      <w:spacing w:before="100" w:beforeAutospacing="1" w:after="100" w:afterAutospacing="1"/>
    </w:pPr>
    <w:rPr>
      <w:rFonts w:ascii="Arial" w:eastAsia="Arial Unicode MS" w:hAnsi="Arial" w:cs="Arial"/>
      <w:sz w:val="20"/>
      <w:lang w:eastAsia="en-US"/>
    </w:rPr>
  </w:style>
  <w:style w:type="paragraph" w:customStyle="1" w:styleId="font7">
    <w:name w:val="font7"/>
    <w:basedOn w:val="Normal"/>
    <w:pPr>
      <w:spacing w:before="100" w:beforeAutospacing="1" w:after="100" w:afterAutospacing="1"/>
    </w:pPr>
    <w:rPr>
      <w:rFonts w:ascii="Arial" w:eastAsia="Arial Unicode MS" w:hAnsi="Arial" w:cs="Arial"/>
      <w:color w:val="FF0000"/>
      <w:sz w:val="20"/>
      <w:lang w:eastAsia="en-US"/>
    </w:rPr>
  </w:style>
  <w:style w:type="paragraph" w:customStyle="1" w:styleId="font8">
    <w:name w:val="font8"/>
    <w:basedOn w:val="Normal"/>
    <w:pPr>
      <w:spacing w:before="100" w:beforeAutospacing="1" w:after="100" w:afterAutospacing="1"/>
    </w:pPr>
    <w:rPr>
      <w:rFonts w:ascii="Arial" w:eastAsia="Arial Unicode MS" w:hAnsi="Arial" w:cs="Arial"/>
      <w:color w:val="0000FF"/>
      <w:sz w:val="20"/>
      <w:lang w:eastAsia="en-US"/>
    </w:rPr>
  </w:style>
  <w:style w:type="paragraph" w:customStyle="1" w:styleId="Normaalweb">
    <w:name w:val="Normaal (web)"/>
    <w:basedOn w:val="Normal"/>
    <w:pPr>
      <w:spacing w:before="100" w:beforeAutospacing="1" w:after="100" w:afterAutospacing="1"/>
    </w:pPr>
    <w:rPr>
      <w:lang w:val="fr-FR" w:eastAsia="fr-FR"/>
    </w:rPr>
  </w:style>
  <w:style w:type="character" w:customStyle="1" w:styleId="epaltsans1">
    <w:name w:val="epaltsans1"/>
    <w:basedOn w:val="DefaultParagraphFont"/>
    <w:rPr>
      <w:rFonts w:ascii="Arial" w:hAnsi="Arial" w:cs="Arial" w:hint="default"/>
      <w:sz w:val="16"/>
      <w:szCs w:val="16"/>
    </w:rPr>
  </w:style>
  <w:style w:type="paragraph" w:styleId="List">
    <w:name w:val="List"/>
    <w:basedOn w:val="Normal"/>
    <w:pPr>
      <w:ind w:left="360" w:hanging="360"/>
    </w:pPr>
    <w:rPr>
      <w:lang w:val="en-US" w:eastAsia="en-US"/>
    </w:rPr>
  </w:style>
  <w:style w:type="character" w:customStyle="1" w:styleId="w">
    <w:name w:val="w"/>
    <w:basedOn w:val="DefaultParagraphFont"/>
  </w:style>
  <w:style w:type="paragraph" w:customStyle="1" w:styleId="BodyTextLetterBullets">
    <w:name w:val="Body Text + Letter Bullets"/>
    <w:basedOn w:val="BodyText"/>
    <w:pPr>
      <w:numPr>
        <w:numId w:val="7"/>
      </w:numPr>
      <w:tabs>
        <w:tab w:val="clear" w:pos="539"/>
        <w:tab w:val="num" w:pos="360"/>
      </w:tabs>
      <w:spacing w:before="120" w:line="288" w:lineRule="auto"/>
      <w:ind w:left="0" w:firstLine="0"/>
    </w:pPr>
    <w:rPr>
      <w:sz w:val="22"/>
      <w:szCs w:val="22"/>
      <w:lang w:val="en-US" w:eastAsia="en-US"/>
    </w:rPr>
  </w:style>
  <w:style w:type="paragraph" w:customStyle="1" w:styleId="BodyTextSmallBullets">
    <w:name w:val="Body Text + Small Bullets"/>
    <w:basedOn w:val="BodyText"/>
    <w:pPr>
      <w:numPr>
        <w:numId w:val="8"/>
      </w:numPr>
      <w:tabs>
        <w:tab w:val="clear" w:pos="539"/>
        <w:tab w:val="num" w:pos="425"/>
      </w:tabs>
      <w:spacing w:line="288" w:lineRule="auto"/>
      <w:ind w:left="0" w:firstLine="0"/>
    </w:pPr>
    <w:rPr>
      <w:sz w:val="22"/>
      <w:szCs w:val="22"/>
      <w:lang w:eastAsia="en-US"/>
    </w:rPr>
  </w:style>
  <w:style w:type="paragraph" w:customStyle="1" w:styleId="BodyTextbullet">
    <w:name w:val="Body Text + bullet"/>
    <w:basedOn w:val="BodyText"/>
    <w:pPr>
      <w:numPr>
        <w:ilvl w:val="1"/>
        <w:numId w:val="8"/>
      </w:numPr>
      <w:tabs>
        <w:tab w:val="clear" w:pos="765"/>
        <w:tab w:val="num" w:pos="360"/>
      </w:tabs>
      <w:spacing w:line="288" w:lineRule="auto"/>
      <w:ind w:left="0" w:firstLine="0"/>
    </w:pPr>
    <w:rPr>
      <w:sz w:val="22"/>
      <w:szCs w:val="22"/>
      <w:lang w:eastAsia="en-US"/>
    </w:rPr>
  </w:style>
  <w:style w:type="paragraph" w:customStyle="1" w:styleId="Head1">
    <w:name w:val="Head 1"/>
    <w:basedOn w:val="Normal"/>
    <w:pPr>
      <w:numPr>
        <w:numId w:val="9"/>
      </w:numPr>
      <w:tabs>
        <w:tab w:val="left" w:pos="340"/>
        <w:tab w:val="left" w:pos="2775"/>
        <w:tab w:val="left" w:pos="6300"/>
      </w:tabs>
      <w:autoSpaceDE w:val="0"/>
      <w:autoSpaceDN w:val="0"/>
      <w:adjustRightInd w:val="0"/>
      <w:ind w:left="340" w:hanging="340"/>
    </w:pPr>
    <w:rPr>
      <w:rFonts w:eastAsia="MS Mincho"/>
      <w:b/>
      <w:bCs/>
      <w:lang w:val="en-US" w:eastAsia="en-US"/>
    </w:rPr>
  </w:style>
  <w:style w:type="paragraph" w:customStyle="1" w:styleId="xl57">
    <w:name w:val="xl57"/>
    <w:basedOn w:val="Normal"/>
    <w:pPr>
      <w:shd w:val="clear" w:color="auto" w:fill="FFFFFF"/>
      <w:spacing w:before="100" w:beforeAutospacing="1" w:after="100" w:afterAutospacing="1"/>
      <w:jc w:val="center"/>
    </w:pPr>
    <w:rPr>
      <w:rFonts w:ascii="Arial Unicode MS" w:hAnsi="Arial Unicode MS" w:cs="Courier New"/>
      <w:sz w:val="12"/>
      <w:szCs w:val="12"/>
      <w:lang w:eastAsia="en-US"/>
    </w:rPr>
  </w:style>
  <w:style w:type="paragraph" w:customStyle="1" w:styleId="xl58">
    <w:name w:val="xl58"/>
    <w:basedOn w:val="Normal"/>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b/>
      <w:bCs/>
      <w:sz w:val="12"/>
      <w:szCs w:val="12"/>
      <w:lang w:eastAsia="en-US"/>
    </w:rPr>
  </w:style>
  <w:style w:type="paragraph" w:customStyle="1" w:styleId="xl59">
    <w:name w:val="xl59"/>
    <w:basedOn w:val="Normal"/>
    <w:pPr>
      <w:shd w:val="clear" w:color="auto" w:fill="FFFFFF"/>
      <w:spacing w:before="100" w:beforeAutospacing="1" w:after="100" w:afterAutospacing="1"/>
      <w:jc w:val="center"/>
    </w:pPr>
    <w:rPr>
      <w:rFonts w:ascii="Arial Unicode MS" w:hAnsi="Arial Unicode MS" w:cs="Courier New"/>
      <w:b/>
      <w:bCs/>
      <w:sz w:val="12"/>
      <w:szCs w:val="12"/>
      <w:lang w:eastAsia="en-US"/>
    </w:rPr>
  </w:style>
  <w:style w:type="paragraph" w:customStyle="1" w:styleId="xl60">
    <w:name w:val="xl60"/>
    <w:basedOn w:val="Normal"/>
    <w:pPr>
      <w:pBdr>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61">
    <w:name w:val="xl61"/>
    <w:basedOn w:val="Normal"/>
    <w:pPr>
      <w:pBdr>
        <w:top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sz w:val="12"/>
      <w:szCs w:val="12"/>
      <w:lang w:eastAsia="en-US"/>
    </w:rPr>
  </w:style>
  <w:style w:type="paragraph" w:customStyle="1" w:styleId="xl62">
    <w:name w:val="xl62"/>
    <w:basedOn w:val="Normal"/>
    <w:pPr>
      <w:pBdr>
        <w:top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b/>
      <w:bCs/>
      <w:sz w:val="12"/>
      <w:szCs w:val="12"/>
      <w:lang w:eastAsia="en-US"/>
    </w:rPr>
  </w:style>
  <w:style w:type="paragraph" w:customStyle="1" w:styleId="xl63">
    <w:name w:val="xl63"/>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64">
    <w:name w:val="xl64"/>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65">
    <w:name w:val="xl65"/>
    <w:basedOn w:val="Normal"/>
    <w:pPr>
      <w:pBdr>
        <w:top w:val="single" w:sz="4" w:space="0" w:color="auto"/>
      </w:pBdr>
      <w:shd w:val="clear" w:color="auto" w:fill="FFFFFF"/>
      <w:spacing w:before="100" w:beforeAutospacing="1" w:after="100" w:afterAutospacing="1"/>
      <w:jc w:val="center"/>
    </w:pPr>
    <w:rPr>
      <w:rFonts w:ascii="Arial Unicode MS" w:hAnsi="Arial Unicode MS" w:cs="Courier New"/>
      <w:sz w:val="12"/>
      <w:szCs w:val="12"/>
      <w:lang w:eastAsia="en-US"/>
    </w:rPr>
  </w:style>
  <w:style w:type="paragraph" w:customStyle="1" w:styleId="xl66">
    <w:name w:val="xl66"/>
    <w:basedOn w:val="Normal"/>
    <w:pPr>
      <w:pBdr>
        <w:top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67">
    <w:name w:val="xl67"/>
    <w:basedOn w:val="Normal"/>
    <w:pPr>
      <w:pBdr>
        <w:top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68">
    <w:name w:val="xl68"/>
    <w:basedOn w:val="Normal"/>
    <w:pPr>
      <w:pBdr>
        <w:bottom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69">
    <w:name w:val="xl69"/>
    <w:basedOn w:val="Normal"/>
    <w:pPr>
      <w:pBdr>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70">
    <w:name w:val="xl70"/>
    <w:basedOn w:val="Normal"/>
    <w:pPr>
      <w:pBdr>
        <w:top w:val="single" w:sz="4" w:space="0" w:color="auto"/>
        <w:left w:val="single" w:sz="4" w:space="0" w:color="auto"/>
        <w:right w:val="single" w:sz="4" w:space="0" w:color="auto"/>
      </w:pBdr>
      <w:spacing w:before="100" w:beforeAutospacing="1" w:after="100" w:afterAutospacing="1"/>
    </w:pPr>
    <w:rPr>
      <w:rFonts w:ascii="Arial Unicode MS" w:hAnsi="Arial Unicode MS" w:cs="Courier New"/>
      <w:sz w:val="12"/>
      <w:szCs w:val="12"/>
      <w:lang w:eastAsia="en-US"/>
    </w:rPr>
  </w:style>
  <w:style w:type="paragraph" w:customStyle="1" w:styleId="xl71">
    <w:name w:val="xl71"/>
    <w:basedOn w:val="Normal"/>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72">
    <w:name w:val="xl72"/>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73">
    <w:name w:val="xl73"/>
    <w:basedOn w:val="Normal"/>
    <w:pPr>
      <w:pBdr>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74">
    <w:name w:val="xl74"/>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sz w:val="12"/>
      <w:szCs w:val="12"/>
      <w:lang w:eastAsia="en-US"/>
    </w:rPr>
  </w:style>
  <w:style w:type="paragraph" w:customStyle="1" w:styleId="xl75">
    <w:name w:val="xl75"/>
    <w:basedOn w:val="Normal"/>
    <w:pPr>
      <w:pBdr>
        <w:righ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76">
    <w:name w:val="xl76"/>
    <w:basedOn w:val="Normal"/>
    <w:pPr>
      <w:pBdr>
        <w:left w:val="single" w:sz="4" w:space="0" w:color="auto"/>
      </w:pBdr>
      <w:shd w:val="clear" w:color="auto" w:fill="FFFFFF"/>
      <w:spacing w:before="100" w:beforeAutospacing="1" w:after="100" w:afterAutospacing="1"/>
      <w:jc w:val="center"/>
    </w:pPr>
    <w:rPr>
      <w:rFonts w:ascii="Arial Unicode MS" w:hAnsi="Arial Unicode MS" w:cs="Courier New"/>
      <w:b/>
      <w:bCs/>
      <w:sz w:val="12"/>
      <w:szCs w:val="12"/>
      <w:lang w:eastAsia="en-US"/>
    </w:rPr>
  </w:style>
  <w:style w:type="paragraph" w:customStyle="1" w:styleId="xl77">
    <w:name w:val="xl77"/>
    <w:basedOn w:val="Normal"/>
    <w:pPr>
      <w:pBdr>
        <w:right w:val="single" w:sz="4" w:space="0" w:color="auto"/>
      </w:pBdr>
      <w:shd w:val="clear" w:color="auto" w:fill="FFFFFF"/>
      <w:spacing w:before="100" w:beforeAutospacing="1" w:after="100" w:afterAutospacing="1"/>
      <w:jc w:val="center"/>
    </w:pPr>
    <w:rPr>
      <w:rFonts w:ascii="Arial Unicode MS" w:hAnsi="Arial Unicode MS" w:cs="Courier New"/>
      <w:b/>
      <w:bCs/>
      <w:sz w:val="12"/>
      <w:szCs w:val="12"/>
      <w:lang w:eastAsia="en-US"/>
    </w:rPr>
  </w:style>
  <w:style w:type="paragraph" w:customStyle="1" w:styleId="xl78">
    <w:name w:val="xl78"/>
    <w:basedOn w:val="Normal"/>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sz w:val="12"/>
      <w:szCs w:val="12"/>
      <w:lang w:eastAsia="en-US"/>
    </w:rPr>
  </w:style>
  <w:style w:type="paragraph" w:customStyle="1" w:styleId="xl79">
    <w:name w:val="xl79"/>
    <w:basedOn w:val="Normal"/>
    <w:pPr>
      <w:pBdr>
        <w:left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80">
    <w:name w:val="xl80"/>
    <w:basedOn w:val="Normal"/>
    <w:pPr>
      <w:pBdr>
        <w:right w:val="single" w:sz="4" w:space="0" w:color="auto"/>
      </w:pBdr>
      <w:shd w:val="clear" w:color="auto" w:fill="FFFFFF"/>
      <w:spacing w:before="100" w:beforeAutospacing="1" w:after="100" w:afterAutospacing="1"/>
    </w:pPr>
    <w:rPr>
      <w:rFonts w:ascii="Arial Unicode MS" w:hAnsi="Arial Unicode MS" w:cs="Courier New"/>
      <w:b/>
      <w:bCs/>
      <w:sz w:val="12"/>
      <w:szCs w:val="12"/>
      <w:lang w:eastAsia="en-US"/>
    </w:rPr>
  </w:style>
  <w:style w:type="paragraph" w:customStyle="1" w:styleId="xl81">
    <w:name w:val="xl81"/>
    <w:basedOn w:val="Normal"/>
    <w:pPr>
      <w:pBdr>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b/>
      <w:bCs/>
      <w:sz w:val="12"/>
      <w:szCs w:val="12"/>
      <w:lang w:eastAsia="en-US"/>
    </w:rPr>
  </w:style>
  <w:style w:type="paragraph" w:customStyle="1" w:styleId="xl82">
    <w:name w:val="xl82"/>
    <w:basedOn w:val="Normal"/>
    <w:pPr>
      <w:pBdr>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b/>
      <w:bCs/>
      <w:sz w:val="12"/>
      <w:szCs w:val="12"/>
      <w:lang w:eastAsia="en-US"/>
    </w:rPr>
  </w:style>
  <w:style w:type="paragraph" w:customStyle="1" w:styleId="xl83">
    <w:name w:val="xl83"/>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sz w:val="12"/>
      <w:szCs w:val="12"/>
      <w:lang w:eastAsia="en-US"/>
    </w:rPr>
  </w:style>
  <w:style w:type="paragraph" w:customStyle="1" w:styleId="xl84">
    <w:name w:val="xl84"/>
    <w:basedOn w:val="Normal"/>
    <w:pPr>
      <w:pBdr>
        <w:bottom w:val="single" w:sz="4" w:space="0" w:color="auto"/>
        <w:right w:val="single" w:sz="4" w:space="0" w:color="auto"/>
      </w:pBdr>
      <w:shd w:val="clear" w:color="auto" w:fill="FFFFFF"/>
      <w:spacing w:before="100" w:beforeAutospacing="1" w:after="100" w:afterAutospacing="1"/>
    </w:pPr>
    <w:rPr>
      <w:rFonts w:ascii="Arial Unicode MS" w:hAnsi="Arial Unicode MS" w:cs="Courier New"/>
      <w:b/>
      <w:bCs/>
      <w:sz w:val="12"/>
      <w:szCs w:val="12"/>
      <w:lang w:eastAsia="en-US"/>
    </w:rPr>
  </w:style>
  <w:style w:type="paragraph" w:customStyle="1" w:styleId="xl85">
    <w:name w:val="xl85"/>
    <w:basedOn w:val="Normal"/>
    <w:pPr>
      <w:pBdr>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sz w:val="12"/>
      <w:szCs w:val="12"/>
      <w:lang w:eastAsia="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87">
    <w:name w:val="xl87"/>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b/>
      <w:bCs/>
      <w:sz w:val="12"/>
      <w:szCs w:val="12"/>
      <w:lang w:eastAsia="en-U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90">
    <w:name w:val="xl90"/>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sz w:val="12"/>
      <w:szCs w:val="12"/>
      <w:lang w:eastAsia="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92">
    <w:name w:val="xl92"/>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93">
    <w:name w:val="xl93"/>
    <w:basedOn w:val="Normal"/>
    <w:pPr>
      <w:pBdr>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sz w:val="12"/>
      <w:szCs w:val="12"/>
      <w:lang w:eastAsia="en-US"/>
    </w:rPr>
  </w:style>
  <w:style w:type="paragraph" w:customStyle="1" w:styleId="xl94">
    <w:name w:val="xl94"/>
    <w:basedOn w:val="Normal"/>
    <w:pPr>
      <w:pBdr>
        <w:top w:val="single" w:sz="4" w:space="0" w:color="auto"/>
        <w:bottom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95">
    <w:name w:val="xl95"/>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96">
    <w:name w:val="xl96"/>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Unicode MS" w:hAnsi="Arial Unicode MS" w:cs="Courier New"/>
      <w:lang w:eastAsia="en-US"/>
    </w:rPr>
  </w:style>
  <w:style w:type="paragraph" w:customStyle="1" w:styleId="xl98">
    <w:name w:val="xl98"/>
    <w:basedOn w:val="Normal"/>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99">
    <w:name w:val="xl99"/>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100">
    <w:name w:val="xl100"/>
    <w:basedOn w:val="Normal"/>
    <w:pPr>
      <w:pBdr>
        <w:top w:val="single" w:sz="4" w:space="0" w:color="auto"/>
        <w:bottom w:val="single" w:sz="4" w:space="0" w:color="auto"/>
        <w:right w:val="single" w:sz="4" w:space="0" w:color="auto"/>
      </w:pBdr>
      <w:spacing w:before="100" w:beforeAutospacing="1" w:after="100" w:afterAutospacing="1"/>
    </w:pPr>
    <w:rPr>
      <w:rFonts w:ascii="Arial Unicode MS" w:hAnsi="Arial Unicode MS" w:cs="Courier New"/>
      <w:lang w:eastAsia="en-US"/>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sz w:val="12"/>
      <w:szCs w:val="12"/>
      <w:lang w:eastAsia="en-US"/>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03">
    <w:name w:val="xl103"/>
    <w:basedOn w:val="Normal"/>
    <w:pPr>
      <w:pBdr>
        <w:top w:val="single" w:sz="4" w:space="0" w:color="auto"/>
        <w:lef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b/>
      <w:bCs/>
      <w:sz w:val="12"/>
      <w:szCs w:val="12"/>
      <w:lang w:eastAsia="en-US"/>
    </w:rPr>
  </w:style>
  <w:style w:type="paragraph" w:customStyle="1" w:styleId="xl105">
    <w:name w:val="xl105"/>
    <w:basedOn w:val="Normal"/>
    <w:pPr>
      <w:pBdr>
        <w:top w:val="single" w:sz="4" w:space="0" w:color="auto"/>
        <w:bottom w:val="single" w:sz="4" w:space="0" w:color="auto"/>
      </w:pBdr>
      <w:spacing w:before="100" w:beforeAutospacing="1" w:after="100" w:afterAutospacing="1"/>
    </w:pPr>
    <w:rPr>
      <w:rFonts w:ascii="Arial Unicode MS" w:hAnsi="Arial Unicode MS" w:cs="Courier New"/>
      <w:b/>
      <w:bCs/>
      <w:sz w:val="12"/>
      <w:szCs w:val="12"/>
      <w:lang w:eastAsia="en-US"/>
    </w:rPr>
  </w:style>
  <w:style w:type="paragraph" w:customStyle="1" w:styleId="xl106">
    <w:name w:val="xl106"/>
    <w:basedOn w:val="Normal"/>
    <w:pPr>
      <w:pBdr>
        <w:top w:val="single" w:sz="4" w:space="0" w:color="auto"/>
        <w:left w:val="single" w:sz="4" w:space="0" w:color="auto"/>
        <w:right w:val="single" w:sz="4" w:space="0" w:color="auto"/>
      </w:pBdr>
      <w:spacing w:before="100" w:beforeAutospacing="1" w:after="100" w:afterAutospacing="1"/>
    </w:pPr>
    <w:rPr>
      <w:rFonts w:ascii="Arial Unicode MS" w:hAnsi="Arial Unicode MS" w:cs="Courier New"/>
      <w:sz w:val="12"/>
      <w:szCs w:val="12"/>
      <w:lang w:eastAsia="en-US"/>
    </w:rPr>
  </w:style>
  <w:style w:type="paragraph" w:customStyle="1" w:styleId="xl107">
    <w:name w:val="xl107"/>
    <w:basedOn w:val="Normal"/>
    <w:pPr>
      <w:pBdr>
        <w:top w:val="single" w:sz="4" w:space="0" w:color="auto"/>
        <w:righ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08">
    <w:name w:val="xl108"/>
    <w:basedOn w:val="Normal"/>
    <w:pPr>
      <w:pBdr>
        <w:left w:val="single" w:sz="4" w:space="0" w:color="auto"/>
        <w:righ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Courier New"/>
      <w:b/>
      <w:bCs/>
      <w:sz w:val="12"/>
      <w:szCs w:val="12"/>
      <w:lang w:eastAsia="en-US"/>
    </w:rPr>
  </w:style>
  <w:style w:type="paragraph" w:customStyle="1" w:styleId="xl110">
    <w:name w:val="xl110"/>
    <w:basedOn w:val="Normal"/>
    <w:pPr>
      <w:pBdr>
        <w:top w:val="single" w:sz="4" w:space="0" w:color="auto"/>
        <w:bottom w:val="single" w:sz="4" w:space="0" w:color="auto"/>
      </w:pBdr>
      <w:spacing w:before="100" w:beforeAutospacing="1" w:after="100" w:afterAutospacing="1"/>
      <w:jc w:val="center"/>
    </w:pPr>
    <w:rPr>
      <w:rFonts w:ascii="Arial Unicode MS" w:hAnsi="Arial Unicode MS" w:cs="Courier New"/>
      <w:lang w:eastAsia="en-US"/>
    </w:rPr>
  </w:style>
  <w:style w:type="paragraph" w:customStyle="1" w:styleId="xl111">
    <w:name w:val="xl111"/>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lang w:eastAsia="en-US"/>
    </w:rPr>
  </w:style>
  <w:style w:type="paragraph" w:customStyle="1" w:styleId="xl112">
    <w:name w:val="xl112"/>
    <w:basedOn w:val="Normal"/>
    <w:pPr>
      <w:pBdr>
        <w:top w:val="single" w:sz="4" w:space="0" w:color="auto"/>
        <w:left w:val="single" w:sz="4" w:space="0" w:color="auto"/>
        <w:bottom w:val="single" w:sz="4" w:space="0" w:color="auto"/>
      </w:pBdr>
      <w:spacing w:before="100" w:beforeAutospacing="1" w:after="100" w:afterAutospacing="1"/>
    </w:pPr>
    <w:rPr>
      <w:rFonts w:ascii="Arial Unicode MS" w:hAnsi="Arial Unicode MS" w:cs="Courier New"/>
      <w:b/>
      <w:bCs/>
      <w:sz w:val="12"/>
      <w:szCs w:val="12"/>
      <w:lang w:eastAsia="en-US"/>
    </w:rPr>
  </w:style>
  <w:style w:type="paragraph" w:customStyle="1" w:styleId="xl113">
    <w:name w:val="xl113"/>
    <w:basedOn w:val="Normal"/>
    <w:pPr>
      <w:pBdr>
        <w:top w:val="single" w:sz="4" w:space="0" w:color="auto"/>
        <w:bottom w:val="single" w:sz="4" w:space="0" w:color="auto"/>
      </w:pBdr>
      <w:spacing w:before="100" w:beforeAutospacing="1" w:after="100" w:afterAutospacing="1"/>
    </w:pPr>
    <w:rPr>
      <w:rFonts w:ascii="Arial Unicode MS" w:hAnsi="Arial Unicode MS" w:cs="Courier New"/>
      <w:sz w:val="12"/>
      <w:szCs w:val="12"/>
      <w:lang w:eastAsia="en-US"/>
    </w:rPr>
  </w:style>
  <w:style w:type="paragraph" w:customStyle="1" w:styleId="xl114">
    <w:name w:val="xl114"/>
    <w:basedOn w:val="Normal"/>
    <w:pPr>
      <w:pBdr>
        <w:right w:val="single" w:sz="4" w:space="0" w:color="auto"/>
      </w:pBdr>
      <w:spacing w:before="100" w:beforeAutospacing="1" w:after="100" w:afterAutospacing="1"/>
    </w:pPr>
    <w:rPr>
      <w:rFonts w:ascii="Arial Unicode MS" w:hAnsi="Arial Unicode MS" w:cs="Courier New"/>
      <w:sz w:val="12"/>
      <w:szCs w:val="12"/>
      <w:lang w:eastAsia="en-US"/>
    </w:rPr>
  </w:style>
  <w:style w:type="paragraph" w:customStyle="1" w:styleId="xl115">
    <w:name w:val="xl115"/>
    <w:basedOn w:val="Normal"/>
    <w:pPr>
      <w:pBdr>
        <w:lef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16">
    <w:name w:val="xl116"/>
    <w:basedOn w:val="Normal"/>
    <w:pPr>
      <w:spacing w:before="100" w:beforeAutospacing="1" w:after="100" w:afterAutospacing="1"/>
      <w:jc w:val="center"/>
    </w:pPr>
    <w:rPr>
      <w:rFonts w:ascii="Arial Unicode MS" w:hAnsi="Arial Unicode MS" w:cs="Courier New"/>
      <w:sz w:val="12"/>
      <w:szCs w:val="12"/>
      <w:lang w:eastAsia="en-US"/>
    </w:rPr>
  </w:style>
  <w:style w:type="paragraph" w:customStyle="1" w:styleId="xl117">
    <w:name w:val="xl117"/>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18">
    <w:name w:val="xl118"/>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19">
    <w:name w:val="xl119"/>
    <w:basedOn w:val="Normal"/>
    <w:pPr>
      <w:spacing w:before="100" w:beforeAutospacing="1" w:after="100" w:afterAutospacing="1"/>
      <w:jc w:val="center"/>
    </w:pPr>
    <w:rPr>
      <w:rFonts w:ascii="Arial Unicode MS" w:hAnsi="Arial Unicode MS" w:cs="Courier New"/>
      <w:sz w:val="12"/>
      <w:szCs w:val="12"/>
      <w:lang w:eastAsia="en-US"/>
    </w:rPr>
  </w:style>
  <w:style w:type="paragraph" w:customStyle="1" w:styleId="xl120">
    <w:name w:val="xl120"/>
    <w:basedOn w:val="Normal"/>
    <w:pPr>
      <w:pBdr>
        <w:top w:val="single" w:sz="4" w:space="0" w:color="auto"/>
        <w:righ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21">
    <w:name w:val="xl121"/>
    <w:basedOn w:val="Normal"/>
    <w:pPr>
      <w:pBdr>
        <w:top w:val="single" w:sz="4" w:space="0" w:color="auto"/>
        <w:lef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22">
    <w:name w:val="xl122"/>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23">
    <w:name w:val="xl123"/>
    <w:basedOn w:val="Normal"/>
    <w:pPr>
      <w:pBdr>
        <w:bottom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24">
    <w:name w:val="xl124"/>
    <w:basedOn w:val="Normal"/>
    <w:pPr>
      <w:pBdr>
        <w:left w:val="single" w:sz="4" w:space="0" w:color="auto"/>
        <w:bottom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25">
    <w:name w:val="xl125"/>
    <w:basedOn w:val="Normal"/>
    <w:pPr>
      <w:pBdr>
        <w:bottom w:val="single" w:sz="4" w:space="0" w:color="auto"/>
        <w:right w:val="single" w:sz="4" w:space="0" w:color="auto"/>
      </w:pBdr>
      <w:spacing w:before="100" w:beforeAutospacing="1" w:after="100" w:afterAutospacing="1"/>
    </w:pPr>
    <w:rPr>
      <w:rFonts w:ascii="Arial Unicode MS" w:hAnsi="Arial Unicode MS" w:cs="Courier New"/>
      <w:sz w:val="12"/>
      <w:szCs w:val="12"/>
      <w:lang w:eastAsia="en-US"/>
    </w:rPr>
  </w:style>
  <w:style w:type="paragraph" w:customStyle="1" w:styleId="xl126">
    <w:name w:val="xl126"/>
    <w:basedOn w:val="Normal"/>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2"/>
      <w:szCs w:val="12"/>
      <w:lang w:eastAsia="en-US"/>
    </w:rPr>
  </w:style>
  <w:style w:type="paragraph" w:customStyle="1" w:styleId="xl127">
    <w:name w:val="xl127"/>
    <w:basedOn w:val="Normal"/>
    <w:pPr>
      <w:pBdr>
        <w:top w:val="single" w:sz="4" w:space="0" w:color="auto"/>
        <w:bottom w:val="single" w:sz="8" w:space="0" w:color="auto"/>
      </w:pBdr>
      <w:spacing w:before="100" w:beforeAutospacing="1" w:after="100" w:afterAutospacing="1"/>
      <w:jc w:val="center"/>
    </w:pPr>
    <w:rPr>
      <w:rFonts w:ascii="Arial" w:hAnsi="Arial" w:cs="Arial"/>
      <w:b/>
      <w:bCs/>
      <w:sz w:val="12"/>
      <w:szCs w:val="12"/>
      <w:lang w:eastAsia="en-US"/>
    </w:rPr>
  </w:style>
  <w:style w:type="paragraph" w:customStyle="1" w:styleId="xl128">
    <w:name w:val="xl128"/>
    <w:basedOn w:val="Normal"/>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sz w:val="12"/>
      <w:szCs w:val="12"/>
      <w:lang w:eastAsia="en-US"/>
    </w:rPr>
  </w:style>
  <w:style w:type="paragraph" w:customStyle="1" w:styleId="xl129">
    <w:name w:val="xl12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cs="Courier New"/>
      <w:sz w:val="12"/>
      <w:szCs w:val="12"/>
      <w:lang w:eastAsia="en-US"/>
    </w:rPr>
  </w:style>
  <w:style w:type="paragraph" w:customStyle="1" w:styleId="xl130">
    <w:name w:val="xl13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cs="Courier New"/>
      <w:b/>
      <w:bCs/>
      <w:sz w:val="12"/>
      <w:szCs w:val="12"/>
      <w:lang w:eastAsia="en-US"/>
    </w:rPr>
  </w:style>
  <w:style w:type="paragraph" w:customStyle="1" w:styleId="xl131">
    <w:name w:val="xl131"/>
    <w:basedOn w:val="Normal"/>
    <w:pPr>
      <w:pBdr>
        <w:top w:val="single" w:sz="4" w:space="0" w:color="auto"/>
        <w:bottom w:val="single" w:sz="8" w:space="0" w:color="auto"/>
      </w:pBdr>
      <w:spacing w:before="100" w:beforeAutospacing="1" w:after="100" w:afterAutospacing="1"/>
      <w:jc w:val="center"/>
    </w:pPr>
    <w:rPr>
      <w:rFonts w:ascii="Arial Unicode MS" w:hAnsi="Arial Unicode MS" w:cs="Courier New"/>
      <w:b/>
      <w:bCs/>
      <w:sz w:val="12"/>
      <w:szCs w:val="12"/>
      <w:lang w:eastAsia="en-US"/>
    </w:rPr>
  </w:style>
  <w:style w:type="paragraph" w:customStyle="1" w:styleId="xl132">
    <w:name w:val="xl132"/>
    <w:basedOn w:val="Normal"/>
    <w:pPr>
      <w:pBdr>
        <w:top w:val="single" w:sz="4" w:space="0" w:color="auto"/>
        <w:bottom w:val="single" w:sz="8" w:space="0" w:color="auto"/>
      </w:pBdr>
      <w:spacing w:before="100" w:beforeAutospacing="1" w:after="100" w:afterAutospacing="1"/>
    </w:pPr>
    <w:rPr>
      <w:rFonts w:ascii="Arial Unicode MS" w:hAnsi="Arial Unicode MS" w:cs="Courier New"/>
      <w:sz w:val="12"/>
      <w:szCs w:val="12"/>
      <w:lang w:eastAsia="en-US"/>
    </w:rPr>
  </w:style>
  <w:style w:type="paragraph" w:customStyle="1" w:styleId="xl133">
    <w:name w:val="xl133"/>
    <w:basedOn w:val="Normal"/>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sz w:val="12"/>
      <w:szCs w:val="12"/>
      <w:lang w:eastAsia="en-US"/>
    </w:rPr>
  </w:style>
  <w:style w:type="paragraph" w:customStyle="1" w:styleId="xl134">
    <w:name w:val="xl134"/>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Courier New"/>
      <w:sz w:val="12"/>
      <w:szCs w:val="12"/>
      <w:lang w:eastAsia="en-US"/>
    </w:rPr>
  </w:style>
  <w:style w:type="paragraph" w:customStyle="1" w:styleId="xl135">
    <w:name w:val="xl13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Courier New"/>
      <w:lang w:eastAsia="en-US"/>
    </w:rPr>
  </w:style>
  <w:style w:type="paragraph" w:customStyle="1" w:styleId="xl136">
    <w:name w:val="xl136"/>
    <w:basedOn w:val="Normal"/>
    <w:pPr>
      <w:pBdr>
        <w:top w:val="single" w:sz="4" w:space="0" w:color="auto"/>
        <w:bottom w:val="single" w:sz="4" w:space="0" w:color="auto"/>
      </w:pBdr>
      <w:spacing w:before="100" w:beforeAutospacing="1" w:after="100" w:afterAutospacing="1"/>
    </w:pPr>
    <w:rPr>
      <w:rFonts w:ascii="Arial Unicode MS" w:hAnsi="Arial Unicode MS" w:cs="Courier New"/>
      <w:lang w:eastAsia="en-US"/>
    </w:rPr>
  </w:style>
  <w:style w:type="paragraph" w:customStyle="1" w:styleId="xl137">
    <w:name w:val="xl137"/>
    <w:basedOn w:val="Normal"/>
    <w:pPr>
      <w:pBdr>
        <w:top w:val="single" w:sz="4" w:space="0" w:color="auto"/>
        <w:bottom w:val="single" w:sz="4" w:space="0" w:color="auto"/>
        <w:right w:val="single" w:sz="4" w:space="0" w:color="auto"/>
      </w:pBdr>
      <w:spacing w:before="100" w:beforeAutospacing="1" w:after="100" w:afterAutospacing="1"/>
    </w:pPr>
    <w:rPr>
      <w:rFonts w:ascii="Arial Unicode MS" w:hAnsi="Arial Unicode MS" w:cs="Courier New"/>
      <w:lang w:eastAsia="en-US"/>
    </w:rPr>
  </w:style>
  <w:style w:type="paragraph" w:customStyle="1" w:styleId="xl138">
    <w:name w:val="xl138"/>
    <w:basedOn w:val="Normal"/>
    <w:pPr>
      <w:pBdr>
        <w:top w:val="single" w:sz="4" w:space="0" w:color="auto"/>
        <w:bottom w:val="single" w:sz="4" w:space="0" w:color="auto"/>
      </w:pBdr>
      <w:spacing w:before="100" w:beforeAutospacing="1" w:after="100" w:afterAutospacing="1"/>
    </w:pPr>
    <w:rPr>
      <w:rFonts w:ascii="Arial" w:hAnsi="Arial" w:cs="Arial"/>
      <w:b/>
      <w:bCs/>
      <w:sz w:val="12"/>
      <w:szCs w:val="12"/>
      <w:lang w:eastAsia="en-US"/>
    </w:rPr>
  </w:style>
  <w:style w:type="paragraph" w:customStyle="1" w:styleId="Anxhead">
    <w:name w:val="Anx head"/>
    <w:basedOn w:val="Normal"/>
    <w:rPr>
      <w:b/>
      <w:bCs/>
      <w:sz w:val="28"/>
      <w:szCs w:val="28"/>
      <w:lang w:eastAsia="en-US"/>
    </w:rPr>
  </w:style>
  <w:style w:type="paragraph" w:customStyle="1" w:styleId="Anxtitle">
    <w:name w:val="Anx title"/>
    <w:basedOn w:val="Normal"/>
    <w:pPr>
      <w:ind w:left="1247"/>
    </w:pPr>
    <w:rPr>
      <w:b/>
      <w:bCs/>
      <w:sz w:val="28"/>
      <w:szCs w:val="28"/>
      <w:lang w:eastAsia="en-US"/>
    </w:rPr>
  </w:style>
  <w:style w:type="paragraph" w:customStyle="1" w:styleId="Style10ptAfter6pt1">
    <w:name w:val="Style 10 pt After:  6 pt1"/>
    <w:basedOn w:val="Normal"/>
    <w:autoRedefine/>
    <w:pPr>
      <w:spacing w:after="120"/>
    </w:pPr>
    <w:rPr>
      <w:rFonts w:ascii="Arial" w:hAnsi="Arial"/>
      <w:sz w:val="18"/>
      <w:lang w:eastAsia="en-US"/>
    </w:rPr>
  </w:style>
  <w:style w:type="paragraph" w:customStyle="1" w:styleId="Heading311ptBold">
    <w:name w:val="Heading 3 + 11 pt Bold"/>
    <w:basedOn w:val="Heading3"/>
    <w:pPr>
      <w:tabs>
        <w:tab w:val="clear" w:pos="720"/>
      </w:tabs>
      <w:ind w:left="0" w:firstLine="0"/>
    </w:pPr>
    <w:rPr>
      <w:b w:val="0"/>
      <w:bCs/>
      <w:iCs/>
    </w:rPr>
  </w:style>
  <w:style w:type="paragraph" w:customStyle="1" w:styleId="Subtitle">
    <w:name w:val="Sub title"/>
    <w:basedOn w:val="Heading2"/>
    <w:pPr>
      <w:ind w:left="1247" w:firstLine="0"/>
    </w:pPr>
    <w:rPr>
      <w:snapToGrid/>
      <w:lang w:eastAsia="en-US"/>
    </w:rPr>
  </w:style>
  <w:style w:type="character" w:customStyle="1" w:styleId="maintextbldleft1">
    <w:name w:val="maintextbldleft1"/>
    <w:basedOn w:val="DefaultParagraphFont"/>
    <w:rPr>
      <w:rFonts w:ascii="Arial" w:hAnsi="Arial" w:cs="Arial" w:hint="default"/>
      <w:b/>
      <w:bCs/>
      <w:strike w:val="0"/>
      <w:dstrike w:val="0"/>
      <w:color w:val="000000"/>
      <w:sz w:val="18"/>
      <w:szCs w:val="18"/>
      <w:u w:val="none"/>
      <w:effect w:val="none"/>
    </w:rPr>
  </w:style>
  <w:style w:type="character" w:customStyle="1" w:styleId="maintextleft1">
    <w:name w:val="maintextleft1"/>
    <w:basedOn w:val="DefaultParagraphFont"/>
    <w:rPr>
      <w:rFonts w:ascii="Arial" w:hAnsi="Arial" w:cs="Arial" w:hint="default"/>
      <w:strike w:val="0"/>
      <w:dstrike w:val="0"/>
      <w:color w:val="000000"/>
      <w:sz w:val="18"/>
      <w:szCs w:val="18"/>
      <w:u w:val="none"/>
      <w:effect w:val="none"/>
    </w:rPr>
  </w:style>
  <w:style w:type="character" w:customStyle="1" w:styleId="Heading1Char2">
    <w:name w:val="Heading 1 Char2"/>
    <w:aliases w:val="Para (1) Char,Heading 1 Char1 Char Char1,Heading 1 Char Char Char Char,Para (1) Char Char Char Char,Para (1) Char1 Char Char,Heading 1 Char1 Char1,Heading 1 Char Char Char1,Para (1) Char Char Char1,Para (1) Char1 Char1"/>
    <w:basedOn w:val="DefaultParagraphFont"/>
    <w:rPr>
      <w:b/>
      <w:noProof w:val="0"/>
      <w:color w:val="000000"/>
      <w:sz w:val="28"/>
      <w:lang w:val="en-GB" w:eastAsia="zh-CN" w:bidi="ar-SA"/>
    </w:rPr>
  </w:style>
  <w:style w:type="character" w:customStyle="1" w:styleId="Heading2Char">
    <w:name w:val="Heading 2 Char"/>
    <w:aliases w:val="SubPara (a) Char"/>
    <w:basedOn w:val="Heading1Char2"/>
    <w:rPr>
      <w:b/>
      <w:noProof w:val="0"/>
      <w:snapToGrid w:val="0"/>
      <w:color w:val="000000"/>
      <w:sz w:val="24"/>
      <w:lang w:val="en-GB" w:eastAsia="zh-CN" w:bidi="ar-SA"/>
    </w:rPr>
  </w:style>
  <w:style w:type="character" w:customStyle="1" w:styleId="Heading3Char">
    <w:name w:val="Heading 3 Char"/>
    <w:basedOn w:val="Heading2Char"/>
    <w:rPr>
      <w:b/>
      <w:i/>
      <w:noProof w:val="0"/>
      <w:snapToGrid w:val="0"/>
      <w:color w:val="000000"/>
      <w:sz w:val="24"/>
      <w:lang w:val="en-GB" w:eastAsia="zh-CN" w:bidi="ar-SA"/>
    </w:rPr>
  </w:style>
  <w:style w:type="character" w:customStyle="1" w:styleId="Heading4Char">
    <w:name w:val="Heading 4 Char"/>
    <w:basedOn w:val="Heading3Char"/>
    <w:rPr>
      <w:b/>
      <w:i/>
      <w:noProof w:val="0"/>
      <w:snapToGrid w:val="0"/>
      <w:color w:val="000000"/>
      <w:sz w:val="22"/>
      <w:lang w:val="en-GB" w:eastAsia="zh-CN" w:bidi="ar-SA"/>
    </w:rPr>
  </w:style>
  <w:style w:type="paragraph" w:customStyle="1" w:styleId="StyleHeading311ptBold1">
    <w:name w:val="Style Heading 3 + 11 pt Bold1"/>
    <w:basedOn w:val="Heading3"/>
    <w:pPr>
      <w:tabs>
        <w:tab w:val="clear" w:pos="720"/>
      </w:tabs>
    </w:pPr>
    <w:rPr>
      <w:b w:val="0"/>
      <w:bCs/>
      <w:iCs/>
      <w:sz w:val="22"/>
    </w:rPr>
  </w:style>
  <w:style w:type="paragraph" w:customStyle="1" w:styleId="ANNEXES">
    <w:name w:val="ANNEXES"/>
    <w:basedOn w:val="Normal"/>
    <w:pPr>
      <w:tabs>
        <w:tab w:val="left" w:pos="1080"/>
      </w:tabs>
    </w:pPr>
    <w:rPr>
      <w:b/>
      <w:sz w:val="28"/>
    </w:rPr>
  </w:style>
  <w:style w:type="paragraph" w:customStyle="1" w:styleId="Executivesummary">
    <w:name w:val="Executive summary"/>
    <w:basedOn w:val="TOC1"/>
    <w:pPr>
      <w:spacing w:after="0"/>
      <w:ind w:left="0"/>
    </w:pPr>
    <w:rPr>
      <w:b w:val="0"/>
      <w:sz w:val="28"/>
    </w:rPr>
  </w:style>
  <w:style w:type="paragraph" w:customStyle="1" w:styleId="Execlevel2">
    <w:name w:val="Exec level2"/>
    <w:basedOn w:val="Anxhead"/>
    <w:rPr>
      <w:sz w:val="24"/>
    </w:rPr>
  </w:style>
  <w:style w:type="character" w:customStyle="1" w:styleId="AnxheadChar">
    <w:name w:val="Anx head Char"/>
    <w:basedOn w:val="DefaultParagraphFont"/>
    <w:rPr>
      <w:b/>
      <w:bCs/>
      <w:noProof w:val="0"/>
      <w:sz w:val="28"/>
      <w:szCs w:val="28"/>
      <w:lang w:val="en-GB" w:eastAsia="en-US" w:bidi="ar-SA"/>
    </w:rPr>
  </w:style>
  <w:style w:type="character" w:customStyle="1" w:styleId="Execlevel2Char">
    <w:name w:val="Exec level2 Char"/>
    <w:basedOn w:val="AnxheadChar"/>
    <w:rPr>
      <w:b/>
      <w:bCs/>
      <w:noProof w:val="0"/>
      <w:sz w:val="24"/>
      <w:szCs w:val="28"/>
      <w:lang w:val="en-GB" w:eastAsia="en-US" w:bidi="ar-SA"/>
    </w:rPr>
  </w:style>
  <w:style w:type="character" w:customStyle="1" w:styleId="a">
    <w:name w:val="_"/>
    <w:basedOn w:val="DefaultParagraphFont"/>
  </w:style>
  <w:style w:type="paragraph" w:styleId="CommentSubject">
    <w:name w:val="annotation subject"/>
    <w:basedOn w:val="CommentText"/>
    <w:next w:val="CommentText"/>
    <w:semiHidden/>
    <w:pPr>
      <w:widowControl/>
    </w:pPr>
    <w:rPr>
      <w:rFonts w:ascii="Times New Roman" w:hAnsi="Times New Roman"/>
      <w:b/>
      <w:lang w:val="en-US"/>
    </w:rPr>
  </w:style>
  <w:style w:type="paragraph" w:customStyle="1" w:styleId="Execlevel3">
    <w:name w:val="Exec level3"/>
    <w:basedOn w:val="Normal"/>
    <w:pPr>
      <w:tabs>
        <w:tab w:val="left" w:pos="1080"/>
      </w:tabs>
    </w:pPr>
    <w:rPr>
      <w:b/>
      <w:i/>
      <w:sz w:val="22"/>
    </w:rPr>
  </w:style>
  <w:style w:type="paragraph" w:customStyle="1" w:styleId="BodyText1">
    <w:name w:val="Body Text1"/>
    <w:basedOn w:val="Normal"/>
  </w:style>
  <w:style w:type="paragraph" w:customStyle="1" w:styleId="Indentedbodytext">
    <w:name w:val="Indented body text"/>
    <w:basedOn w:val="Normal"/>
    <w:autoRedefine/>
    <w:pPr>
      <w:tabs>
        <w:tab w:val="left" w:pos="1080"/>
      </w:tabs>
      <w:ind w:left="1077"/>
    </w:pPr>
    <w:rPr>
      <w:sz w:val="22"/>
    </w:rPr>
  </w:style>
  <w:style w:type="paragraph" w:customStyle="1" w:styleId="Indentedbullet">
    <w:name w:val="Indented bullet"/>
    <w:basedOn w:val="Indentedbodytext"/>
    <w:pPr>
      <w:numPr>
        <w:numId w:val="10"/>
      </w:numPr>
      <w:spacing w:after="240"/>
      <w:ind w:left="1434" w:hanging="357"/>
    </w:pPr>
  </w:style>
  <w:style w:type="paragraph" w:customStyle="1" w:styleId="Smallbullet">
    <w:name w:val="Small bullet"/>
    <w:basedOn w:val="BodyTextSmallBullets"/>
    <w:autoRedefine/>
    <w:pPr>
      <w:tabs>
        <w:tab w:val="clear" w:pos="425"/>
        <w:tab w:val="num" w:pos="426"/>
      </w:tabs>
      <w:spacing w:line="240" w:lineRule="auto"/>
      <w:ind w:left="425" w:hanging="425"/>
    </w:pPr>
  </w:style>
  <w:style w:type="paragraph" w:customStyle="1" w:styleId="Smallnumberedbullet">
    <w:name w:val="Small numbered bullet"/>
    <w:basedOn w:val="Smallbullet"/>
    <w:pPr>
      <w:numPr>
        <w:numId w:val="11"/>
      </w:numPr>
      <w:ind w:left="425" w:hanging="425"/>
    </w:pPr>
  </w:style>
  <w:style w:type="paragraph" w:styleId="ListParagraph">
    <w:name w:val="List Paragraph"/>
    <w:basedOn w:val="Normal"/>
    <w:uiPriority w:val="34"/>
    <w:qFormat/>
    <w:rsid w:val="003A4542"/>
    <w:pPr>
      <w:overflowPunct w:val="0"/>
      <w:autoSpaceDE w:val="0"/>
      <w:autoSpaceDN w:val="0"/>
      <w:adjustRightInd w:val="0"/>
      <w:ind w:left="720"/>
      <w:contextualSpacing/>
      <w:textAlignment w:val="baseline"/>
    </w:pPr>
    <w:rPr>
      <w:sz w:val="20"/>
      <w:lang w:eastAsia="en-US"/>
    </w:rPr>
  </w:style>
  <w:style w:type="paragraph" w:customStyle="1" w:styleId="0Heading0CharChar1Char">
    <w:name w:val="0 Heading 0 Char Char1 Char"/>
    <w:rPr>
      <w:rFonts w:ascii="Times New Roman" w:hAnsi="Times New Roman"/>
      <w:color w:val="000000"/>
      <w:lang w:val="en-GB"/>
    </w:rPr>
  </w:style>
  <w:style w:type="character" w:customStyle="1" w:styleId="0Heading0CharChar1CharChar">
    <w:name w:val="0 Heading 0 Char Char1 Char Char"/>
    <w:basedOn w:val="DefaultParagraphFont"/>
    <w:rPr>
      <w:noProof w:val="0"/>
      <w:color w:val="000000"/>
      <w:sz w:val="24"/>
      <w:lang w:val="en-GB" w:eastAsia="en-US" w:bidi="ar-SA"/>
    </w:rPr>
  </w:style>
  <w:style w:type="character" w:customStyle="1" w:styleId="HeaderChar">
    <w:name w:val="Header Char"/>
    <w:basedOn w:val="DefaultParagraphFont"/>
    <w:rPr>
      <w:noProof w:val="0"/>
      <w:color w:val="000000"/>
      <w:sz w:val="24"/>
      <w:lang w:val="en-GB" w:eastAsia="zh-CN"/>
    </w:rPr>
  </w:style>
  <w:style w:type="character" w:customStyle="1" w:styleId="FooterChar">
    <w:name w:val="Footer Char"/>
    <w:basedOn w:val="DefaultParagraphFont"/>
    <w:rPr>
      <w:noProof w:val="0"/>
      <w:color w:val="000000"/>
      <w:sz w:val="24"/>
      <w:lang w:val="en-GB" w:eastAsia="zh-CN"/>
    </w:rPr>
  </w:style>
  <w:style w:type="paragraph" w:customStyle="1" w:styleId="BodyText20">
    <w:name w:val="Body Text2"/>
    <w:basedOn w:val="Normal"/>
    <w:pPr>
      <w:spacing w:after="120" w:line="360" w:lineRule="auto"/>
    </w:pPr>
    <w:rPr>
      <w:rFonts w:ascii="Verdana" w:hAnsi="Verdana"/>
      <w:sz w:val="20"/>
      <w:lang w:eastAsia="en-US"/>
    </w:rPr>
  </w:style>
  <w:style w:type="table" w:styleId="TableGrid">
    <w:name w:val="Table Grid"/>
    <w:basedOn w:val="TableNormal"/>
    <w:uiPriority w:val="39"/>
    <w:rsid w:val="003A45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815EB3"/>
    <w:rPr>
      <w:rFonts w:ascii="Times New Roman" w:eastAsia="ヒラギノ角ゴ Pro W3" w:hAnsi="Times New Roman"/>
      <w:color w:val="000000"/>
      <w:sz w:val="20"/>
      <w:szCs w:val="20"/>
    </w:rPr>
  </w:style>
  <w:style w:type="paragraph" w:customStyle="1" w:styleId="BodyText10">
    <w:name w:val="Body Text1"/>
    <w:rsid w:val="00D92359"/>
    <w:pPr>
      <w:widowControl w:val="0"/>
      <w:spacing w:after="240" w:line="300" w:lineRule="atLeast"/>
    </w:pPr>
    <w:rPr>
      <w:rFonts w:ascii="Book Antiqua" w:eastAsia="ヒラギノ角ゴ Pro W3" w:hAnsi="Book Antiqua"/>
      <w:color w:val="000000"/>
      <w:szCs w:val="20"/>
      <w:lang w:val="en-GB"/>
    </w:rPr>
  </w:style>
  <w:style w:type="paragraph" w:customStyle="1" w:styleId="FreeForm">
    <w:name w:val="Free Form"/>
    <w:rsid w:val="00815EB3"/>
    <w:rPr>
      <w:rFonts w:ascii="Times New Roman" w:eastAsia="ヒラギノ角ゴ Pro W3" w:hAnsi="Times New Roman"/>
      <w:color w:val="000000"/>
      <w:sz w:val="20"/>
      <w:szCs w:val="20"/>
    </w:rPr>
  </w:style>
  <w:style w:type="paragraph" w:styleId="Revision">
    <w:name w:val="Revision"/>
    <w:hidden/>
    <w:uiPriority w:val="99"/>
    <w:semiHidden/>
    <w:rsid w:val="000844CF"/>
    <w:rPr>
      <w:rFonts w:ascii="Book Antiqua" w:hAnsi="Book Antiqua"/>
      <w:color w:val="000000"/>
      <w:lang w:val="en-GB" w:eastAsia="zh-CN"/>
    </w:rPr>
  </w:style>
  <w:style w:type="paragraph" w:customStyle="1" w:styleId="CCSNormalText">
    <w:name w:val="CCS Normal Text"/>
    <w:basedOn w:val="Normal"/>
    <w:link w:val="CCSNormalTextChar"/>
    <w:qFormat/>
    <w:rsid w:val="0002069C"/>
    <w:pPr>
      <w:spacing w:before="60" w:after="120"/>
    </w:pPr>
    <w:rPr>
      <w:rFonts w:ascii="Arial" w:eastAsiaTheme="minorHAnsi" w:hAnsi="Arial" w:cs="Arial"/>
      <w:sz w:val="22"/>
      <w:szCs w:val="22"/>
      <w:lang w:bidi="th-TH"/>
    </w:rPr>
  </w:style>
  <w:style w:type="character" w:customStyle="1" w:styleId="CCSNormalTextChar">
    <w:name w:val="CCS Normal Text Char"/>
    <w:basedOn w:val="DefaultParagraphFont"/>
    <w:link w:val="CCSNormalText"/>
    <w:rsid w:val="0002069C"/>
    <w:rPr>
      <w:rFonts w:ascii="Arial" w:eastAsiaTheme="minorHAnsi" w:hAnsi="Arial" w:cs="Arial"/>
      <w:sz w:val="22"/>
      <w:szCs w:val="22"/>
      <w:lang w:eastAsia="zh-CN" w:bidi="th-TH"/>
    </w:rPr>
  </w:style>
  <w:style w:type="character" w:customStyle="1" w:styleId="UnresolvedMention1">
    <w:name w:val="Unresolved Mention1"/>
    <w:basedOn w:val="DefaultParagraphFont"/>
    <w:uiPriority w:val="99"/>
    <w:semiHidden/>
    <w:unhideWhenUsed/>
    <w:rsid w:val="0094518B"/>
    <w:rPr>
      <w:color w:val="605E5C"/>
      <w:shd w:val="clear" w:color="auto" w:fill="E1DFDD"/>
    </w:rPr>
  </w:style>
  <w:style w:type="table" w:styleId="PlainTable1">
    <w:name w:val="Plain Table 1"/>
    <w:basedOn w:val="TableNormal"/>
    <w:uiPriority w:val="41"/>
    <w:rsid w:val="00FF63AE"/>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3802F8"/>
  </w:style>
  <w:style w:type="character" w:customStyle="1" w:styleId="BodyTextIndentChar">
    <w:name w:val="Body Text Indent Char"/>
    <w:basedOn w:val="DefaultParagraphFont"/>
    <w:link w:val="BodyTextIndent"/>
    <w:rsid w:val="00060691"/>
    <w:rPr>
      <w:rFonts w:ascii="Times New Roman" w:hAnsi="Times New Roman"/>
      <w:lang w:eastAsia="en-GB"/>
    </w:rPr>
  </w:style>
  <w:style w:type="character" w:customStyle="1" w:styleId="BodyTextChar">
    <w:name w:val="Body Text Char"/>
    <w:aliases w:val=" Char Char Char,Char Char Char"/>
    <w:basedOn w:val="DefaultParagraphFont"/>
    <w:link w:val="BodyText"/>
    <w:rsid w:val="00060691"/>
    <w:rPr>
      <w:rFonts w:ascii="Times New Roman" w:hAnsi="Times New Roman"/>
      <w:lang w:eastAsia="en-GB"/>
    </w:rPr>
  </w:style>
  <w:style w:type="character" w:customStyle="1" w:styleId="CommentTextChar">
    <w:name w:val="Comment Text Char"/>
    <w:basedOn w:val="DefaultParagraphFont"/>
    <w:link w:val="CommentText"/>
    <w:semiHidden/>
    <w:rsid w:val="008F024A"/>
    <w:rPr>
      <w:rFonts w:ascii="Arial" w:hAnsi="Arial"/>
      <w:sz w:val="20"/>
      <w:lang w:eastAsia="en-GB"/>
    </w:rPr>
  </w:style>
  <w:style w:type="character" w:styleId="UnresolvedMention">
    <w:name w:val="Unresolved Mention"/>
    <w:basedOn w:val="DefaultParagraphFont"/>
    <w:uiPriority w:val="99"/>
    <w:semiHidden/>
    <w:unhideWhenUsed/>
    <w:rsid w:val="00822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975">
      <w:bodyDiv w:val="1"/>
      <w:marLeft w:val="0"/>
      <w:marRight w:val="0"/>
      <w:marTop w:val="0"/>
      <w:marBottom w:val="0"/>
      <w:divBdr>
        <w:top w:val="none" w:sz="0" w:space="0" w:color="auto"/>
        <w:left w:val="none" w:sz="0" w:space="0" w:color="auto"/>
        <w:bottom w:val="none" w:sz="0" w:space="0" w:color="auto"/>
        <w:right w:val="none" w:sz="0" w:space="0" w:color="auto"/>
      </w:divBdr>
    </w:div>
    <w:div w:id="110319099">
      <w:bodyDiv w:val="1"/>
      <w:marLeft w:val="0"/>
      <w:marRight w:val="0"/>
      <w:marTop w:val="0"/>
      <w:marBottom w:val="0"/>
      <w:divBdr>
        <w:top w:val="none" w:sz="0" w:space="0" w:color="auto"/>
        <w:left w:val="none" w:sz="0" w:space="0" w:color="auto"/>
        <w:bottom w:val="none" w:sz="0" w:space="0" w:color="auto"/>
        <w:right w:val="none" w:sz="0" w:space="0" w:color="auto"/>
      </w:divBdr>
      <w:divsChild>
        <w:div w:id="364527784">
          <w:marLeft w:val="0"/>
          <w:marRight w:val="0"/>
          <w:marTop w:val="0"/>
          <w:marBottom w:val="0"/>
          <w:divBdr>
            <w:top w:val="none" w:sz="0" w:space="0" w:color="auto"/>
            <w:left w:val="none" w:sz="0" w:space="0" w:color="auto"/>
            <w:bottom w:val="none" w:sz="0" w:space="0" w:color="auto"/>
            <w:right w:val="none" w:sz="0" w:space="0" w:color="auto"/>
          </w:divBdr>
          <w:divsChild>
            <w:div w:id="2087723207">
              <w:marLeft w:val="0"/>
              <w:marRight w:val="0"/>
              <w:marTop w:val="0"/>
              <w:marBottom w:val="0"/>
              <w:divBdr>
                <w:top w:val="none" w:sz="0" w:space="0" w:color="auto"/>
                <w:left w:val="none" w:sz="0" w:space="0" w:color="auto"/>
                <w:bottom w:val="none" w:sz="0" w:space="0" w:color="auto"/>
                <w:right w:val="none" w:sz="0" w:space="0" w:color="auto"/>
              </w:divBdr>
              <w:divsChild>
                <w:div w:id="13510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7574">
      <w:bodyDiv w:val="1"/>
      <w:marLeft w:val="0"/>
      <w:marRight w:val="0"/>
      <w:marTop w:val="0"/>
      <w:marBottom w:val="0"/>
      <w:divBdr>
        <w:top w:val="none" w:sz="0" w:space="0" w:color="auto"/>
        <w:left w:val="none" w:sz="0" w:space="0" w:color="auto"/>
        <w:bottom w:val="none" w:sz="0" w:space="0" w:color="auto"/>
        <w:right w:val="none" w:sz="0" w:space="0" w:color="auto"/>
      </w:divBdr>
      <w:divsChild>
        <w:div w:id="697970995">
          <w:marLeft w:val="0"/>
          <w:marRight w:val="0"/>
          <w:marTop w:val="0"/>
          <w:marBottom w:val="0"/>
          <w:divBdr>
            <w:top w:val="none" w:sz="0" w:space="0" w:color="auto"/>
            <w:left w:val="none" w:sz="0" w:space="0" w:color="auto"/>
            <w:bottom w:val="none" w:sz="0" w:space="0" w:color="auto"/>
            <w:right w:val="none" w:sz="0" w:space="0" w:color="auto"/>
          </w:divBdr>
          <w:divsChild>
            <w:div w:id="6836678">
              <w:marLeft w:val="0"/>
              <w:marRight w:val="0"/>
              <w:marTop w:val="0"/>
              <w:marBottom w:val="0"/>
              <w:divBdr>
                <w:top w:val="none" w:sz="0" w:space="0" w:color="auto"/>
                <w:left w:val="none" w:sz="0" w:space="0" w:color="auto"/>
                <w:bottom w:val="none" w:sz="0" w:space="0" w:color="auto"/>
                <w:right w:val="none" w:sz="0" w:space="0" w:color="auto"/>
              </w:divBdr>
              <w:divsChild>
                <w:div w:id="1205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27695">
      <w:bodyDiv w:val="1"/>
      <w:marLeft w:val="0"/>
      <w:marRight w:val="0"/>
      <w:marTop w:val="0"/>
      <w:marBottom w:val="0"/>
      <w:divBdr>
        <w:top w:val="none" w:sz="0" w:space="0" w:color="auto"/>
        <w:left w:val="none" w:sz="0" w:space="0" w:color="auto"/>
        <w:bottom w:val="none" w:sz="0" w:space="0" w:color="auto"/>
        <w:right w:val="none" w:sz="0" w:space="0" w:color="auto"/>
      </w:divBdr>
      <w:divsChild>
        <w:div w:id="1021511794">
          <w:marLeft w:val="0"/>
          <w:marRight w:val="0"/>
          <w:marTop w:val="0"/>
          <w:marBottom w:val="0"/>
          <w:divBdr>
            <w:top w:val="none" w:sz="0" w:space="0" w:color="auto"/>
            <w:left w:val="none" w:sz="0" w:space="0" w:color="auto"/>
            <w:bottom w:val="none" w:sz="0" w:space="0" w:color="auto"/>
            <w:right w:val="none" w:sz="0" w:space="0" w:color="auto"/>
          </w:divBdr>
          <w:divsChild>
            <w:div w:id="2000500658">
              <w:marLeft w:val="0"/>
              <w:marRight w:val="0"/>
              <w:marTop w:val="0"/>
              <w:marBottom w:val="0"/>
              <w:divBdr>
                <w:top w:val="none" w:sz="0" w:space="0" w:color="auto"/>
                <w:left w:val="none" w:sz="0" w:space="0" w:color="auto"/>
                <w:bottom w:val="none" w:sz="0" w:space="0" w:color="auto"/>
                <w:right w:val="none" w:sz="0" w:space="0" w:color="auto"/>
              </w:divBdr>
              <w:divsChild>
                <w:div w:id="16903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416">
      <w:bodyDiv w:val="1"/>
      <w:marLeft w:val="0"/>
      <w:marRight w:val="0"/>
      <w:marTop w:val="0"/>
      <w:marBottom w:val="0"/>
      <w:divBdr>
        <w:top w:val="none" w:sz="0" w:space="0" w:color="auto"/>
        <w:left w:val="none" w:sz="0" w:space="0" w:color="auto"/>
        <w:bottom w:val="none" w:sz="0" w:space="0" w:color="auto"/>
        <w:right w:val="none" w:sz="0" w:space="0" w:color="auto"/>
      </w:divBdr>
      <w:divsChild>
        <w:div w:id="1725061507">
          <w:marLeft w:val="0"/>
          <w:marRight w:val="0"/>
          <w:marTop w:val="0"/>
          <w:marBottom w:val="0"/>
          <w:divBdr>
            <w:top w:val="none" w:sz="0" w:space="0" w:color="auto"/>
            <w:left w:val="none" w:sz="0" w:space="0" w:color="auto"/>
            <w:bottom w:val="none" w:sz="0" w:space="0" w:color="auto"/>
            <w:right w:val="none" w:sz="0" w:space="0" w:color="auto"/>
          </w:divBdr>
          <w:divsChild>
            <w:div w:id="206527267">
              <w:marLeft w:val="0"/>
              <w:marRight w:val="0"/>
              <w:marTop w:val="0"/>
              <w:marBottom w:val="0"/>
              <w:divBdr>
                <w:top w:val="none" w:sz="0" w:space="0" w:color="auto"/>
                <w:left w:val="none" w:sz="0" w:space="0" w:color="auto"/>
                <w:bottom w:val="none" w:sz="0" w:space="0" w:color="auto"/>
                <w:right w:val="none" w:sz="0" w:space="0" w:color="auto"/>
              </w:divBdr>
              <w:divsChild>
                <w:div w:id="11708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67547">
      <w:bodyDiv w:val="1"/>
      <w:marLeft w:val="0"/>
      <w:marRight w:val="0"/>
      <w:marTop w:val="0"/>
      <w:marBottom w:val="0"/>
      <w:divBdr>
        <w:top w:val="none" w:sz="0" w:space="0" w:color="auto"/>
        <w:left w:val="none" w:sz="0" w:space="0" w:color="auto"/>
        <w:bottom w:val="none" w:sz="0" w:space="0" w:color="auto"/>
        <w:right w:val="none" w:sz="0" w:space="0" w:color="auto"/>
      </w:divBdr>
      <w:divsChild>
        <w:div w:id="816342641">
          <w:marLeft w:val="0"/>
          <w:marRight w:val="0"/>
          <w:marTop w:val="0"/>
          <w:marBottom w:val="0"/>
          <w:divBdr>
            <w:top w:val="none" w:sz="0" w:space="0" w:color="auto"/>
            <w:left w:val="none" w:sz="0" w:space="0" w:color="auto"/>
            <w:bottom w:val="none" w:sz="0" w:space="0" w:color="auto"/>
            <w:right w:val="none" w:sz="0" w:space="0" w:color="auto"/>
          </w:divBdr>
          <w:divsChild>
            <w:div w:id="1860922106">
              <w:marLeft w:val="0"/>
              <w:marRight w:val="0"/>
              <w:marTop w:val="0"/>
              <w:marBottom w:val="0"/>
              <w:divBdr>
                <w:top w:val="none" w:sz="0" w:space="0" w:color="auto"/>
                <w:left w:val="none" w:sz="0" w:space="0" w:color="auto"/>
                <w:bottom w:val="none" w:sz="0" w:space="0" w:color="auto"/>
                <w:right w:val="none" w:sz="0" w:space="0" w:color="auto"/>
              </w:divBdr>
              <w:divsChild>
                <w:div w:id="10162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237">
      <w:bodyDiv w:val="1"/>
      <w:marLeft w:val="0"/>
      <w:marRight w:val="0"/>
      <w:marTop w:val="0"/>
      <w:marBottom w:val="0"/>
      <w:divBdr>
        <w:top w:val="none" w:sz="0" w:space="0" w:color="auto"/>
        <w:left w:val="none" w:sz="0" w:space="0" w:color="auto"/>
        <w:bottom w:val="none" w:sz="0" w:space="0" w:color="auto"/>
        <w:right w:val="none" w:sz="0" w:space="0" w:color="auto"/>
      </w:divBdr>
      <w:divsChild>
        <w:div w:id="1628122926">
          <w:marLeft w:val="0"/>
          <w:marRight w:val="0"/>
          <w:marTop w:val="0"/>
          <w:marBottom w:val="0"/>
          <w:divBdr>
            <w:top w:val="none" w:sz="0" w:space="0" w:color="auto"/>
            <w:left w:val="none" w:sz="0" w:space="0" w:color="auto"/>
            <w:bottom w:val="none" w:sz="0" w:space="0" w:color="auto"/>
            <w:right w:val="none" w:sz="0" w:space="0" w:color="auto"/>
          </w:divBdr>
          <w:divsChild>
            <w:div w:id="996571841">
              <w:marLeft w:val="0"/>
              <w:marRight w:val="0"/>
              <w:marTop w:val="0"/>
              <w:marBottom w:val="0"/>
              <w:divBdr>
                <w:top w:val="none" w:sz="0" w:space="0" w:color="auto"/>
                <w:left w:val="none" w:sz="0" w:space="0" w:color="auto"/>
                <w:bottom w:val="none" w:sz="0" w:space="0" w:color="auto"/>
                <w:right w:val="none" w:sz="0" w:space="0" w:color="auto"/>
              </w:divBdr>
              <w:divsChild>
                <w:div w:id="1842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1267">
      <w:bodyDiv w:val="1"/>
      <w:marLeft w:val="0"/>
      <w:marRight w:val="0"/>
      <w:marTop w:val="0"/>
      <w:marBottom w:val="0"/>
      <w:divBdr>
        <w:top w:val="none" w:sz="0" w:space="0" w:color="auto"/>
        <w:left w:val="none" w:sz="0" w:space="0" w:color="auto"/>
        <w:bottom w:val="none" w:sz="0" w:space="0" w:color="auto"/>
        <w:right w:val="none" w:sz="0" w:space="0" w:color="auto"/>
      </w:divBdr>
      <w:divsChild>
        <w:div w:id="594829106">
          <w:marLeft w:val="0"/>
          <w:marRight w:val="0"/>
          <w:marTop w:val="0"/>
          <w:marBottom w:val="0"/>
          <w:divBdr>
            <w:top w:val="none" w:sz="0" w:space="0" w:color="auto"/>
            <w:left w:val="none" w:sz="0" w:space="0" w:color="auto"/>
            <w:bottom w:val="none" w:sz="0" w:space="0" w:color="auto"/>
            <w:right w:val="none" w:sz="0" w:space="0" w:color="auto"/>
          </w:divBdr>
          <w:divsChild>
            <w:div w:id="380328720">
              <w:marLeft w:val="0"/>
              <w:marRight w:val="0"/>
              <w:marTop w:val="0"/>
              <w:marBottom w:val="0"/>
              <w:divBdr>
                <w:top w:val="none" w:sz="0" w:space="0" w:color="auto"/>
                <w:left w:val="none" w:sz="0" w:space="0" w:color="auto"/>
                <w:bottom w:val="none" w:sz="0" w:space="0" w:color="auto"/>
                <w:right w:val="none" w:sz="0" w:space="0" w:color="auto"/>
              </w:divBdr>
              <w:divsChild>
                <w:div w:id="593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43309">
      <w:bodyDiv w:val="1"/>
      <w:marLeft w:val="0"/>
      <w:marRight w:val="0"/>
      <w:marTop w:val="0"/>
      <w:marBottom w:val="0"/>
      <w:divBdr>
        <w:top w:val="none" w:sz="0" w:space="0" w:color="auto"/>
        <w:left w:val="none" w:sz="0" w:space="0" w:color="auto"/>
        <w:bottom w:val="none" w:sz="0" w:space="0" w:color="auto"/>
        <w:right w:val="none" w:sz="0" w:space="0" w:color="auto"/>
      </w:divBdr>
      <w:divsChild>
        <w:div w:id="1835993950">
          <w:marLeft w:val="0"/>
          <w:marRight w:val="0"/>
          <w:marTop w:val="0"/>
          <w:marBottom w:val="0"/>
          <w:divBdr>
            <w:top w:val="none" w:sz="0" w:space="0" w:color="auto"/>
            <w:left w:val="none" w:sz="0" w:space="0" w:color="auto"/>
            <w:bottom w:val="none" w:sz="0" w:space="0" w:color="auto"/>
            <w:right w:val="none" w:sz="0" w:space="0" w:color="auto"/>
          </w:divBdr>
          <w:divsChild>
            <w:div w:id="44302918">
              <w:marLeft w:val="0"/>
              <w:marRight w:val="0"/>
              <w:marTop w:val="0"/>
              <w:marBottom w:val="0"/>
              <w:divBdr>
                <w:top w:val="none" w:sz="0" w:space="0" w:color="auto"/>
                <w:left w:val="none" w:sz="0" w:space="0" w:color="auto"/>
                <w:bottom w:val="none" w:sz="0" w:space="0" w:color="auto"/>
                <w:right w:val="none" w:sz="0" w:space="0" w:color="auto"/>
              </w:divBdr>
              <w:divsChild>
                <w:div w:id="665204943">
                  <w:marLeft w:val="0"/>
                  <w:marRight w:val="0"/>
                  <w:marTop w:val="0"/>
                  <w:marBottom w:val="0"/>
                  <w:divBdr>
                    <w:top w:val="none" w:sz="0" w:space="0" w:color="auto"/>
                    <w:left w:val="none" w:sz="0" w:space="0" w:color="auto"/>
                    <w:bottom w:val="none" w:sz="0" w:space="0" w:color="auto"/>
                    <w:right w:val="none" w:sz="0" w:space="0" w:color="auto"/>
                  </w:divBdr>
                </w:div>
              </w:divsChild>
            </w:div>
            <w:div w:id="290329957">
              <w:marLeft w:val="0"/>
              <w:marRight w:val="0"/>
              <w:marTop w:val="0"/>
              <w:marBottom w:val="0"/>
              <w:divBdr>
                <w:top w:val="none" w:sz="0" w:space="0" w:color="auto"/>
                <w:left w:val="none" w:sz="0" w:space="0" w:color="auto"/>
                <w:bottom w:val="none" w:sz="0" w:space="0" w:color="auto"/>
                <w:right w:val="none" w:sz="0" w:space="0" w:color="auto"/>
              </w:divBdr>
              <w:divsChild>
                <w:div w:id="414983094">
                  <w:marLeft w:val="0"/>
                  <w:marRight w:val="0"/>
                  <w:marTop w:val="0"/>
                  <w:marBottom w:val="0"/>
                  <w:divBdr>
                    <w:top w:val="none" w:sz="0" w:space="0" w:color="auto"/>
                    <w:left w:val="none" w:sz="0" w:space="0" w:color="auto"/>
                    <w:bottom w:val="none" w:sz="0" w:space="0" w:color="auto"/>
                    <w:right w:val="none" w:sz="0" w:space="0" w:color="auto"/>
                  </w:divBdr>
                </w:div>
              </w:divsChild>
            </w:div>
            <w:div w:id="681278865">
              <w:marLeft w:val="0"/>
              <w:marRight w:val="0"/>
              <w:marTop w:val="0"/>
              <w:marBottom w:val="0"/>
              <w:divBdr>
                <w:top w:val="none" w:sz="0" w:space="0" w:color="auto"/>
                <w:left w:val="none" w:sz="0" w:space="0" w:color="auto"/>
                <w:bottom w:val="none" w:sz="0" w:space="0" w:color="auto"/>
                <w:right w:val="none" w:sz="0" w:space="0" w:color="auto"/>
              </w:divBdr>
              <w:divsChild>
                <w:div w:id="451675638">
                  <w:marLeft w:val="0"/>
                  <w:marRight w:val="0"/>
                  <w:marTop w:val="0"/>
                  <w:marBottom w:val="0"/>
                  <w:divBdr>
                    <w:top w:val="none" w:sz="0" w:space="0" w:color="auto"/>
                    <w:left w:val="none" w:sz="0" w:space="0" w:color="auto"/>
                    <w:bottom w:val="none" w:sz="0" w:space="0" w:color="auto"/>
                    <w:right w:val="none" w:sz="0" w:space="0" w:color="auto"/>
                  </w:divBdr>
                </w:div>
              </w:divsChild>
            </w:div>
            <w:div w:id="887107585">
              <w:marLeft w:val="0"/>
              <w:marRight w:val="0"/>
              <w:marTop w:val="0"/>
              <w:marBottom w:val="0"/>
              <w:divBdr>
                <w:top w:val="none" w:sz="0" w:space="0" w:color="auto"/>
                <w:left w:val="none" w:sz="0" w:space="0" w:color="auto"/>
                <w:bottom w:val="none" w:sz="0" w:space="0" w:color="auto"/>
                <w:right w:val="none" w:sz="0" w:space="0" w:color="auto"/>
              </w:divBdr>
              <w:divsChild>
                <w:div w:id="1674139695">
                  <w:marLeft w:val="0"/>
                  <w:marRight w:val="0"/>
                  <w:marTop w:val="0"/>
                  <w:marBottom w:val="0"/>
                  <w:divBdr>
                    <w:top w:val="none" w:sz="0" w:space="0" w:color="auto"/>
                    <w:left w:val="none" w:sz="0" w:space="0" w:color="auto"/>
                    <w:bottom w:val="none" w:sz="0" w:space="0" w:color="auto"/>
                    <w:right w:val="none" w:sz="0" w:space="0" w:color="auto"/>
                  </w:divBdr>
                </w:div>
              </w:divsChild>
            </w:div>
            <w:div w:id="921716699">
              <w:marLeft w:val="0"/>
              <w:marRight w:val="0"/>
              <w:marTop w:val="0"/>
              <w:marBottom w:val="0"/>
              <w:divBdr>
                <w:top w:val="none" w:sz="0" w:space="0" w:color="auto"/>
                <w:left w:val="none" w:sz="0" w:space="0" w:color="auto"/>
                <w:bottom w:val="none" w:sz="0" w:space="0" w:color="auto"/>
                <w:right w:val="none" w:sz="0" w:space="0" w:color="auto"/>
              </w:divBdr>
              <w:divsChild>
                <w:div w:id="1470318131">
                  <w:marLeft w:val="0"/>
                  <w:marRight w:val="0"/>
                  <w:marTop w:val="0"/>
                  <w:marBottom w:val="0"/>
                  <w:divBdr>
                    <w:top w:val="none" w:sz="0" w:space="0" w:color="auto"/>
                    <w:left w:val="none" w:sz="0" w:space="0" w:color="auto"/>
                    <w:bottom w:val="none" w:sz="0" w:space="0" w:color="auto"/>
                    <w:right w:val="none" w:sz="0" w:space="0" w:color="auto"/>
                  </w:divBdr>
                </w:div>
              </w:divsChild>
            </w:div>
            <w:div w:id="926034621">
              <w:marLeft w:val="0"/>
              <w:marRight w:val="0"/>
              <w:marTop w:val="0"/>
              <w:marBottom w:val="0"/>
              <w:divBdr>
                <w:top w:val="none" w:sz="0" w:space="0" w:color="auto"/>
                <w:left w:val="none" w:sz="0" w:space="0" w:color="auto"/>
                <w:bottom w:val="none" w:sz="0" w:space="0" w:color="auto"/>
                <w:right w:val="none" w:sz="0" w:space="0" w:color="auto"/>
              </w:divBdr>
              <w:divsChild>
                <w:div w:id="898515534">
                  <w:marLeft w:val="0"/>
                  <w:marRight w:val="0"/>
                  <w:marTop w:val="0"/>
                  <w:marBottom w:val="0"/>
                  <w:divBdr>
                    <w:top w:val="none" w:sz="0" w:space="0" w:color="auto"/>
                    <w:left w:val="none" w:sz="0" w:space="0" w:color="auto"/>
                    <w:bottom w:val="none" w:sz="0" w:space="0" w:color="auto"/>
                    <w:right w:val="none" w:sz="0" w:space="0" w:color="auto"/>
                  </w:divBdr>
                </w:div>
              </w:divsChild>
            </w:div>
            <w:div w:id="1177039782">
              <w:marLeft w:val="0"/>
              <w:marRight w:val="0"/>
              <w:marTop w:val="0"/>
              <w:marBottom w:val="0"/>
              <w:divBdr>
                <w:top w:val="none" w:sz="0" w:space="0" w:color="auto"/>
                <w:left w:val="none" w:sz="0" w:space="0" w:color="auto"/>
                <w:bottom w:val="none" w:sz="0" w:space="0" w:color="auto"/>
                <w:right w:val="none" w:sz="0" w:space="0" w:color="auto"/>
              </w:divBdr>
              <w:divsChild>
                <w:div w:id="1703439052">
                  <w:marLeft w:val="0"/>
                  <w:marRight w:val="0"/>
                  <w:marTop w:val="0"/>
                  <w:marBottom w:val="0"/>
                  <w:divBdr>
                    <w:top w:val="none" w:sz="0" w:space="0" w:color="auto"/>
                    <w:left w:val="none" w:sz="0" w:space="0" w:color="auto"/>
                    <w:bottom w:val="none" w:sz="0" w:space="0" w:color="auto"/>
                    <w:right w:val="none" w:sz="0" w:space="0" w:color="auto"/>
                  </w:divBdr>
                </w:div>
              </w:divsChild>
            </w:div>
            <w:div w:id="1509753747">
              <w:marLeft w:val="0"/>
              <w:marRight w:val="0"/>
              <w:marTop w:val="0"/>
              <w:marBottom w:val="0"/>
              <w:divBdr>
                <w:top w:val="none" w:sz="0" w:space="0" w:color="auto"/>
                <w:left w:val="none" w:sz="0" w:space="0" w:color="auto"/>
                <w:bottom w:val="none" w:sz="0" w:space="0" w:color="auto"/>
                <w:right w:val="none" w:sz="0" w:space="0" w:color="auto"/>
              </w:divBdr>
              <w:divsChild>
                <w:div w:id="1101608212">
                  <w:marLeft w:val="0"/>
                  <w:marRight w:val="0"/>
                  <w:marTop w:val="0"/>
                  <w:marBottom w:val="0"/>
                  <w:divBdr>
                    <w:top w:val="none" w:sz="0" w:space="0" w:color="auto"/>
                    <w:left w:val="none" w:sz="0" w:space="0" w:color="auto"/>
                    <w:bottom w:val="none" w:sz="0" w:space="0" w:color="auto"/>
                    <w:right w:val="none" w:sz="0" w:space="0" w:color="auto"/>
                  </w:divBdr>
                </w:div>
              </w:divsChild>
            </w:div>
            <w:div w:id="1626035792">
              <w:marLeft w:val="0"/>
              <w:marRight w:val="0"/>
              <w:marTop w:val="0"/>
              <w:marBottom w:val="0"/>
              <w:divBdr>
                <w:top w:val="none" w:sz="0" w:space="0" w:color="auto"/>
                <w:left w:val="none" w:sz="0" w:space="0" w:color="auto"/>
                <w:bottom w:val="none" w:sz="0" w:space="0" w:color="auto"/>
                <w:right w:val="none" w:sz="0" w:space="0" w:color="auto"/>
              </w:divBdr>
              <w:divsChild>
                <w:div w:id="1912154064">
                  <w:marLeft w:val="0"/>
                  <w:marRight w:val="0"/>
                  <w:marTop w:val="0"/>
                  <w:marBottom w:val="0"/>
                  <w:divBdr>
                    <w:top w:val="none" w:sz="0" w:space="0" w:color="auto"/>
                    <w:left w:val="none" w:sz="0" w:space="0" w:color="auto"/>
                    <w:bottom w:val="none" w:sz="0" w:space="0" w:color="auto"/>
                    <w:right w:val="none" w:sz="0" w:space="0" w:color="auto"/>
                  </w:divBdr>
                </w:div>
              </w:divsChild>
            </w:div>
            <w:div w:id="1879782468">
              <w:marLeft w:val="0"/>
              <w:marRight w:val="0"/>
              <w:marTop w:val="0"/>
              <w:marBottom w:val="0"/>
              <w:divBdr>
                <w:top w:val="none" w:sz="0" w:space="0" w:color="auto"/>
                <w:left w:val="none" w:sz="0" w:space="0" w:color="auto"/>
                <w:bottom w:val="none" w:sz="0" w:space="0" w:color="auto"/>
                <w:right w:val="none" w:sz="0" w:space="0" w:color="auto"/>
              </w:divBdr>
              <w:divsChild>
                <w:div w:id="1991403090">
                  <w:marLeft w:val="0"/>
                  <w:marRight w:val="0"/>
                  <w:marTop w:val="0"/>
                  <w:marBottom w:val="0"/>
                  <w:divBdr>
                    <w:top w:val="none" w:sz="0" w:space="0" w:color="auto"/>
                    <w:left w:val="none" w:sz="0" w:space="0" w:color="auto"/>
                    <w:bottom w:val="none" w:sz="0" w:space="0" w:color="auto"/>
                    <w:right w:val="none" w:sz="0" w:space="0" w:color="auto"/>
                  </w:divBdr>
                </w:div>
              </w:divsChild>
            </w:div>
            <w:div w:id="2033527935">
              <w:marLeft w:val="0"/>
              <w:marRight w:val="0"/>
              <w:marTop w:val="0"/>
              <w:marBottom w:val="0"/>
              <w:divBdr>
                <w:top w:val="none" w:sz="0" w:space="0" w:color="auto"/>
                <w:left w:val="none" w:sz="0" w:space="0" w:color="auto"/>
                <w:bottom w:val="none" w:sz="0" w:space="0" w:color="auto"/>
                <w:right w:val="none" w:sz="0" w:space="0" w:color="auto"/>
              </w:divBdr>
              <w:divsChild>
                <w:div w:id="4082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6053">
      <w:bodyDiv w:val="1"/>
      <w:marLeft w:val="0"/>
      <w:marRight w:val="0"/>
      <w:marTop w:val="0"/>
      <w:marBottom w:val="0"/>
      <w:divBdr>
        <w:top w:val="none" w:sz="0" w:space="0" w:color="auto"/>
        <w:left w:val="none" w:sz="0" w:space="0" w:color="auto"/>
        <w:bottom w:val="none" w:sz="0" w:space="0" w:color="auto"/>
        <w:right w:val="none" w:sz="0" w:space="0" w:color="auto"/>
      </w:divBdr>
      <w:divsChild>
        <w:div w:id="1328942882">
          <w:marLeft w:val="0"/>
          <w:marRight w:val="0"/>
          <w:marTop w:val="0"/>
          <w:marBottom w:val="0"/>
          <w:divBdr>
            <w:top w:val="none" w:sz="0" w:space="0" w:color="auto"/>
            <w:left w:val="none" w:sz="0" w:space="0" w:color="auto"/>
            <w:bottom w:val="none" w:sz="0" w:space="0" w:color="auto"/>
            <w:right w:val="none" w:sz="0" w:space="0" w:color="auto"/>
          </w:divBdr>
          <w:divsChild>
            <w:div w:id="56779828">
              <w:marLeft w:val="0"/>
              <w:marRight w:val="0"/>
              <w:marTop w:val="0"/>
              <w:marBottom w:val="0"/>
              <w:divBdr>
                <w:top w:val="none" w:sz="0" w:space="0" w:color="auto"/>
                <w:left w:val="none" w:sz="0" w:space="0" w:color="auto"/>
                <w:bottom w:val="none" w:sz="0" w:space="0" w:color="auto"/>
                <w:right w:val="none" w:sz="0" w:space="0" w:color="auto"/>
              </w:divBdr>
              <w:divsChild>
                <w:div w:id="15292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59765">
      <w:bodyDiv w:val="1"/>
      <w:marLeft w:val="0"/>
      <w:marRight w:val="0"/>
      <w:marTop w:val="0"/>
      <w:marBottom w:val="0"/>
      <w:divBdr>
        <w:top w:val="none" w:sz="0" w:space="0" w:color="auto"/>
        <w:left w:val="none" w:sz="0" w:space="0" w:color="auto"/>
        <w:bottom w:val="none" w:sz="0" w:space="0" w:color="auto"/>
        <w:right w:val="none" w:sz="0" w:space="0" w:color="auto"/>
      </w:divBdr>
    </w:div>
    <w:div w:id="533738674">
      <w:bodyDiv w:val="1"/>
      <w:marLeft w:val="0"/>
      <w:marRight w:val="0"/>
      <w:marTop w:val="0"/>
      <w:marBottom w:val="0"/>
      <w:divBdr>
        <w:top w:val="none" w:sz="0" w:space="0" w:color="auto"/>
        <w:left w:val="none" w:sz="0" w:space="0" w:color="auto"/>
        <w:bottom w:val="none" w:sz="0" w:space="0" w:color="auto"/>
        <w:right w:val="none" w:sz="0" w:space="0" w:color="auto"/>
      </w:divBdr>
    </w:div>
    <w:div w:id="609122209">
      <w:bodyDiv w:val="1"/>
      <w:marLeft w:val="0"/>
      <w:marRight w:val="0"/>
      <w:marTop w:val="0"/>
      <w:marBottom w:val="0"/>
      <w:divBdr>
        <w:top w:val="none" w:sz="0" w:space="0" w:color="auto"/>
        <w:left w:val="none" w:sz="0" w:space="0" w:color="auto"/>
        <w:bottom w:val="none" w:sz="0" w:space="0" w:color="auto"/>
        <w:right w:val="none" w:sz="0" w:space="0" w:color="auto"/>
      </w:divBdr>
      <w:divsChild>
        <w:div w:id="1514804176">
          <w:marLeft w:val="0"/>
          <w:marRight w:val="0"/>
          <w:marTop w:val="0"/>
          <w:marBottom w:val="0"/>
          <w:divBdr>
            <w:top w:val="none" w:sz="0" w:space="0" w:color="auto"/>
            <w:left w:val="none" w:sz="0" w:space="0" w:color="auto"/>
            <w:bottom w:val="none" w:sz="0" w:space="0" w:color="auto"/>
            <w:right w:val="none" w:sz="0" w:space="0" w:color="auto"/>
          </w:divBdr>
          <w:divsChild>
            <w:div w:id="574557254">
              <w:marLeft w:val="0"/>
              <w:marRight w:val="0"/>
              <w:marTop w:val="0"/>
              <w:marBottom w:val="0"/>
              <w:divBdr>
                <w:top w:val="none" w:sz="0" w:space="0" w:color="auto"/>
                <w:left w:val="none" w:sz="0" w:space="0" w:color="auto"/>
                <w:bottom w:val="none" w:sz="0" w:space="0" w:color="auto"/>
                <w:right w:val="none" w:sz="0" w:space="0" w:color="auto"/>
              </w:divBdr>
              <w:divsChild>
                <w:div w:id="16295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2862">
      <w:bodyDiv w:val="1"/>
      <w:marLeft w:val="0"/>
      <w:marRight w:val="0"/>
      <w:marTop w:val="0"/>
      <w:marBottom w:val="0"/>
      <w:divBdr>
        <w:top w:val="none" w:sz="0" w:space="0" w:color="auto"/>
        <w:left w:val="none" w:sz="0" w:space="0" w:color="auto"/>
        <w:bottom w:val="none" w:sz="0" w:space="0" w:color="auto"/>
        <w:right w:val="none" w:sz="0" w:space="0" w:color="auto"/>
      </w:divBdr>
      <w:divsChild>
        <w:div w:id="148526310">
          <w:marLeft w:val="0"/>
          <w:marRight w:val="0"/>
          <w:marTop w:val="0"/>
          <w:marBottom w:val="0"/>
          <w:divBdr>
            <w:top w:val="none" w:sz="0" w:space="0" w:color="auto"/>
            <w:left w:val="none" w:sz="0" w:space="0" w:color="auto"/>
            <w:bottom w:val="none" w:sz="0" w:space="0" w:color="auto"/>
            <w:right w:val="none" w:sz="0" w:space="0" w:color="auto"/>
          </w:divBdr>
          <w:divsChild>
            <w:div w:id="1830097965">
              <w:marLeft w:val="0"/>
              <w:marRight w:val="0"/>
              <w:marTop w:val="0"/>
              <w:marBottom w:val="0"/>
              <w:divBdr>
                <w:top w:val="none" w:sz="0" w:space="0" w:color="auto"/>
                <w:left w:val="none" w:sz="0" w:space="0" w:color="auto"/>
                <w:bottom w:val="none" w:sz="0" w:space="0" w:color="auto"/>
                <w:right w:val="none" w:sz="0" w:space="0" w:color="auto"/>
              </w:divBdr>
              <w:divsChild>
                <w:div w:id="8364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2307">
      <w:bodyDiv w:val="1"/>
      <w:marLeft w:val="0"/>
      <w:marRight w:val="0"/>
      <w:marTop w:val="0"/>
      <w:marBottom w:val="0"/>
      <w:divBdr>
        <w:top w:val="none" w:sz="0" w:space="0" w:color="auto"/>
        <w:left w:val="none" w:sz="0" w:space="0" w:color="auto"/>
        <w:bottom w:val="none" w:sz="0" w:space="0" w:color="auto"/>
        <w:right w:val="none" w:sz="0" w:space="0" w:color="auto"/>
      </w:divBdr>
    </w:div>
    <w:div w:id="643122899">
      <w:bodyDiv w:val="1"/>
      <w:marLeft w:val="0"/>
      <w:marRight w:val="0"/>
      <w:marTop w:val="0"/>
      <w:marBottom w:val="0"/>
      <w:divBdr>
        <w:top w:val="none" w:sz="0" w:space="0" w:color="auto"/>
        <w:left w:val="none" w:sz="0" w:space="0" w:color="auto"/>
        <w:bottom w:val="none" w:sz="0" w:space="0" w:color="auto"/>
        <w:right w:val="none" w:sz="0" w:space="0" w:color="auto"/>
      </w:divBdr>
    </w:div>
    <w:div w:id="682825231">
      <w:bodyDiv w:val="1"/>
      <w:marLeft w:val="0"/>
      <w:marRight w:val="0"/>
      <w:marTop w:val="0"/>
      <w:marBottom w:val="0"/>
      <w:divBdr>
        <w:top w:val="none" w:sz="0" w:space="0" w:color="auto"/>
        <w:left w:val="none" w:sz="0" w:space="0" w:color="auto"/>
        <w:bottom w:val="none" w:sz="0" w:space="0" w:color="auto"/>
        <w:right w:val="none" w:sz="0" w:space="0" w:color="auto"/>
      </w:divBdr>
    </w:div>
    <w:div w:id="696732503">
      <w:bodyDiv w:val="1"/>
      <w:marLeft w:val="0"/>
      <w:marRight w:val="0"/>
      <w:marTop w:val="0"/>
      <w:marBottom w:val="0"/>
      <w:divBdr>
        <w:top w:val="none" w:sz="0" w:space="0" w:color="auto"/>
        <w:left w:val="none" w:sz="0" w:space="0" w:color="auto"/>
        <w:bottom w:val="none" w:sz="0" w:space="0" w:color="auto"/>
        <w:right w:val="none" w:sz="0" w:space="0" w:color="auto"/>
      </w:divBdr>
      <w:divsChild>
        <w:div w:id="1433041022">
          <w:marLeft w:val="0"/>
          <w:marRight w:val="0"/>
          <w:marTop w:val="0"/>
          <w:marBottom w:val="0"/>
          <w:divBdr>
            <w:top w:val="none" w:sz="0" w:space="0" w:color="auto"/>
            <w:left w:val="none" w:sz="0" w:space="0" w:color="auto"/>
            <w:bottom w:val="none" w:sz="0" w:space="0" w:color="auto"/>
            <w:right w:val="none" w:sz="0" w:space="0" w:color="auto"/>
          </w:divBdr>
          <w:divsChild>
            <w:div w:id="1642925389">
              <w:marLeft w:val="0"/>
              <w:marRight w:val="0"/>
              <w:marTop w:val="0"/>
              <w:marBottom w:val="0"/>
              <w:divBdr>
                <w:top w:val="none" w:sz="0" w:space="0" w:color="auto"/>
                <w:left w:val="none" w:sz="0" w:space="0" w:color="auto"/>
                <w:bottom w:val="none" w:sz="0" w:space="0" w:color="auto"/>
                <w:right w:val="none" w:sz="0" w:space="0" w:color="auto"/>
              </w:divBdr>
              <w:divsChild>
                <w:div w:id="982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9754">
      <w:bodyDiv w:val="1"/>
      <w:marLeft w:val="0"/>
      <w:marRight w:val="0"/>
      <w:marTop w:val="0"/>
      <w:marBottom w:val="0"/>
      <w:divBdr>
        <w:top w:val="none" w:sz="0" w:space="0" w:color="auto"/>
        <w:left w:val="none" w:sz="0" w:space="0" w:color="auto"/>
        <w:bottom w:val="none" w:sz="0" w:space="0" w:color="auto"/>
        <w:right w:val="none" w:sz="0" w:space="0" w:color="auto"/>
      </w:divBdr>
      <w:divsChild>
        <w:div w:id="1933466291">
          <w:marLeft w:val="0"/>
          <w:marRight w:val="0"/>
          <w:marTop w:val="0"/>
          <w:marBottom w:val="0"/>
          <w:divBdr>
            <w:top w:val="none" w:sz="0" w:space="0" w:color="auto"/>
            <w:left w:val="none" w:sz="0" w:space="0" w:color="auto"/>
            <w:bottom w:val="none" w:sz="0" w:space="0" w:color="auto"/>
            <w:right w:val="none" w:sz="0" w:space="0" w:color="auto"/>
          </w:divBdr>
          <w:divsChild>
            <w:div w:id="818694382">
              <w:marLeft w:val="0"/>
              <w:marRight w:val="0"/>
              <w:marTop w:val="0"/>
              <w:marBottom w:val="0"/>
              <w:divBdr>
                <w:top w:val="none" w:sz="0" w:space="0" w:color="auto"/>
                <w:left w:val="none" w:sz="0" w:space="0" w:color="auto"/>
                <w:bottom w:val="none" w:sz="0" w:space="0" w:color="auto"/>
                <w:right w:val="none" w:sz="0" w:space="0" w:color="auto"/>
              </w:divBdr>
              <w:divsChild>
                <w:div w:id="17306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57158">
      <w:bodyDiv w:val="1"/>
      <w:marLeft w:val="0"/>
      <w:marRight w:val="0"/>
      <w:marTop w:val="0"/>
      <w:marBottom w:val="0"/>
      <w:divBdr>
        <w:top w:val="none" w:sz="0" w:space="0" w:color="auto"/>
        <w:left w:val="none" w:sz="0" w:space="0" w:color="auto"/>
        <w:bottom w:val="none" w:sz="0" w:space="0" w:color="auto"/>
        <w:right w:val="none" w:sz="0" w:space="0" w:color="auto"/>
      </w:divBdr>
    </w:div>
    <w:div w:id="712273051">
      <w:bodyDiv w:val="1"/>
      <w:marLeft w:val="0"/>
      <w:marRight w:val="0"/>
      <w:marTop w:val="0"/>
      <w:marBottom w:val="0"/>
      <w:divBdr>
        <w:top w:val="none" w:sz="0" w:space="0" w:color="auto"/>
        <w:left w:val="none" w:sz="0" w:space="0" w:color="auto"/>
        <w:bottom w:val="none" w:sz="0" w:space="0" w:color="auto"/>
        <w:right w:val="none" w:sz="0" w:space="0" w:color="auto"/>
      </w:divBdr>
      <w:divsChild>
        <w:div w:id="1183207234">
          <w:marLeft w:val="0"/>
          <w:marRight w:val="0"/>
          <w:marTop w:val="0"/>
          <w:marBottom w:val="0"/>
          <w:divBdr>
            <w:top w:val="none" w:sz="0" w:space="0" w:color="auto"/>
            <w:left w:val="none" w:sz="0" w:space="0" w:color="auto"/>
            <w:bottom w:val="none" w:sz="0" w:space="0" w:color="auto"/>
            <w:right w:val="none" w:sz="0" w:space="0" w:color="auto"/>
          </w:divBdr>
          <w:divsChild>
            <w:div w:id="2110076353">
              <w:marLeft w:val="0"/>
              <w:marRight w:val="0"/>
              <w:marTop w:val="0"/>
              <w:marBottom w:val="0"/>
              <w:divBdr>
                <w:top w:val="none" w:sz="0" w:space="0" w:color="auto"/>
                <w:left w:val="none" w:sz="0" w:space="0" w:color="auto"/>
                <w:bottom w:val="none" w:sz="0" w:space="0" w:color="auto"/>
                <w:right w:val="none" w:sz="0" w:space="0" w:color="auto"/>
              </w:divBdr>
              <w:divsChild>
                <w:div w:id="19054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30787">
      <w:bodyDiv w:val="1"/>
      <w:marLeft w:val="0"/>
      <w:marRight w:val="0"/>
      <w:marTop w:val="0"/>
      <w:marBottom w:val="0"/>
      <w:divBdr>
        <w:top w:val="none" w:sz="0" w:space="0" w:color="auto"/>
        <w:left w:val="none" w:sz="0" w:space="0" w:color="auto"/>
        <w:bottom w:val="none" w:sz="0" w:space="0" w:color="auto"/>
        <w:right w:val="none" w:sz="0" w:space="0" w:color="auto"/>
      </w:divBdr>
    </w:div>
    <w:div w:id="863789854">
      <w:bodyDiv w:val="1"/>
      <w:marLeft w:val="0"/>
      <w:marRight w:val="0"/>
      <w:marTop w:val="0"/>
      <w:marBottom w:val="0"/>
      <w:divBdr>
        <w:top w:val="none" w:sz="0" w:space="0" w:color="auto"/>
        <w:left w:val="none" w:sz="0" w:space="0" w:color="auto"/>
        <w:bottom w:val="none" w:sz="0" w:space="0" w:color="auto"/>
        <w:right w:val="none" w:sz="0" w:space="0" w:color="auto"/>
      </w:divBdr>
      <w:divsChild>
        <w:div w:id="1588032064">
          <w:marLeft w:val="0"/>
          <w:marRight w:val="0"/>
          <w:marTop w:val="0"/>
          <w:marBottom w:val="0"/>
          <w:divBdr>
            <w:top w:val="none" w:sz="0" w:space="0" w:color="auto"/>
            <w:left w:val="none" w:sz="0" w:space="0" w:color="auto"/>
            <w:bottom w:val="none" w:sz="0" w:space="0" w:color="auto"/>
            <w:right w:val="none" w:sz="0" w:space="0" w:color="auto"/>
          </w:divBdr>
          <w:divsChild>
            <w:div w:id="1936785897">
              <w:marLeft w:val="0"/>
              <w:marRight w:val="0"/>
              <w:marTop w:val="0"/>
              <w:marBottom w:val="0"/>
              <w:divBdr>
                <w:top w:val="none" w:sz="0" w:space="0" w:color="auto"/>
                <w:left w:val="none" w:sz="0" w:space="0" w:color="auto"/>
                <w:bottom w:val="none" w:sz="0" w:space="0" w:color="auto"/>
                <w:right w:val="none" w:sz="0" w:space="0" w:color="auto"/>
              </w:divBdr>
              <w:divsChild>
                <w:div w:id="12082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4789">
      <w:bodyDiv w:val="1"/>
      <w:marLeft w:val="0"/>
      <w:marRight w:val="0"/>
      <w:marTop w:val="0"/>
      <w:marBottom w:val="0"/>
      <w:divBdr>
        <w:top w:val="none" w:sz="0" w:space="0" w:color="auto"/>
        <w:left w:val="none" w:sz="0" w:space="0" w:color="auto"/>
        <w:bottom w:val="none" w:sz="0" w:space="0" w:color="auto"/>
        <w:right w:val="none" w:sz="0" w:space="0" w:color="auto"/>
      </w:divBdr>
      <w:divsChild>
        <w:div w:id="654602059">
          <w:marLeft w:val="0"/>
          <w:marRight w:val="0"/>
          <w:marTop w:val="0"/>
          <w:marBottom w:val="0"/>
          <w:divBdr>
            <w:top w:val="none" w:sz="0" w:space="0" w:color="auto"/>
            <w:left w:val="none" w:sz="0" w:space="0" w:color="auto"/>
            <w:bottom w:val="none" w:sz="0" w:space="0" w:color="auto"/>
            <w:right w:val="none" w:sz="0" w:space="0" w:color="auto"/>
          </w:divBdr>
          <w:divsChild>
            <w:div w:id="818496311">
              <w:marLeft w:val="0"/>
              <w:marRight w:val="0"/>
              <w:marTop w:val="0"/>
              <w:marBottom w:val="0"/>
              <w:divBdr>
                <w:top w:val="none" w:sz="0" w:space="0" w:color="auto"/>
                <w:left w:val="none" w:sz="0" w:space="0" w:color="auto"/>
                <w:bottom w:val="none" w:sz="0" w:space="0" w:color="auto"/>
                <w:right w:val="none" w:sz="0" w:space="0" w:color="auto"/>
              </w:divBdr>
              <w:divsChild>
                <w:div w:id="20353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8912">
      <w:bodyDiv w:val="1"/>
      <w:marLeft w:val="0"/>
      <w:marRight w:val="0"/>
      <w:marTop w:val="0"/>
      <w:marBottom w:val="0"/>
      <w:divBdr>
        <w:top w:val="none" w:sz="0" w:space="0" w:color="auto"/>
        <w:left w:val="none" w:sz="0" w:space="0" w:color="auto"/>
        <w:bottom w:val="none" w:sz="0" w:space="0" w:color="auto"/>
        <w:right w:val="none" w:sz="0" w:space="0" w:color="auto"/>
      </w:divBdr>
      <w:divsChild>
        <w:div w:id="763720550">
          <w:marLeft w:val="0"/>
          <w:marRight w:val="0"/>
          <w:marTop w:val="0"/>
          <w:marBottom w:val="0"/>
          <w:divBdr>
            <w:top w:val="none" w:sz="0" w:space="0" w:color="auto"/>
            <w:left w:val="none" w:sz="0" w:space="0" w:color="auto"/>
            <w:bottom w:val="none" w:sz="0" w:space="0" w:color="auto"/>
            <w:right w:val="none" w:sz="0" w:space="0" w:color="auto"/>
          </w:divBdr>
          <w:divsChild>
            <w:div w:id="1879705388">
              <w:marLeft w:val="0"/>
              <w:marRight w:val="0"/>
              <w:marTop w:val="0"/>
              <w:marBottom w:val="0"/>
              <w:divBdr>
                <w:top w:val="none" w:sz="0" w:space="0" w:color="auto"/>
                <w:left w:val="none" w:sz="0" w:space="0" w:color="auto"/>
                <w:bottom w:val="none" w:sz="0" w:space="0" w:color="auto"/>
                <w:right w:val="none" w:sz="0" w:space="0" w:color="auto"/>
              </w:divBdr>
              <w:divsChild>
                <w:div w:id="19861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2080">
      <w:bodyDiv w:val="1"/>
      <w:marLeft w:val="0"/>
      <w:marRight w:val="0"/>
      <w:marTop w:val="0"/>
      <w:marBottom w:val="0"/>
      <w:divBdr>
        <w:top w:val="none" w:sz="0" w:space="0" w:color="auto"/>
        <w:left w:val="none" w:sz="0" w:space="0" w:color="auto"/>
        <w:bottom w:val="none" w:sz="0" w:space="0" w:color="auto"/>
        <w:right w:val="none" w:sz="0" w:space="0" w:color="auto"/>
      </w:divBdr>
    </w:div>
    <w:div w:id="961304599">
      <w:bodyDiv w:val="1"/>
      <w:marLeft w:val="0"/>
      <w:marRight w:val="0"/>
      <w:marTop w:val="0"/>
      <w:marBottom w:val="0"/>
      <w:divBdr>
        <w:top w:val="none" w:sz="0" w:space="0" w:color="auto"/>
        <w:left w:val="none" w:sz="0" w:space="0" w:color="auto"/>
        <w:bottom w:val="none" w:sz="0" w:space="0" w:color="auto"/>
        <w:right w:val="none" w:sz="0" w:space="0" w:color="auto"/>
      </w:divBdr>
      <w:divsChild>
        <w:div w:id="1969356845">
          <w:marLeft w:val="0"/>
          <w:marRight w:val="0"/>
          <w:marTop w:val="0"/>
          <w:marBottom w:val="0"/>
          <w:divBdr>
            <w:top w:val="none" w:sz="0" w:space="0" w:color="auto"/>
            <w:left w:val="none" w:sz="0" w:space="0" w:color="auto"/>
            <w:bottom w:val="none" w:sz="0" w:space="0" w:color="auto"/>
            <w:right w:val="none" w:sz="0" w:space="0" w:color="auto"/>
          </w:divBdr>
          <w:divsChild>
            <w:div w:id="46415302">
              <w:marLeft w:val="0"/>
              <w:marRight w:val="0"/>
              <w:marTop w:val="0"/>
              <w:marBottom w:val="0"/>
              <w:divBdr>
                <w:top w:val="none" w:sz="0" w:space="0" w:color="auto"/>
                <w:left w:val="none" w:sz="0" w:space="0" w:color="auto"/>
                <w:bottom w:val="none" w:sz="0" w:space="0" w:color="auto"/>
                <w:right w:val="none" w:sz="0" w:space="0" w:color="auto"/>
              </w:divBdr>
              <w:divsChild>
                <w:div w:id="631834755">
                  <w:marLeft w:val="0"/>
                  <w:marRight w:val="0"/>
                  <w:marTop w:val="0"/>
                  <w:marBottom w:val="0"/>
                  <w:divBdr>
                    <w:top w:val="none" w:sz="0" w:space="0" w:color="auto"/>
                    <w:left w:val="none" w:sz="0" w:space="0" w:color="auto"/>
                    <w:bottom w:val="none" w:sz="0" w:space="0" w:color="auto"/>
                    <w:right w:val="none" w:sz="0" w:space="0" w:color="auto"/>
                  </w:divBdr>
                  <w:divsChild>
                    <w:div w:id="8282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4687">
      <w:bodyDiv w:val="1"/>
      <w:marLeft w:val="0"/>
      <w:marRight w:val="0"/>
      <w:marTop w:val="0"/>
      <w:marBottom w:val="0"/>
      <w:divBdr>
        <w:top w:val="none" w:sz="0" w:space="0" w:color="auto"/>
        <w:left w:val="none" w:sz="0" w:space="0" w:color="auto"/>
        <w:bottom w:val="none" w:sz="0" w:space="0" w:color="auto"/>
        <w:right w:val="none" w:sz="0" w:space="0" w:color="auto"/>
      </w:divBdr>
      <w:divsChild>
        <w:div w:id="1566256496">
          <w:marLeft w:val="0"/>
          <w:marRight w:val="0"/>
          <w:marTop w:val="0"/>
          <w:marBottom w:val="0"/>
          <w:divBdr>
            <w:top w:val="none" w:sz="0" w:space="0" w:color="auto"/>
            <w:left w:val="none" w:sz="0" w:space="0" w:color="auto"/>
            <w:bottom w:val="none" w:sz="0" w:space="0" w:color="auto"/>
            <w:right w:val="none" w:sz="0" w:space="0" w:color="auto"/>
          </w:divBdr>
          <w:divsChild>
            <w:div w:id="752632155">
              <w:marLeft w:val="0"/>
              <w:marRight w:val="0"/>
              <w:marTop w:val="0"/>
              <w:marBottom w:val="0"/>
              <w:divBdr>
                <w:top w:val="none" w:sz="0" w:space="0" w:color="auto"/>
                <w:left w:val="none" w:sz="0" w:space="0" w:color="auto"/>
                <w:bottom w:val="none" w:sz="0" w:space="0" w:color="auto"/>
                <w:right w:val="none" w:sz="0" w:space="0" w:color="auto"/>
              </w:divBdr>
              <w:divsChild>
                <w:div w:id="17886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074">
          <w:marLeft w:val="0"/>
          <w:marRight w:val="0"/>
          <w:marTop w:val="0"/>
          <w:marBottom w:val="0"/>
          <w:divBdr>
            <w:top w:val="none" w:sz="0" w:space="0" w:color="auto"/>
            <w:left w:val="none" w:sz="0" w:space="0" w:color="auto"/>
            <w:bottom w:val="none" w:sz="0" w:space="0" w:color="auto"/>
            <w:right w:val="none" w:sz="0" w:space="0" w:color="auto"/>
          </w:divBdr>
          <w:divsChild>
            <w:div w:id="930046532">
              <w:marLeft w:val="0"/>
              <w:marRight w:val="0"/>
              <w:marTop w:val="0"/>
              <w:marBottom w:val="0"/>
              <w:divBdr>
                <w:top w:val="none" w:sz="0" w:space="0" w:color="auto"/>
                <w:left w:val="none" w:sz="0" w:space="0" w:color="auto"/>
                <w:bottom w:val="none" w:sz="0" w:space="0" w:color="auto"/>
                <w:right w:val="none" w:sz="0" w:space="0" w:color="auto"/>
              </w:divBdr>
              <w:divsChild>
                <w:div w:id="778178949">
                  <w:marLeft w:val="0"/>
                  <w:marRight w:val="0"/>
                  <w:marTop w:val="0"/>
                  <w:marBottom w:val="0"/>
                  <w:divBdr>
                    <w:top w:val="none" w:sz="0" w:space="0" w:color="auto"/>
                    <w:left w:val="none" w:sz="0" w:space="0" w:color="auto"/>
                    <w:bottom w:val="none" w:sz="0" w:space="0" w:color="auto"/>
                    <w:right w:val="none" w:sz="0" w:space="0" w:color="auto"/>
                  </w:divBdr>
                </w:div>
              </w:divsChild>
            </w:div>
            <w:div w:id="2056201520">
              <w:marLeft w:val="0"/>
              <w:marRight w:val="0"/>
              <w:marTop w:val="0"/>
              <w:marBottom w:val="0"/>
              <w:divBdr>
                <w:top w:val="none" w:sz="0" w:space="0" w:color="auto"/>
                <w:left w:val="none" w:sz="0" w:space="0" w:color="auto"/>
                <w:bottom w:val="none" w:sz="0" w:space="0" w:color="auto"/>
                <w:right w:val="none" w:sz="0" w:space="0" w:color="auto"/>
              </w:divBdr>
              <w:divsChild>
                <w:div w:id="5443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5366">
      <w:bodyDiv w:val="1"/>
      <w:marLeft w:val="0"/>
      <w:marRight w:val="0"/>
      <w:marTop w:val="0"/>
      <w:marBottom w:val="0"/>
      <w:divBdr>
        <w:top w:val="none" w:sz="0" w:space="0" w:color="auto"/>
        <w:left w:val="none" w:sz="0" w:space="0" w:color="auto"/>
        <w:bottom w:val="none" w:sz="0" w:space="0" w:color="auto"/>
        <w:right w:val="none" w:sz="0" w:space="0" w:color="auto"/>
      </w:divBdr>
    </w:div>
    <w:div w:id="1081024182">
      <w:bodyDiv w:val="1"/>
      <w:marLeft w:val="0"/>
      <w:marRight w:val="0"/>
      <w:marTop w:val="0"/>
      <w:marBottom w:val="0"/>
      <w:divBdr>
        <w:top w:val="none" w:sz="0" w:space="0" w:color="auto"/>
        <w:left w:val="none" w:sz="0" w:space="0" w:color="auto"/>
        <w:bottom w:val="none" w:sz="0" w:space="0" w:color="auto"/>
        <w:right w:val="none" w:sz="0" w:space="0" w:color="auto"/>
      </w:divBdr>
      <w:divsChild>
        <w:div w:id="612326168">
          <w:marLeft w:val="0"/>
          <w:marRight w:val="0"/>
          <w:marTop w:val="0"/>
          <w:marBottom w:val="0"/>
          <w:divBdr>
            <w:top w:val="none" w:sz="0" w:space="0" w:color="auto"/>
            <w:left w:val="none" w:sz="0" w:space="0" w:color="auto"/>
            <w:bottom w:val="none" w:sz="0" w:space="0" w:color="auto"/>
            <w:right w:val="none" w:sz="0" w:space="0" w:color="auto"/>
          </w:divBdr>
          <w:divsChild>
            <w:div w:id="646058847">
              <w:marLeft w:val="0"/>
              <w:marRight w:val="0"/>
              <w:marTop w:val="0"/>
              <w:marBottom w:val="0"/>
              <w:divBdr>
                <w:top w:val="none" w:sz="0" w:space="0" w:color="auto"/>
                <w:left w:val="none" w:sz="0" w:space="0" w:color="auto"/>
                <w:bottom w:val="none" w:sz="0" w:space="0" w:color="auto"/>
                <w:right w:val="none" w:sz="0" w:space="0" w:color="auto"/>
              </w:divBdr>
              <w:divsChild>
                <w:div w:id="1544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2949">
      <w:bodyDiv w:val="1"/>
      <w:marLeft w:val="0"/>
      <w:marRight w:val="0"/>
      <w:marTop w:val="0"/>
      <w:marBottom w:val="0"/>
      <w:divBdr>
        <w:top w:val="none" w:sz="0" w:space="0" w:color="auto"/>
        <w:left w:val="none" w:sz="0" w:space="0" w:color="auto"/>
        <w:bottom w:val="none" w:sz="0" w:space="0" w:color="auto"/>
        <w:right w:val="none" w:sz="0" w:space="0" w:color="auto"/>
      </w:divBdr>
      <w:divsChild>
        <w:div w:id="1340355669">
          <w:marLeft w:val="0"/>
          <w:marRight w:val="0"/>
          <w:marTop w:val="0"/>
          <w:marBottom w:val="0"/>
          <w:divBdr>
            <w:top w:val="none" w:sz="0" w:space="0" w:color="auto"/>
            <w:left w:val="none" w:sz="0" w:space="0" w:color="auto"/>
            <w:bottom w:val="none" w:sz="0" w:space="0" w:color="auto"/>
            <w:right w:val="none" w:sz="0" w:space="0" w:color="auto"/>
          </w:divBdr>
          <w:divsChild>
            <w:div w:id="1251891672">
              <w:marLeft w:val="0"/>
              <w:marRight w:val="0"/>
              <w:marTop w:val="0"/>
              <w:marBottom w:val="0"/>
              <w:divBdr>
                <w:top w:val="none" w:sz="0" w:space="0" w:color="auto"/>
                <w:left w:val="none" w:sz="0" w:space="0" w:color="auto"/>
                <w:bottom w:val="none" w:sz="0" w:space="0" w:color="auto"/>
                <w:right w:val="none" w:sz="0" w:space="0" w:color="auto"/>
              </w:divBdr>
              <w:divsChild>
                <w:div w:id="11542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26515">
      <w:bodyDiv w:val="1"/>
      <w:marLeft w:val="0"/>
      <w:marRight w:val="0"/>
      <w:marTop w:val="0"/>
      <w:marBottom w:val="0"/>
      <w:divBdr>
        <w:top w:val="none" w:sz="0" w:space="0" w:color="auto"/>
        <w:left w:val="none" w:sz="0" w:space="0" w:color="auto"/>
        <w:bottom w:val="none" w:sz="0" w:space="0" w:color="auto"/>
        <w:right w:val="none" w:sz="0" w:space="0" w:color="auto"/>
      </w:divBdr>
    </w:div>
    <w:div w:id="1178159945">
      <w:bodyDiv w:val="1"/>
      <w:marLeft w:val="0"/>
      <w:marRight w:val="0"/>
      <w:marTop w:val="0"/>
      <w:marBottom w:val="0"/>
      <w:divBdr>
        <w:top w:val="none" w:sz="0" w:space="0" w:color="auto"/>
        <w:left w:val="none" w:sz="0" w:space="0" w:color="auto"/>
        <w:bottom w:val="none" w:sz="0" w:space="0" w:color="auto"/>
        <w:right w:val="none" w:sz="0" w:space="0" w:color="auto"/>
      </w:divBdr>
      <w:divsChild>
        <w:div w:id="635256541">
          <w:marLeft w:val="0"/>
          <w:marRight w:val="0"/>
          <w:marTop w:val="0"/>
          <w:marBottom w:val="0"/>
          <w:divBdr>
            <w:top w:val="none" w:sz="0" w:space="0" w:color="auto"/>
            <w:left w:val="none" w:sz="0" w:space="0" w:color="auto"/>
            <w:bottom w:val="none" w:sz="0" w:space="0" w:color="auto"/>
            <w:right w:val="none" w:sz="0" w:space="0" w:color="auto"/>
          </w:divBdr>
          <w:divsChild>
            <w:div w:id="926964503">
              <w:marLeft w:val="0"/>
              <w:marRight w:val="0"/>
              <w:marTop w:val="0"/>
              <w:marBottom w:val="0"/>
              <w:divBdr>
                <w:top w:val="none" w:sz="0" w:space="0" w:color="auto"/>
                <w:left w:val="none" w:sz="0" w:space="0" w:color="auto"/>
                <w:bottom w:val="none" w:sz="0" w:space="0" w:color="auto"/>
                <w:right w:val="none" w:sz="0" w:space="0" w:color="auto"/>
              </w:divBdr>
              <w:divsChild>
                <w:div w:id="18080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58210">
      <w:bodyDiv w:val="1"/>
      <w:marLeft w:val="0"/>
      <w:marRight w:val="0"/>
      <w:marTop w:val="0"/>
      <w:marBottom w:val="0"/>
      <w:divBdr>
        <w:top w:val="none" w:sz="0" w:space="0" w:color="auto"/>
        <w:left w:val="none" w:sz="0" w:space="0" w:color="auto"/>
        <w:bottom w:val="none" w:sz="0" w:space="0" w:color="auto"/>
        <w:right w:val="none" w:sz="0" w:space="0" w:color="auto"/>
      </w:divBdr>
    </w:div>
    <w:div w:id="1243834125">
      <w:bodyDiv w:val="1"/>
      <w:marLeft w:val="0"/>
      <w:marRight w:val="0"/>
      <w:marTop w:val="0"/>
      <w:marBottom w:val="0"/>
      <w:divBdr>
        <w:top w:val="none" w:sz="0" w:space="0" w:color="auto"/>
        <w:left w:val="none" w:sz="0" w:space="0" w:color="auto"/>
        <w:bottom w:val="none" w:sz="0" w:space="0" w:color="auto"/>
        <w:right w:val="none" w:sz="0" w:space="0" w:color="auto"/>
      </w:divBdr>
    </w:div>
    <w:div w:id="1251547914">
      <w:bodyDiv w:val="1"/>
      <w:marLeft w:val="0"/>
      <w:marRight w:val="0"/>
      <w:marTop w:val="0"/>
      <w:marBottom w:val="0"/>
      <w:divBdr>
        <w:top w:val="none" w:sz="0" w:space="0" w:color="auto"/>
        <w:left w:val="none" w:sz="0" w:space="0" w:color="auto"/>
        <w:bottom w:val="none" w:sz="0" w:space="0" w:color="auto"/>
        <w:right w:val="none" w:sz="0" w:space="0" w:color="auto"/>
      </w:divBdr>
    </w:div>
    <w:div w:id="1252667608">
      <w:bodyDiv w:val="1"/>
      <w:marLeft w:val="0"/>
      <w:marRight w:val="0"/>
      <w:marTop w:val="0"/>
      <w:marBottom w:val="0"/>
      <w:divBdr>
        <w:top w:val="none" w:sz="0" w:space="0" w:color="auto"/>
        <w:left w:val="none" w:sz="0" w:space="0" w:color="auto"/>
        <w:bottom w:val="none" w:sz="0" w:space="0" w:color="auto"/>
        <w:right w:val="none" w:sz="0" w:space="0" w:color="auto"/>
      </w:divBdr>
    </w:div>
    <w:div w:id="1266425659">
      <w:bodyDiv w:val="1"/>
      <w:marLeft w:val="0"/>
      <w:marRight w:val="0"/>
      <w:marTop w:val="0"/>
      <w:marBottom w:val="0"/>
      <w:divBdr>
        <w:top w:val="none" w:sz="0" w:space="0" w:color="auto"/>
        <w:left w:val="none" w:sz="0" w:space="0" w:color="auto"/>
        <w:bottom w:val="none" w:sz="0" w:space="0" w:color="auto"/>
        <w:right w:val="none" w:sz="0" w:space="0" w:color="auto"/>
      </w:divBdr>
    </w:div>
    <w:div w:id="1301694113">
      <w:bodyDiv w:val="1"/>
      <w:marLeft w:val="0"/>
      <w:marRight w:val="0"/>
      <w:marTop w:val="0"/>
      <w:marBottom w:val="0"/>
      <w:divBdr>
        <w:top w:val="none" w:sz="0" w:space="0" w:color="auto"/>
        <w:left w:val="none" w:sz="0" w:space="0" w:color="auto"/>
        <w:bottom w:val="none" w:sz="0" w:space="0" w:color="auto"/>
        <w:right w:val="none" w:sz="0" w:space="0" w:color="auto"/>
      </w:divBdr>
      <w:divsChild>
        <w:div w:id="483590610">
          <w:marLeft w:val="0"/>
          <w:marRight w:val="0"/>
          <w:marTop w:val="0"/>
          <w:marBottom w:val="0"/>
          <w:divBdr>
            <w:top w:val="none" w:sz="0" w:space="0" w:color="auto"/>
            <w:left w:val="none" w:sz="0" w:space="0" w:color="auto"/>
            <w:bottom w:val="none" w:sz="0" w:space="0" w:color="auto"/>
            <w:right w:val="none" w:sz="0" w:space="0" w:color="auto"/>
          </w:divBdr>
          <w:divsChild>
            <w:div w:id="51543493">
              <w:marLeft w:val="0"/>
              <w:marRight w:val="0"/>
              <w:marTop w:val="0"/>
              <w:marBottom w:val="0"/>
              <w:divBdr>
                <w:top w:val="none" w:sz="0" w:space="0" w:color="auto"/>
                <w:left w:val="none" w:sz="0" w:space="0" w:color="auto"/>
                <w:bottom w:val="none" w:sz="0" w:space="0" w:color="auto"/>
                <w:right w:val="none" w:sz="0" w:space="0" w:color="auto"/>
              </w:divBdr>
              <w:divsChild>
                <w:div w:id="11909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9913">
      <w:bodyDiv w:val="1"/>
      <w:marLeft w:val="0"/>
      <w:marRight w:val="0"/>
      <w:marTop w:val="0"/>
      <w:marBottom w:val="0"/>
      <w:divBdr>
        <w:top w:val="none" w:sz="0" w:space="0" w:color="auto"/>
        <w:left w:val="none" w:sz="0" w:space="0" w:color="auto"/>
        <w:bottom w:val="none" w:sz="0" w:space="0" w:color="auto"/>
        <w:right w:val="none" w:sz="0" w:space="0" w:color="auto"/>
      </w:divBdr>
      <w:divsChild>
        <w:div w:id="206769352">
          <w:marLeft w:val="0"/>
          <w:marRight w:val="0"/>
          <w:marTop w:val="0"/>
          <w:marBottom w:val="0"/>
          <w:divBdr>
            <w:top w:val="none" w:sz="0" w:space="0" w:color="auto"/>
            <w:left w:val="none" w:sz="0" w:space="0" w:color="auto"/>
            <w:bottom w:val="none" w:sz="0" w:space="0" w:color="auto"/>
            <w:right w:val="none" w:sz="0" w:space="0" w:color="auto"/>
          </w:divBdr>
          <w:divsChild>
            <w:div w:id="36466516">
              <w:marLeft w:val="0"/>
              <w:marRight w:val="0"/>
              <w:marTop w:val="0"/>
              <w:marBottom w:val="0"/>
              <w:divBdr>
                <w:top w:val="none" w:sz="0" w:space="0" w:color="auto"/>
                <w:left w:val="none" w:sz="0" w:space="0" w:color="auto"/>
                <w:bottom w:val="none" w:sz="0" w:space="0" w:color="auto"/>
                <w:right w:val="none" w:sz="0" w:space="0" w:color="auto"/>
              </w:divBdr>
              <w:divsChild>
                <w:div w:id="4452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6024">
      <w:bodyDiv w:val="1"/>
      <w:marLeft w:val="0"/>
      <w:marRight w:val="0"/>
      <w:marTop w:val="0"/>
      <w:marBottom w:val="0"/>
      <w:divBdr>
        <w:top w:val="none" w:sz="0" w:space="0" w:color="auto"/>
        <w:left w:val="none" w:sz="0" w:space="0" w:color="auto"/>
        <w:bottom w:val="none" w:sz="0" w:space="0" w:color="auto"/>
        <w:right w:val="none" w:sz="0" w:space="0" w:color="auto"/>
      </w:divBdr>
      <w:divsChild>
        <w:div w:id="1472409332">
          <w:marLeft w:val="0"/>
          <w:marRight w:val="0"/>
          <w:marTop w:val="0"/>
          <w:marBottom w:val="0"/>
          <w:divBdr>
            <w:top w:val="none" w:sz="0" w:space="0" w:color="auto"/>
            <w:left w:val="none" w:sz="0" w:space="0" w:color="auto"/>
            <w:bottom w:val="none" w:sz="0" w:space="0" w:color="auto"/>
            <w:right w:val="none" w:sz="0" w:space="0" w:color="auto"/>
          </w:divBdr>
          <w:divsChild>
            <w:div w:id="889077226">
              <w:marLeft w:val="0"/>
              <w:marRight w:val="0"/>
              <w:marTop w:val="0"/>
              <w:marBottom w:val="0"/>
              <w:divBdr>
                <w:top w:val="none" w:sz="0" w:space="0" w:color="auto"/>
                <w:left w:val="none" w:sz="0" w:space="0" w:color="auto"/>
                <w:bottom w:val="none" w:sz="0" w:space="0" w:color="auto"/>
                <w:right w:val="none" w:sz="0" w:space="0" w:color="auto"/>
              </w:divBdr>
              <w:divsChild>
                <w:div w:id="20748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7637">
      <w:bodyDiv w:val="1"/>
      <w:marLeft w:val="0"/>
      <w:marRight w:val="0"/>
      <w:marTop w:val="0"/>
      <w:marBottom w:val="0"/>
      <w:divBdr>
        <w:top w:val="none" w:sz="0" w:space="0" w:color="auto"/>
        <w:left w:val="none" w:sz="0" w:space="0" w:color="auto"/>
        <w:bottom w:val="none" w:sz="0" w:space="0" w:color="auto"/>
        <w:right w:val="none" w:sz="0" w:space="0" w:color="auto"/>
      </w:divBdr>
    </w:div>
    <w:div w:id="1447887375">
      <w:bodyDiv w:val="1"/>
      <w:marLeft w:val="0"/>
      <w:marRight w:val="0"/>
      <w:marTop w:val="0"/>
      <w:marBottom w:val="0"/>
      <w:divBdr>
        <w:top w:val="none" w:sz="0" w:space="0" w:color="auto"/>
        <w:left w:val="none" w:sz="0" w:space="0" w:color="auto"/>
        <w:bottom w:val="none" w:sz="0" w:space="0" w:color="auto"/>
        <w:right w:val="none" w:sz="0" w:space="0" w:color="auto"/>
      </w:divBdr>
      <w:divsChild>
        <w:div w:id="1470827827">
          <w:marLeft w:val="0"/>
          <w:marRight w:val="0"/>
          <w:marTop w:val="0"/>
          <w:marBottom w:val="0"/>
          <w:divBdr>
            <w:top w:val="none" w:sz="0" w:space="0" w:color="auto"/>
            <w:left w:val="none" w:sz="0" w:space="0" w:color="auto"/>
            <w:bottom w:val="none" w:sz="0" w:space="0" w:color="auto"/>
            <w:right w:val="none" w:sz="0" w:space="0" w:color="auto"/>
          </w:divBdr>
          <w:divsChild>
            <w:div w:id="268857371">
              <w:marLeft w:val="0"/>
              <w:marRight w:val="0"/>
              <w:marTop w:val="0"/>
              <w:marBottom w:val="0"/>
              <w:divBdr>
                <w:top w:val="none" w:sz="0" w:space="0" w:color="auto"/>
                <w:left w:val="none" w:sz="0" w:space="0" w:color="auto"/>
                <w:bottom w:val="none" w:sz="0" w:space="0" w:color="auto"/>
                <w:right w:val="none" w:sz="0" w:space="0" w:color="auto"/>
              </w:divBdr>
              <w:divsChild>
                <w:div w:id="18153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00629">
      <w:bodyDiv w:val="1"/>
      <w:marLeft w:val="0"/>
      <w:marRight w:val="0"/>
      <w:marTop w:val="0"/>
      <w:marBottom w:val="0"/>
      <w:divBdr>
        <w:top w:val="none" w:sz="0" w:space="0" w:color="auto"/>
        <w:left w:val="none" w:sz="0" w:space="0" w:color="auto"/>
        <w:bottom w:val="none" w:sz="0" w:space="0" w:color="auto"/>
        <w:right w:val="none" w:sz="0" w:space="0" w:color="auto"/>
      </w:divBdr>
      <w:divsChild>
        <w:div w:id="1868054938">
          <w:marLeft w:val="0"/>
          <w:marRight w:val="0"/>
          <w:marTop w:val="0"/>
          <w:marBottom w:val="0"/>
          <w:divBdr>
            <w:top w:val="none" w:sz="0" w:space="0" w:color="auto"/>
            <w:left w:val="none" w:sz="0" w:space="0" w:color="auto"/>
            <w:bottom w:val="none" w:sz="0" w:space="0" w:color="auto"/>
            <w:right w:val="none" w:sz="0" w:space="0" w:color="auto"/>
          </w:divBdr>
          <w:divsChild>
            <w:div w:id="1665889918">
              <w:marLeft w:val="0"/>
              <w:marRight w:val="0"/>
              <w:marTop w:val="0"/>
              <w:marBottom w:val="0"/>
              <w:divBdr>
                <w:top w:val="none" w:sz="0" w:space="0" w:color="auto"/>
                <w:left w:val="none" w:sz="0" w:space="0" w:color="auto"/>
                <w:bottom w:val="none" w:sz="0" w:space="0" w:color="auto"/>
                <w:right w:val="none" w:sz="0" w:space="0" w:color="auto"/>
              </w:divBdr>
              <w:divsChild>
                <w:div w:id="770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6518">
      <w:bodyDiv w:val="1"/>
      <w:marLeft w:val="0"/>
      <w:marRight w:val="0"/>
      <w:marTop w:val="0"/>
      <w:marBottom w:val="0"/>
      <w:divBdr>
        <w:top w:val="none" w:sz="0" w:space="0" w:color="auto"/>
        <w:left w:val="none" w:sz="0" w:space="0" w:color="auto"/>
        <w:bottom w:val="none" w:sz="0" w:space="0" w:color="auto"/>
        <w:right w:val="none" w:sz="0" w:space="0" w:color="auto"/>
      </w:divBdr>
    </w:div>
    <w:div w:id="1595433130">
      <w:bodyDiv w:val="1"/>
      <w:marLeft w:val="0"/>
      <w:marRight w:val="0"/>
      <w:marTop w:val="0"/>
      <w:marBottom w:val="0"/>
      <w:divBdr>
        <w:top w:val="none" w:sz="0" w:space="0" w:color="auto"/>
        <w:left w:val="none" w:sz="0" w:space="0" w:color="auto"/>
        <w:bottom w:val="none" w:sz="0" w:space="0" w:color="auto"/>
        <w:right w:val="none" w:sz="0" w:space="0" w:color="auto"/>
      </w:divBdr>
      <w:divsChild>
        <w:div w:id="904996279">
          <w:marLeft w:val="0"/>
          <w:marRight w:val="0"/>
          <w:marTop w:val="0"/>
          <w:marBottom w:val="0"/>
          <w:divBdr>
            <w:top w:val="none" w:sz="0" w:space="0" w:color="auto"/>
            <w:left w:val="none" w:sz="0" w:space="0" w:color="auto"/>
            <w:bottom w:val="none" w:sz="0" w:space="0" w:color="auto"/>
            <w:right w:val="none" w:sz="0" w:space="0" w:color="auto"/>
          </w:divBdr>
          <w:divsChild>
            <w:div w:id="1858958108">
              <w:marLeft w:val="0"/>
              <w:marRight w:val="0"/>
              <w:marTop w:val="0"/>
              <w:marBottom w:val="0"/>
              <w:divBdr>
                <w:top w:val="none" w:sz="0" w:space="0" w:color="auto"/>
                <w:left w:val="none" w:sz="0" w:space="0" w:color="auto"/>
                <w:bottom w:val="none" w:sz="0" w:space="0" w:color="auto"/>
                <w:right w:val="none" w:sz="0" w:space="0" w:color="auto"/>
              </w:divBdr>
              <w:divsChild>
                <w:div w:id="1922593332">
                  <w:marLeft w:val="0"/>
                  <w:marRight w:val="0"/>
                  <w:marTop w:val="0"/>
                  <w:marBottom w:val="0"/>
                  <w:divBdr>
                    <w:top w:val="none" w:sz="0" w:space="0" w:color="auto"/>
                    <w:left w:val="none" w:sz="0" w:space="0" w:color="auto"/>
                    <w:bottom w:val="none" w:sz="0" w:space="0" w:color="auto"/>
                    <w:right w:val="none" w:sz="0" w:space="0" w:color="auto"/>
                  </w:divBdr>
                  <w:divsChild>
                    <w:div w:id="1989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4853">
      <w:bodyDiv w:val="1"/>
      <w:marLeft w:val="0"/>
      <w:marRight w:val="0"/>
      <w:marTop w:val="0"/>
      <w:marBottom w:val="0"/>
      <w:divBdr>
        <w:top w:val="none" w:sz="0" w:space="0" w:color="auto"/>
        <w:left w:val="none" w:sz="0" w:space="0" w:color="auto"/>
        <w:bottom w:val="none" w:sz="0" w:space="0" w:color="auto"/>
        <w:right w:val="none" w:sz="0" w:space="0" w:color="auto"/>
      </w:divBdr>
      <w:divsChild>
        <w:div w:id="1096514378">
          <w:marLeft w:val="0"/>
          <w:marRight w:val="0"/>
          <w:marTop w:val="0"/>
          <w:marBottom w:val="0"/>
          <w:divBdr>
            <w:top w:val="none" w:sz="0" w:space="0" w:color="auto"/>
            <w:left w:val="none" w:sz="0" w:space="0" w:color="auto"/>
            <w:bottom w:val="none" w:sz="0" w:space="0" w:color="auto"/>
            <w:right w:val="none" w:sz="0" w:space="0" w:color="auto"/>
          </w:divBdr>
          <w:divsChild>
            <w:div w:id="1940990584">
              <w:marLeft w:val="0"/>
              <w:marRight w:val="0"/>
              <w:marTop w:val="0"/>
              <w:marBottom w:val="0"/>
              <w:divBdr>
                <w:top w:val="none" w:sz="0" w:space="0" w:color="auto"/>
                <w:left w:val="none" w:sz="0" w:space="0" w:color="auto"/>
                <w:bottom w:val="none" w:sz="0" w:space="0" w:color="auto"/>
                <w:right w:val="none" w:sz="0" w:space="0" w:color="auto"/>
              </w:divBdr>
              <w:divsChild>
                <w:div w:id="19579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2938">
      <w:bodyDiv w:val="1"/>
      <w:marLeft w:val="0"/>
      <w:marRight w:val="0"/>
      <w:marTop w:val="0"/>
      <w:marBottom w:val="0"/>
      <w:divBdr>
        <w:top w:val="none" w:sz="0" w:space="0" w:color="auto"/>
        <w:left w:val="none" w:sz="0" w:space="0" w:color="auto"/>
        <w:bottom w:val="none" w:sz="0" w:space="0" w:color="auto"/>
        <w:right w:val="none" w:sz="0" w:space="0" w:color="auto"/>
      </w:divBdr>
      <w:divsChild>
        <w:div w:id="1970014848">
          <w:marLeft w:val="0"/>
          <w:marRight w:val="0"/>
          <w:marTop w:val="0"/>
          <w:marBottom w:val="0"/>
          <w:divBdr>
            <w:top w:val="none" w:sz="0" w:space="0" w:color="auto"/>
            <w:left w:val="none" w:sz="0" w:space="0" w:color="auto"/>
            <w:bottom w:val="none" w:sz="0" w:space="0" w:color="auto"/>
            <w:right w:val="none" w:sz="0" w:space="0" w:color="auto"/>
          </w:divBdr>
          <w:divsChild>
            <w:div w:id="1979144294">
              <w:marLeft w:val="0"/>
              <w:marRight w:val="0"/>
              <w:marTop w:val="0"/>
              <w:marBottom w:val="0"/>
              <w:divBdr>
                <w:top w:val="none" w:sz="0" w:space="0" w:color="auto"/>
                <w:left w:val="none" w:sz="0" w:space="0" w:color="auto"/>
                <w:bottom w:val="none" w:sz="0" w:space="0" w:color="auto"/>
                <w:right w:val="none" w:sz="0" w:space="0" w:color="auto"/>
              </w:divBdr>
              <w:divsChild>
                <w:div w:id="7741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81618">
      <w:bodyDiv w:val="1"/>
      <w:marLeft w:val="0"/>
      <w:marRight w:val="0"/>
      <w:marTop w:val="0"/>
      <w:marBottom w:val="0"/>
      <w:divBdr>
        <w:top w:val="none" w:sz="0" w:space="0" w:color="auto"/>
        <w:left w:val="none" w:sz="0" w:space="0" w:color="auto"/>
        <w:bottom w:val="none" w:sz="0" w:space="0" w:color="auto"/>
        <w:right w:val="none" w:sz="0" w:space="0" w:color="auto"/>
      </w:divBdr>
      <w:divsChild>
        <w:div w:id="1125655951">
          <w:marLeft w:val="0"/>
          <w:marRight w:val="0"/>
          <w:marTop w:val="0"/>
          <w:marBottom w:val="0"/>
          <w:divBdr>
            <w:top w:val="none" w:sz="0" w:space="0" w:color="auto"/>
            <w:left w:val="none" w:sz="0" w:space="0" w:color="auto"/>
            <w:bottom w:val="none" w:sz="0" w:space="0" w:color="auto"/>
            <w:right w:val="none" w:sz="0" w:space="0" w:color="auto"/>
          </w:divBdr>
          <w:divsChild>
            <w:div w:id="363101164">
              <w:marLeft w:val="0"/>
              <w:marRight w:val="0"/>
              <w:marTop w:val="0"/>
              <w:marBottom w:val="0"/>
              <w:divBdr>
                <w:top w:val="none" w:sz="0" w:space="0" w:color="auto"/>
                <w:left w:val="none" w:sz="0" w:space="0" w:color="auto"/>
                <w:bottom w:val="none" w:sz="0" w:space="0" w:color="auto"/>
                <w:right w:val="none" w:sz="0" w:space="0" w:color="auto"/>
              </w:divBdr>
              <w:divsChild>
                <w:div w:id="11077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441">
      <w:bodyDiv w:val="1"/>
      <w:marLeft w:val="0"/>
      <w:marRight w:val="0"/>
      <w:marTop w:val="0"/>
      <w:marBottom w:val="0"/>
      <w:divBdr>
        <w:top w:val="none" w:sz="0" w:space="0" w:color="auto"/>
        <w:left w:val="none" w:sz="0" w:space="0" w:color="auto"/>
        <w:bottom w:val="none" w:sz="0" w:space="0" w:color="auto"/>
        <w:right w:val="none" w:sz="0" w:space="0" w:color="auto"/>
      </w:divBdr>
      <w:divsChild>
        <w:div w:id="252469654">
          <w:marLeft w:val="0"/>
          <w:marRight w:val="0"/>
          <w:marTop w:val="0"/>
          <w:marBottom w:val="0"/>
          <w:divBdr>
            <w:top w:val="none" w:sz="0" w:space="0" w:color="auto"/>
            <w:left w:val="none" w:sz="0" w:space="0" w:color="auto"/>
            <w:bottom w:val="none" w:sz="0" w:space="0" w:color="auto"/>
            <w:right w:val="none" w:sz="0" w:space="0" w:color="auto"/>
          </w:divBdr>
          <w:divsChild>
            <w:div w:id="654602615">
              <w:marLeft w:val="0"/>
              <w:marRight w:val="0"/>
              <w:marTop w:val="0"/>
              <w:marBottom w:val="0"/>
              <w:divBdr>
                <w:top w:val="none" w:sz="0" w:space="0" w:color="auto"/>
                <w:left w:val="none" w:sz="0" w:space="0" w:color="auto"/>
                <w:bottom w:val="none" w:sz="0" w:space="0" w:color="auto"/>
                <w:right w:val="none" w:sz="0" w:space="0" w:color="auto"/>
              </w:divBdr>
              <w:divsChild>
                <w:div w:id="3898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8035">
      <w:bodyDiv w:val="1"/>
      <w:marLeft w:val="0"/>
      <w:marRight w:val="0"/>
      <w:marTop w:val="0"/>
      <w:marBottom w:val="0"/>
      <w:divBdr>
        <w:top w:val="none" w:sz="0" w:space="0" w:color="auto"/>
        <w:left w:val="none" w:sz="0" w:space="0" w:color="auto"/>
        <w:bottom w:val="none" w:sz="0" w:space="0" w:color="auto"/>
        <w:right w:val="none" w:sz="0" w:space="0" w:color="auto"/>
      </w:divBdr>
      <w:divsChild>
        <w:div w:id="2066416690">
          <w:marLeft w:val="0"/>
          <w:marRight w:val="0"/>
          <w:marTop w:val="0"/>
          <w:marBottom w:val="0"/>
          <w:divBdr>
            <w:top w:val="none" w:sz="0" w:space="0" w:color="auto"/>
            <w:left w:val="none" w:sz="0" w:space="0" w:color="auto"/>
            <w:bottom w:val="none" w:sz="0" w:space="0" w:color="auto"/>
            <w:right w:val="none" w:sz="0" w:space="0" w:color="auto"/>
          </w:divBdr>
          <w:divsChild>
            <w:div w:id="1853493042">
              <w:marLeft w:val="0"/>
              <w:marRight w:val="0"/>
              <w:marTop w:val="0"/>
              <w:marBottom w:val="0"/>
              <w:divBdr>
                <w:top w:val="none" w:sz="0" w:space="0" w:color="auto"/>
                <w:left w:val="none" w:sz="0" w:space="0" w:color="auto"/>
                <w:bottom w:val="none" w:sz="0" w:space="0" w:color="auto"/>
                <w:right w:val="none" w:sz="0" w:space="0" w:color="auto"/>
              </w:divBdr>
              <w:divsChild>
                <w:div w:id="613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29815">
      <w:bodyDiv w:val="1"/>
      <w:marLeft w:val="0"/>
      <w:marRight w:val="0"/>
      <w:marTop w:val="0"/>
      <w:marBottom w:val="0"/>
      <w:divBdr>
        <w:top w:val="none" w:sz="0" w:space="0" w:color="auto"/>
        <w:left w:val="none" w:sz="0" w:space="0" w:color="auto"/>
        <w:bottom w:val="none" w:sz="0" w:space="0" w:color="auto"/>
        <w:right w:val="none" w:sz="0" w:space="0" w:color="auto"/>
      </w:divBdr>
      <w:divsChild>
        <w:div w:id="217978347">
          <w:marLeft w:val="0"/>
          <w:marRight w:val="0"/>
          <w:marTop w:val="0"/>
          <w:marBottom w:val="0"/>
          <w:divBdr>
            <w:top w:val="none" w:sz="0" w:space="0" w:color="auto"/>
            <w:left w:val="none" w:sz="0" w:space="0" w:color="auto"/>
            <w:bottom w:val="none" w:sz="0" w:space="0" w:color="auto"/>
            <w:right w:val="none" w:sz="0" w:space="0" w:color="auto"/>
          </w:divBdr>
          <w:divsChild>
            <w:div w:id="1530146229">
              <w:marLeft w:val="0"/>
              <w:marRight w:val="0"/>
              <w:marTop w:val="0"/>
              <w:marBottom w:val="0"/>
              <w:divBdr>
                <w:top w:val="none" w:sz="0" w:space="0" w:color="auto"/>
                <w:left w:val="none" w:sz="0" w:space="0" w:color="auto"/>
                <w:bottom w:val="none" w:sz="0" w:space="0" w:color="auto"/>
                <w:right w:val="none" w:sz="0" w:space="0" w:color="auto"/>
              </w:divBdr>
              <w:divsChild>
                <w:div w:id="20691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00556">
      <w:bodyDiv w:val="1"/>
      <w:marLeft w:val="0"/>
      <w:marRight w:val="0"/>
      <w:marTop w:val="0"/>
      <w:marBottom w:val="0"/>
      <w:divBdr>
        <w:top w:val="none" w:sz="0" w:space="0" w:color="auto"/>
        <w:left w:val="none" w:sz="0" w:space="0" w:color="auto"/>
        <w:bottom w:val="none" w:sz="0" w:space="0" w:color="auto"/>
        <w:right w:val="none" w:sz="0" w:space="0" w:color="auto"/>
      </w:divBdr>
    </w:div>
    <w:div w:id="1985961358">
      <w:bodyDiv w:val="1"/>
      <w:marLeft w:val="0"/>
      <w:marRight w:val="0"/>
      <w:marTop w:val="0"/>
      <w:marBottom w:val="0"/>
      <w:divBdr>
        <w:top w:val="none" w:sz="0" w:space="0" w:color="auto"/>
        <w:left w:val="none" w:sz="0" w:space="0" w:color="auto"/>
        <w:bottom w:val="none" w:sz="0" w:space="0" w:color="auto"/>
        <w:right w:val="none" w:sz="0" w:space="0" w:color="auto"/>
      </w:divBdr>
      <w:divsChild>
        <w:div w:id="999500299">
          <w:marLeft w:val="0"/>
          <w:marRight w:val="0"/>
          <w:marTop w:val="0"/>
          <w:marBottom w:val="0"/>
          <w:divBdr>
            <w:top w:val="none" w:sz="0" w:space="0" w:color="auto"/>
            <w:left w:val="none" w:sz="0" w:space="0" w:color="auto"/>
            <w:bottom w:val="none" w:sz="0" w:space="0" w:color="auto"/>
            <w:right w:val="none" w:sz="0" w:space="0" w:color="auto"/>
          </w:divBdr>
          <w:divsChild>
            <w:div w:id="1594392329">
              <w:marLeft w:val="0"/>
              <w:marRight w:val="0"/>
              <w:marTop w:val="0"/>
              <w:marBottom w:val="0"/>
              <w:divBdr>
                <w:top w:val="none" w:sz="0" w:space="0" w:color="auto"/>
                <w:left w:val="none" w:sz="0" w:space="0" w:color="auto"/>
                <w:bottom w:val="none" w:sz="0" w:space="0" w:color="auto"/>
                <w:right w:val="none" w:sz="0" w:space="0" w:color="auto"/>
              </w:divBdr>
              <w:divsChild>
                <w:div w:id="5872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359">
      <w:bodyDiv w:val="1"/>
      <w:marLeft w:val="0"/>
      <w:marRight w:val="0"/>
      <w:marTop w:val="0"/>
      <w:marBottom w:val="0"/>
      <w:divBdr>
        <w:top w:val="none" w:sz="0" w:space="0" w:color="auto"/>
        <w:left w:val="none" w:sz="0" w:space="0" w:color="auto"/>
        <w:bottom w:val="none" w:sz="0" w:space="0" w:color="auto"/>
        <w:right w:val="none" w:sz="0" w:space="0" w:color="auto"/>
      </w:divBdr>
    </w:div>
    <w:div w:id="2023045480">
      <w:bodyDiv w:val="1"/>
      <w:marLeft w:val="0"/>
      <w:marRight w:val="0"/>
      <w:marTop w:val="0"/>
      <w:marBottom w:val="0"/>
      <w:divBdr>
        <w:top w:val="none" w:sz="0" w:space="0" w:color="auto"/>
        <w:left w:val="none" w:sz="0" w:space="0" w:color="auto"/>
        <w:bottom w:val="none" w:sz="0" w:space="0" w:color="auto"/>
        <w:right w:val="none" w:sz="0" w:space="0" w:color="auto"/>
      </w:divBdr>
      <w:divsChild>
        <w:div w:id="574702770">
          <w:marLeft w:val="0"/>
          <w:marRight w:val="0"/>
          <w:marTop w:val="0"/>
          <w:marBottom w:val="0"/>
          <w:divBdr>
            <w:top w:val="none" w:sz="0" w:space="0" w:color="auto"/>
            <w:left w:val="none" w:sz="0" w:space="0" w:color="auto"/>
            <w:bottom w:val="none" w:sz="0" w:space="0" w:color="auto"/>
            <w:right w:val="none" w:sz="0" w:space="0" w:color="auto"/>
          </w:divBdr>
          <w:divsChild>
            <w:div w:id="988679170">
              <w:marLeft w:val="0"/>
              <w:marRight w:val="0"/>
              <w:marTop w:val="0"/>
              <w:marBottom w:val="0"/>
              <w:divBdr>
                <w:top w:val="none" w:sz="0" w:space="0" w:color="auto"/>
                <w:left w:val="none" w:sz="0" w:space="0" w:color="auto"/>
                <w:bottom w:val="none" w:sz="0" w:space="0" w:color="auto"/>
                <w:right w:val="none" w:sz="0" w:space="0" w:color="auto"/>
              </w:divBdr>
              <w:divsChild>
                <w:div w:id="5963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73">
      <w:bodyDiv w:val="1"/>
      <w:marLeft w:val="0"/>
      <w:marRight w:val="0"/>
      <w:marTop w:val="0"/>
      <w:marBottom w:val="0"/>
      <w:divBdr>
        <w:top w:val="none" w:sz="0" w:space="0" w:color="auto"/>
        <w:left w:val="none" w:sz="0" w:space="0" w:color="auto"/>
        <w:bottom w:val="none" w:sz="0" w:space="0" w:color="auto"/>
        <w:right w:val="none" w:sz="0" w:space="0" w:color="auto"/>
      </w:divBdr>
      <w:divsChild>
        <w:div w:id="988091683">
          <w:marLeft w:val="0"/>
          <w:marRight w:val="0"/>
          <w:marTop w:val="0"/>
          <w:marBottom w:val="0"/>
          <w:divBdr>
            <w:top w:val="none" w:sz="0" w:space="0" w:color="auto"/>
            <w:left w:val="none" w:sz="0" w:space="0" w:color="auto"/>
            <w:bottom w:val="none" w:sz="0" w:space="0" w:color="auto"/>
            <w:right w:val="none" w:sz="0" w:space="0" w:color="auto"/>
          </w:divBdr>
          <w:divsChild>
            <w:div w:id="31461879">
              <w:marLeft w:val="0"/>
              <w:marRight w:val="0"/>
              <w:marTop w:val="0"/>
              <w:marBottom w:val="0"/>
              <w:divBdr>
                <w:top w:val="none" w:sz="0" w:space="0" w:color="auto"/>
                <w:left w:val="none" w:sz="0" w:space="0" w:color="auto"/>
                <w:bottom w:val="none" w:sz="0" w:space="0" w:color="auto"/>
                <w:right w:val="none" w:sz="0" w:space="0" w:color="auto"/>
              </w:divBdr>
              <w:divsChild>
                <w:div w:id="14369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5877">
      <w:bodyDiv w:val="1"/>
      <w:marLeft w:val="0"/>
      <w:marRight w:val="0"/>
      <w:marTop w:val="0"/>
      <w:marBottom w:val="0"/>
      <w:divBdr>
        <w:top w:val="none" w:sz="0" w:space="0" w:color="auto"/>
        <w:left w:val="none" w:sz="0" w:space="0" w:color="auto"/>
        <w:bottom w:val="none" w:sz="0" w:space="0" w:color="auto"/>
        <w:right w:val="none" w:sz="0" w:space="0" w:color="auto"/>
      </w:divBdr>
      <w:divsChild>
        <w:div w:id="957571165">
          <w:marLeft w:val="0"/>
          <w:marRight w:val="0"/>
          <w:marTop w:val="0"/>
          <w:marBottom w:val="0"/>
          <w:divBdr>
            <w:top w:val="none" w:sz="0" w:space="0" w:color="auto"/>
            <w:left w:val="none" w:sz="0" w:space="0" w:color="auto"/>
            <w:bottom w:val="none" w:sz="0" w:space="0" w:color="auto"/>
            <w:right w:val="none" w:sz="0" w:space="0" w:color="auto"/>
          </w:divBdr>
          <w:divsChild>
            <w:div w:id="74864778">
              <w:marLeft w:val="0"/>
              <w:marRight w:val="0"/>
              <w:marTop w:val="0"/>
              <w:marBottom w:val="0"/>
              <w:divBdr>
                <w:top w:val="none" w:sz="0" w:space="0" w:color="auto"/>
                <w:left w:val="none" w:sz="0" w:space="0" w:color="auto"/>
                <w:bottom w:val="none" w:sz="0" w:space="0" w:color="auto"/>
                <w:right w:val="none" w:sz="0" w:space="0" w:color="auto"/>
              </w:divBdr>
              <w:divsChild>
                <w:div w:id="19804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chart" Target="charts/chart4.xml"/><Relationship Id="rId21" Type="http://schemas.openxmlformats.org/officeDocument/2006/relationships/footer" Target="footer4.xml"/><Relationship Id="rId34" Type="http://schemas.openxmlformats.org/officeDocument/2006/relationships/chart" Target="charts/chart1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chart" Target="charts/chart9.xml"/><Relationship Id="rId35" Type="http://schemas.openxmlformats.org/officeDocument/2006/relationships/chart" Target="charts/chart1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chart" Target="charts/chart5.xml"/><Relationship Id="rId30" Type="http://schemas.openxmlformats.org/officeDocument/2006/relationships/chart" Target="charts/chart8.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ozone.unep.org/sites/default/files/Assessment_Panel/Assessment_Panels/TEAP/Reports/HTOC/HTOC_assessment_2018.pdf" TargetMode="External"/><Relationship Id="rId3" Type="http://schemas.openxmlformats.org/officeDocument/2006/relationships/hyperlink" Target="https://www.environment.gov.au/protection/ozone/publications/review-australias-halon-essential-uses-requirements" TargetMode="External"/><Relationship Id="rId7" Type="http://schemas.openxmlformats.org/officeDocument/2006/relationships/hyperlink" Target="https://ozone.unep.org/sites/default/files/Assessment_Panel/Assessment_Panels/TEAP/Reports/HTOC/HTOC_assessment_2018.pdf" TargetMode="External"/><Relationship Id="rId2" Type="http://schemas.openxmlformats.org/officeDocument/2006/relationships/hyperlink" Target="https://www.environment.gov.au/protection/ozone/publications/review-australias-halon-essential-uses-requirements" TargetMode="External"/><Relationship Id="rId1" Type="http://schemas.openxmlformats.org/officeDocument/2006/relationships/hyperlink" Target="https://ozone.unep.org/treaties/montreal-protocol/meetings/fifth-meeting-parties-montreal-protocol/decisions/decision-v14?q=treaties/montreal-protocol/meetings/eighth-meeting-parties/decisions/decision-viii9-essential-use&amp;source=decisions_by_issue&amp;args%5B0%5D=454&amp;parent=3012&amp;nextParent=3011" TargetMode="External"/><Relationship Id="rId6" Type="http://schemas.openxmlformats.org/officeDocument/2006/relationships/hyperlink" Target="https://www.environment.gov.au/protection/ozone/publications/review-australias-halon-essential-uses-requirements" TargetMode="External"/><Relationship Id="rId5" Type="http://schemas.openxmlformats.org/officeDocument/2006/relationships/hyperlink" Target="https://www.easa.europa.eu/document-library/general-publications/halon-replacement-aviation-industry" TargetMode="External"/><Relationship Id="rId4" Type="http://schemas.openxmlformats.org/officeDocument/2006/relationships/hyperlink" Target="https://www.icao.int/Meetings/a40/Documents/WP/wp_093_en.pdf" TargetMode="External"/><Relationship Id="rId9" Type="http://schemas.openxmlformats.org/officeDocument/2006/relationships/hyperlink" Target="https://www.environment.gov.au/protection/ozone/publications/review-australias-halon-essential-uses-requir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Teap%2520Styl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7d52710160467bb/Documents/HSP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helentop\Documents\Ozone\2020\Halon\Analysis%202019\NHB\NHB%20Halon%20Sales%20Analysis%202019_Cop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helentop\Documents\Ozone\2020\Halon\Analysis%202019\NHB\NHB%20Halon%20Sales%20Analysis%202019_Cop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helentop\Documents\Ozone\2020\Halon\Analysis%202019\NHB\NHB%20Halon%20Sales%20Analysis%202019_Cop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helentop\Documents\Ozone\2020\Halon\Analysis%202019\NHB\NHB%20Halon%20Sales%20Analysis%202019_Copy.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7d52710160467bb/Documents/HSP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helentop\Documents\Ozone\2020\Halon\Analysis%202019\NHB\NHB%20Halon%20Sales%20Analysis%202019_Cop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helentop\Documents\Ozone\2020\Halon\Analysis%202019\NHB\NHB%20Halon%20Sales%20Analysis%202019_Cop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helentop\Documents\Ozone\2020\Halon\Analysis%202019\NHB\NHB%20Halon%20Sales%20Analysis%202019_Cop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helentop\Documents\Ozone\2020\Halon\Analysis%202019\NHB\NHB%20Halon%20Sales%20Analysis%202019_Cop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helentop\Documents\Ozone\2020\Halon\Analysis%202019\NHB\NHB%20Halon%20Sales%20Analysis%202019_Cop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helentop\Documents\Ozone\2020\Halon\Analysis%202019\NHB\NHB%20Halon%20Sales%20Analysis%202019_Cop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helentop\Documents\Ozone\2020\Halon\Analysis%202019\NHB\NHB%20Halon%20Sales%20Analysis%202019_Cop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Halon 1211 Halon</a:t>
            </a:r>
            <a:r>
              <a:rPr lang="en-GB" b="1" baseline="0"/>
              <a:t> Special Permit Holders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'[HSP02.xlsx]1211 HSP'!$B$2</c:f>
              <c:strCache>
                <c:ptCount val="1"/>
                <c:pt idx="0">
                  <c:v>Acquired (kg)</c:v>
                </c:pt>
              </c:strCache>
            </c:strRef>
          </c:tx>
          <c:spPr>
            <a:ln w="19050" cap="rnd">
              <a:noFill/>
              <a:round/>
            </a:ln>
            <a:effectLst/>
          </c:spPr>
          <c:marker>
            <c:symbol val="circle"/>
            <c:size val="5"/>
            <c:spPr>
              <a:solidFill>
                <a:schemeClr val="accent1"/>
              </a:solidFill>
              <a:ln w="9525">
                <a:solidFill>
                  <a:schemeClr val="accent1"/>
                </a:solidFill>
              </a:ln>
              <a:effectLst/>
            </c:spPr>
          </c:marker>
          <c:xVal>
            <c:numRef>
              <c:f>'[HSP02.xlsx]1211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'[HSP02.xlsx]1211 HSP'!$B$3:$B$29</c:f>
              <c:numCache>
                <c:formatCode>General</c:formatCode>
                <c:ptCount val="27"/>
                <c:pt idx="0">
                  <c:v>460</c:v>
                </c:pt>
                <c:pt idx="1">
                  <c:v>792</c:v>
                </c:pt>
                <c:pt idx="2">
                  <c:v>1204</c:v>
                </c:pt>
                <c:pt idx="3">
                  <c:v>192</c:v>
                </c:pt>
                <c:pt idx="4">
                  <c:v>182</c:v>
                </c:pt>
                <c:pt idx="5">
                  <c:v>1064</c:v>
                </c:pt>
                <c:pt idx="6">
                  <c:v>601</c:v>
                </c:pt>
                <c:pt idx="7" formatCode="0">
                  <c:v>1107.8800000000001</c:v>
                </c:pt>
                <c:pt idx="8">
                  <c:v>106</c:v>
                </c:pt>
                <c:pt idx="9">
                  <c:v>74</c:v>
                </c:pt>
                <c:pt idx="10">
                  <c:v>10</c:v>
                </c:pt>
                <c:pt idx="11">
                  <c:v>115</c:v>
                </c:pt>
                <c:pt idx="12">
                  <c:v>60</c:v>
                </c:pt>
                <c:pt idx="13">
                  <c:v>900</c:v>
                </c:pt>
                <c:pt idx="14">
                  <c:v>327</c:v>
                </c:pt>
                <c:pt idx="15">
                  <c:v>920</c:v>
                </c:pt>
                <c:pt idx="16">
                  <c:v>796</c:v>
                </c:pt>
                <c:pt idx="17">
                  <c:v>784</c:v>
                </c:pt>
                <c:pt idx="18">
                  <c:v>178</c:v>
                </c:pt>
                <c:pt idx="19">
                  <c:v>651</c:v>
                </c:pt>
                <c:pt idx="20">
                  <c:v>613</c:v>
                </c:pt>
                <c:pt idx="21">
                  <c:v>197</c:v>
                </c:pt>
                <c:pt idx="22">
                  <c:v>200</c:v>
                </c:pt>
                <c:pt idx="23">
                  <c:v>283</c:v>
                </c:pt>
                <c:pt idx="24">
                  <c:v>462</c:v>
                </c:pt>
                <c:pt idx="25">
                  <c:v>267</c:v>
                </c:pt>
                <c:pt idx="26">
                  <c:v>151</c:v>
                </c:pt>
              </c:numCache>
            </c:numRef>
          </c:yVal>
          <c:smooth val="0"/>
          <c:extLst>
            <c:ext xmlns:c16="http://schemas.microsoft.com/office/drawing/2014/chart" uri="{C3380CC4-5D6E-409C-BE32-E72D297353CC}">
              <c16:uniqueId val="{00000000-11D1-F94C-9FC3-972DD2B5EE99}"/>
            </c:ext>
          </c:extLst>
        </c:ser>
        <c:ser>
          <c:idx val="1"/>
          <c:order val="1"/>
          <c:tx>
            <c:strRef>
              <c:f>'[HSP02.xlsx]1211 HSP'!$C$2</c:f>
              <c:strCache>
                <c:ptCount val="1"/>
                <c:pt idx="0">
                  <c:v>Recovered (kg)</c:v>
                </c:pt>
              </c:strCache>
            </c:strRef>
          </c:tx>
          <c:spPr>
            <a:ln w="19050" cap="rnd">
              <a:noFill/>
              <a:round/>
            </a:ln>
            <a:effectLst/>
          </c:spPr>
          <c:marker>
            <c:symbol val="circle"/>
            <c:size val="5"/>
            <c:spPr>
              <a:solidFill>
                <a:schemeClr val="accent2"/>
              </a:solidFill>
              <a:ln w="9525">
                <a:solidFill>
                  <a:schemeClr val="accent2"/>
                </a:solidFill>
              </a:ln>
              <a:effectLst/>
            </c:spPr>
          </c:marker>
          <c:xVal>
            <c:numRef>
              <c:f>'[HSP02.xlsx]1211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'[HSP02.xlsx]1211 HSP'!$C$3:$C$29</c:f>
              <c:numCache>
                <c:formatCode>General</c:formatCode>
                <c:ptCount val="27"/>
                <c:pt idx="0">
                  <c:v>301</c:v>
                </c:pt>
                <c:pt idx="1">
                  <c:v>140</c:v>
                </c:pt>
                <c:pt idx="2">
                  <c:v>308</c:v>
                </c:pt>
                <c:pt idx="3">
                  <c:v>133</c:v>
                </c:pt>
                <c:pt idx="4">
                  <c:v>403</c:v>
                </c:pt>
                <c:pt idx="5">
                  <c:v>231</c:v>
                </c:pt>
                <c:pt idx="6">
                  <c:v>518</c:v>
                </c:pt>
                <c:pt idx="7" formatCode="0">
                  <c:v>373.32</c:v>
                </c:pt>
                <c:pt idx="8">
                  <c:v>196</c:v>
                </c:pt>
                <c:pt idx="9">
                  <c:v>96</c:v>
                </c:pt>
                <c:pt idx="10">
                  <c:v>250</c:v>
                </c:pt>
                <c:pt idx="11">
                  <c:v>290</c:v>
                </c:pt>
                <c:pt idx="12">
                  <c:v>284</c:v>
                </c:pt>
                <c:pt idx="13">
                  <c:v>331</c:v>
                </c:pt>
                <c:pt idx="14">
                  <c:v>176</c:v>
                </c:pt>
                <c:pt idx="15">
                  <c:v>107</c:v>
                </c:pt>
                <c:pt idx="16">
                  <c:v>123</c:v>
                </c:pt>
                <c:pt idx="17">
                  <c:v>304</c:v>
                </c:pt>
                <c:pt idx="18">
                  <c:v>1500</c:v>
                </c:pt>
                <c:pt idx="19">
                  <c:v>125</c:v>
                </c:pt>
                <c:pt idx="20">
                  <c:v>213</c:v>
                </c:pt>
                <c:pt idx="21">
                  <c:v>266</c:v>
                </c:pt>
                <c:pt idx="22">
                  <c:v>133</c:v>
                </c:pt>
                <c:pt idx="23">
                  <c:v>160</c:v>
                </c:pt>
                <c:pt idx="24">
                  <c:v>513</c:v>
                </c:pt>
                <c:pt idx="25">
                  <c:v>314</c:v>
                </c:pt>
                <c:pt idx="26">
                  <c:v>233</c:v>
                </c:pt>
              </c:numCache>
            </c:numRef>
          </c:yVal>
          <c:smooth val="0"/>
          <c:extLst>
            <c:ext xmlns:c16="http://schemas.microsoft.com/office/drawing/2014/chart" uri="{C3380CC4-5D6E-409C-BE32-E72D297353CC}">
              <c16:uniqueId val="{00000001-11D1-F94C-9FC3-972DD2B5EE99}"/>
            </c:ext>
          </c:extLst>
        </c:ser>
        <c:ser>
          <c:idx val="2"/>
          <c:order val="2"/>
          <c:tx>
            <c:strRef>
              <c:f>'[HSP02.xlsx]1211 HSP'!$D$2</c:f>
              <c:strCache>
                <c:ptCount val="1"/>
                <c:pt idx="0">
                  <c:v>Supplied (kg)</c:v>
                </c:pt>
              </c:strCache>
            </c:strRef>
          </c:tx>
          <c:spPr>
            <a:ln w="19050" cap="rnd">
              <a:noFill/>
              <a:round/>
            </a:ln>
            <a:effectLst/>
          </c:spPr>
          <c:marker>
            <c:symbol val="circle"/>
            <c:size val="5"/>
            <c:spPr>
              <a:solidFill>
                <a:schemeClr val="accent3"/>
              </a:solidFill>
              <a:ln w="9525">
                <a:solidFill>
                  <a:schemeClr val="accent3"/>
                </a:solidFill>
              </a:ln>
              <a:effectLst/>
            </c:spPr>
          </c:marker>
          <c:xVal>
            <c:numRef>
              <c:f>'[HSP02.xlsx]1211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'[HSP02.xlsx]1211 HSP'!$D$3:$D$29</c:f>
              <c:numCache>
                <c:formatCode>General</c:formatCode>
                <c:ptCount val="27"/>
                <c:pt idx="0">
                  <c:v>393</c:v>
                </c:pt>
                <c:pt idx="1">
                  <c:v>680</c:v>
                </c:pt>
                <c:pt idx="2">
                  <c:v>704</c:v>
                </c:pt>
                <c:pt idx="3">
                  <c:v>469</c:v>
                </c:pt>
                <c:pt idx="4">
                  <c:v>505</c:v>
                </c:pt>
                <c:pt idx="5">
                  <c:v>437</c:v>
                </c:pt>
                <c:pt idx="6">
                  <c:v>509</c:v>
                </c:pt>
                <c:pt idx="7" formatCode="0">
                  <c:v>569.30999999999995</c:v>
                </c:pt>
                <c:pt idx="8">
                  <c:v>396</c:v>
                </c:pt>
                <c:pt idx="9">
                  <c:v>444</c:v>
                </c:pt>
                <c:pt idx="10">
                  <c:v>308</c:v>
                </c:pt>
                <c:pt idx="11">
                  <c:v>717</c:v>
                </c:pt>
                <c:pt idx="12">
                  <c:v>193</c:v>
                </c:pt>
                <c:pt idx="13">
                  <c:v>648</c:v>
                </c:pt>
                <c:pt idx="14">
                  <c:v>712</c:v>
                </c:pt>
                <c:pt idx="15">
                  <c:v>382</c:v>
                </c:pt>
                <c:pt idx="16">
                  <c:v>695</c:v>
                </c:pt>
                <c:pt idx="17">
                  <c:v>477</c:v>
                </c:pt>
                <c:pt idx="18">
                  <c:v>590</c:v>
                </c:pt>
                <c:pt idx="19">
                  <c:v>667</c:v>
                </c:pt>
                <c:pt idx="20">
                  <c:v>759</c:v>
                </c:pt>
                <c:pt idx="21">
                  <c:v>503</c:v>
                </c:pt>
                <c:pt idx="22">
                  <c:v>290</c:v>
                </c:pt>
                <c:pt idx="23">
                  <c:v>727</c:v>
                </c:pt>
                <c:pt idx="24">
                  <c:v>614</c:v>
                </c:pt>
                <c:pt idx="25">
                  <c:v>250</c:v>
                </c:pt>
                <c:pt idx="26">
                  <c:v>590</c:v>
                </c:pt>
              </c:numCache>
            </c:numRef>
          </c:yVal>
          <c:smooth val="0"/>
          <c:extLst>
            <c:ext xmlns:c16="http://schemas.microsoft.com/office/drawing/2014/chart" uri="{C3380CC4-5D6E-409C-BE32-E72D297353CC}">
              <c16:uniqueId val="{00000002-11D1-F94C-9FC3-972DD2B5EE99}"/>
            </c:ext>
          </c:extLst>
        </c:ser>
        <c:ser>
          <c:idx val="3"/>
          <c:order val="3"/>
          <c:tx>
            <c:strRef>
              <c:f>'[HSP02.xlsx]1211 HSP'!$E$2</c:f>
              <c:strCache>
                <c:ptCount val="1"/>
                <c:pt idx="0">
                  <c:v>Refill (kg)</c:v>
                </c:pt>
              </c:strCache>
            </c:strRef>
          </c:tx>
          <c:spPr>
            <a:ln w="19050" cap="rnd">
              <a:noFill/>
              <a:round/>
            </a:ln>
            <a:effectLst/>
          </c:spPr>
          <c:marker>
            <c:symbol val="circle"/>
            <c:size val="5"/>
            <c:spPr>
              <a:solidFill>
                <a:schemeClr val="accent4"/>
              </a:solidFill>
              <a:ln w="9525">
                <a:solidFill>
                  <a:schemeClr val="accent4"/>
                </a:solidFill>
              </a:ln>
              <a:effectLst/>
            </c:spPr>
          </c:marker>
          <c:xVal>
            <c:numRef>
              <c:f>'[HSP02.xlsx]1211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'[HSP02.xlsx]1211 HSP'!$E$3:$E$29</c:f>
              <c:numCache>
                <c:formatCode>General</c:formatCode>
                <c:ptCount val="27"/>
                <c:pt idx="0">
                  <c:v>273</c:v>
                </c:pt>
                <c:pt idx="1">
                  <c:v>48</c:v>
                </c:pt>
                <c:pt idx="2">
                  <c:v>422</c:v>
                </c:pt>
                <c:pt idx="3">
                  <c:v>178</c:v>
                </c:pt>
                <c:pt idx="4">
                  <c:v>332</c:v>
                </c:pt>
                <c:pt idx="5">
                  <c:v>261</c:v>
                </c:pt>
                <c:pt idx="6">
                  <c:v>220</c:v>
                </c:pt>
                <c:pt idx="7" formatCode="0">
                  <c:v>297.89</c:v>
                </c:pt>
                <c:pt idx="8">
                  <c:v>191</c:v>
                </c:pt>
                <c:pt idx="9">
                  <c:v>120</c:v>
                </c:pt>
                <c:pt idx="10">
                  <c:v>235</c:v>
                </c:pt>
                <c:pt idx="11">
                  <c:v>571</c:v>
                </c:pt>
                <c:pt idx="12">
                  <c:v>246</c:v>
                </c:pt>
                <c:pt idx="13">
                  <c:v>226</c:v>
                </c:pt>
                <c:pt idx="14">
                  <c:v>107</c:v>
                </c:pt>
                <c:pt idx="15">
                  <c:v>80</c:v>
                </c:pt>
                <c:pt idx="16">
                  <c:v>116</c:v>
                </c:pt>
                <c:pt idx="17">
                  <c:v>270</c:v>
                </c:pt>
                <c:pt idx="18">
                  <c:v>253</c:v>
                </c:pt>
                <c:pt idx="19">
                  <c:v>116</c:v>
                </c:pt>
                <c:pt idx="20">
                  <c:v>210</c:v>
                </c:pt>
                <c:pt idx="21">
                  <c:v>191</c:v>
                </c:pt>
                <c:pt idx="22">
                  <c:v>136</c:v>
                </c:pt>
                <c:pt idx="23">
                  <c:v>111</c:v>
                </c:pt>
                <c:pt idx="24">
                  <c:v>266</c:v>
                </c:pt>
                <c:pt idx="25">
                  <c:v>162</c:v>
                </c:pt>
                <c:pt idx="26">
                  <c:v>343</c:v>
                </c:pt>
              </c:numCache>
            </c:numRef>
          </c:yVal>
          <c:smooth val="0"/>
          <c:extLst>
            <c:ext xmlns:c16="http://schemas.microsoft.com/office/drawing/2014/chart" uri="{C3380CC4-5D6E-409C-BE32-E72D297353CC}">
              <c16:uniqueId val="{00000003-11D1-F94C-9FC3-972DD2B5EE99}"/>
            </c:ext>
          </c:extLst>
        </c:ser>
        <c:ser>
          <c:idx val="4"/>
          <c:order val="4"/>
          <c:tx>
            <c:strRef>
              <c:f>'[HSP02.xlsx]1211 HSP'!$F$2</c:f>
              <c:strCache>
                <c:ptCount val="1"/>
                <c:pt idx="0">
                  <c:v>Destroyed (kg)</c:v>
                </c:pt>
              </c:strCache>
            </c:strRef>
          </c:tx>
          <c:spPr>
            <a:ln w="19050" cap="rnd">
              <a:noFill/>
              <a:round/>
            </a:ln>
            <a:effectLst/>
          </c:spPr>
          <c:marker>
            <c:symbol val="circle"/>
            <c:size val="5"/>
            <c:spPr>
              <a:solidFill>
                <a:schemeClr val="accent5"/>
              </a:solidFill>
              <a:ln w="9525">
                <a:solidFill>
                  <a:schemeClr val="accent5"/>
                </a:solidFill>
              </a:ln>
              <a:effectLst/>
            </c:spPr>
          </c:marker>
          <c:xVal>
            <c:numRef>
              <c:f>'[HSP02.xlsx]1211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'[HSP02.xlsx]1211 HSP'!$F$3:$F$29</c:f>
              <c:numCache>
                <c:formatCode>General</c:formatCode>
                <c:ptCount val="27"/>
                <c:pt idx="0">
                  <c:v>8</c:v>
                </c:pt>
                <c:pt idx="1">
                  <c:v>140</c:v>
                </c:pt>
                <c:pt idx="2">
                  <c:v>123</c:v>
                </c:pt>
                <c:pt idx="3">
                  <c:v>59</c:v>
                </c:pt>
                <c:pt idx="4">
                  <c:v>15</c:v>
                </c:pt>
                <c:pt idx="5">
                  <c:v>40</c:v>
                </c:pt>
                <c:pt idx="6" formatCode="0">
                  <c:v>899.5</c:v>
                </c:pt>
                <c:pt idx="7" formatCode="0">
                  <c:v>123.6</c:v>
                </c:pt>
                <c:pt idx="8">
                  <c:v>13</c:v>
                </c:pt>
                <c:pt idx="9">
                  <c:v>11</c:v>
                </c:pt>
                <c:pt idx="10">
                  <c:v>14</c:v>
                </c:pt>
                <c:pt idx="11">
                  <c:v>17</c:v>
                </c:pt>
                <c:pt idx="12">
                  <c:v>118</c:v>
                </c:pt>
                <c:pt idx="13">
                  <c:v>23</c:v>
                </c:pt>
                <c:pt idx="14">
                  <c:v>39</c:v>
                </c:pt>
                <c:pt idx="15">
                  <c:v>37</c:v>
                </c:pt>
                <c:pt idx="16">
                  <c:v>113</c:v>
                </c:pt>
                <c:pt idx="17">
                  <c:v>31</c:v>
                </c:pt>
                <c:pt idx="18">
                  <c:v>737</c:v>
                </c:pt>
                <c:pt idx="19">
                  <c:v>456</c:v>
                </c:pt>
                <c:pt idx="20">
                  <c:v>197</c:v>
                </c:pt>
                <c:pt idx="21">
                  <c:v>9</c:v>
                </c:pt>
                <c:pt idx="22">
                  <c:v>85</c:v>
                </c:pt>
                <c:pt idx="23">
                  <c:v>56</c:v>
                </c:pt>
                <c:pt idx="24">
                  <c:v>40</c:v>
                </c:pt>
                <c:pt idx="25">
                  <c:v>281</c:v>
                </c:pt>
                <c:pt idx="26">
                  <c:v>64</c:v>
                </c:pt>
              </c:numCache>
            </c:numRef>
          </c:yVal>
          <c:smooth val="0"/>
          <c:extLst>
            <c:ext xmlns:c16="http://schemas.microsoft.com/office/drawing/2014/chart" uri="{C3380CC4-5D6E-409C-BE32-E72D297353CC}">
              <c16:uniqueId val="{00000004-11D1-F94C-9FC3-972DD2B5EE99}"/>
            </c:ext>
          </c:extLst>
        </c:ser>
        <c:ser>
          <c:idx val="5"/>
          <c:order val="5"/>
          <c:tx>
            <c:strRef>
              <c:f>'[HSP02.xlsx]1211 HSP'!$G$2</c:f>
              <c:strCache>
                <c:ptCount val="1"/>
                <c:pt idx="0">
                  <c:v>On Hand (kg)</c:v>
                </c:pt>
              </c:strCache>
            </c:strRef>
          </c:tx>
          <c:spPr>
            <a:ln w="19050" cap="rnd">
              <a:noFill/>
              <a:round/>
            </a:ln>
            <a:effectLst/>
          </c:spPr>
          <c:marker>
            <c:symbol val="circle"/>
            <c:size val="5"/>
            <c:spPr>
              <a:solidFill>
                <a:schemeClr val="accent6"/>
              </a:solidFill>
              <a:ln w="9525">
                <a:solidFill>
                  <a:schemeClr val="accent6"/>
                </a:solidFill>
              </a:ln>
              <a:effectLst/>
            </c:spPr>
          </c:marker>
          <c:xVal>
            <c:numRef>
              <c:f>'[HSP02.xlsx]1211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'[HSP02.xlsx]1211 HSP'!$G$3:$G$29</c:f>
              <c:numCache>
                <c:formatCode>General</c:formatCode>
                <c:ptCount val="27"/>
                <c:pt idx="0">
                  <c:v>17472</c:v>
                </c:pt>
                <c:pt idx="1">
                  <c:v>17190</c:v>
                </c:pt>
                <c:pt idx="2">
                  <c:v>20738</c:v>
                </c:pt>
                <c:pt idx="3">
                  <c:v>20746</c:v>
                </c:pt>
                <c:pt idx="4">
                  <c:v>20735</c:v>
                </c:pt>
                <c:pt idx="5">
                  <c:v>5456</c:v>
                </c:pt>
                <c:pt idx="6" formatCode="0">
                  <c:v>4974.5</c:v>
                </c:pt>
                <c:pt idx="7" formatCode="0">
                  <c:v>5657.63</c:v>
                </c:pt>
                <c:pt idx="8">
                  <c:v>5398</c:v>
                </c:pt>
                <c:pt idx="9">
                  <c:v>5004</c:v>
                </c:pt>
                <c:pt idx="10">
                  <c:v>4834</c:v>
                </c:pt>
                <c:pt idx="11">
                  <c:v>6234</c:v>
                </c:pt>
                <c:pt idx="12">
                  <c:v>6118</c:v>
                </c:pt>
                <c:pt idx="13">
                  <c:v>5584</c:v>
                </c:pt>
                <c:pt idx="14">
                  <c:v>7000</c:v>
                </c:pt>
                <c:pt idx="15">
                  <c:v>7392</c:v>
                </c:pt>
                <c:pt idx="16">
                  <c:v>7052</c:v>
                </c:pt>
                <c:pt idx="17">
                  <c:v>7813</c:v>
                </c:pt>
                <c:pt idx="18">
                  <c:v>6633</c:v>
                </c:pt>
                <c:pt idx="19">
                  <c:v>6534</c:v>
                </c:pt>
                <c:pt idx="20">
                  <c:v>6910</c:v>
                </c:pt>
                <c:pt idx="21">
                  <c:v>21345</c:v>
                </c:pt>
                <c:pt idx="22">
                  <c:v>21012</c:v>
                </c:pt>
                <c:pt idx="23">
                  <c:v>20121</c:v>
                </c:pt>
                <c:pt idx="24">
                  <c:v>20908</c:v>
                </c:pt>
                <c:pt idx="25">
                  <c:v>20144</c:v>
                </c:pt>
                <c:pt idx="26">
                  <c:v>5209</c:v>
                </c:pt>
              </c:numCache>
            </c:numRef>
          </c:yVal>
          <c:smooth val="0"/>
          <c:extLst>
            <c:ext xmlns:c16="http://schemas.microsoft.com/office/drawing/2014/chart" uri="{C3380CC4-5D6E-409C-BE32-E72D297353CC}">
              <c16:uniqueId val="{00000005-11D1-F94C-9FC3-972DD2B5EE99}"/>
            </c:ext>
          </c:extLst>
        </c:ser>
        <c:dLbls>
          <c:showLegendKey val="0"/>
          <c:showVal val="0"/>
          <c:showCatName val="0"/>
          <c:showSerName val="0"/>
          <c:showPercent val="0"/>
          <c:showBubbleSize val="0"/>
        </c:dLbls>
        <c:axId val="119201208"/>
        <c:axId val="120522936"/>
      </c:scatterChart>
      <c:valAx>
        <c:axId val="119201208"/>
        <c:scaling>
          <c:orientation val="minMax"/>
        </c:scaling>
        <c:delete val="0"/>
        <c:axPos val="b"/>
        <c:majorGridlines>
          <c:spPr>
            <a:ln w="9525" cap="flat" cmpd="sng" algn="ctr">
              <a:solidFill>
                <a:schemeClr val="tx1">
                  <a:lumMod val="15000"/>
                  <a:lumOff val="85000"/>
                </a:schemeClr>
              </a:solidFill>
              <a:round/>
            </a:ln>
            <a:effectLst/>
          </c:spPr>
        </c:majorGridlines>
        <c:numFmt formatCode="mmm\-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522936"/>
        <c:crosses val="autoZero"/>
        <c:crossBetween val="midCat"/>
      </c:valAx>
      <c:valAx>
        <c:axId val="120522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2012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'Halons Charts'!$C$110</c:f>
              <c:strCache>
                <c:ptCount val="1"/>
                <c:pt idx="0">
                  <c:v>Estimated Halon 1301</c:v>
                </c:pt>
              </c:strCache>
            </c:strRef>
          </c:tx>
          <c:spPr>
            <a:solidFill>
              <a:schemeClr val="accent1"/>
            </a:solidFill>
            <a:ln>
              <a:noFill/>
            </a:ln>
            <a:effectLst/>
          </c:spPr>
          <c:invertIfNegative val="0"/>
          <c:cat>
            <c:multiLvlStrRef>
              <c:f>'Halons Charts'!$A$111:$B$118</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Charts'!$C$111:$C$118</c:f>
              <c:numCache>
                <c:formatCode>General</c:formatCode>
                <c:ptCount val="8"/>
                <c:pt idx="0">
                  <c:v>89.24</c:v>
                </c:pt>
                <c:pt idx="1">
                  <c:v>109.08</c:v>
                </c:pt>
                <c:pt idx="2">
                  <c:v>115.27</c:v>
                </c:pt>
                <c:pt idx="3">
                  <c:v>137.58000000000001</c:v>
                </c:pt>
                <c:pt idx="4">
                  <c:v>143.78</c:v>
                </c:pt>
                <c:pt idx="5">
                  <c:v>168.57</c:v>
                </c:pt>
                <c:pt idx="6">
                  <c:v>174.77</c:v>
                </c:pt>
                <c:pt idx="7">
                  <c:v>202.04</c:v>
                </c:pt>
              </c:numCache>
            </c:numRef>
          </c:val>
          <c:extLst>
            <c:ext xmlns:c16="http://schemas.microsoft.com/office/drawing/2014/chart" uri="{C3380CC4-5D6E-409C-BE32-E72D297353CC}">
              <c16:uniqueId val="{00000000-25CD-A742-8C87-D5098716E509}"/>
            </c:ext>
          </c:extLst>
        </c:ser>
        <c:ser>
          <c:idx val="1"/>
          <c:order val="1"/>
          <c:tx>
            <c:strRef>
              <c:f>'Halons Charts'!$D$110</c:f>
              <c:strCache>
                <c:ptCount val="1"/>
                <c:pt idx="0">
                  <c:v>NHB Stocks</c:v>
                </c:pt>
              </c:strCache>
            </c:strRef>
          </c:tx>
          <c:spPr>
            <a:solidFill>
              <a:schemeClr val="accent2"/>
            </a:solidFill>
            <a:ln>
              <a:noFill/>
            </a:ln>
            <a:effectLst/>
          </c:spPr>
          <c:invertIfNegative val="0"/>
          <c:cat>
            <c:multiLvlStrRef>
              <c:f>'Halons Charts'!$A$111:$B$118</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Charts'!$D$111:$D$118</c:f>
              <c:numCache>
                <c:formatCode>General</c:formatCode>
                <c:ptCount val="8"/>
                <c:pt idx="7">
                  <c:v>165.87</c:v>
                </c:pt>
              </c:numCache>
            </c:numRef>
          </c:val>
          <c:extLst>
            <c:ext xmlns:c16="http://schemas.microsoft.com/office/drawing/2014/chart" uri="{C3380CC4-5D6E-409C-BE32-E72D297353CC}">
              <c16:uniqueId val="{00000001-25CD-A742-8C87-D5098716E509}"/>
            </c:ext>
          </c:extLst>
        </c:ser>
        <c:dLbls>
          <c:showLegendKey val="0"/>
          <c:showVal val="0"/>
          <c:showCatName val="0"/>
          <c:showSerName val="0"/>
          <c:showPercent val="0"/>
          <c:showBubbleSize val="0"/>
        </c:dLbls>
        <c:gapWidth val="182"/>
        <c:axId val="1970702016"/>
        <c:axId val="317826031"/>
      </c:barChart>
      <c:catAx>
        <c:axId val="1970702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826031"/>
        <c:crosses val="autoZero"/>
        <c:auto val="1"/>
        <c:lblAlgn val="ctr"/>
        <c:lblOffset val="100"/>
        <c:noMultiLvlLbl val="0"/>
      </c:catAx>
      <c:valAx>
        <c:axId val="3178260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070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'Halons Charts'!$C$126</c:f>
              <c:strCache>
                <c:ptCount val="1"/>
                <c:pt idx="0">
                  <c:v>Estimated Halon 1301</c:v>
                </c:pt>
              </c:strCache>
            </c:strRef>
          </c:tx>
          <c:spPr>
            <a:solidFill>
              <a:schemeClr val="accent1"/>
            </a:solidFill>
            <a:ln>
              <a:noFill/>
            </a:ln>
            <a:effectLst/>
          </c:spPr>
          <c:invertIfNegative val="0"/>
          <c:cat>
            <c:multiLvlStrRef>
              <c:f>'Halons Charts'!$A$127:$B$134</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Charts'!$C$127:$C$134</c:f>
              <c:numCache>
                <c:formatCode>General</c:formatCode>
                <c:ptCount val="8"/>
                <c:pt idx="0">
                  <c:v>102.26</c:v>
                </c:pt>
                <c:pt idx="1">
                  <c:v>125.81</c:v>
                </c:pt>
                <c:pt idx="2">
                  <c:v>135.11000000000001</c:v>
                </c:pt>
                <c:pt idx="3">
                  <c:v>162.37</c:v>
                </c:pt>
                <c:pt idx="4">
                  <c:v>171.67</c:v>
                </c:pt>
                <c:pt idx="5">
                  <c:v>202.66</c:v>
                </c:pt>
                <c:pt idx="6">
                  <c:v>211.95</c:v>
                </c:pt>
                <c:pt idx="7">
                  <c:v>246.66</c:v>
                </c:pt>
              </c:numCache>
            </c:numRef>
          </c:val>
          <c:extLst>
            <c:ext xmlns:c16="http://schemas.microsoft.com/office/drawing/2014/chart" uri="{C3380CC4-5D6E-409C-BE32-E72D297353CC}">
              <c16:uniqueId val="{00000000-8163-0940-9A64-E87D9E70F7B4}"/>
            </c:ext>
          </c:extLst>
        </c:ser>
        <c:ser>
          <c:idx val="1"/>
          <c:order val="1"/>
          <c:tx>
            <c:strRef>
              <c:f>'Halons Charts'!$D$126</c:f>
              <c:strCache>
                <c:ptCount val="1"/>
                <c:pt idx="0">
                  <c:v>NHB Stocks</c:v>
                </c:pt>
              </c:strCache>
            </c:strRef>
          </c:tx>
          <c:spPr>
            <a:solidFill>
              <a:schemeClr val="accent2"/>
            </a:solidFill>
            <a:ln>
              <a:noFill/>
            </a:ln>
            <a:effectLst/>
          </c:spPr>
          <c:invertIfNegative val="0"/>
          <c:cat>
            <c:multiLvlStrRef>
              <c:f>'Halons Charts'!$A$127:$B$134</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Charts'!$D$127:$D$134</c:f>
              <c:numCache>
                <c:formatCode>General</c:formatCode>
                <c:ptCount val="8"/>
                <c:pt idx="7">
                  <c:v>165.87</c:v>
                </c:pt>
              </c:numCache>
            </c:numRef>
          </c:val>
          <c:extLst>
            <c:ext xmlns:c16="http://schemas.microsoft.com/office/drawing/2014/chart" uri="{C3380CC4-5D6E-409C-BE32-E72D297353CC}">
              <c16:uniqueId val="{00000001-8163-0940-9A64-E87D9E70F7B4}"/>
            </c:ext>
          </c:extLst>
        </c:ser>
        <c:dLbls>
          <c:showLegendKey val="0"/>
          <c:showVal val="0"/>
          <c:showCatName val="0"/>
          <c:showSerName val="0"/>
          <c:showPercent val="0"/>
          <c:showBubbleSize val="0"/>
        </c:dLbls>
        <c:gapWidth val="182"/>
        <c:axId val="1981526112"/>
        <c:axId val="1969878480"/>
      </c:barChart>
      <c:catAx>
        <c:axId val="1981526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9878480"/>
        <c:crosses val="autoZero"/>
        <c:auto val="1"/>
        <c:lblAlgn val="ctr"/>
        <c:lblOffset val="100"/>
        <c:noMultiLvlLbl val="0"/>
      </c:catAx>
      <c:valAx>
        <c:axId val="196987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52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'Halons Charts'!$C$141</c:f>
              <c:strCache>
                <c:ptCount val="1"/>
                <c:pt idx="0">
                  <c:v>Estimated Halon 1301</c:v>
                </c:pt>
              </c:strCache>
            </c:strRef>
          </c:tx>
          <c:spPr>
            <a:solidFill>
              <a:schemeClr val="accent1"/>
            </a:solidFill>
            <a:ln>
              <a:noFill/>
            </a:ln>
            <a:effectLst/>
          </c:spPr>
          <c:invertIfNegative val="0"/>
          <c:cat>
            <c:multiLvlStrRef>
              <c:f>'Halons Charts'!$A$142:$B$149</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Charts'!$C$142:$C$149</c:f>
              <c:numCache>
                <c:formatCode>General</c:formatCode>
                <c:ptCount val="8"/>
                <c:pt idx="0">
                  <c:v>176.11</c:v>
                </c:pt>
                <c:pt idx="1">
                  <c:v>215.25</c:v>
                </c:pt>
                <c:pt idx="2">
                  <c:v>227.48</c:v>
                </c:pt>
                <c:pt idx="3">
                  <c:v>271.51</c:v>
                </c:pt>
                <c:pt idx="4">
                  <c:v>291.35000000000002</c:v>
                </c:pt>
                <c:pt idx="5">
                  <c:v>344.7</c:v>
                </c:pt>
                <c:pt idx="6">
                  <c:v>353.26</c:v>
                </c:pt>
                <c:pt idx="7">
                  <c:v>411.95</c:v>
                </c:pt>
              </c:numCache>
            </c:numRef>
          </c:val>
          <c:extLst>
            <c:ext xmlns:c16="http://schemas.microsoft.com/office/drawing/2014/chart" uri="{C3380CC4-5D6E-409C-BE32-E72D297353CC}">
              <c16:uniqueId val="{00000000-8D13-FB4B-8165-5C827F4BE7CF}"/>
            </c:ext>
          </c:extLst>
        </c:ser>
        <c:ser>
          <c:idx val="1"/>
          <c:order val="1"/>
          <c:tx>
            <c:strRef>
              <c:f>'Halons Charts'!$D$141</c:f>
              <c:strCache>
                <c:ptCount val="1"/>
                <c:pt idx="0">
                  <c:v>NHB Stocks</c:v>
                </c:pt>
              </c:strCache>
            </c:strRef>
          </c:tx>
          <c:spPr>
            <a:solidFill>
              <a:schemeClr val="accent2"/>
            </a:solidFill>
            <a:ln>
              <a:noFill/>
            </a:ln>
            <a:effectLst/>
          </c:spPr>
          <c:invertIfNegative val="0"/>
          <c:cat>
            <c:multiLvlStrRef>
              <c:f>'Halons Charts'!$A$142:$B$149</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Charts'!$D$142:$D$149</c:f>
              <c:numCache>
                <c:formatCode>General</c:formatCode>
                <c:ptCount val="8"/>
                <c:pt idx="7">
                  <c:v>165.87</c:v>
                </c:pt>
              </c:numCache>
            </c:numRef>
          </c:val>
          <c:extLst>
            <c:ext xmlns:c16="http://schemas.microsoft.com/office/drawing/2014/chart" uri="{C3380CC4-5D6E-409C-BE32-E72D297353CC}">
              <c16:uniqueId val="{00000001-8D13-FB4B-8165-5C827F4BE7CF}"/>
            </c:ext>
          </c:extLst>
        </c:ser>
        <c:dLbls>
          <c:showLegendKey val="0"/>
          <c:showVal val="0"/>
          <c:showCatName val="0"/>
          <c:showSerName val="0"/>
          <c:showPercent val="0"/>
          <c:showBubbleSize val="0"/>
        </c:dLbls>
        <c:gapWidth val="182"/>
        <c:axId val="1967970784"/>
        <c:axId val="1969727280"/>
      </c:barChart>
      <c:catAx>
        <c:axId val="1967970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9727280"/>
        <c:crosses val="autoZero"/>
        <c:auto val="1"/>
        <c:lblAlgn val="ctr"/>
        <c:lblOffset val="100"/>
        <c:noMultiLvlLbl val="0"/>
      </c:catAx>
      <c:valAx>
        <c:axId val="1969727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97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'Halons Charts'!$C$157</c:f>
              <c:strCache>
                <c:ptCount val="1"/>
                <c:pt idx="0">
                  <c:v>Estimated Halon 1301</c:v>
                </c:pt>
              </c:strCache>
            </c:strRef>
          </c:tx>
          <c:spPr>
            <a:solidFill>
              <a:schemeClr val="accent1"/>
            </a:solidFill>
            <a:ln>
              <a:noFill/>
            </a:ln>
            <a:effectLst/>
          </c:spPr>
          <c:invertIfNegative val="0"/>
          <c:cat>
            <c:multiLvlStrRef>
              <c:f>'Halons Charts'!$A$158:$B$165</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Charts'!$C$158:$C$165</c:f>
              <c:numCache>
                <c:formatCode>General</c:formatCode>
                <c:ptCount val="8"/>
                <c:pt idx="0">
                  <c:v>201.8</c:v>
                </c:pt>
                <c:pt idx="1">
                  <c:v>248.27</c:v>
                </c:pt>
                <c:pt idx="2">
                  <c:v>266.61</c:v>
                </c:pt>
                <c:pt idx="3">
                  <c:v>320.43</c:v>
                </c:pt>
                <c:pt idx="4">
                  <c:v>348.28</c:v>
                </c:pt>
                <c:pt idx="5">
                  <c:v>414.98</c:v>
                </c:pt>
                <c:pt idx="6">
                  <c:v>428.92</c:v>
                </c:pt>
                <c:pt idx="7">
                  <c:v>503.62</c:v>
                </c:pt>
              </c:numCache>
            </c:numRef>
          </c:val>
          <c:extLst>
            <c:ext xmlns:c16="http://schemas.microsoft.com/office/drawing/2014/chart" uri="{C3380CC4-5D6E-409C-BE32-E72D297353CC}">
              <c16:uniqueId val="{00000000-B5A4-134C-8C59-D1647F82E217}"/>
            </c:ext>
          </c:extLst>
        </c:ser>
        <c:ser>
          <c:idx val="1"/>
          <c:order val="1"/>
          <c:tx>
            <c:strRef>
              <c:f>'Halons Charts'!$D$157</c:f>
              <c:strCache>
                <c:ptCount val="1"/>
                <c:pt idx="0">
                  <c:v>NHB Stocks</c:v>
                </c:pt>
              </c:strCache>
            </c:strRef>
          </c:tx>
          <c:spPr>
            <a:solidFill>
              <a:schemeClr val="accent2"/>
            </a:solidFill>
            <a:ln>
              <a:noFill/>
            </a:ln>
            <a:effectLst/>
          </c:spPr>
          <c:invertIfNegative val="0"/>
          <c:cat>
            <c:multiLvlStrRef>
              <c:f>'Halons Charts'!$A$158:$B$165</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Charts'!$D$158:$D$165</c:f>
              <c:numCache>
                <c:formatCode>General</c:formatCode>
                <c:ptCount val="8"/>
                <c:pt idx="7">
                  <c:v>165.87</c:v>
                </c:pt>
              </c:numCache>
            </c:numRef>
          </c:val>
          <c:extLst>
            <c:ext xmlns:c16="http://schemas.microsoft.com/office/drawing/2014/chart" uri="{C3380CC4-5D6E-409C-BE32-E72D297353CC}">
              <c16:uniqueId val="{00000001-B5A4-134C-8C59-D1647F82E217}"/>
            </c:ext>
          </c:extLst>
        </c:ser>
        <c:dLbls>
          <c:showLegendKey val="0"/>
          <c:showVal val="0"/>
          <c:showCatName val="0"/>
          <c:showSerName val="0"/>
          <c:showPercent val="0"/>
          <c:showBubbleSize val="0"/>
        </c:dLbls>
        <c:gapWidth val="182"/>
        <c:axId val="345908207"/>
        <c:axId val="1984075056"/>
      </c:barChart>
      <c:catAx>
        <c:axId val="3459082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075056"/>
        <c:crosses val="autoZero"/>
        <c:auto val="1"/>
        <c:lblAlgn val="ctr"/>
        <c:lblOffset val="100"/>
        <c:noMultiLvlLbl val="0"/>
      </c:catAx>
      <c:valAx>
        <c:axId val="1984075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908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Halon 1301 Halon Special Permit (HSP) Holders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'[HSP02.xlsx]1301 HSP'!$B$2</c:f>
              <c:strCache>
                <c:ptCount val="1"/>
                <c:pt idx="0">
                  <c:v>Acquired (kg)</c:v>
                </c:pt>
              </c:strCache>
            </c:strRef>
          </c:tx>
          <c:spPr>
            <a:ln w="19050" cap="rnd">
              <a:noFill/>
              <a:round/>
            </a:ln>
            <a:effectLst/>
          </c:spPr>
          <c:marker>
            <c:symbol val="circle"/>
            <c:size val="5"/>
            <c:spPr>
              <a:solidFill>
                <a:schemeClr val="accent1"/>
              </a:solidFill>
              <a:ln w="9525">
                <a:solidFill>
                  <a:schemeClr val="accent1"/>
                </a:solidFill>
              </a:ln>
              <a:effectLst/>
            </c:spPr>
          </c:marker>
          <c:xVal>
            <c:numRef>
              <c:f>'[HSP02.xlsx]1301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'[HSP02.xlsx]1301 HSP'!$B$3:$B$29</c:f>
              <c:numCache>
                <c:formatCode>#,##0</c:formatCode>
                <c:ptCount val="27"/>
                <c:pt idx="0">
                  <c:v>2386</c:v>
                </c:pt>
                <c:pt idx="1">
                  <c:v>3252</c:v>
                </c:pt>
                <c:pt idx="2">
                  <c:v>4809</c:v>
                </c:pt>
                <c:pt idx="3">
                  <c:v>641</c:v>
                </c:pt>
                <c:pt idx="4">
                  <c:v>2864.7</c:v>
                </c:pt>
                <c:pt idx="5">
                  <c:v>1952.2</c:v>
                </c:pt>
                <c:pt idx="6">
                  <c:v>2123.6999999999998</c:v>
                </c:pt>
                <c:pt idx="7">
                  <c:v>2688.29</c:v>
                </c:pt>
                <c:pt idx="8">
                  <c:v>1102</c:v>
                </c:pt>
                <c:pt idx="9">
                  <c:v>7533</c:v>
                </c:pt>
                <c:pt idx="10">
                  <c:v>1040</c:v>
                </c:pt>
                <c:pt idx="11">
                  <c:v>1089</c:v>
                </c:pt>
                <c:pt idx="12" formatCode="General">
                  <c:v>506</c:v>
                </c:pt>
                <c:pt idx="13" formatCode="General">
                  <c:v>1113</c:v>
                </c:pt>
                <c:pt idx="14" formatCode="General">
                  <c:v>1037</c:v>
                </c:pt>
                <c:pt idx="15" formatCode="General">
                  <c:v>537</c:v>
                </c:pt>
                <c:pt idx="16" formatCode="General">
                  <c:v>2083</c:v>
                </c:pt>
                <c:pt idx="17" formatCode="General">
                  <c:v>526</c:v>
                </c:pt>
                <c:pt idx="18" formatCode="General">
                  <c:v>549</c:v>
                </c:pt>
                <c:pt idx="19" formatCode="General">
                  <c:v>595</c:v>
                </c:pt>
                <c:pt idx="20" formatCode="General">
                  <c:v>525</c:v>
                </c:pt>
                <c:pt idx="21" formatCode="General">
                  <c:v>112</c:v>
                </c:pt>
                <c:pt idx="22" formatCode="General">
                  <c:v>531</c:v>
                </c:pt>
                <c:pt idx="23" formatCode="General">
                  <c:v>523</c:v>
                </c:pt>
                <c:pt idx="24" formatCode="General">
                  <c:v>118</c:v>
                </c:pt>
                <c:pt idx="25" formatCode="General">
                  <c:v>59</c:v>
                </c:pt>
                <c:pt idx="26" formatCode="General">
                  <c:v>69</c:v>
                </c:pt>
              </c:numCache>
            </c:numRef>
          </c:yVal>
          <c:smooth val="0"/>
          <c:extLst>
            <c:ext xmlns:c16="http://schemas.microsoft.com/office/drawing/2014/chart" uri="{C3380CC4-5D6E-409C-BE32-E72D297353CC}">
              <c16:uniqueId val="{00000000-6DA7-8342-8C61-85D20EB58C3D}"/>
            </c:ext>
          </c:extLst>
        </c:ser>
        <c:ser>
          <c:idx val="1"/>
          <c:order val="1"/>
          <c:tx>
            <c:strRef>
              <c:f>'[HSP02.xlsx]1301 HSP'!$C$2</c:f>
              <c:strCache>
                <c:ptCount val="1"/>
                <c:pt idx="0">
                  <c:v>Recovered (kg)</c:v>
                </c:pt>
              </c:strCache>
            </c:strRef>
          </c:tx>
          <c:spPr>
            <a:ln w="19050" cap="rnd">
              <a:noFill/>
              <a:round/>
            </a:ln>
            <a:effectLst/>
          </c:spPr>
          <c:marker>
            <c:symbol val="circle"/>
            <c:size val="5"/>
            <c:spPr>
              <a:solidFill>
                <a:schemeClr val="accent2"/>
              </a:solidFill>
              <a:ln w="9525">
                <a:solidFill>
                  <a:schemeClr val="accent2"/>
                </a:solidFill>
              </a:ln>
              <a:effectLst/>
            </c:spPr>
          </c:marker>
          <c:xVal>
            <c:numRef>
              <c:f>'[HSP02.xlsx]1301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'[HSP02.xlsx]1301 HSP'!$C$3:$C$29</c:f>
              <c:numCache>
                <c:formatCode>General</c:formatCode>
                <c:ptCount val="27"/>
                <c:pt idx="0">
                  <c:v>1474</c:v>
                </c:pt>
                <c:pt idx="1">
                  <c:v>4283</c:v>
                </c:pt>
                <c:pt idx="2">
                  <c:v>730</c:v>
                </c:pt>
                <c:pt idx="3">
                  <c:v>4147</c:v>
                </c:pt>
                <c:pt idx="4">
                  <c:v>610</c:v>
                </c:pt>
                <c:pt idx="5">
                  <c:v>1054</c:v>
                </c:pt>
                <c:pt idx="6">
                  <c:v>891</c:v>
                </c:pt>
                <c:pt idx="7" formatCode="0">
                  <c:v>912.73</c:v>
                </c:pt>
                <c:pt idx="8">
                  <c:v>566</c:v>
                </c:pt>
                <c:pt idx="9" formatCode="#,##0">
                  <c:v>1024</c:v>
                </c:pt>
                <c:pt idx="10">
                  <c:v>822</c:v>
                </c:pt>
                <c:pt idx="11">
                  <c:v>746</c:v>
                </c:pt>
                <c:pt idx="12">
                  <c:v>796</c:v>
                </c:pt>
                <c:pt idx="13">
                  <c:v>1148</c:v>
                </c:pt>
                <c:pt idx="14">
                  <c:v>1157</c:v>
                </c:pt>
                <c:pt idx="15">
                  <c:v>1667</c:v>
                </c:pt>
                <c:pt idx="16">
                  <c:v>2811</c:v>
                </c:pt>
                <c:pt idx="17">
                  <c:v>3152</c:v>
                </c:pt>
                <c:pt idx="18">
                  <c:v>314</c:v>
                </c:pt>
                <c:pt idx="19">
                  <c:v>2318</c:v>
                </c:pt>
                <c:pt idx="20">
                  <c:v>1425</c:v>
                </c:pt>
                <c:pt idx="21">
                  <c:v>1102</c:v>
                </c:pt>
                <c:pt idx="22">
                  <c:v>920</c:v>
                </c:pt>
                <c:pt idx="23">
                  <c:v>2798</c:v>
                </c:pt>
                <c:pt idx="24">
                  <c:v>3341</c:v>
                </c:pt>
                <c:pt idx="25">
                  <c:v>403</c:v>
                </c:pt>
                <c:pt idx="26">
                  <c:v>23</c:v>
                </c:pt>
              </c:numCache>
            </c:numRef>
          </c:yVal>
          <c:smooth val="0"/>
          <c:extLst>
            <c:ext xmlns:c16="http://schemas.microsoft.com/office/drawing/2014/chart" uri="{C3380CC4-5D6E-409C-BE32-E72D297353CC}">
              <c16:uniqueId val="{00000001-6DA7-8342-8C61-85D20EB58C3D}"/>
            </c:ext>
          </c:extLst>
        </c:ser>
        <c:ser>
          <c:idx val="2"/>
          <c:order val="2"/>
          <c:tx>
            <c:strRef>
              <c:f>'[HSP02.xlsx]1301 HSP'!$D$2</c:f>
              <c:strCache>
                <c:ptCount val="1"/>
                <c:pt idx="0">
                  <c:v>Supplied (kg)</c:v>
                </c:pt>
              </c:strCache>
            </c:strRef>
          </c:tx>
          <c:spPr>
            <a:ln w="19050" cap="rnd">
              <a:noFill/>
              <a:round/>
            </a:ln>
            <a:effectLst/>
          </c:spPr>
          <c:marker>
            <c:symbol val="circle"/>
            <c:size val="5"/>
            <c:spPr>
              <a:solidFill>
                <a:schemeClr val="accent3"/>
              </a:solidFill>
              <a:ln w="9525">
                <a:solidFill>
                  <a:schemeClr val="accent3"/>
                </a:solidFill>
              </a:ln>
              <a:effectLst/>
            </c:spPr>
          </c:marker>
          <c:xVal>
            <c:numRef>
              <c:f>'[HSP02.xlsx]1301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'[HSP02.xlsx]1301 HSP'!$D$3:$D$29</c:f>
              <c:numCache>
                <c:formatCode>#,##0</c:formatCode>
                <c:ptCount val="27"/>
                <c:pt idx="0">
                  <c:v>2424</c:v>
                </c:pt>
                <c:pt idx="1">
                  <c:v>6471</c:v>
                </c:pt>
                <c:pt idx="2">
                  <c:v>3998</c:v>
                </c:pt>
                <c:pt idx="3">
                  <c:v>4279</c:v>
                </c:pt>
                <c:pt idx="4">
                  <c:v>6659</c:v>
                </c:pt>
                <c:pt idx="5">
                  <c:v>3277</c:v>
                </c:pt>
                <c:pt idx="6">
                  <c:v>2075</c:v>
                </c:pt>
                <c:pt idx="7">
                  <c:v>488.63499999999999</c:v>
                </c:pt>
                <c:pt idx="8">
                  <c:v>3124</c:v>
                </c:pt>
                <c:pt idx="9" formatCode="General">
                  <c:v>527</c:v>
                </c:pt>
                <c:pt idx="10">
                  <c:v>3091</c:v>
                </c:pt>
                <c:pt idx="11">
                  <c:v>2186</c:v>
                </c:pt>
                <c:pt idx="12" formatCode="General">
                  <c:v>1891</c:v>
                </c:pt>
                <c:pt idx="13" formatCode="General">
                  <c:v>2086</c:v>
                </c:pt>
                <c:pt idx="14" formatCode="General">
                  <c:v>2007</c:v>
                </c:pt>
                <c:pt idx="15" formatCode="General">
                  <c:v>1985</c:v>
                </c:pt>
                <c:pt idx="16" formatCode="General">
                  <c:v>3130</c:v>
                </c:pt>
                <c:pt idx="17" formatCode="General">
                  <c:v>4420</c:v>
                </c:pt>
                <c:pt idx="18" formatCode="General">
                  <c:v>6069</c:v>
                </c:pt>
                <c:pt idx="19" formatCode="General">
                  <c:v>547</c:v>
                </c:pt>
                <c:pt idx="20" formatCode="General">
                  <c:v>2143</c:v>
                </c:pt>
                <c:pt idx="21" formatCode="General">
                  <c:v>600</c:v>
                </c:pt>
                <c:pt idx="22" formatCode="General">
                  <c:v>465</c:v>
                </c:pt>
                <c:pt idx="23" formatCode="General">
                  <c:v>6155</c:v>
                </c:pt>
                <c:pt idx="24" formatCode="General">
                  <c:v>371</c:v>
                </c:pt>
                <c:pt idx="25" formatCode="General">
                  <c:v>70</c:v>
                </c:pt>
                <c:pt idx="26" formatCode="General">
                  <c:v>1360</c:v>
                </c:pt>
              </c:numCache>
            </c:numRef>
          </c:yVal>
          <c:smooth val="0"/>
          <c:extLst>
            <c:ext xmlns:c16="http://schemas.microsoft.com/office/drawing/2014/chart" uri="{C3380CC4-5D6E-409C-BE32-E72D297353CC}">
              <c16:uniqueId val="{00000002-6DA7-8342-8C61-85D20EB58C3D}"/>
            </c:ext>
          </c:extLst>
        </c:ser>
        <c:ser>
          <c:idx val="3"/>
          <c:order val="3"/>
          <c:tx>
            <c:strRef>
              <c:f>'[HSP02.xlsx]1301 HSP'!$E$2</c:f>
              <c:strCache>
                <c:ptCount val="1"/>
                <c:pt idx="0">
                  <c:v>Refill (kg)</c:v>
                </c:pt>
              </c:strCache>
            </c:strRef>
          </c:tx>
          <c:spPr>
            <a:ln w="19050" cap="rnd">
              <a:noFill/>
              <a:round/>
            </a:ln>
            <a:effectLst/>
          </c:spPr>
          <c:marker>
            <c:symbol val="circle"/>
            <c:size val="5"/>
            <c:spPr>
              <a:solidFill>
                <a:schemeClr val="accent4"/>
              </a:solidFill>
              <a:ln w="9525">
                <a:solidFill>
                  <a:schemeClr val="accent4"/>
                </a:solidFill>
              </a:ln>
              <a:effectLst/>
            </c:spPr>
          </c:marker>
          <c:xVal>
            <c:numRef>
              <c:f>'[HSP02.xlsx]1301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'[HSP02.xlsx]1301 HSP'!$E$3:$E$29</c:f>
              <c:numCache>
                <c:formatCode>#,##0</c:formatCode>
                <c:ptCount val="27"/>
                <c:pt idx="0">
                  <c:v>1208</c:v>
                </c:pt>
                <c:pt idx="1">
                  <c:v>707</c:v>
                </c:pt>
                <c:pt idx="2">
                  <c:v>830</c:v>
                </c:pt>
                <c:pt idx="3">
                  <c:v>834</c:v>
                </c:pt>
                <c:pt idx="4">
                  <c:v>596</c:v>
                </c:pt>
                <c:pt idx="5">
                  <c:v>1133</c:v>
                </c:pt>
                <c:pt idx="6">
                  <c:v>622</c:v>
                </c:pt>
                <c:pt idx="7">
                  <c:v>873.91</c:v>
                </c:pt>
                <c:pt idx="8" formatCode="General">
                  <c:v>450</c:v>
                </c:pt>
                <c:pt idx="9" formatCode="General">
                  <c:v>835</c:v>
                </c:pt>
                <c:pt idx="10" formatCode="General">
                  <c:v>441</c:v>
                </c:pt>
                <c:pt idx="11" formatCode="General">
                  <c:v>543</c:v>
                </c:pt>
                <c:pt idx="12" formatCode="General">
                  <c:v>519</c:v>
                </c:pt>
                <c:pt idx="13" formatCode="General">
                  <c:v>520</c:v>
                </c:pt>
                <c:pt idx="14" formatCode="General">
                  <c:v>634</c:v>
                </c:pt>
                <c:pt idx="15" formatCode="General">
                  <c:v>357</c:v>
                </c:pt>
                <c:pt idx="16" formatCode="General">
                  <c:v>514</c:v>
                </c:pt>
                <c:pt idx="17" formatCode="General">
                  <c:v>592</c:v>
                </c:pt>
                <c:pt idx="18" formatCode="General">
                  <c:v>3721</c:v>
                </c:pt>
                <c:pt idx="19" formatCode="General">
                  <c:v>658</c:v>
                </c:pt>
                <c:pt idx="20" formatCode="General">
                  <c:v>485</c:v>
                </c:pt>
                <c:pt idx="21" formatCode="General">
                  <c:v>850</c:v>
                </c:pt>
                <c:pt idx="22" formatCode="General">
                  <c:v>746</c:v>
                </c:pt>
                <c:pt idx="23" formatCode="General">
                  <c:v>493</c:v>
                </c:pt>
                <c:pt idx="24" formatCode="General">
                  <c:v>626</c:v>
                </c:pt>
                <c:pt idx="25" formatCode="General">
                  <c:v>501</c:v>
                </c:pt>
                <c:pt idx="26" formatCode="General">
                  <c:v>1303</c:v>
                </c:pt>
              </c:numCache>
            </c:numRef>
          </c:yVal>
          <c:smooth val="0"/>
          <c:extLst>
            <c:ext xmlns:c16="http://schemas.microsoft.com/office/drawing/2014/chart" uri="{C3380CC4-5D6E-409C-BE32-E72D297353CC}">
              <c16:uniqueId val="{00000003-6DA7-8342-8C61-85D20EB58C3D}"/>
            </c:ext>
          </c:extLst>
        </c:ser>
        <c:ser>
          <c:idx val="4"/>
          <c:order val="4"/>
          <c:tx>
            <c:strRef>
              <c:f>'[HSP02.xlsx]1301 HSP'!$F$2</c:f>
              <c:strCache>
                <c:ptCount val="1"/>
                <c:pt idx="0">
                  <c:v>Destroyed (kg)</c:v>
                </c:pt>
              </c:strCache>
            </c:strRef>
          </c:tx>
          <c:spPr>
            <a:ln w="19050" cap="rnd">
              <a:noFill/>
              <a:round/>
            </a:ln>
            <a:effectLst/>
          </c:spPr>
          <c:marker>
            <c:symbol val="circle"/>
            <c:size val="5"/>
            <c:spPr>
              <a:solidFill>
                <a:schemeClr val="accent5"/>
              </a:solidFill>
              <a:ln w="9525">
                <a:solidFill>
                  <a:schemeClr val="accent5"/>
                </a:solidFill>
              </a:ln>
              <a:effectLst/>
            </c:spPr>
          </c:marker>
          <c:xVal>
            <c:numRef>
              <c:f>'[HSP02.xlsx]1301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'[HSP02.xlsx]1301 HSP'!$F$3:$F$29</c:f>
              <c:numCache>
                <c:formatCode>#,##0</c:formatCode>
                <c:ptCount val="27"/>
                <c:pt idx="0">
                  <c:v>11</c:v>
                </c:pt>
                <c:pt idx="1">
                  <c:v>0</c:v>
                </c:pt>
                <c:pt idx="2">
                  <c:v>142</c:v>
                </c:pt>
                <c:pt idx="3">
                  <c:v>20</c:v>
                </c:pt>
                <c:pt idx="4">
                  <c:v>1.36</c:v>
                </c:pt>
                <c:pt idx="5">
                  <c:v>25</c:v>
                </c:pt>
                <c:pt idx="6">
                  <c:v>78</c:v>
                </c:pt>
                <c:pt idx="7">
                  <c:v>4.88</c:v>
                </c:pt>
                <c:pt idx="8" formatCode="General">
                  <c:v>112</c:v>
                </c:pt>
                <c:pt idx="9" formatCode="General">
                  <c:v>7</c:v>
                </c:pt>
                <c:pt idx="10" formatCode="General">
                  <c:v>5</c:v>
                </c:pt>
                <c:pt idx="11" formatCode="General">
                  <c:v>29</c:v>
                </c:pt>
                <c:pt idx="12" formatCode="General">
                  <c:v>6</c:v>
                </c:pt>
                <c:pt idx="13" formatCode="General">
                  <c:v>13</c:v>
                </c:pt>
                <c:pt idx="14" formatCode="General">
                  <c:v>9</c:v>
                </c:pt>
                <c:pt idx="15" formatCode="General">
                  <c:v>21</c:v>
                </c:pt>
                <c:pt idx="16" formatCode="General">
                  <c:v>14</c:v>
                </c:pt>
                <c:pt idx="17" formatCode="General">
                  <c:v>0</c:v>
                </c:pt>
                <c:pt idx="18" formatCode="General">
                  <c:v>35</c:v>
                </c:pt>
                <c:pt idx="19" formatCode="General">
                  <c:v>14</c:v>
                </c:pt>
                <c:pt idx="20" formatCode="General">
                  <c:v>22</c:v>
                </c:pt>
                <c:pt idx="21" formatCode="General">
                  <c:v>13</c:v>
                </c:pt>
                <c:pt idx="22" formatCode="General">
                  <c:v>6</c:v>
                </c:pt>
                <c:pt idx="23" formatCode="General">
                  <c:v>6</c:v>
                </c:pt>
                <c:pt idx="24" formatCode="General">
                  <c:v>70</c:v>
                </c:pt>
                <c:pt idx="25" formatCode="General">
                  <c:v>61</c:v>
                </c:pt>
                <c:pt idx="26" formatCode="General">
                  <c:v>7</c:v>
                </c:pt>
              </c:numCache>
            </c:numRef>
          </c:yVal>
          <c:smooth val="0"/>
          <c:extLst>
            <c:ext xmlns:c16="http://schemas.microsoft.com/office/drawing/2014/chart" uri="{C3380CC4-5D6E-409C-BE32-E72D297353CC}">
              <c16:uniqueId val="{00000004-6DA7-8342-8C61-85D20EB58C3D}"/>
            </c:ext>
          </c:extLst>
        </c:ser>
        <c:ser>
          <c:idx val="5"/>
          <c:order val="5"/>
          <c:tx>
            <c:strRef>
              <c:f>'[HSP02.xlsx]1301 HSP'!$G$2</c:f>
              <c:strCache>
                <c:ptCount val="1"/>
                <c:pt idx="0">
                  <c:v>On Hand (kg)</c:v>
                </c:pt>
              </c:strCache>
            </c:strRef>
          </c:tx>
          <c:spPr>
            <a:ln w="19050" cap="rnd">
              <a:noFill/>
              <a:round/>
            </a:ln>
            <a:effectLst/>
          </c:spPr>
          <c:marker>
            <c:symbol val="circle"/>
            <c:size val="5"/>
            <c:spPr>
              <a:solidFill>
                <a:schemeClr val="accent6"/>
              </a:solidFill>
              <a:ln w="9525">
                <a:solidFill>
                  <a:schemeClr val="accent6"/>
                </a:solidFill>
              </a:ln>
              <a:effectLst/>
            </c:spPr>
          </c:marker>
          <c:xVal>
            <c:numRef>
              <c:f>'[HSP02.xlsx]1301 HSP'!$A$3:$A$29</c:f>
              <c:numCache>
                <c:formatCode>mmm\-yy</c:formatCode>
                <c:ptCount val="27"/>
                <c:pt idx="0">
                  <c:v>41334</c:v>
                </c:pt>
                <c:pt idx="1">
                  <c:v>41426</c:v>
                </c:pt>
                <c:pt idx="2">
                  <c:v>41518</c:v>
                </c:pt>
                <c:pt idx="3">
                  <c:v>41609</c:v>
                </c:pt>
                <c:pt idx="4">
                  <c:v>41699</c:v>
                </c:pt>
                <c:pt idx="5">
                  <c:v>41791</c:v>
                </c:pt>
                <c:pt idx="6">
                  <c:v>41883</c:v>
                </c:pt>
                <c:pt idx="7">
                  <c:v>41974</c:v>
                </c:pt>
                <c:pt idx="8">
                  <c:v>42064</c:v>
                </c:pt>
                <c:pt idx="9">
                  <c:v>42156</c:v>
                </c:pt>
                <c:pt idx="10">
                  <c:v>42248</c:v>
                </c:pt>
                <c:pt idx="11">
                  <c:v>42339</c:v>
                </c:pt>
                <c:pt idx="12">
                  <c:v>42430</c:v>
                </c:pt>
                <c:pt idx="13">
                  <c:v>42522</c:v>
                </c:pt>
                <c:pt idx="14">
                  <c:v>42614</c:v>
                </c:pt>
                <c:pt idx="15">
                  <c:v>42705</c:v>
                </c:pt>
                <c:pt idx="16">
                  <c:v>42795</c:v>
                </c:pt>
                <c:pt idx="17">
                  <c:v>42887</c:v>
                </c:pt>
                <c:pt idx="18">
                  <c:v>42979</c:v>
                </c:pt>
                <c:pt idx="19">
                  <c:v>43070</c:v>
                </c:pt>
                <c:pt idx="20">
                  <c:v>43160</c:v>
                </c:pt>
                <c:pt idx="21">
                  <c:v>43252</c:v>
                </c:pt>
                <c:pt idx="22">
                  <c:v>43344</c:v>
                </c:pt>
                <c:pt idx="23">
                  <c:v>43435</c:v>
                </c:pt>
                <c:pt idx="24">
                  <c:v>43525</c:v>
                </c:pt>
                <c:pt idx="25">
                  <c:v>43617</c:v>
                </c:pt>
                <c:pt idx="26">
                  <c:v>43709</c:v>
                </c:pt>
              </c:numCache>
            </c:numRef>
          </c:xVal>
          <c:yVal>
            <c:numRef>
              <c:f>'[HSP02.xlsx]1301 HSP'!$G$3:$G$29</c:f>
              <c:numCache>
                <c:formatCode>0</c:formatCode>
                <c:ptCount val="27"/>
                <c:pt idx="0">
                  <c:v>28261</c:v>
                </c:pt>
                <c:pt idx="1">
                  <c:v>22423</c:v>
                </c:pt>
                <c:pt idx="2">
                  <c:v>28535</c:v>
                </c:pt>
                <c:pt idx="3">
                  <c:v>26408</c:v>
                </c:pt>
                <c:pt idx="4">
                  <c:v>25326</c:v>
                </c:pt>
                <c:pt idx="5">
                  <c:v>11843</c:v>
                </c:pt>
                <c:pt idx="6">
                  <c:v>12714</c:v>
                </c:pt>
                <c:pt idx="7">
                  <c:v>14539.8</c:v>
                </c:pt>
                <c:pt idx="8" formatCode="#,##0">
                  <c:v>12369</c:v>
                </c:pt>
                <c:pt idx="9" formatCode="#,##0">
                  <c:v>19355</c:v>
                </c:pt>
                <c:pt idx="10" formatCode="#,##0">
                  <c:v>17518</c:v>
                </c:pt>
                <c:pt idx="11" formatCode="#,##0">
                  <c:v>16726</c:v>
                </c:pt>
                <c:pt idx="12" formatCode="#,##0">
                  <c:v>15893</c:v>
                </c:pt>
                <c:pt idx="13" formatCode="General">
                  <c:v>10786</c:v>
                </c:pt>
                <c:pt idx="14" formatCode="General">
                  <c:v>15125</c:v>
                </c:pt>
                <c:pt idx="15" formatCode="General">
                  <c:v>14737</c:v>
                </c:pt>
                <c:pt idx="16" formatCode="General">
                  <c:v>16098</c:v>
                </c:pt>
                <c:pt idx="17" formatCode="General">
                  <c:v>19909</c:v>
                </c:pt>
                <c:pt idx="18" formatCode="General">
                  <c:v>17819</c:v>
                </c:pt>
                <c:pt idx="19" formatCode="General">
                  <c:v>20406</c:v>
                </c:pt>
                <c:pt idx="20" formatCode="General">
                  <c:v>18668</c:v>
                </c:pt>
                <c:pt idx="21" formatCode="General">
                  <c:v>23733</c:v>
                </c:pt>
                <c:pt idx="22" formatCode="General">
                  <c:v>23918</c:v>
                </c:pt>
                <c:pt idx="23" formatCode="General">
                  <c:v>20868</c:v>
                </c:pt>
                <c:pt idx="24" formatCode="General">
                  <c:v>24621</c:v>
                </c:pt>
                <c:pt idx="25" formatCode="General">
                  <c:v>19760</c:v>
                </c:pt>
                <c:pt idx="26" formatCode="General">
                  <c:v>9487</c:v>
                </c:pt>
              </c:numCache>
            </c:numRef>
          </c:yVal>
          <c:smooth val="0"/>
          <c:extLst>
            <c:ext xmlns:c16="http://schemas.microsoft.com/office/drawing/2014/chart" uri="{C3380CC4-5D6E-409C-BE32-E72D297353CC}">
              <c16:uniqueId val="{00000005-6DA7-8342-8C61-85D20EB58C3D}"/>
            </c:ext>
          </c:extLst>
        </c:ser>
        <c:dLbls>
          <c:showLegendKey val="0"/>
          <c:showVal val="0"/>
          <c:showCatName val="0"/>
          <c:showSerName val="0"/>
          <c:showPercent val="0"/>
          <c:showBubbleSize val="0"/>
        </c:dLbls>
        <c:axId val="120523720"/>
        <c:axId val="120524112"/>
      </c:scatterChart>
      <c:valAx>
        <c:axId val="120523720"/>
        <c:scaling>
          <c:orientation val="minMax"/>
        </c:scaling>
        <c:delete val="0"/>
        <c:axPos val="b"/>
        <c:majorGridlines>
          <c:spPr>
            <a:ln w="9525" cap="flat" cmpd="sng" algn="ctr">
              <a:solidFill>
                <a:schemeClr val="tx1">
                  <a:lumMod val="15000"/>
                  <a:lumOff val="85000"/>
                </a:schemeClr>
              </a:solidFill>
              <a:round/>
            </a:ln>
            <a:effectLst/>
          </c:spPr>
        </c:majorGridlines>
        <c:numFmt formatCode="mmm\-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524112"/>
        <c:crosses val="autoZero"/>
        <c:crossBetween val="midCat"/>
      </c:valAx>
      <c:valAx>
        <c:axId val="120524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5237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Halon</a:t>
            </a:r>
            <a:r>
              <a:rPr lang="en-GB" baseline="0"/>
              <a:t> 1211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'DoEE owned halon'!$A$6:$A$84</c:f>
              <c:numCache>
                <c:formatCode>mmm\-yy</c:formatCode>
                <c:ptCount val="79"/>
                <c:pt idx="0">
                  <c:v>41456</c:v>
                </c:pt>
                <c:pt idx="1">
                  <c:v>41487</c:v>
                </c:pt>
                <c:pt idx="2">
                  <c:v>41518</c:v>
                </c:pt>
                <c:pt idx="3">
                  <c:v>41548</c:v>
                </c:pt>
                <c:pt idx="4">
                  <c:v>41579</c:v>
                </c:pt>
                <c:pt idx="5">
                  <c:v>41609</c:v>
                </c:pt>
                <c:pt idx="6">
                  <c:v>41640</c:v>
                </c:pt>
                <c:pt idx="7">
                  <c:v>41671</c:v>
                </c:pt>
                <c:pt idx="8">
                  <c:v>41699</c:v>
                </c:pt>
                <c:pt idx="9">
                  <c:v>41730</c:v>
                </c:pt>
                <c:pt idx="10">
                  <c:v>41760</c:v>
                </c:pt>
                <c:pt idx="11">
                  <c:v>41791</c:v>
                </c:pt>
                <c:pt idx="12">
                  <c:v>41821</c:v>
                </c:pt>
                <c:pt idx="13">
                  <c:v>41852</c:v>
                </c:pt>
                <c:pt idx="14">
                  <c:v>41883</c:v>
                </c:pt>
                <c:pt idx="15">
                  <c:v>41913</c:v>
                </c:pt>
                <c:pt idx="16">
                  <c:v>41944</c:v>
                </c:pt>
                <c:pt idx="17">
                  <c:v>41974</c:v>
                </c:pt>
                <c:pt idx="18">
                  <c:v>42005</c:v>
                </c:pt>
                <c:pt idx="19">
                  <c:v>42036</c:v>
                </c:pt>
                <c:pt idx="20">
                  <c:v>42064</c:v>
                </c:pt>
                <c:pt idx="21">
                  <c:v>42095</c:v>
                </c:pt>
                <c:pt idx="22">
                  <c:v>42125</c:v>
                </c:pt>
                <c:pt idx="23">
                  <c:v>42156</c:v>
                </c:pt>
                <c:pt idx="24">
                  <c:v>42186</c:v>
                </c:pt>
                <c:pt idx="25">
                  <c:v>42217</c:v>
                </c:pt>
                <c:pt idx="26">
                  <c:v>42248</c:v>
                </c:pt>
                <c:pt idx="27">
                  <c:v>42278</c:v>
                </c:pt>
                <c:pt idx="28">
                  <c:v>42309</c:v>
                </c:pt>
                <c:pt idx="29">
                  <c:v>42339</c:v>
                </c:pt>
                <c:pt idx="30">
                  <c:v>42370</c:v>
                </c:pt>
                <c:pt idx="31">
                  <c:v>42401</c:v>
                </c:pt>
                <c:pt idx="32">
                  <c:v>42430</c:v>
                </c:pt>
                <c:pt idx="33">
                  <c:v>42461</c:v>
                </c:pt>
                <c:pt idx="34">
                  <c:v>42491</c:v>
                </c:pt>
                <c:pt idx="35">
                  <c:v>42522</c:v>
                </c:pt>
                <c:pt idx="36">
                  <c:v>42552</c:v>
                </c:pt>
                <c:pt idx="37">
                  <c:v>42583</c:v>
                </c:pt>
                <c:pt idx="38">
                  <c:v>42614</c:v>
                </c:pt>
                <c:pt idx="39">
                  <c:v>42644</c:v>
                </c:pt>
                <c:pt idx="40">
                  <c:v>42675</c:v>
                </c:pt>
                <c:pt idx="41">
                  <c:v>42705</c:v>
                </c:pt>
                <c:pt idx="42">
                  <c:v>42736</c:v>
                </c:pt>
                <c:pt idx="43">
                  <c:v>42767</c:v>
                </c:pt>
                <c:pt idx="44">
                  <c:v>42795</c:v>
                </c:pt>
                <c:pt idx="45">
                  <c:v>42826</c:v>
                </c:pt>
                <c:pt idx="46">
                  <c:v>42856</c:v>
                </c:pt>
                <c:pt idx="47">
                  <c:v>42887</c:v>
                </c:pt>
                <c:pt idx="48">
                  <c:v>42917</c:v>
                </c:pt>
                <c:pt idx="49">
                  <c:v>42948</c:v>
                </c:pt>
                <c:pt idx="50">
                  <c:v>42979</c:v>
                </c:pt>
                <c:pt idx="51">
                  <c:v>43009</c:v>
                </c:pt>
                <c:pt idx="52">
                  <c:v>43040</c:v>
                </c:pt>
                <c:pt idx="53">
                  <c:v>43070</c:v>
                </c:pt>
                <c:pt idx="54">
                  <c:v>43101</c:v>
                </c:pt>
                <c:pt idx="55">
                  <c:v>43132</c:v>
                </c:pt>
                <c:pt idx="56">
                  <c:v>43160</c:v>
                </c:pt>
                <c:pt idx="57">
                  <c:v>43191</c:v>
                </c:pt>
                <c:pt idx="58">
                  <c:v>43221</c:v>
                </c:pt>
                <c:pt idx="59">
                  <c:v>43252</c:v>
                </c:pt>
                <c:pt idx="60">
                  <c:v>43282</c:v>
                </c:pt>
                <c:pt idx="61">
                  <c:v>43313</c:v>
                </c:pt>
                <c:pt idx="62">
                  <c:v>43344</c:v>
                </c:pt>
                <c:pt idx="63">
                  <c:v>43374</c:v>
                </c:pt>
                <c:pt idx="64">
                  <c:v>43405</c:v>
                </c:pt>
                <c:pt idx="65">
                  <c:v>43435</c:v>
                </c:pt>
                <c:pt idx="66">
                  <c:v>43466</c:v>
                </c:pt>
                <c:pt idx="67">
                  <c:v>43497</c:v>
                </c:pt>
                <c:pt idx="68">
                  <c:v>43525</c:v>
                </c:pt>
                <c:pt idx="69">
                  <c:v>43556</c:v>
                </c:pt>
                <c:pt idx="70">
                  <c:v>43586</c:v>
                </c:pt>
                <c:pt idx="71">
                  <c:v>43617</c:v>
                </c:pt>
                <c:pt idx="72">
                  <c:v>43647</c:v>
                </c:pt>
                <c:pt idx="73">
                  <c:v>43678</c:v>
                </c:pt>
                <c:pt idx="74">
                  <c:v>43709</c:v>
                </c:pt>
                <c:pt idx="75">
                  <c:v>43739</c:v>
                </c:pt>
                <c:pt idx="76">
                  <c:v>43770</c:v>
                </c:pt>
                <c:pt idx="77">
                  <c:v>43800</c:v>
                </c:pt>
                <c:pt idx="78">
                  <c:v>43831</c:v>
                </c:pt>
              </c:numCache>
            </c:numRef>
          </c:cat>
          <c:val>
            <c:numRef>
              <c:f>'DoEE owned halon'!$C$6:$C$84</c:f>
              <c:numCache>
                <c:formatCode>_(* #,##0.00_);_(* \(#,##0.00\);_(* "-"??_);_(@_)</c:formatCode>
                <c:ptCount val="79"/>
                <c:pt idx="0">
                  <c:v>101294.2</c:v>
                </c:pt>
                <c:pt idx="1">
                  <c:v>100791.7</c:v>
                </c:pt>
                <c:pt idx="2">
                  <c:v>100289.7</c:v>
                </c:pt>
                <c:pt idx="3">
                  <c:v>100289.7</c:v>
                </c:pt>
                <c:pt idx="4">
                  <c:v>100289.7</c:v>
                </c:pt>
                <c:pt idx="5">
                  <c:v>100289.7</c:v>
                </c:pt>
                <c:pt idx="6">
                  <c:v>100289.7</c:v>
                </c:pt>
                <c:pt idx="7">
                  <c:v>100289.7</c:v>
                </c:pt>
                <c:pt idx="8">
                  <c:v>100289.7</c:v>
                </c:pt>
                <c:pt idx="9">
                  <c:v>100289.7</c:v>
                </c:pt>
                <c:pt idx="10">
                  <c:v>99787.7</c:v>
                </c:pt>
                <c:pt idx="11">
                  <c:v>99556.5</c:v>
                </c:pt>
                <c:pt idx="12">
                  <c:v>99556.5</c:v>
                </c:pt>
                <c:pt idx="13">
                  <c:v>99556.5</c:v>
                </c:pt>
                <c:pt idx="14">
                  <c:v>99556.5</c:v>
                </c:pt>
                <c:pt idx="15">
                  <c:v>99055</c:v>
                </c:pt>
                <c:pt idx="16">
                  <c:v>99055</c:v>
                </c:pt>
                <c:pt idx="17">
                  <c:v>98552.5</c:v>
                </c:pt>
                <c:pt idx="18">
                  <c:v>98552.5</c:v>
                </c:pt>
                <c:pt idx="19">
                  <c:v>98552.5</c:v>
                </c:pt>
                <c:pt idx="20">
                  <c:v>98552.5</c:v>
                </c:pt>
                <c:pt idx="21">
                  <c:v>98552.5</c:v>
                </c:pt>
                <c:pt idx="22">
                  <c:v>98552.5</c:v>
                </c:pt>
                <c:pt idx="23">
                  <c:v>98552.5</c:v>
                </c:pt>
                <c:pt idx="24">
                  <c:v>98552.5</c:v>
                </c:pt>
                <c:pt idx="25">
                  <c:v>98368.5</c:v>
                </c:pt>
                <c:pt idx="26">
                  <c:v>97885.5</c:v>
                </c:pt>
                <c:pt idx="27">
                  <c:v>97384</c:v>
                </c:pt>
                <c:pt idx="28">
                  <c:v>97384</c:v>
                </c:pt>
                <c:pt idx="29">
                  <c:v>97384</c:v>
                </c:pt>
                <c:pt idx="30">
                  <c:v>97384</c:v>
                </c:pt>
                <c:pt idx="31">
                  <c:v>97384</c:v>
                </c:pt>
                <c:pt idx="32">
                  <c:v>97384</c:v>
                </c:pt>
                <c:pt idx="33">
                  <c:v>97384</c:v>
                </c:pt>
                <c:pt idx="34">
                  <c:v>96679.5</c:v>
                </c:pt>
                <c:pt idx="35">
                  <c:v>96679.5</c:v>
                </c:pt>
                <c:pt idx="36">
                  <c:v>96679.5</c:v>
                </c:pt>
                <c:pt idx="37">
                  <c:v>96679.5</c:v>
                </c:pt>
                <c:pt idx="38">
                  <c:v>96177</c:v>
                </c:pt>
                <c:pt idx="39">
                  <c:v>96177</c:v>
                </c:pt>
                <c:pt idx="40">
                  <c:v>95878.5</c:v>
                </c:pt>
                <c:pt idx="41">
                  <c:v>95878.5</c:v>
                </c:pt>
                <c:pt idx="42">
                  <c:v>95878.5</c:v>
                </c:pt>
                <c:pt idx="43">
                  <c:v>95878.5</c:v>
                </c:pt>
                <c:pt idx="44">
                  <c:v>95878.5</c:v>
                </c:pt>
                <c:pt idx="45">
                  <c:v>95878.5</c:v>
                </c:pt>
                <c:pt idx="46">
                  <c:v>95380</c:v>
                </c:pt>
                <c:pt idx="47">
                  <c:v>95133</c:v>
                </c:pt>
                <c:pt idx="48">
                  <c:v>95133</c:v>
                </c:pt>
                <c:pt idx="49">
                  <c:v>95133</c:v>
                </c:pt>
                <c:pt idx="50">
                  <c:v>95133</c:v>
                </c:pt>
                <c:pt idx="51">
                  <c:v>94630.5</c:v>
                </c:pt>
                <c:pt idx="52">
                  <c:v>94630.5</c:v>
                </c:pt>
                <c:pt idx="53">
                  <c:v>94630.5</c:v>
                </c:pt>
                <c:pt idx="54">
                  <c:v>94130</c:v>
                </c:pt>
                <c:pt idx="55">
                  <c:v>94130</c:v>
                </c:pt>
                <c:pt idx="56">
                  <c:v>94130</c:v>
                </c:pt>
                <c:pt idx="57">
                  <c:v>94130</c:v>
                </c:pt>
                <c:pt idx="58">
                  <c:v>94130</c:v>
                </c:pt>
                <c:pt idx="59">
                  <c:v>94130</c:v>
                </c:pt>
                <c:pt idx="60">
                  <c:v>94130</c:v>
                </c:pt>
                <c:pt idx="61">
                  <c:v>94080</c:v>
                </c:pt>
                <c:pt idx="62">
                  <c:v>94080</c:v>
                </c:pt>
                <c:pt idx="63">
                  <c:v>94080</c:v>
                </c:pt>
                <c:pt idx="64">
                  <c:v>94080</c:v>
                </c:pt>
                <c:pt idx="65">
                  <c:v>94080</c:v>
                </c:pt>
                <c:pt idx="66">
                  <c:v>94080</c:v>
                </c:pt>
                <c:pt idx="67">
                  <c:v>93580</c:v>
                </c:pt>
                <c:pt idx="68">
                  <c:v>93580</c:v>
                </c:pt>
                <c:pt idx="69">
                  <c:v>93580</c:v>
                </c:pt>
                <c:pt idx="70">
                  <c:v>93580</c:v>
                </c:pt>
                <c:pt idx="71">
                  <c:v>93531</c:v>
                </c:pt>
                <c:pt idx="72">
                  <c:v>93531</c:v>
                </c:pt>
                <c:pt idx="73">
                  <c:v>93531</c:v>
                </c:pt>
                <c:pt idx="74">
                  <c:v>93030</c:v>
                </c:pt>
                <c:pt idx="75">
                  <c:v>93030</c:v>
                </c:pt>
                <c:pt idx="76">
                  <c:v>93030</c:v>
                </c:pt>
                <c:pt idx="77">
                  <c:v>93030</c:v>
                </c:pt>
                <c:pt idx="78">
                  <c:v>93030</c:v>
                </c:pt>
              </c:numCache>
            </c:numRef>
          </c:val>
          <c:smooth val="0"/>
          <c:extLst>
            <c:ext xmlns:c16="http://schemas.microsoft.com/office/drawing/2014/chart" uri="{C3380CC4-5D6E-409C-BE32-E72D297353CC}">
              <c16:uniqueId val="{00000000-8326-FD42-B0DA-1832B29BB978}"/>
            </c:ext>
          </c:extLst>
        </c:ser>
        <c:dLbls>
          <c:showLegendKey val="0"/>
          <c:showVal val="0"/>
          <c:showCatName val="0"/>
          <c:showSerName val="0"/>
          <c:showPercent val="0"/>
          <c:showBubbleSize val="0"/>
        </c:dLbls>
        <c:smooth val="0"/>
        <c:axId val="1218797295"/>
        <c:axId val="1215243407"/>
      </c:lineChart>
      <c:dateAx>
        <c:axId val="121879729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243407"/>
        <c:crosses val="autoZero"/>
        <c:auto val="1"/>
        <c:lblOffset val="100"/>
        <c:baseTimeUnit val="months"/>
      </c:dateAx>
      <c:valAx>
        <c:axId val="1215243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87972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Halon</a:t>
            </a:r>
            <a:r>
              <a:rPr lang="en-GB" baseline="0"/>
              <a:t> 1301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'DoEE owned halon'!$A$6:$A$84</c:f>
              <c:numCache>
                <c:formatCode>mmm\-yy</c:formatCode>
                <c:ptCount val="79"/>
                <c:pt idx="0">
                  <c:v>41456</c:v>
                </c:pt>
                <c:pt idx="1">
                  <c:v>41487</c:v>
                </c:pt>
                <c:pt idx="2">
                  <c:v>41518</c:v>
                </c:pt>
                <c:pt idx="3">
                  <c:v>41548</c:v>
                </c:pt>
                <c:pt idx="4">
                  <c:v>41579</c:v>
                </c:pt>
                <c:pt idx="5">
                  <c:v>41609</c:v>
                </c:pt>
                <c:pt idx="6">
                  <c:v>41640</c:v>
                </c:pt>
                <c:pt idx="7">
                  <c:v>41671</c:v>
                </c:pt>
                <c:pt idx="8">
                  <c:v>41699</c:v>
                </c:pt>
                <c:pt idx="9">
                  <c:v>41730</c:v>
                </c:pt>
                <c:pt idx="10">
                  <c:v>41760</c:v>
                </c:pt>
                <c:pt idx="11">
                  <c:v>41791</c:v>
                </c:pt>
                <c:pt idx="12">
                  <c:v>41821</c:v>
                </c:pt>
                <c:pt idx="13">
                  <c:v>41852</c:v>
                </c:pt>
                <c:pt idx="14">
                  <c:v>41883</c:v>
                </c:pt>
                <c:pt idx="15">
                  <c:v>41913</c:v>
                </c:pt>
                <c:pt idx="16">
                  <c:v>41944</c:v>
                </c:pt>
                <c:pt idx="17">
                  <c:v>41974</c:v>
                </c:pt>
                <c:pt idx="18">
                  <c:v>42005</c:v>
                </c:pt>
                <c:pt idx="19">
                  <c:v>42036</c:v>
                </c:pt>
                <c:pt idx="20">
                  <c:v>42064</c:v>
                </c:pt>
                <c:pt idx="21">
                  <c:v>42095</c:v>
                </c:pt>
                <c:pt idx="22">
                  <c:v>42125</c:v>
                </c:pt>
                <c:pt idx="23">
                  <c:v>42156</c:v>
                </c:pt>
                <c:pt idx="24">
                  <c:v>42186</c:v>
                </c:pt>
                <c:pt idx="25">
                  <c:v>42217</c:v>
                </c:pt>
                <c:pt idx="26">
                  <c:v>42248</c:v>
                </c:pt>
                <c:pt idx="27">
                  <c:v>42278</c:v>
                </c:pt>
                <c:pt idx="28">
                  <c:v>42309</c:v>
                </c:pt>
                <c:pt idx="29">
                  <c:v>42339</c:v>
                </c:pt>
                <c:pt idx="30">
                  <c:v>42370</c:v>
                </c:pt>
                <c:pt idx="31">
                  <c:v>42401</c:v>
                </c:pt>
                <c:pt idx="32">
                  <c:v>42430</c:v>
                </c:pt>
                <c:pt idx="33">
                  <c:v>42461</c:v>
                </c:pt>
                <c:pt idx="34">
                  <c:v>42491</c:v>
                </c:pt>
                <c:pt idx="35">
                  <c:v>42522</c:v>
                </c:pt>
                <c:pt idx="36">
                  <c:v>42552</c:v>
                </c:pt>
                <c:pt idx="37">
                  <c:v>42583</c:v>
                </c:pt>
                <c:pt idx="38">
                  <c:v>42614</c:v>
                </c:pt>
                <c:pt idx="39">
                  <c:v>42644</c:v>
                </c:pt>
                <c:pt idx="40">
                  <c:v>42675</c:v>
                </c:pt>
                <c:pt idx="41">
                  <c:v>42705</c:v>
                </c:pt>
                <c:pt idx="42">
                  <c:v>42736</c:v>
                </c:pt>
                <c:pt idx="43">
                  <c:v>42767</c:v>
                </c:pt>
                <c:pt idx="44">
                  <c:v>42795</c:v>
                </c:pt>
                <c:pt idx="45">
                  <c:v>42826</c:v>
                </c:pt>
                <c:pt idx="46">
                  <c:v>42856</c:v>
                </c:pt>
                <c:pt idx="47">
                  <c:v>42887</c:v>
                </c:pt>
                <c:pt idx="48">
                  <c:v>42917</c:v>
                </c:pt>
                <c:pt idx="49">
                  <c:v>42948</c:v>
                </c:pt>
                <c:pt idx="50">
                  <c:v>42979</c:v>
                </c:pt>
                <c:pt idx="51">
                  <c:v>43009</c:v>
                </c:pt>
                <c:pt idx="52">
                  <c:v>43040</c:v>
                </c:pt>
                <c:pt idx="53">
                  <c:v>43070</c:v>
                </c:pt>
                <c:pt idx="54">
                  <c:v>43101</c:v>
                </c:pt>
                <c:pt idx="55">
                  <c:v>43132</c:v>
                </c:pt>
                <c:pt idx="56">
                  <c:v>43160</c:v>
                </c:pt>
                <c:pt idx="57">
                  <c:v>43191</c:v>
                </c:pt>
                <c:pt idx="58">
                  <c:v>43221</c:v>
                </c:pt>
                <c:pt idx="59">
                  <c:v>43252</c:v>
                </c:pt>
                <c:pt idx="60">
                  <c:v>43282</c:v>
                </c:pt>
                <c:pt idx="61">
                  <c:v>43313</c:v>
                </c:pt>
                <c:pt idx="62">
                  <c:v>43344</c:v>
                </c:pt>
                <c:pt idx="63">
                  <c:v>43374</c:v>
                </c:pt>
                <c:pt idx="64">
                  <c:v>43405</c:v>
                </c:pt>
                <c:pt idx="65">
                  <c:v>43435</c:v>
                </c:pt>
                <c:pt idx="66">
                  <c:v>43466</c:v>
                </c:pt>
                <c:pt idx="67">
                  <c:v>43497</c:v>
                </c:pt>
                <c:pt idx="68">
                  <c:v>43525</c:v>
                </c:pt>
                <c:pt idx="69">
                  <c:v>43556</c:v>
                </c:pt>
                <c:pt idx="70">
                  <c:v>43586</c:v>
                </c:pt>
                <c:pt idx="71">
                  <c:v>43617</c:v>
                </c:pt>
                <c:pt idx="72">
                  <c:v>43647</c:v>
                </c:pt>
                <c:pt idx="73">
                  <c:v>43678</c:v>
                </c:pt>
                <c:pt idx="74">
                  <c:v>43709</c:v>
                </c:pt>
                <c:pt idx="75">
                  <c:v>43739</c:v>
                </c:pt>
                <c:pt idx="76">
                  <c:v>43770</c:v>
                </c:pt>
                <c:pt idx="77">
                  <c:v>43800</c:v>
                </c:pt>
                <c:pt idx="78">
                  <c:v>43831</c:v>
                </c:pt>
              </c:numCache>
            </c:numRef>
          </c:cat>
          <c:val>
            <c:numRef>
              <c:f>'DoEE owned halon'!$B$6:$B$84</c:f>
              <c:numCache>
                <c:formatCode>_(* #,##0.00_);_(* \(#,##0.00\);_(* "-"??_);_(@_)</c:formatCode>
                <c:ptCount val="79"/>
                <c:pt idx="0">
                  <c:v>189442</c:v>
                </c:pt>
                <c:pt idx="1">
                  <c:v>189442</c:v>
                </c:pt>
                <c:pt idx="2">
                  <c:v>189442</c:v>
                </c:pt>
                <c:pt idx="3">
                  <c:v>189442</c:v>
                </c:pt>
                <c:pt idx="4">
                  <c:v>189442</c:v>
                </c:pt>
                <c:pt idx="5">
                  <c:v>189442</c:v>
                </c:pt>
                <c:pt idx="6">
                  <c:v>189442</c:v>
                </c:pt>
                <c:pt idx="7">
                  <c:v>189442</c:v>
                </c:pt>
                <c:pt idx="8">
                  <c:v>189442</c:v>
                </c:pt>
                <c:pt idx="9">
                  <c:v>189442</c:v>
                </c:pt>
                <c:pt idx="10">
                  <c:v>189442</c:v>
                </c:pt>
                <c:pt idx="11">
                  <c:v>189979.9</c:v>
                </c:pt>
                <c:pt idx="12">
                  <c:v>189979.9</c:v>
                </c:pt>
                <c:pt idx="13">
                  <c:v>189979.9</c:v>
                </c:pt>
                <c:pt idx="14">
                  <c:v>189488.9</c:v>
                </c:pt>
                <c:pt idx="15">
                  <c:v>189488.9</c:v>
                </c:pt>
                <c:pt idx="16">
                  <c:v>189338.9</c:v>
                </c:pt>
                <c:pt idx="17">
                  <c:v>189338.9</c:v>
                </c:pt>
                <c:pt idx="18">
                  <c:v>189338.9</c:v>
                </c:pt>
                <c:pt idx="19">
                  <c:v>189338.9</c:v>
                </c:pt>
                <c:pt idx="20">
                  <c:v>189338.9</c:v>
                </c:pt>
                <c:pt idx="21">
                  <c:v>189338.9</c:v>
                </c:pt>
                <c:pt idx="22">
                  <c:v>189338.9</c:v>
                </c:pt>
                <c:pt idx="23">
                  <c:v>183231.4</c:v>
                </c:pt>
                <c:pt idx="24">
                  <c:v>183231.4</c:v>
                </c:pt>
                <c:pt idx="25">
                  <c:v>182616</c:v>
                </c:pt>
                <c:pt idx="26">
                  <c:v>182616</c:v>
                </c:pt>
                <c:pt idx="27">
                  <c:v>182616</c:v>
                </c:pt>
                <c:pt idx="28">
                  <c:v>182616</c:v>
                </c:pt>
                <c:pt idx="29">
                  <c:v>182616</c:v>
                </c:pt>
                <c:pt idx="30">
                  <c:v>182616</c:v>
                </c:pt>
                <c:pt idx="31">
                  <c:v>182616</c:v>
                </c:pt>
                <c:pt idx="32">
                  <c:v>182616</c:v>
                </c:pt>
                <c:pt idx="33">
                  <c:v>182616</c:v>
                </c:pt>
                <c:pt idx="34">
                  <c:v>181624</c:v>
                </c:pt>
                <c:pt idx="35">
                  <c:v>181624</c:v>
                </c:pt>
                <c:pt idx="36">
                  <c:v>181624</c:v>
                </c:pt>
                <c:pt idx="37">
                  <c:v>181624</c:v>
                </c:pt>
                <c:pt idx="38">
                  <c:v>181624</c:v>
                </c:pt>
                <c:pt idx="39">
                  <c:v>181119</c:v>
                </c:pt>
                <c:pt idx="40">
                  <c:v>181119</c:v>
                </c:pt>
                <c:pt idx="41">
                  <c:v>181119</c:v>
                </c:pt>
                <c:pt idx="42">
                  <c:v>181119</c:v>
                </c:pt>
                <c:pt idx="43">
                  <c:v>179123</c:v>
                </c:pt>
                <c:pt idx="44">
                  <c:v>179123</c:v>
                </c:pt>
                <c:pt idx="45">
                  <c:v>179123</c:v>
                </c:pt>
                <c:pt idx="46">
                  <c:v>179123</c:v>
                </c:pt>
                <c:pt idx="47">
                  <c:v>178912</c:v>
                </c:pt>
                <c:pt idx="48">
                  <c:v>178912</c:v>
                </c:pt>
                <c:pt idx="49">
                  <c:v>178912</c:v>
                </c:pt>
                <c:pt idx="50">
                  <c:v>168280</c:v>
                </c:pt>
                <c:pt idx="51">
                  <c:v>168280</c:v>
                </c:pt>
                <c:pt idx="52">
                  <c:v>167772</c:v>
                </c:pt>
                <c:pt idx="53">
                  <c:v>167772</c:v>
                </c:pt>
                <c:pt idx="54">
                  <c:v>167772</c:v>
                </c:pt>
                <c:pt idx="55">
                  <c:v>167772</c:v>
                </c:pt>
                <c:pt idx="56">
                  <c:v>167772</c:v>
                </c:pt>
                <c:pt idx="57">
                  <c:v>167772</c:v>
                </c:pt>
                <c:pt idx="58">
                  <c:v>167772</c:v>
                </c:pt>
                <c:pt idx="59">
                  <c:v>167772</c:v>
                </c:pt>
                <c:pt idx="60">
                  <c:v>167772</c:v>
                </c:pt>
                <c:pt idx="61">
                  <c:v>167488</c:v>
                </c:pt>
                <c:pt idx="62">
                  <c:v>167488</c:v>
                </c:pt>
                <c:pt idx="63">
                  <c:v>167488</c:v>
                </c:pt>
                <c:pt idx="64">
                  <c:v>167488</c:v>
                </c:pt>
                <c:pt idx="65">
                  <c:v>167488</c:v>
                </c:pt>
                <c:pt idx="66">
                  <c:v>167488</c:v>
                </c:pt>
                <c:pt idx="67">
                  <c:v>167488</c:v>
                </c:pt>
                <c:pt idx="68">
                  <c:v>167488</c:v>
                </c:pt>
                <c:pt idx="69">
                  <c:v>167488</c:v>
                </c:pt>
                <c:pt idx="70">
                  <c:v>167488</c:v>
                </c:pt>
                <c:pt idx="71">
                  <c:v>166373.5</c:v>
                </c:pt>
                <c:pt idx="72">
                  <c:v>166373.5</c:v>
                </c:pt>
                <c:pt idx="73">
                  <c:v>166373.5</c:v>
                </c:pt>
                <c:pt idx="74">
                  <c:v>166373.5</c:v>
                </c:pt>
                <c:pt idx="75">
                  <c:v>166373.5</c:v>
                </c:pt>
                <c:pt idx="76">
                  <c:v>166373.5</c:v>
                </c:pt>
                <c:pt idx="77">
                  <c:v>166373.5</c:v>
                </c:pt>
                <c:pt idx="78">
                  <c:v>165866.5</c:v>
                </c:pt>
              </c:numCache>
            </c:numRef>
          </c:val>
          <c:smooth val="0"/>
          <c:extLst>
            <c:ext xmlns:c16="http://schemas.microsoft.com/office/drawing/2014/chart" uri="{C3380CC4-5D6E-409C-BE32-E72D297353CC}">
              <c16:uniqueId val="{00000000-0308-D44D-9CED-66D493AD1C53}"/>
            </c:ext>
          </c:extLst>
        </c:ser>
        <c:dLbls>
          <c:showLegendKey val="0"/>
          <c:showVal val="0"/>
          <c:showCatName val="0"/>
          <c:showSerName val="0"/>
          <c:showPercent val="0"/>
          <c:showBubbleSize val="0"/>
        </c:dLbls>
        <c:smooth val="0"/>
        <c:axId val="1208276879"/>
        <c:axId val="1208381791"/>
      </c:lineChart>
      <c:dateAx>
        <c:axId val="1208276879"/>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381791"/>
        <c:crosses val="autoZero"/>
        <c:auto val="1"/>
        <c:lblOffset val="100"/>
        <c:baseTimeUnit val="months"/>
      </c:dateAx>
      <c:valAx>
        <c:axId val="1208381791"/>
        <c:scaling>
          <c:orientation val="minMax"/>
          <c:max val="195000"/>
          <c:min val="150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276879"/>
        <c:crosses val="autoZero"/>
        <c:crossBetween val="between"/>
        <c:majorUnit val="5000"/>
        <c:min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'Halons Charts'!$C$29</c:f>
              <c:strCache>
                <c:ptCount val="1"/>
                <c:pt idx="0">
                  <c:v>Estimated Halon 1211</c:v>
                </c:pt>
              </c:strCache>
            </c:strRef>
          </c:tx>
          <c:spPr>
            <a:solidFill>
              <a:schemeClr val="accent1"/>
            </a:solidFill>
            <a:ln>
              <a:noFill/>
            </a:ln>
            <a:effectLst/>
          </c:spPr>
          <c:invertIfNegative val="0"/>
          <c:cat>
            <c:multiLvlStrRef>
              <c:f>'Halons Charts'!$A$30:$B$33</c:f>
              <c:multiLvlStrCache>
                <c:ptCount val="4"/>
                <c:lvl>
                  <c:pt idx="0">
                    <c:v>20-Year Aircraft Lifetime</c:v>
                  </c:pt>
                  <c:pt idx="1">
                    <c:v>30-Year Aircraft Lifetime</c:v>
                  </c:pt>
                  <c:pt idx="2">
                    <c:v>20-Year Aircraft Lifetime</c:v>
                  </c:pt>
                  <c:pt idx="3">
                    <c:v>30-Year Aircraft Lifetime</c:v>
                  </c:pt>
                </c:lvl>
                <c:lvl>
                  <c:pt idx="0">
                    <c:v>Based on Aviation Analysis</c:v>
                  </c:pt>
                  <c:pt idx="2">
                    <c:v>Based on NHB Sales</c:v>
                  </c:pt>
                </c:lvl>
              </c:multiLvlStrCache>
            </c:multiLvlStrRef>
          </c:cat>
          <c:val>
            <c:numRef>
              <c:f>'Halons Charts'!$C$30:$C$33</c:f>
              <c:numCache>
                <c:formatCode>General</c:formatCode>
                <c:ptCount val="4"/>
                <c:pt idx="0">
                  <c:v>4.12</c:v>
                </c:pt>
                <c:pt idx="1">
                  <c:v>6.17</c:v>
                </c:pt>
                <c:pt idx="2">
                  <c:v>7.01</c:v>
                </c:pt>
                <c:pt idx="3">
                  <c:v>10.35</c:v>
                </c:pt>
              </c:numCache>
            </c:numRef>
          </c:val>
          <c:extLst>
            <c:ext xmlns:c16="http://schemas.microsoft.com/office/drawing/2014/chart" uri="{C3380CC4-5D6E-409C-BE32-E72D297353CC}">
              <c16:uniqueId val="{00000000-250F-E542-84B1-D03148B451E9}"/>
            </c:ext>
          </c:extLst>
        </c:ser>
        <c:ser>
          <c:idx val="1"/>
          <c:order val="1"/>
          <c:tx>
            <c:strRef>
              <c:f>'Halons Charts'!$D$29</c:f>
              <c:strCache>
                <c:ptCount val="1"/>
                <c:pt idx="0">
                  <c:v>NHB Stocks</c:v>
                </c:pt>
              </c:strCache>
            </c:strRef>
          </c:tx>
          <c:spPr>
            <a:solidFill>
              <a:schemeClr val="accent2"/>
            </a:solidFill>
            <a:ln>
              <a:noFill/>
            </a:ln>
            <a:effectLst/>
          </c:spPr>
          <c:invertIfNegative val="0"/>
          <c:cat>
            <c:multiLvlStrRef>
              <c:f>'Halons Charts'!$A$30:$B$33</c:f>
              <c:multiLvlStrCache>
                <c:ptCount val="4"/>
                <c:lvl>
                  <c:pt idx="0">
                    <c:v>20-Year Aircraft Lifetime</c:v>
                  </c:pt>
                  <c:pt idx="1">
                    <c:v>30-Year Aircraft Lifetime</c:v>
                  </c:pt>
                  <c:pt idx="2">
                    <c:v>20-Year Aircraft Lifetime</c:v>
                  </c:pt>
                  <c:pt idx="3">
                    <c:v>30-Year Aircraft Lifetime</c:v>
                  </c:pt>
                </c:lvl>
                <c:lvl>
                  <c:pt idx="0">
                    <c:v>Based on Aviation Analysis</c:v>
                  </c:pt>
                  <c:pt idx="2">
                    <c:v>Based on NHB Sales</c:v>
                  </c:pt>
                </c:lvl>
              </c:multiLvlStrCache>
            </c:multiLvlStrRef>
          </c:cat>
          <c:val>
            <c:numRef>
              <c:f>'Halons Charts'!$D$30:$D$33</c:f>
              <c:numCache>
                <c:formatCode>General</c:formatCode>
                <c:ptCount val="4"/>
                <c:pt idx="3">
                  <c:v>93.03</c:v>
                </c:pt>
              </c:numCache>
            </c:numRef>
          </c:val>
          <c:extLst>
            <c:ext xmlns:c16="http://schemas.microsoft.com/office/drawing/2014/chart" uri="{C3380CC4-5D6E-409C-BE32-E72D297353CC}">
              <c16:uniqueId val="{00000001-250F-E542-84B1-D03148B451E9}"/>
            </c:ext>
          </c:extLst>
        </c:ser>
        <c:dLbls>
          <c:showLegendKey val="0"/>
          <c:showVal val="0"/>
          <c:showCatName val="0"/>
          <c:showSerName val="0"/>
          <c:showPercent val="0"/>
          <c:showBubbleSize val="0"/>
        </c:dLbls>
        <c:gapWidth val="182"/>
        <c:axId val="1967194480"/>
        <c:axId val="328515295"/>
      </c:barChart>
      <c:catAx>
        <c:axId val="1967194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515295"/>
        <c:crosses val="autoZero"/>
        <c:auto val="1"/>
        <c:lblAlgn val="ctr"/>
        <c:lblOffset val="100"/>
        <c:noMultiLvlLbl val="0"/>
      </c:catAx>
      <c:valAx>
        <c:axId val="3285152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19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'Halons Charts'!$C$45</c:f>
              <c:strCache>
                <c:ptCount val="1"/>
                <c:pt idx="0">
                  <c:v>Estimated Halon 1301</c:v>
                </c:pt>
              </c:strCache>
            </c:strRef>
          </c:tx>
          <c:spPr>
            <a:solidFill>
              <a:schemeClr val="accent1"/>
            </a:solidFill>
            <a:ln>
              <a:noFill/>
            </a:ln>
            <a:effectLst/>
          </c:spPr>
          <c:invertIfNegative val="0"/>
          <c:cat>
            <c:multiLvlStrRef>
              <c:f>'Halons Charts'!$A$46:$B$53</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Charts'!$C$46:$C$53</c:f>
              <c:numCache>
                <c:formatCode>General</c:formatCode>
                <c:ptCount val="8"/>
                <c:pt idx="0">
                  <c:v>35.03</c:v>
                </c:pt>
                <c:pt idx="1">
                  <c:v>42.81</c:v>
                </c:pt>
                <c:pt idx="2">
                  <c:v>45.24</c:v>
                </c:pt>
                <c:pt idx="3">
                  <c:v>54</c:v>
                </c:pt>
                <c:pt idx="4">
                  <c:v>56.43</c:v>
                </c:pt>
                <c:pt idx="5">
                  <c:v>66.16</c:v>
                </c:pt>
                <c:pt idx="6">
                  <c:v>68.599999999999994</c:v>
                </c:pt>
                <c:pt idx="7">
                  <c:v>79.3</c:v>
                </c:pt>
              </c:numCache>
            </c:numRef>
          </c:val>
          <c:extLst>
            <c:ext xmlns:c16="http://schemas.microsoft.com/office/drawing/2014/chart" uri="{C3380CC4-5D6E-409C-BE32-E72D297353CC}">
              <c16:uniqueId val="{00000000-AF66-E24E-9998-3DC50147D4E9}"/>
            </c:ext>
          </c:extLst>
        </c:ser>
        <c:ser>
          <c:idx val="1"/>
          <c:order val="1"/>
          <c:tx>
            <c:strRef>
              <c:f>'Halons Charts'!$D$45</c:f>
              <c:strCache>
                <c:ptCount val="1"/>
                <c:pt idx="0">
                  <c:v>NHB Stocks</c:v>
                </c:pt>
              </c:strCache>
            </c:strRef>
          </c:tx>
          <c:spPr>
            <a:solidFill>
              <a:schemeClr val="accent2"/>
            </a:solidFill>
            <a:ln>
              <a:noFill/>
            </a:ln>
            <a:effectLst/>
          </c:spPr>
          <c:invertIfNegative val="0"/>
          <c:cat>
            <c:multiLvlStrRef>
              <c:f>'Halons Charts'!$A$46:$B$53</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Charts'!$D$46:$D$53</c:f>
              <c:numCache>
                <c:formatCode>General</c:formatCode>
                <c:ptCount val="8"/>
                <c:pt idx="7">
                  <c:v>165.87</c:v>
                </c:pt>
              </c:numCache>
            </c:numRef>
          </c:val>
          <c:extLst>
            <c:ext xmlns:c16="http://schemas.microsoft.com/office/drawing/2014/chart" uri="{C3380CC4-5D6E-409C-BE32-E72D297353CC}">
              <c16:uniqueId val="{00000001-AF66-E24E-9998-3DC50147D4E9}"/>
            </c:ext>
          </c:extLst>
        </c:ser>
        <c:dLbls>
          <c:showLegendKey val="0"/>
          <c:showVal val="0"/>
          <c:showCatName val="0"/>
          <c:showSerName val="0"/>
          <c:showPercent val="0"/>
          <c:showBubbleSize val="0"/>
        </c:dLbls>
        <c:gapWidth val="182"/>
        <c:axId val="317484175"/>
        <c:axId val="327678783"/>
      </c:barChart>
      <c:catAx>
        <c:axId val="3174841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678783"/>
        <c:crosses val="autoZero"/>
        <c:auto val="1"/>
        <c:lblAlgn val="ctr"/>
        <c:lblOffset val="100"/>
        <c:noMultiLvlLbl val="0"/>
      </c:catAx>
      <c:valAx>
        <c:axId val="3276787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84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'Halons Charts'!$C$61</c:f>
              <c:strCache>
                <c:ptCount val="1"/>
                <c:pt idx="0">
                  <c:v>Estimated Halon 1301</c:v>
                </c:pt>
              </c:strCache>
            </c:strRef>
          </c:tx>
          <c:spPr>
            <a:solidFill>
              <a:schemeClr val="accent1"/>
            </a:solidFill>
            <a:ln>
              <a:noFill/>
            </a:ln>
            <a:effectLst/>
          </c:spPr>
          <c:invertIfNegative val="0"/>
          <c:cat>
            <c:multiLvlStrRef>
              <c:f>'Halons Charts'!$A$62:$B$69</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Charts'!$C$62:$C$69</c:f>
              <c:numCache>
                <c:formatCode>General</c:formatCode>
                <c:ptCount val="8"/>
                <c:pt idx="0">
                  <c:v>40.14</c:v>
                </c:pt>
                <c:pt idx="1">
                  <c:v>49.38</c:v>
                </c:pt>
                <c:pt idx="2">
                  <c:v>53.03</c:v>
                </c:pt>
                <c:pt idx="3">
                  <c:v>63.73</c:v>
                </c:pt>
                <c:pt idx="4">
                  <c:v>67.38</c:v>
                </c:pt>
                <c:pt idx="5">
                  <c:v>79.540000000000006</c:v>
                </c:pt>
                <c:pt idx="6">
                  <c:v>83.19</c:v>
                </c:pt>
                <c:pt idx="7">
                  <c:v>96.81</c:v>
                </c:pt>
              </c:numCache>
            </c:numRef>
          </c:val>
          <c:extLst>
            <c:ext xmlns:c16="http://schemas.microsoft.com/office/drawing/2014/chart" uri="{C3380CC4-5D6E-409C-BE32-E72D297353CC}">
              <c16:uniqueId val="{00000000-797F-424E-A5D5-F2E735C27D95}"/>
            </c:ext>
          </c:extLst>
        </c:ser>
        <c:ser>
          <c:idx val="1"/>
          <c:order val="1"/>
          <c:tx>
            <c:strRef>
              <c:f>'Halons Charts'!$D$61</c:f>
              <c:strCache>
                <c:ptCount val="1"/>
                <c:pt idx="0">
                  <c:v>NHB Stocks</c:v>
                </c:pt>
              </c:strCache>
            </c:strRef>
          </c:tx>
          <c:spPr>
            <a:solidFill>
              <a:schemeClr val="accent2"/>
            </a:solidFill>
            <a:ln>
              <a:noFill/>
            </a:ln>
            <a:effectLst/>
          </c:spPr>
          <c:invertIfNegative val="0"/>
          <c:cat>
            <c:multiLvlStrRef>
              <c:f>'Halons Charts'!$A$62:$B$69</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Charts'!$D$62:$D$69</c:f>
              <c:numCache>
                <c:formatCode>General</c:formatCode>
                <c:ptCount val="8"/>
                <c:pt idx="7">
                  <c:v>165.87</c:v>
                </c:pt>
              </c:numCache>
            </c:numRef>
          </c:val>
          <c:extLst>
            <c:ext xmlns:c16="http://schemas.microsoft.com/office/drawing/2014/chart" uri="{C3380CC4-5D6E-409C-BE32-E72D297353CC}">
              <c16:uniqueId val="{00000001-797F-424E-A5D5-F2E735C27D95}"/>
            </c:ext>
          </c:extLst>
        </c:ser>
        <c:dLbls>
          <c:showLegendKey val="0"/>
          <c:showVal val="0"/>
          <c:showCatName val="0"/>
          <c:showSerName val="0"/>
          <c:showPercent val="0"/>
          <c:showBubbleSize val="0"/>
        </c:dLbls>
        <c:gapWidth val="182"/>
        <c:axId val="293236959"/>
        <c:axId val="335012255"/>
      </c:barChart>
      <c:catAx>
        <c:axId val="293236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012255"/>
        <c:crosses val="autoZero"/>
        <c:auto val="1"/>
        <c:lblAlgn val="ctr"/>
        <c:lblOffset val="100"/>
        <c:noMultiLvlLbl val="0"/>
      </c:catAx>
      <c:valAx>
        <c:axId val="3350122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236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'Halons Charts'!$C$78</c:f>
              <c:strCache>
                <c:ptCount val="1"/>
                <c:pt idx="0">
                  <c:v>Estimated Halon 1301</c:v>
                </c:pt>
              </c:strCache>
            </c:strRef>
          </c:tx>
          <c:spPr>
            <a:solidFill>
              <a:schemeClr val="accent1"/>
            </a:solidFill>
            <a:ln>
              <a:noFill/>
            </a:ln>
            <a:effectLst/>
          </c:spPr>
          <c:invertIfNegative val="0"/>
          <c:cat>
            <c:multiLvlStrRef>
              <c:f>'Halons Charts'!$A$79:$B$86</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Charts'!$C$79:$C$86</c:f>
              <c:numCache>
                <c:formatCode>General</c:formatCode>
                <c:ptCount val="8"/>
                <c:pt idx="0">
                  <c:v>27</c:v>
                </c:pt>
                <c:pt idx="1">
                  <c:v>33</c:v>
                </c:pt>
                <c:pt idx="2">
                  <c:v>34.880000000000003</c:v>
                </c:pt>
                <c:pt idx="3">
                  <c:v>41.63</c:v>
                </c:pt>
                <c:pt idx="4">
                  <c:v>43.5</c:v>
                </c:pt>
                <c:pt idx="5">
                  <c:v>51</c:v>
                </c:pt>
                <c:pt idx="6">
                  <c:v>52.88</c:v>
                </c:pt>
                <c:pt idx="7">
                  <c:v>61.13</c:v>
                </c:pt>
              </c:numCache>
            </c:numRef>
          </c:val>
          <c:extLst>
            <c:ext xmlns:c16="http://schemas.microsoft.com/office/drawing/2014/chart" uri="{C3380CC4-5D6E-409C-BE32-E72D297353CC}">
              <c16:uniqueId val="{00000000-A785-A448-A6CD-4D6E0B66254C}"/>
            </c:ext>
          </c:extLst>
        </c:ser>
        <c:ser>
          <c:idx val="1"/>
          <c:order val="1"/>
          <c:tx>
            <c:strRef>
              <c:f>'Halons Charts'!$D$78</c:f>
              <c:strCache>
                <c:ptCount val="1"/>
                <c:pt idx="0">
                  <c:v>NHB Stocks</c:v>
                </c:pt>
              </c:strCache>
            </c:strRef>
          </c:tx>
          <c:spPr>
            <a:solidFill>
              <a:schemeClr val="accent2"/>
            </a:solidFill>
            <a:ln>
              <a:noFill/>
            </a:ln>
            <a:effectLst/>
          </c:spPr>
          <c:invertIfNegative val="0"/>
          <c:cat>
            <c:multiLvlStrRef>
              <c:f>'Halons Charts'!$A$79:$B$86</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Charts'!$D$79:$D$86</c:f>
              <c:numCache>
                <c:formatCode>General</c:formatCode>
                <c:ptCount val="8"/>
                <c:pt idx="7">
                  <c:v>165.87</c:v>
                </c:pt>
              </c:numCache>
            </c:numRef>
          </c:val>
          <c:extLst>
            <c:ext xmlns:c16="http://schemas.microsoft.com/office/drawing/2014/chart" uri="{C3380CC4-5D6E-409C-BE32-E72D297353CC}">
              <c16:uniqueId val="{00000001-A785-A448-A6CD-4D6E0B66254C}"/>
            </c:ext>
          </c:extLst>
        </c:ser>
        <c:dLbls>
          <c:showLegendKey val="0"/>
          <c:showVal val="0"/>
          <c:showCatName val="0"/>
          <c:showSerName val="0"/>
          <c:showPercent val="0"/>
          <c:showBubbleSize val="0"/>
        </c:dLbls>
        <c:gapWidth val="182"/>
        <c:axId val="328030671"/>
        <c:axId val="1968056544"/>
      </c:barChart>
      <c:catAx>
        <c:axId val="3280306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056544"/>
        <c:crosses val="autoZero"/>
        <c:auto val="1"/>
        <c:lblAlgn val="ctr"/>
        <c:lblOffset val="100"/>
        <c:noMultiLvlLbl val="0"/>
      </c:catAx>
      <c:valAx>
        <c:axId val="1968056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030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'Halons Charts'!$C$94</c:f>
              <c:strCache>
                <c:ptCount val="1"/>
                <c:pt idx="0">
                  <c:v>Estimated Halon 1301</c:v>
                </c:pt>
              </c:strCache>
            </c:strRef>
          </c:tx>
          <c:spPr>
            <a:solidFill>
              <a:schemeClr val="accent1"/>
            </a:solidFill>
            <a:ln>
              <a:noFill/>
            </a:ln>
            <a:effectLst/>
          </c:spPr>
          <c:invertIfNegative val="0"/>
          <c:cat>
            <c:multiLvlStrRef>
              <c:f>'Halons Charts'!$A$95:$B$102</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Charts'!$C$95:$C$102</c:f>
              <c:numCache>
                <c:formatCode>General</c:formatCode>
                <c:ptCount val="8"/>
                <c:pt idx="0">
                  <c:v>30.94</c:v>
                </c:pt>
                <c:pt idx="1">
                  <c:v>38.06</c:v>
                </c:pt>
                <c:pt idx="2">
                  <c:v>40.880000000000003</c:v>
                </c:pt>
                <c:pt idx="3">
                  <c:v>49.13</c:v>
                </c:pt>
                <c:pt idx="4">
                  <c:v>51.94</c:v>
                </c:pt>
                <c:pt idx="5">
                  <c:v>61.31</c:v>
                </c:pt>
                <c:pt idx="6">
                  <c:v>64.13</c:v>
                </c:pt>
                <c:pt idx="7">
                  <c:v>74.63</c:v>
                </c:pt>
              </c:numCache>
            </c:numRef>
          </c:val>
          <c:extLst>
            <c:ext xmlns:c16="http://schemas.microsoft.com/office/drawing/2014/chart" uri="{C3380CC4-5D6E-409C-BE32-E72D297353CC}">
              <c16:uniqueId val="{00000000-AB84-1C4F-8B21-6393B787432C}"/>
            </c:ext>
          </c:extLst>
        </c:ser>
        <c:ser>
          <c:idx val="1"/>
          <c:order val="1"/>
          <c:tx>
            <c:strRef>
              <c:f>'Halons Charts'!$D$94</c:f>
              <c:strCache>
                <c:ptCount val="1"/>
                <c:pt idx="0">
                  <c:v>NHB Stocks</c:v>
                </c:pt>
              </c:strCache>
            </c:strRef>
          </c:tx>
          <c:spPr>
            <a:solidFill>
              <a:schemeClr val="accent2"/>
            </a:solidFill>
            <a:ln>
              <a:noFill/>
            </a:ln>
            <a:effectLst/>
          </c:spPr>
          <c:invertIfNegative val="0"/>
          <c:cat>
            <c:multiLvlStrRef>
              <c:f>'Halons Charts'!$A$95:$B$102</c:f>
              <c:multiLvlStrCache>
                <c:ptCount val="8"/>
                <c:lvl>
                  <c:pt idx="0">
                    <c:v>20-Year Aircraft Lifetime</c:v>
                  </c:pt>
                  <c:pt idx="1">
                    <c:v>30-Year Aircraft Lifetime</c:v>
                  </c:pt>
                  <c:pt idx="2">
                    <c:v>20-Year Aircraft Lifetime</c:v>
                  </c:pt>
                  <c:pt idx="3">
                    <c:v>30-Year Aircraft Lifetime</c:v>
                  </c:pt>
                  <c:pt idx="4">
                    <c:v>20-Year Aircraft Lifetime</c:v>
                  </c:pt>
                  <c:pt idx="5">
                    <c:v>30-Year Aircraft Lifetime</c:v>
                  </c:pt>
                  <c:pt idx="6">
                    <c:v>20-Year Aircraft Lifetime</c:v>
                  </c:pt>
                  <c:pt idx="7">
                    <c:v>30-Year Aircraft Lifetime</c:v>
                  </c:pt>
                </c:lvl>
                <c:lvl>
                  <c:pt idx="0">
                    <c:v>2025 New Design Aircraft</c:v>
                  </c:pt>
                  <c:pt idx="2">
                    <c:v>2030 New Design Aircraft</c:v>
                  </c:pt>
                  <c:pt idx="4">
                    <c:v>2035 New Design Aircraft</c:v>
                  </c:pt>
                  <c:pt idx="6">
                    <c:v>2040 New Design Aircraft</c:v>
                  </c:pt>
                </c:lvl>
              </c:multiLvlStrCache>
            </c:multiLvlStrRef>
          </c:cat>
          <c:val>
            <c:numRef>
              <c:f>'Halons Charts'!$D$95:$D$102</c:f>
              <c:numCache>
                <c:formatCode>General</c:formatCode>
                <c:ptCount val="8"/>
                <c:pt idx="7">
                  <c:v>165.87</c:v>
                </c:pt>
              </c:numCache>
            </c:numRef>
          </c:val>
          <c:extLst>
            <c:ext xmlns:c16="http://schemas.microsoft.com/office/drawing/2014/chart" uri="{C3380CC4-5D6E-409C-BE32-E72D297353CC}">
              <c16:uniqueId val="{00000001-AB84-1C4F-8B21-6393B787432C}"/>
            </c:ext>
          </c:extLst>
        </c:ser>
        <c:dLbls>
          <c:showLegendKey val="0"/>
          <c:showVal val="0"/>
          <c:showCatName val="0"/>
          <c:showSerName val="0"/>
          <c:showPercent val="0"/>
          <c:showBubbleSize val="0"/>
        </c:dLbls>
        <c:gapWidth val="182"/>
        <c:axId val="1981192384"/>
        <c:axId val="1967988064"/>
      </c:barChart>
      <c:catAx>
        <c:axId val="1981192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988064"/>
        <c:crosses val="autoZero"/>
        <c:auto val="1"/>
        <c:lblAlgn val="ctr"/>
        <c:lblOffset val="100"/>
        <c:noMultiLvlLbl val="0"/>
      </c:catAx>
      <c:valAx>
        <c:axId val="1967988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19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BCB99639E1268A408981B9078B73257F" ma:contentTypeVersion="8" ma:contentTypeDescription="SPIRE Document" ma:contentTypeScope="" ma:versionID="054c0d04480469bfd1f1f33596df0e37">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60CA-CFCF-4DB7-9BC6-CC9280953167}"/>
</file>

<file path=customXml/itemProps2.xml><?xml version="1.0" encoding="utf-8"?>
<ds:datastoreItem xmlns:ds="http://schemas.openxmlformats.org/officeDocument/2006/customXml" ds:itemID="{FDF839F1-45C5-41F2-A0C1-08176197E6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01fbac-4e05-4e09-943f-b1daffa0ea6b"/>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2AC5ED99-5A1A-4863-9F7A-B46DF438595B}">
  <ds:schemaRefs>
    <ds:schemaRef ds:uri="http://schemas.microsoft.com/office/2006/metadata/customXsn"/>
  </ds:schemaRefs>
</ds:datastoreItem>
</file>

<file path=customXml/itemProps4.xml><?xml version="1.0" encoding="utf-8"?>
<ds:datastoreItem xmlns:ds="http://schemas.openxmlformats.org/officeDocument/2006/customXml" ds:itemID="{E9598A2C-0E39-4579-8660-FB1BB006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BB5779-7425-4B18-8087-BC956D71AB82}">
  <ds:schemaRefs>
    <ds:schemaRef ds:uri="http://schemas.microsoft.com/sharepoint/v3/contenttype/forms"/>
  </ds:schemaRefs>
</ds:datastoreItem>
</file>

<file path=customXml/itemProps6.xml><?xml version="1.0" encoding="utf-8"?>
<ds:datastoreItem xmlns:ds="http://schemas.openxmlformats.org/officeDocument/2006/customXml" ds:itemID="{DDC185D8-234E-43A4-B419-B71367EF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Teap%20Style.dot</Template>
  <TotalTime>1</TotalTime>
  <Pages>73</Pages>
  <Words>20397</Words>
  <Characters>116264</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Final Report_Halon Review_April 2020</vt:lpstr>
    </vt:vector>
  </TitlesOfParts>
  <Company>DEWHA</Company>
  <LinksUpToDate>false</LinksUpToDate>
  <CharactersWithSpaces>136389</CharactersWithSpaces>
  <SharedDoc>false</SharedDoc>
  <HyperlinkBase/>
  <HLinks>
    <vt:vector size="48" baseType="variant">
      <vt:variant>
        <vt:i4>5242908</vt:i4>
      </vt:variant>
      <vt:variant>
        <vt:i4>21</vt:i4>
      </vt:variant>
      <vt:variant>
        <vt:i4>0</vt:i4>
      </vt:variant>
      <vt:variant>
        <vt:i4>5</vt:i4>
      </vt:variant>
      <vt:variant>
        <vt:lpwstr>https://www.environment.gov.au/protection/ozone/publications/review-australias-halon-essential-uses-requirements</vt:lpwstr>
      </vt:variant>
      <vt:variant>
        <vt:lpwstr/>
      </vt:variant>
      <vt:variant>
        <vt:i4>393300</vt:i4>
      </vt:variant>
      <vt:variant>
        <vt:i4>18</vt:i4>
      </vt:variant>
      <vt:variant>
        <vt:i4>0</vt:i4>
      </vt:variant>
      <vt:variant>
        <vt:i4>5</vt:i4>
      </vt:variant>
      <vt:variant>
        <vt:lpwstr>https://ozone.unep.org/sites/default/files/Assessment_Panel/Assessment_Panels/TEAP/Reports/HTOC/HTOC_assessment_2018.pdf</vt:lpwstr>
      </vt:variant>
      <vt:variant>
        <vt:lpwstr/>
      </vt:variant>
      <vt:variant>
        <vt:i4>393300</vt:i4>
      </vt:variant>
      <vt:variant>
        <vt:i4>15</vt:i4>
      </vt:variant>
      <vt:variant>
        <vt:i4>0</vt:i4>
      </vt:variant>
      <vt:variant>
        <vt:i4>5</vt:i4>
      </vt:variant>
      <vt:variant>
        <vt:lpwstr>https://ozone.unep.org/sites/default/files/Assessment_Panel/Assessment_Panels/TEAP/Reports/HTOC/HTOC_assessment_2018.pdf</vt:lpwstr>
      </vt:variant>
      <vt:variant>
        <vt:lpwstr/>
      </vt:variant>
      <vt:variant>
        <vt:i4>1048586</vt:i4>
      </vt:variant>
      <vt:variant>
        <vt:i4>12</vt:i4>
      </vt:variant>
      <vt:variant>
        <vt:i4>0</vt:i4>
      </vt:variant>
      <vt:variant>
        <vt:i4>5</vt:i4>
      </vt:variant>
      <vt:variant>
        <vt:lpwstr>https://www.easa.europa.eu/document-library/general-publications/halon-replacement-aviation-industry</vt:lpwstr>
      </vt:variant>
      <vt:variant>
        <vt:lpwstr/>
      </vt:variant>
      <vt:variant>
        <vt:i4>589833</vt:i4>
      </vt:variant>
      <vt:variant>
        <vt:i4>9</vt:i4>
      </vt:variant>
      <vt:variant>
        <vt:i4>0</vt:i4>
      </vt:variant>
      <vt:variant>
        <vt:i4>5</vt:i4>
      </vt:variant>
      <vt:variant>
        <vt:lpwstr>https://www.icao.int/Meetings/a40/Documents/WP/wp_093_en.pdf</vt:lpwstr>
      </vt:variant>
      <vt:variant>
        <vt:lpwstr/>
      </vt:variant>
      <vt:variant>
        <vt:i4>786526</vt:i4>
      </vt:variant>
      <vt:variant>
        <vt:i4>6</vt:i4>
      </vt:variant>
      <vt:variant>
        <vt:i4>0</vt:i4>
      </vt:variant>
      <vt:variant>
        <vt:i4>5</vt:i4>
      </vt:variant>
      <vt:variant>
        <vt:lpwstr>https://www.casa.gov.au/files/awb-26-002-issue-3-selection-and-installation-handheld-portable-fire-extinguishers</vt:lpwstr>
      </vt:variant>
      <vt:variant>
        <vt:lpwstr/>
      </vt:variant>
      <vt:variant>
        <vt:i4>5242908</vt:i4>
      </vt:variant>
      <vt:variant>
        <vt:i4>3</vt:i4>
      </vt:variant>
      <vt:variant>
        <vt:i4>0</vt:i4>
      </vt:variant>
      <vt:variant>
        <vt:i4>5</vt:i4>
      </vt:variant>
      <vt:variant>
        <vt:lpwstr>https://www.environment.gov.au/protection/ozone/publications/review-australias-halon-essential-uses-requirements</vt:lpwstr>
      </vt:variant>
      <vt:variant>
        <vt:lpwstr/>
      </vt:variant>
      <vt:variant>
        <vt:i4>4259913</vt:i4>
      </vt:variant>
      <vt:variant>
        <vt:i4>0</vt:i4>
      </vt:variant>
      <vt:variant>
        <vt:i4>0</vt:i4>
      </vt:variant>
      <vt:variant>
        <vt:i4>5</vt:i4>
      </vt:variant>
      <vt:variant>
        <vt:lpwstr>https://ozone.unep.org/treaties/montreal-protocol/meetings/fifth-meeting-parties-montreal-protocol/decisions/decision-v14?q=treaties/montreal-protocol/meetings/eighth-meeting-parties/decisions/decision-viii9-essential-use&amp;source=decisions_by_issue&amp;args%5B0%5D=454&amp;parent=3012&amp;nextParent=3011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Report_Halon Review_April 2020</dc:title>
  <dc:subject/>
  <dc:creator>Helen Tope</dc:creator>
  <cp:keywords/>
  <cp:lastModifiedBy>Andrew Inglis</cp:lastModifiedBy>
  <cp:revision>2</cp:revision>
  <cp:lastPrinted>2019-11-12T01:39:00Z</cp:lastPrinted>
  <dcterms:created xsi:type="dcterms:W3CDTF">2021-01-14T22:52:00Z</dcterms:created>
  <dcterms:modified xsi:type="dcterms:W3CDTF">2021-01-14T22:52:00Z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vt:i4>
  </property>
  <property fmtid="{D5CDD505-2E9C-101B-9397-08002B2CF9AE}" pid="3" name="ContentTypeId">
    <vt:lpwstr>0x0101004B6FD6131ACCD942B99EE496FC609FF4</vt:lpwstr>
  </property>
  <property fmtid="{D5CDD505-2E9C-101B-9397-08002B2CF9AE}" pid="4" name="RecordPoint_WorkflowType">
    <vt:lpwstr>ActiveSubmitStub</vt:lpwstr>
  </property>
  <property fmtid="{D5CDD505-2E9C-101B-9397-08002B2CF9AE}" pid="5" name="RecordPoint_ActiveItemSiteId">
    <vt:lpwstr>{1385f4fc-5717-4abf-b566-e69ec52ac4b2}</vt:lpwstr>
  </property>
  <property fmtid="{D5CDD505-2E9C-101B-9397-08002B2CF9AE}" pid="6" name="RecordPoint_ActiveItemListId">
    <vt:lpwstr>{46d0f272-5024-40e0-9cdc-9e072e4c59f4}</vt:lpwstr>
  </property>
  <property fmtid="{D5CDD505-2E9C-101B-9397-08002B2CF9AE}" pid="7" name="RecordPoint_ActiveItemUniqueId">
    <vt:lpwstr>{d189a944-c4c0-456e-87ff-cc70623a159e}</vt:lpwstr>
  </property>
  <property fmtid="{D5CDD505-2E9C-101B-9397-08002B2CF9AE}" pid="8" name="RecordPoint_ActiveItemWebId">
    <vt:lpwstr>{7f9972d9-efeb-4043-bafd-239e7b31aa66}</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Moved">
    <vt:lpwstr/>
  </property>
  <property fmtid="{D5CDD505-2E9C-101B-9397-08002B2CF9AE}" pid="12" name="RecordPoint_SubmissionCompleted">
    <vt:lpwstr/>
  </property>
  <property fmtid="{D5CDD505-2E9C-101B-9397-08002B2CF9AE}" pid="13" name="RecordPoint_RecordFormat">
    <vt:lpwstr/>
  </property>
</Properties>
</file>