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9096" w14:textId="77777777" w:rsidR="00345DC1" w:rsidRDefault="00345DC1">
      <w:pPr>
        <w:textAlignment w:val="baseline"/>
        <w:rPr>
          <w:rFonts w:eastAsia="Times New Roman"/>
          <w:color w:val="000000"/>
          <w:sz w:val="24"/>
        </w:rPr>
      </w:pPr>
    </w:p>
    <w:p w14:paraId="52777400" w14:textId="77777777" w:rsidR="00345DC1" w:rsidRDefault="00DB08CC">
      <w:pPr>
        <w:spacing w:after="65"/>
        <w:ind w:right="8"/>
        <w:textAlignment w:val="baseline"/>
      </w:pPr>
      <w:r>
        <w:rPr>
          <w:noProof/>
        </w:rPr>
        <w:drawing>
          <wp:inline distT="0" distB="0" distL="0" distR="0" wp14:anchorId="0B5C50F7" wp14:editId="6F9ACA5A">
            <wp:extent cx="6548120" cy="4881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548120" cy="4881880"/>
                    </a:xfrm>
                    <a:prstGeom prst="rect">
                      <a:avLst/>
                    </a:prstGeom>
                  </pic:spPr>
                </pic:pic>
              </a:graphicData>
            </a:graphic>
          </wp:inline>
        </w:drawing>
      </w:r>
    </w:p>
    <w:p w14:paraId="4BAA15F7" w14:textId="77777777" w:rsidR="00345DC1" w:rsidRDefault="00DB08CC">
      <w:pPr>
        <w:spacing w:before="1505" w:line="288" w:lineRule="exact"/>
        <w:textAlignment w:val="baseline"/>
        <w:rPr>
          <w:rFonts w:eastAsia="Times New Roman"/>
          <w:color w:val="000000"/>
          <w:sz w:val="24"/>
        </w:rPr>
      </w:pPr>
      <w:r>
        <w:pict w14:anchorId="2051C87F">
          <v:shapetype id="_x0000_t202" coordsize="21600,21600" o:spt="202" path="m,l,21600r21600,l21600,xe">
            <v:stroke joinstyle="miter"/>
            <v:path gradientshapeok="t" o:connecttype="rect"/>
          </v:shapetype>
          <v:shape id="_x0000_s0" o:spid="_x0000_s1026" type="#_x0000_t202" style="position:absolute;margin-left:0;margin-top:0;width:515.4pt;height:88.75pt;z-index:-251658752;mso-wrap-distance-left:0;mso-wrap-distance-right:0" fillcolor="#009bac" stroked="f">
            <v:textbox inset="0,0,0,0">
              <w:txbxContent>
                <w:p w14:paraId="4845804F" w14:textId="77777777" w:rsidR="00000000" w:rsidRDefault="00DB08CC"/>
              </w:txbxContent>
            </v:textbox>
          </v:shape>
        </w:pict>
      </w:r>
    </w:p>
    <w:p w14:paraId="57198922" w14:textId="77777777" w:rsidR="00345DC1" w:rsidRDefault="00345DC1">
      <w:pPr>
        <w:sectPr w:rsidR="00345DC1">
          <w:pgSz w:w="11910" w:h="16839"/>
          <w:pgMar w:top="780" w:right="740" w:bottom="259" w:left="850" w:header="720" w:footer="720" w:gutter="0"/>
          <w:cols w:space="720"/>
        </w:sectPr>
      </w:pPr>
    </w:p>
    <w:p w14:paraId="09AEC67B" w14:textId="77777777" w:rsidR="00345DC1" w:rsidRDefault="00DB08CC">
      <w:pPr>
        <w:spacing w:before="1004" w:line="543" w:lineRule="exact"/>
        <w:jc w:val="right"/>
        <w:textAlignment w:val="baseline"/>
        <w:rPr>
          <w:rFonts w:ascii="Arial" w:eastAsia="Arial" w:hAnsi="Arial"/>
          <w:b/>
          <w:color w:val="006CA2"/>
          <w:spacing w:val="4"/>
          <w:sz w:val="47"/>
        </w:rPr>
      </w:pPr>
      <w:r>
        <w:rPr>
          <w:rFonts w:ascii="Arial" w:eastAsia="Arial" w:hAnsi="Arial"/>
          <w:b/>
          <w:color w:val="006CA2"/>
          <w:spacing w:val="4"/>
          <w:sz w:val="47"/>
        </w:rPr>
        <w:t>Review of Goulburn Murray Water (GMW)</w:t>
      </w:r>
    </w:p>
    <w:p w14:paraId="11010A18" w14:textId="77777777" w:rsidR="00345DC1" w:rsidRDefault="00DB08CC">
      <w:pPr>
        <w:spacing w:before="10" w:line="543" w:lineRule="exact"/>
        <w:jc w:val="right"/>
        <w:textAlignment w:val="baseline"/>
        <w:rPr>
          <w:rFonts w:ascii="Arial" w:eastAsia="Arial" w:hAnsi="Arial"/>
          <w:b/>
          <w:color w:val="006CA2"/>
          <w:spacing w:val="4"/>
          <w:sz w:val="47"/>
        </w:rPr>
      </w:pPr>
      <w:r>
        <w:rPr>
          <w:rFonts w:ascii="Arial" w:eastAsia="Arial" w:hAnsi="Arial"/>
          <w:b/>
          <w:color w:val="006CA2"/>
          <w:spacing w:val="4"/>
          <w:sz w:val="47"/>
        </w:rPr>
        <w:t>Water Efficiency Project</w:t>
      </w:r>
    </w:p>
    <w:p w14:paraId="6FECF10A" w14:textId="77777777" w:rsidR="00345DC1" w:rsidRDefault="00DB08CC">
      <w:pPr>
        <w:spacing w:before="242" w:line="407" w:lineRule="exact"/>
        <w:jc w:val="right"/>
        <w:textAlignment w:val="baseline"/>
        <w:rPr>
          <w:rFonts w:ascii="Arial" w:eastAsia="Arial" w:hAnsi="Arial"/>
          <w:color w:val="006CA2"/>
          <w:spacing w:val="-1"/>
          <w:sz w:val="36"/>
        </w:rPr>
      </w:pPr>
      <w:r>
        <w:rPr>
          <w:rFonts w:ascii="Arial" w:eastAsia="Arial" w:hAnsi="Arial"/>
          <w:color w:val="006CA2"/>
          <w:spacing w:val="-1"/>
          <w:sz w:val="36"/>
        </w:rPr>
        <w:t>Efficiency Measures Section</w:t>
      </w:r>
    </w:p>
    <w:p w14:paraId="6FE800EB" w14:textId="77777777" w:rsidR="00345DC1" w:rsidRDefault="00DB08CC">
      <w:pPr>
        <w:spacing w:before="248" w:after="1883" w:line="407" w:lineRule="exact"/>
        <w:jc w:val="right"/>
        <w:textAlignment w:val="baseline"/>
        <w:rPr>
          <w:rFonts w:ascii="Arial" w:eastAsia="Arial" w:hAnsi="Arial"/>
          <w:color w:val="006CA2"/>
          <w:sz w:val="36"/>
        </w:rPr>
      </w:pPr>
      <w:r>
        <w:rPr>
          <w:rFonts w:ascii="Arial" w:eastAsia="Arial" w:hAnsi="Arial"/>
          <w:color w:val="006CA2"/>
          <w:sz w:val="36"/>
        </w:rPr>
        <w:t xml:space="preserve">Department of Agriculture, </w:t>
      </w:r>
      <w:proofErr w:type="gramStart"/>
      <w:r>
        <w:rPr>
          <w:rFonts w:ascii="Arial" w:eastAsia="Arial" w:hAnsi="Arial"/>
          <w:color w:val="006CA2"/>
          <w:sz w:val="36"/>
        </w:rPr>
        <w:t>Water</w:t>
      </w:r>
      <w:proofErr w:type="gramEnd"/>
      <w:r>
        <w:rPr>
          <w:rFonts w:ascii="Arial" w:eastAsia="Arial" w:hAnsi="Arial"/>
          <w:color w:val="006CA2"/>
          <w:sz w:val="36"/>
        </w:rPr>
        <w:t xml:space="preserve"> and the Environment</w:t>
      </w:r>
    </w:p>
    <w:p w14:paraId="327833FA" w14:textId="77777777" w:rsidR="00345DC1" w:rsidRDefault="00DB08CC">
      <w:pPr>
        <w:ind w:right="8933"/>
        <w:textAlignment w:val="baseline"/>
      </w:pPr>
      <w:r>
        <w:rPr>
          <w:noProof/>
        </w:rPr>
        <w:drawing>
          <wp:inline distT="0" distB="0" distL="0" distR="0" wp14:anchorId="7C8575E4" wp14:editId="2708B027">
            <wp:extent cx="398145" cy="4102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98145" cy="410210"/>
                    </a:xfrm>
                    <a:prstGeom prst="rect">
                      <a:avLst/>
                    </a:prstGeom>
                  </pic:spPr>
                </pic:pic>
              </a:graphicData>
            </a:graphic>
          </wp:inline>
        </w:drawing>
      </w:r>
    </w:p>
    <w:p w14:paraId="486EDA5B" w14:textId="77777777" w:rsidR="00345DC1" w:rsidRDefault="00345DC1">
      <w:pPr>
        <w:sectPr w:rsidR="00345DC1">
          <w:type w:val="continuous"/>
          <w:pgSz w:w="11910" w:h="16839"/>
          <w:pgMar w:top="780" w:right="1235" w:bottom="259" w:left="1115" w:header="720" w:footer="720" w:gutter="0"/>
          <w:cols w:space="720"/>
        </w:sectPr>
      </w:pPr>
    </w:p>
    <w:p w14:paraId="5FBBBB69" w14:textId="77777777" w:rsidR="00345DC1" w:rsidRDefault="00DB08CC">
      <w:pPr>
        <w:spacing w:before="7" w:line="536" w:lineRule="exact"/>
        <w:textAlignment w:val="baseline"/>
        <w:rPr>
          <w:rFonts w:ascii="Arial" w:eastAsia="Arial" w:hAnsi="Arial"/>
          <w:b/>
          <w:color w:val="006CA2"/>
          <w:spacing w:val="7"/>
          <w:w w:val="95"/>
          <w:sz w:val="48"/>
        </w:rPr>
      </w:pPr>
      <w:r>
        <w:rPr>
          <w:rFonts w:ascii="Arial" w:eastAsia="Arial" w:hAnsi="Arial"/>
          <w:b/>
          <w:color w:val="006CA2"/>
          <w:spacing w:val="7"/>
          <w:w w:val="95"/>
          <w:sz w:val="48"/>
        </w:rPr>
        <w:lastRenderedPageBreak/>
        <w:t>Contents</w:t>
      </w:r>
    </w:p>
    <w:p w14:paraId="401189A1" w14:textId="77777777" w:rsidR="00345DC1" w:rsidRDefault="00DB08CC">
      <w:pPr>
        <w:numPr>
          <w:ilvl w:val="0"/>
          <w:numId w:val="1"/>
        </w:numPr>
        <w:tabs>
          <w:tab w:val="right" w:leader="dot" w:pos="9648"/>
        </w:tabs>
        <w:spacing w:before="195" w:line="272" w:lineRule="exact"/>
        <w:textAlignment w:val="baseline"/>
        <w:rPr>
          <w:rFonts w:ascii="Arial" w:eastAsia="Arial" w:hAnsi="Arial"/>
          <w:b/>
          <w:color w:val="009BAC"/>
          <w:sz w:val="24"/>
        </w:rPr>
      </w:pPr>
      <w:r>
        <w:rPr>
          <w:rFonts w:ascii="Arial" w:eastAsia="Arial" w:hAnsi="Arial"/>
          <w:b/>
          <w:color w:val="009BAC"/>
          <w:sz w:val="24"/>
        </w:rPr>
        <w:t>Executive Summary</w:t>
      </w:r>
      <w:r>
        <w:rPr>
          <w:rFonts w:ascii="Arial" w:eastAsia="Arial" w:hAnsi="Arial"/>
          <w:b/>
          <w:color w:val="009BAC"/>
          <w:sz w:val="24"/>
        </w:rPr>
        <w:tab/>
        <w:t>2</w:t>
      </w:r>
    </w:p>
    <w:p w14:paraId="7BD9C132" w14:textId="77777777" w:rsidR="00345DC1" w:rsidRDefault="00DB08CC">
      <w:pPr>
        <w:numPr>
          <w:ilvl w:val="0"/>
          <w:numId w:val="1"/>
        </w:numPr>
        <w:tabs>
          <w:tab w:val="right" w:leader="dot" w:pos="9648"/>
        </w:tabs>
        <w:spacing w:before="260" w:line="272" w:lineRule="exact"/>
        <w:textAlignment w:val="baseline"/>
        <w:rPr>
          <w:rFonts w:ascii="Arial" w:eastAsia="Arial" w:hAnsi="Arial"/>
          <w:b/>
          <w:color w:val="009BAC"/>
          <w:sz w:val="24"/>
        </w:rPr>
      </w:pPr>
      <w:r>
        <w:rPr>
          <w:rFonts w:ascii="Arial" w:eastAsia="Arial" w:hAnsi="Arial"/>
          <w:b/>
          <w:color w:val="009BAC"/>
          <w:sz w:val="24"/>
        </w:rPr>
        <w:t>Purpose of Report</w:t>
      </w:r>
      <w:r>
        <w:rPr>
          <w:rFonts w:ascii="Arial" w:eastAsia="Arial" w:hAnsi="Arial"/>
          <w:b/>
          <w:color w:val="009BAC"/>
          <w:sz w:val="24"/>
        </w:rPr>
        <w:tab/>
        <w:t>3</w:t>
      </w:r>
    </w:p>
    <w:p w14:paraId="6BD5A7F4" w14:textId="77777777" w:rsidR="00345DC1" w:rsidRDefault="00DB08CC">
      <w:pPr>
        <w:numPr>
          <w:ilvl w:val="0"/>
          <w:numId w:val="1"/>
        </w:numPr>
        <w:tabs>
          <w:tab w:val="right" w:leader="dot" w:pos="9648"/>
        </w:tabs>
        <w:spacing w:before="261" w:line="272" w:lineRule="exact"/>
        <w:textAlignment w:val="baseline"/>
        <w:rPr>
          <w:rFonts w:ascii="Arial" w:eastAsia="Arial" w:hAnsi="Arial"/>
          <w:b/>
          <w:color w:val="009BAC"/>
          <w:sz w:val="24"/>
        </w:rPr>
      </w:pPr>
      <w:r>
        <w:rPr>
          <w:rFonts w:ascii="Arial" w:eastAsia="Arial" w:hAnsi="Arial"/>
          <w:b/>
          <w:color w:val="009BAC"/>
          <w:sz w:val="24"/>
        </w:rPr>
        <w:t>Project description</w:t>
      </w:r>
      <w:r>
        <w:rPr>
          <w:rFonts w:ascii="Arial" w:eastAsia="Arial" w:hAnsi="Arial"/>
          <w:b/>
          <w:color w:val="009BAC"/>
          <w:sz w:val="24"/>
        </w:rPr>
        <w:tab/>
        <w:t>3</w:t>
      </w:r>
    </w:p>
    <w:p w14:paraId="7E99212A" w14:textId="77777777" w:rsidR="00345DC1" w:rsidRDefault="00DB08CC">
      <w:pPr>
        <w:numPr>
          <w:ilvl w:val="0"/>
          <w:numId w:val="1"/>
        </w:numPr>
        <w:tabs>
          <w:tab w:val="right" w:leader="dot" w:pos="9648"/>
        </w:tabs>
        <w:spacing w:before="261" w:line="272" w:lineRule="exact"/>
        <w:textAlignment w:val="baseline"/>
        <w:rPr>
          <w:rFonts w:ascii="Arial" w:eastAsia="Arial" w:hAnsi="Arial"/>
          <w:b/>
          <w:color w:val="009BAC"/>
          <w:sz w:val="24"/>
        </w:rPr>
      </w:pPr>
      <w:r>
        <w:rPr>
          <w:rFonts w:ascii="Arial" w:eastAsia="Arial" w:hAnsi="Arial"/>
          <w:b/>
          <w:color w:val="009BAC"/>
          <w:sz w:val="24"/>
        </w:rPr>
        <w:t>Scope and method</w:t>
      </w:r>
      <w:r>
        <w:rPr>
          <w:rFonts w:ascii="Arial" w:eastAsia="Arial" w:hAnsi="Arial"/>
          <w:b/>
          <w:color w:val="009BAC"/>
          <w:sz w:val="24"/>
        </w:rPr>
        <w:tab/>
        <w:t>5</w:t>
      </w:r>
    </w:p>
    <w:p w14:paraId="539A4D41" w14:textId="77777777" w:rsidR="00345DC1" w:rsidRDefault="00DB08CC">
      <w:pPr>
        <w:numPr>
          <w:ilvl w:val="0"/>
          <w:numId w:val="1"/>
        </w:numPr>
        <w:tabs>
          <w:tab w:val="right" w:leader="dot" w:pos="9648"/>
        </w:tabs>
        <w:spacing w:before="266" w:line="272" w:lineRule="exact"/>
        <w:textAlignment w:val="baseline"/>
        <w:rPr>
          <w:rFonts w:ascii="Arial" w:eastAsia="Arial" w:hAnsi="Arial"/>
          <w:b/>
          <w:color w:val="009BAC"/>
          <w:sz w:val="24"/>
        </w:rPr>
      </w:pPr>
      <w:r>
        <w:rPr>
          <w:rFonts w:ascii="Arial" w:eastAsia="Arial" w:hAnsi="Arial"/>
          <w:b/>
          <w:color w:val="009BAC"/>
          <w:sz w:val="24"/>
        </w:rPr>
        <w:t>Proposal documentation</w:t>
      </w:r>
      <w:r>
        <w:rPr>
          <w:rFonts w:ascii="Arial" w:eastAsia="Arial" w:hAnsi="Arial"/>
          <w:b/>
          <w:color w:val="009BAC"/>
          <w:sz w:val="24"/>
        </w:rPr>
        <w:tab/>
        <w:t>6</w:t>
      </w:r>
    </w:p>
    <w:p w14:paraId="6192A056" w14:textId="77777777" w:rsidR="00345DC1" w:rsidRDefault="00DB08CC">
      <w:pPr>
        <w:numPr>
          <w:ilvl w:val="0"/>
          <w:numId w:val="1"/>
        </w:numPr>
        <w:tabs>
          <w:tab w:val="right" w:leader="dot" w:pos="9648"/>
        </w:tabs>
        <w:spacing w:before="260" w:line="272" w:lineRule="exact"/>
        <w:textAlignment w:val="baseline"/>
        <w:rPr>
          <w:rFonts w:ascii="Arial" w:eastAsia="Arial" w:hAnsi="Arial"/>
          <w:b/>
          <w:color w:val="009BAC"/>
          <w:sz w:val="24"/>
        </w:rPr>
      </w:pPr>
      <w:r>
        <w:rPr>
          <w:rFonts w:ascii="Arial" w:eastAsia="Arial" w:hAnsi="Arial"/>
          <w:b/>
          <w:color w:val="009BAC"/>
          <w:sz w:val="24"/>
        </w:rPr>
        <w:t>Analysis</w:t>
      </w:r>
      <w:r>
        <w:rPr>
          <w:rFonts w:ascii="Arial" w:eastAsia="Arial" w:hAnsi="Arial"/>
          <w:b/>
          <w:color w:val="009BAC"/>
          <w:sz w:val="24"/>
        </w:rPr>
        <w:tab/>
        <w:t>7</w:t>
      </w:r>
    </w:p>
    <w:p w14:paraId="511DE865" w14:textId="77777777" w:rsidR="00345DC1" w:rsidRDefault="00DB08CC">
      <w:pPr>
        <w:tabs>
          <w:tab w:val="decimal" w:pos="720"/>
          <w:tab w:val="left" w:pos="1152"/>
          <w:tab w:val="right" w:leader="dot" w:pos="9648"/>
        </w:tabs>
        <w:spacing w:before="191" w:line="230" w:lineRule="exact"/>
        <w:ind w:left="576"/>
        <w:textAlignment w:val="baseline"/>
        <w:rPr>
          <w:rFonts w:ascii="Arial" w:eastAsia="Arial" w:hAnsi="Arial"/>
          <w:b/>
          <w:color w:val="000000"/>
          <w:sz w:val="20"/>
        </w:rPr>
      </w:pPr>
      <w:r>
        <w:rPr>
          <w:rFonts w:ascii="Arial" w:eastAsia="Arial" w:hAnsi="Arial"/>
          <w:b/>
          <w:color w:val="000000"/>
          <w:sz w:val="20"/>
        </w:rPr>
        <w:tab/>
        <w:t>6.1</w:t>
      </w:r>
      <w:r>
        <w:rPr>
          <w:rFonts w:ascii="Arial" w:eastAsia="Arial" w:hAnsi="Arial"/>
          <w:b/>
          <w:color w:val="000000"/>
          <w:sz w:val="20"/>
        </w:rPr>
        <w:tab/>
        <w:t>Backbone Transformation Project</w:t>
      </w:r>
      <w:r>
        <w:rPr>
          <w:rFonts w:ascii="Arial" w:eastAsia="Arial" w:hAnsi="Arial"/>
          <w:b/>
          <w:color w:val="000000"/>
          <w:sz w:val="20"/>
        </w:rPr>
        <w:tab/>
        <w:t>7</w:t>
      </w:r>
    </w:p>
    <w:p w14:paraId="03694CC7" w14:textId="77777777" w:rsidR="00345DC1" w:rsidRDefault="00DB08CC">
      <w:pPr>
        <w:tabs>
          <w:tab w:val="right" w:leader="dot" w:pos="9648"/>
        </w:tabs>
        <w:spacing w:before="120" w:line="230" w:lineRule="exact"/>
        <w:ind w:left="1080"/>
        <w:textAlignment w:val="baseline"/>
        <w:rPr>
          <w:rFonts w:ascii="Arial" w:eastAsia="Arial" w:hAnsi="Arial"/>
          <w:b/>
          <w:color w:val="000000"/>
          <w:sz w:val="20"/>
        </w:rPr>
      </w:pPr>
      <w:r>
        <w:rPr>
          <w:rFonts w:ascii="Arial" w:eastAsia="Arial" w:hAnsi="Arial"/>
          <w:b/>
          <w:color w:val="000000"/>
          <w:sz w:val="20"/>
        </w:rPr>
        <w:t xml:space="preserve">6.1.1 </w:t>
      </w:r>
      <w:r>
        <w:rPr>
          <w:rFonts w:ascii="Arial" w:eastAsia="Arial" w:hAnsi="Arial"/>
          <w:color w:val="000000"/>
          <w:sz w:val="20"/>
        </w:rPr>
        <w:t>Enquiry 1: Are the proposed works likely to generate the proposed water savings</w:t>
      </w:r>
      <w:r>
        <w:rPr>
          <w:rFonts w:ascii="Arial" w:eastAsia="Arial" w:hAnsi="Arial"/>
          <w:color w:val="000000"/>
          <w:sz w:val="20"/>
        </w:rPr>
        <w:tab/>
        <w:t>7</w:t>
      </w:r>
    </w:p>
    <w:p w14:paraId="79B318D9" w14:textId="77777777" w:rsidR="00345DC1" w:rsidRDefault="00DB08CC">
      <w:pPr>
        <w:tabs>
          <w:tab w:val="right" w:leader="dot" w:pos="9648"/>
        </w:tabs>
        <w:spacing w:before="116" w:line="230" w:lineRule="exact"/>
        <w:ind w:left="1080"/>
        <w:textAlignment w:val="baseline"/>
        <w:rPr>
          <w:rFonts w:ascii="Arial" w:eastAsia="Arial" w:hAnsi="Arial"/>
          <w:b/>
          <w:color w:val="000000"/>
          <w:sz w:val="20"/>
        </w:rPr>
      </w:pPr>
      <w:r>
        <w:rPr>
          <w:rFonts w:ascii="Arial" w:eastAsia="Arial" w:hAnsi="Arial"/>
          <w:b/>
          <w:color w:val="000000"/>
          <w:sz w:val="20"/>
        </w:rPr>
        <w:t xml:space="preserve">6.1.2 </w:t>
      </w:r>
      <w:r>
        <w:rPr>
          <w:rFonts w:ascii="Arial" w:eastAsia="Arial" w:hAnsi="Arial"/>
          <w:color w:val="000000"/>
          <w:sz w:val="20"/>
        </w:rPr>
        <w:t>Enquiry 2: Are the costs consistent with the n</w:t>
      </w:r>
      <w:r>
        <w:rPr>
          <w:rFonts w:ascii="Arial" w:eastAsia="Arial" w:hAnsi="Arial"/>
          <w:color w:val="000000"/>
          <w:sz w:val="20"/>
        </w:rPr>
        <w:t>ature of the works</w:t>
      </w:r>
      <w:r>
        <w:rPr>
          <w:rFonts w:ascii="Arial" w:eastAsia="Arial" w:hAnsi="Arial"/>
          <w:color w:val="000000"/>
          <w:sz w:val="20"/>
        </w:rPr>
        <w:tab/>
        <w:t>8</w:t>
      </w:r>
    </w:p>
    <w:p w14:paraId="66CD43A0" w14:textId="77777777" w:rsidR="00345DC1" w:rsidRDefault="00DB08CC">
      <w:pPr>
        <w:spacing w:before="110" w:line="230" w:lineRule="exact"/>
        <w:ind w:left="1080"/>
        <w:textAlignment w:val="baseline"/>
        <w:rPr>
          <w:rFonts w:ascii="Arial" w:eastAsia="Arial" w:hAnsi="Arial"/>
          <w:b/>
          <w:color w:val="000000"/>
          <w:spacing w:val="2"/>
          <w:sz w:val="20"/>
        </w:rPr>
      </w:pPr>
      <w:r>
        <w:rPr>
          <w:rFonts w:ascii="Arial" w:eastAsia="Arial" w:hAnsi="Arial"/>
          <w:b/>
          <w:color w:val="000000"/>
          <w:spacing w:val="2"/>
          <w:sz w:val="20"/>
        </w:rPr>
        <w:t xml:space="preserve">6.1.3 </w:t>
      </w:r>
      <w:r>
        <w:rPr>
          <w:rFonts w:ascii="Arial" w:eastAsia="Arial" w:hAnsi="Arial"/>
          <w:color w:val="000000"/>
          <w:spacing w:val="2"/>
          <w:sz w:val="20"/>
        </w:rPr>
        <w:t>Enquiry 3: What extent does the detailed budget demonstrate appropriate costings that</w:t>
      </w:r>
    </w:p>
    <w:p w14:paraId="6BA848A2" w14:textId="77777777" w:rsidR="00345DC1" w:rsidRDefault="00DB08CC">
      <w:pPr>
        <w:spacing w:before="121" w:line="230" w:lineRule="exact"/>
        <w:ind w:left="1080"/>
        <w:textAlignment w:val="baseline"/>
        <w:rPr>
          <w:rFonts w:ascii="Arial" w:eastAsia="Arial" w:hAnsi="Arial"/>
          <w:color w:val="000000"/>
          <w:sz w:val="20"/>
        </w:rPr>
      </w:pPr>
      <w:r>
        <w:rPr>
          <w:rFonts w:ascii="Arial" w:eastAsia="Arial" w:hAnsi="Arial"/>
          <w:color w:val="000000"/>
          <w:sz w:val="20"/>
        </w:rPr>
        <w:t>reflect market realities – including the appropriateness of any contingency costs and</w:t>
      </w:r>
    </w:p>
    <w:p w14:paraId="31F76431" w14:textId="77777777" w:rsidR="00345DC1" w:rsidRDefault="00DB08CC">
      <w:pPr>
        <w:tabs>
          <w:tab w:val="right" w:leader="dot" w:pos="9648"/>
        </w:tabs>
        <w:spacing w:before="115" w:line="230" w:lineRule="exact"/>
        <w:ind w:left="1080"/>
        <w:textAlignment w:val="baseline"/>
        <w:rPr>
          <w:rFonts w:ascii="Arial" w:eastAsia="Arial" w:hAnsi="Arial"/>
          <w:color w:val="000000"/>
          <w:sz w:val="20"/>
        </w:rPr>
      </w:pPr>
      <w:r>
        <w:rPr>
          <w:rFonts w:ascii="Arial" w:eastAsia="Arial" w:hAnsi="Arial"/>
          <w:color w:val="000000"/>
          <w:sz w:val="20"/>
        </w:rPr>
        <w:t>escalations</w:t>
      </w:r>
      <w:r>
        <w:rPr>
          <w:rFonts w:ascii="Arial" w:eastAsia="Arial" w:hAnsi="Arial"/>
          <w:color w:val="000000"/>
          <w:sz w:val="20"/>
        </w:rPr>
        <w:tab/>
        <w:t>11</w:t>
      </w:r>
    </w:p>
    <w:p w14:paraId="7ACB70A8" w14:textId="77777777" w:rsidR="00345DC1" w:rsidRDefault="00DB08CC">
      <w:pPr>
        <w:tabs>
          <w:tab w:val="decimal" w:pos="720"/>
          <w:tab w:val="left" w:pos="1152"/>
          <w:tab w:val="right" w:leader="dot" w:pos="9648"/>
        </w:tabs>
        <w:spacing w:before="159" w:line="230" w:lineRule="exact"/>
        <w:ind w:left="576"/>
        <w:textAlignment w:val="baseline"/>
        <w:rPr>
          <w:rFonts w:ascii="Arial" w:eastAsia="Arial" w:hAnsi="Arial"/>
          <w:b/>
          <w:color w:val="000000"/>
          <w:sz w:val="20"/>
        </w:rPr>
      </w:pPr>
      <w:r>
        <w:rPr>
          <w:rFonts w:ascii="Arial" w:eastAsia="Arial" w:hAnsi="Arial"/>
          <w:b/>
          <w:color w:val="000000"/>
          <w:sz w:val="20"/>
        </w:rPr>
        <w:tab/>
        <w:t>6.2</w:t>
      </w:r>
      <w:r>
        <w:rPr>
          <w:rFonts w:ascii="Arial" w:eastAsia="Arial" w:hAnsi="Arial"/>
          <w:b/>
          <w:color w:val="000000"/>
          <w:sz w:val="20"/>
        </w:rPr>
        <w:tab/>
      </w:r>
      <w:proofErr w:type="spellStart"/>
      <w:r>
        <w:rPr>
          <w:rFonts w:ascii="Arial" w:eastAsia="Arial" w:hAnsi="Arial"/>
          <w:b/>
          <w:color w:val="000000"/>
          <w:sz w:val="20"/>
        </w:rPr>
        <w:t>Shepparton</w:t>
      </w:r>
      <w:proofErr w:type="spellEnd"/>
      <w:r>
        <w:rPr>
          <w:rFonts w:ascii="Arial" w:eastAsia="Arial" w:hAnsi="Arial"/>
          <w:b/>
          <w:color w:val="000000"/>
          <w:sz w:val="20"/>
        </w:rPr>
        <w:t xml:space="preserve"> East Project Delivery (SEP)</w:t>
      </w:r>
      <w:r>
        <w:rPr>
          <w:rFonts w:ascii="Arial" w:eastAsia="Arial" w:hAnsi="Arial"/>
          <w:b/>
          <w:color w:val="000000"/>
          <w:sz w:val="20"/>
        </w:rPr>
        <w:tab/>
        <w:t>14</w:t>
      </w:r>
    </w:p>
    <w:p w14:paraId="69ADDA76" w14:textId="77777777" w:rsidR="00345DC1" w:rsidRDefault="00DB08CC">
      <w:pPr>
        <w:tabs>
          <w:tab w:val="right" w:leader="dot" w:pos="9648"/>
        </w:tabs>
        <w:spacing w:before="121" w:line="230" w:lineRule="exact"/>
        <w:ind w:left="1080"/>
        <w:textAlignment w:val="baseline"/>
        <w:rPr>
          <w:rFonts w:ascii="Arial" w:eastAsia="Arial" w:hAnsi="Arial"/>
          <w:b/>
          <w:color w:val="000000"/>
          <w:sz w:val="20"/>
        </w:rPr>
      </w:pPr>
      <w:r>
        <w:rPr>
          <w:rFonts w:ascii="Arial" w:eastAsia="Arial" w:hAnsi="Arial"/>
          <w:b/>
          <w:color w:val="000000"/>
          <w:sz w:val="20"/>
        </w:rPr>
        <w:t xml:space="preserve">6.2.1 </w:t>
      </w:r>
      <w:r>
        <w:rPr>
          <w:rFonts w:ascii="Arial" w:eastAsia="Arial" w:hAnsi="Arial"/>
          <w:color w:val="000000"/>
          <w:sz w:val="20"/>
        </w:rPr>
        <w:t>Enquiry 1: Are the proposed works likely to generate the proposed water savings</w:t>
      </w:r>
      <w:r>
        <w:rPr>
          <w:rFonts w:ascii="Arial" w:eastAsia="Arial" w:hAnsi="Arial"/>
          <w:color w:val="000000"/>
          <w:sz w:val="20"/>
        </w:rPr>
        <w:tab/>
        <w:t>14</w:t>
      </w:r>
    </w:p>
    <w:p w14:paraId="4DA2BD67" w14:textId="77777777" w:rsidR="00345DC1" w:rsidRDefault="00DB08CC">
      <w:pPr>
        <w:tabs>
          <w:tab w:val="right" w:leader="dot" w:pos="9648"/>
        </w:tabs>
        <w:spacing w:before="120" w:line="230" w:lineRule="exact"/>
        <w:ind w:left="1080"/>
        <w:textAlignment w:val="baseline"/>
        <w:rPr>
          <w:rFonts w:ascii="Arial" w:eastAsia="Arial" w:hAnsi="Arial"/>
          <w:b/>
          <w:color w:val="000000"/>
          <w:sz w:val="20"/>
        </w:rPr>
      </w:pPr>
      <w:r>
        <w:rPr>
          <w:rFonts w:ascii="Arial" w:eastAsia="Arial" w:hAnsi="Arial"/>
          <w:b/>
          <w:color w:val="000000"/>
          <w:sz w:val="20"/>
        </w:rPr>
        <w:t xml:space="preserve">6.2.2 </w:t>
      </w:r>
      <w:r>
        <w:rPr>
          <w:rFonts w:ascii="Arial" w:eastAsia="Arial" w:hAnsi="Arial"/>
          <w:color w:val="000000"/>
          <w:sz w:val="20"/>
        </w:rPr>
        <w:t>Enquiry 2: Are the costs consistent with the nature of the works</w:t>
      </w:r>
      <w:r>
        <w:rPr>
          <w:rFonts w:ascii="Arial" w:eastAsia="Arial" w:hAnsi="Arial"/>
          <w:color w:val="000000"/>
          <w:sz w:val="20"/>
        </w:rPr>
        <w:tab/>
        <w:t>15</w:t>
      </w:r>
    </w:p>
    <w:p w14:paraId="7748FEC4" w14:textId="77777777" w:rsidR="00345DC1" w:rsidRDefault="00DB08CC">
      <w:pPr>
        <w:spacing w:before="111" w:line="230" w:lineRule="exact"/>
        <w:ind w:left="1080"/>
        <w:textAlignment w:val="baseline"/>
        <w:rPr>
          <w:rFonts w:ascii="Arial" w:eastAsia="Arial" w:hAnsi="Arial"/>
          <w:b/>
          <w:color w:val="000000"/>
          <w:spacing w:val="2"/>
          <w:sz w:val="20"/>
        </w:rPr>
      </w:pPr>
      <w:r>
        <w:rPr>
          <w:rFonts w:ascii="Arial" w:eastAsia="Arial" w:hAnsi="Arial"/>
          <w:b/>
          <w:color w:val="000000"/>
          <w:spacing w:val="2"/>
          <w:sz w:val="20"/>
        </w:rPr>
        <w:t xml:space="preserve">6.2.3 </w:t>
      </w:r>
      <w:r>
        <w:rPr>
          <w:rFonts w:ascii="Arial" w:eastAsia="Arial" w:hAnsi="Arial"/>
          <w:color w:val="000000"/>
          <w:spacing w:val="2"/>
          <w:sz w:val="20"/>
        </w:rPr>
        <w:t>Enquiry 3: What extent does the detailed budg</w:t>
      </w:r>
      <w:r>
        <w:rPr>
          <w:rFonts w:ascii="Arial" w:eastAsia="Arial" w:hAnsi="Arial"/>
          <w:color w:val="000000"/>
          <w:spacing w:val="2"/>
          <w:sz w:val="20"/>
        </w:rPr>
        <w:t>et demonstrate appropriate costings that</w:t>
      </w:r>
    </w:p>
    <w:p w14:paraId="4662AA0D" w14:textId="77777777" w:rsidR="00345DC1" w:rsidRDefault="00DB08CC">
      <w:pPr>
        <w:spacing w:before="120" w:line="230" w:lineRule="exact"/>
        <w:ind w:left="1080"/>
        <w:textAlignment w:val="baseline"/>
        <w:rPr>
          <w:rFonts w:ascii="Arial" w:eastAsia="Arial" w:hAnsi="Arial"/>
          <w:color w:val="000000"/>
          <w:sz w:val="20"/>
        </w:rPr>
      </w:pPr>
      <w:r>
        <w:rPr>
          <w:rFonts w:ascii="Arial" w:eastAsia="Arial" w:hAnsi="Arial"/>
          <w:color w:val="000000"/>
          <w:sz w:val="20"/>
        </w:rPr>
        <w:t>reflect market realities – including the appropriateness of any contingency costs and</w:t>
      </w:r>
    </w:p>
    <w:p w14:paraId="52229082" w14:textId="77777777" w:rsidR="00345DC1" w:rsidRDefault="00DB08CC">
      <w:pPr>
        <w:tabs>
          <w:tab w:val="right" w:leader="dot" w:pos="9648"/>
        </w:tabs>
        <w:spacing w:before="116" w:line="230" w:lineRule="exact"/>
        <w:ind w:left="1080"/>
        <w:textAlignment w:val="baseline"/>
        <w:rPr>
          <w:rFonts w:ascii="Arial" w:eastAsia="Arial" w:hAnsi="Arial"/>
          <w:color w:val="000000"/>
          <w:sz w:val="20"/>
        </w:rPr>
      </w:pPr>
      <w:r>
        <w:rPr>
          <w:rFonts w:ascii="Arial" w:eastAsia="Arial" w:hAnsi="Arial"/>
          <w:color w:val="000000"/>
          <w:sz w:val="20"/>
        </w:rPr>
        <w:t>escalations</w:t>
      </w:r>
      <w:r>
        <w:rPr>
          <w:rFonts w:ascii="Arial" w:eastAsia="Arial" w:hAnsi="Arial"/>
          <w:color w:val="000000"/>
          <w:sz w:val="20"/>
        </w:rPr>
        <w:tab/>
        <w:t>17</w:t>
      </w:r>
    </w:p>
    <w:p w14:paraId="130EB8A0" w14:textId="77777777" w:rsidR="00345DC1" w:rsidRDefault="00DB08CC">
      <w:pPr>
        <w:numPr>
          <w:ilvl w:val="0"/>
          <w:numId w:val="1"/>
        </w:numPr>
        <w:tabs>
          <w:tab w:val="right" w:leader="dot" w:pos="9648"/>
        </w:tabs>
        <w:spacing w:before="234" w:line="272" w:lineRule="exact"/>
        <w:textAlignment w:val="baseline"/>
        <w:rPr>
          <w:rFonts w:ascii="Arial" w:eastAsia="Arial" w:hAnsi="Arial"/>
          <w:b/>
          <w:color w:val="009BAC"/>
          <w:sz w:val="24"/>
        </w:rPr>
      </w:pPr>
      <w:r>
        <w:rPr>
          <w:rFonts w:ascii="Arial" w:eastAsia="Arial" w:hAnsi="Arial"/>
          <w:b/>
          <w:color w:val="009BAC"/>
          <w:sz w:val="24"/>
        </w:rPr>
        <w:t>Conclusions</w:t>
      </w:r>
      <w:r>
        <w:rPr>
          <w:rFonts w:ascii="Arial" w:eastAsia="Arial" w:hAnsi="Arial"/>
          <w:b/>
          <w:color w:val="009BAC"/>
          <w:sz w:val="24"/>
        </w:rPr>
        <w:tab/>
        <w:t>19</w:t>
      </w:r>
    </w:p>
    <w:p w14:paraId="36CD8D18" w14:textId="77777777" w:rsidR="00345DC1" w:rsidRDefault="00DB08CC">
      <w:pPr>
        <w:tabs>
          <w:tab w:val="right" w:leader="dot" w:pos="9648"/>
        </w:tabs>
        <w:spacing w:before="142" w:line="230" w:lineRule="exact"/>
        <w:ind w:left="1080"/>
        <w:textAlignment w:val="baseline"/>
        <w:rPr>
          <w:rFonts w:ascii="Arial" w:eastAsia="Arial" w:hAnsi="Arial"/>
          <w:color w:val="000000"/>
          <w:sz w:val="20"/>
        </w:rPr>
      </w:pPr>
      <w:r>
        <w:rPr>
          <w:rFonts w:ascii="Arial" w:eastAsia="Arial" w:hAnsi="Arial"/>
          <w:color w:val="000000"/>
          <w:sz w:val="20"/>
        </w:rPr>
        <w:t>General</w:t>
      </w:r>
      <w:r>
        <w:rPr>
          <w:rFonts w:ascii="Arial" w:eastAsia="Arial" w:hAnsi="Arial"/>
          <w:color w:val="000000"/>
          <w:sz w:val="20"/>
        </w:rPr>
        <w:tab/>
        <w:t>19</w:t>
      </w:r>
    </w:p>
    <w:p w14:paraId="06AAA9B0" w14:textId="77777777" w:rsidR="00345DC1" w:rsidRDefault="00DB08CC">
      <w:pPr>
        <w:tabs>
          <w:tab w:val="right" w:leader="dot" w:pos="9648"/>
        </w:tabs>
        <w:spacing w:before="111" w:line="230" w:lineRule="exact"/>
        <w:ind w:left="1080"/>
        <w:textAlignment w:val="baseline"/>
        <w:rPr>
          <w:rFonts w:ascii="Arial" w:eastAsia="Arial" w:hAnsi="Arial"/>
          <w:color w:val="000000"/>
          <w:sz w:val="20"/>
        </w:rPr>
      </w:pPr>
      <w:r>
        <w:rPr>
          <w:rFonts w:ascii="Arial" w:eastAsia="Arial" w:hAnsi="Arial"/>
          <w:color w:val="000000"/>
          <w:sz w:val="20"/>
        </w:rPr>
        <w:t>Enquiry 1: Are the proposed works likely to generate the proposed water savings</w:t>
      </w:r>
      <w:r>
        <w:rPr>
          <w:rFonts w:ascii="Arial" w:eastAsia="Arial" w:hAnsi="Arial"/>
          <w:color w:val="000000"/>
          <w:sz w:val="20"/>
        </w:rPr>
        <w:tab/>
        <w:t>19</w:t>
      </w:r>
    </w:p>
    <w:p w14:paraId="5C3C81DA" w14:textId="77777777" w:rsidR="00345DC1" w:rsidRDefault="00DB08CC">
      <w:pPr>
        <w:tabs>
          <w:tab w:val="right" w:leader="dot" w:pos="9648"/>
        </w:tabs>
        <w:spacing w:before="116" w:line="230" w:lineRule="exact"/>
        <w:ind w:left="1080"/>
        <w:textAlignment w:val="baseline"/>
        <w:rPr>
          <w:rFonts w:ascii="Arial" w:eastAsia="Arial" w:hAnsi="Arial"/>
          <w:color w:val="000000"/>
          <w:sz w:val="20"/>
        </w:rPr>
      </w:pPr>
      <w:r>
        <w:rPr>
          <w:rFonts w:ascii="Arial" w:eastAsia="Arial" w:hAnsi="Arial"/>
          <w:color w:val="000000"/>
          <w:sz w:val="20"/>
        </w:rPr>
        <w:t>Enqui</w:t>
      </w:r>
      <w:r>
        <w:rPr>
          <w:rFonts w:ascii="Arial" w:eastAsia="Arial" w:hAnsi="Arial"/>
          <w:color w:val="000000"/>
          <w:sz w:val="20"/>
        </w:rPr>
        <w:t>ry 2: Are the costs consistent with the nature of the works</w:t>
      </w:r>
      <w:r>
        <w:rPr>
          <w:rFonts w:ascii="Arial" w:eastAsia="Arial" w:hAnsi="Arial"/>
          <w:color w:val="000000"/>
          <w:sz w:val="20"/>
        </w:rPr>
        <w:tab/>
        <w:t>20</w:t>
      </w:r>
    </w:p>
    <w:p w14:paraId="184E7BE3" w14:textId="77777777" w:rsidR="00345DC1" w:rsidRDefault="00DB08CC">
      <w:pPr>
        <w:spacing w:before="115" w:line="230" w:lineRule="exact"/>
        <w:ind w:left="1080"/>
        <w:textAlignment w:val="baseline"/>
        <w:rPr>
          <w:rFonts w:ascii="Arial" w:eastAsia="Arial" w:hAnsi="Arial"/>
          <w:color w:val="000000"/>
          <w:sz w:val="20"/>
        </w:rPr>
      </w:pPr>
      <w:r>
        <w:rPr>
          <w:rFonts w:ascii="Arial" w:eastAsia="Arial" w:hAnsi="Arial"/>
          <w:color w:val="000000"/>
          <w:sz w:val="20"/>
        </w:rPr>
        <w:t>Enquiry 3: What extent does the detailed budget demonstrate appropriate costings that reflect</w:t>
      </w:r>
    </w:p>
    <w:p w14:paraId="15F37854" w14:textId="77777777" w:rsidR="00345DC1" w:rsidRDefault="00DB08CC">
      <w:pPr>
        <w:tabs>
          <w:tab w:val="right" w:leader="dot" w:pos="9648"/>
        </w:tabs>
        <w:spacing w:before="116" w:line="230" w:lineRule="exact"/>
        <w:ind w:left="1080"/>
        <w:textAlignment w:val="baseline"/>
        <w:rPr>
          <w:rFonts w:ascii="Arial" w:eastAsia="Arial" w:hAnsi="Arial"/>
          <w:color w:val="000000"/>
          <w:sz w:val="20"/>
        </w:rPr>
      </w:pPr>
      <w:r>
        <w:rPr>
          <w:rFonts w:ascii="Arial" w:eastAsia="Arial" w:hAnsi="Arial"/>
          <w:color w:val="000000"/>
          <w:sz w:val="20"/>
        </w:rPr>
        <w:t>market realities – including the appropriateness of any contingency costs and escalations</w:t>
      </w:r>
      <w:r>
        <w:rPr>
          <w:rFonts w:ascii="Arial" w:eastAsia="Arial" w:hAnsi="Arial"/>
          <w:color w:val="000000"/>
          <w:sz w:val="20"/>
        </w:rPr>
        <w:tab/>
        <w:t>20</w:t>
      </w:r>
    </w:p>
    <w:p w14:paraId="385BDF38" w14:textId="77777777" w:rsidR="00345DC1" w:rsidRDefault="00DB08CC">
      <w:pPr>
        <w:numPr>
          <w:ilvl w:val="0"/>
          <w:numId w:val="1"/>
        </w:numPr>
        <w:tabs>
          <w:tab w:val="right" w:leader="dot" w:pos="9648"/>
        </w:tabs>
        <w:spacing w:before="239" w:after="4262" w:line="272" w:lineRule="exact"/>
        <w:textAlignment w:val="baseline"/>
        <w:rPr>
          <w:rFonts w:ascii="Arial" w:eastAsia="Arial" w:hAnsi="Arial"/>
          <w:b/>
          <w:color w:val="009BAC"/>
          <w:sz w:val="24"/>
        </w:rPr>
      </w:pPr>
      <w:r>
        <w:rPr>
          <w:rFonts w:ascii="Arial" w:eastAsia="Arial" w:hAnsi="Arial"/>
          <w:b/>
          <w:color w:val="009BAC"/>
          <w:sz w:val="24"/>
        </w:rPr>
        <w:t>Recommendations</w:t>
      </w:r>
      <w:r>
        <w:rPr>
          <w:rFonts w:ascii="Arial" w:eastAsia="Arial" w:hAnsi="Arial"/>
          <w:b/>
          <w:color w:val="009BAC"/>
          <w:sz w:val="24"/>
        </w:rPr>
        <w:tab/>
        <w:t>22</w:t>
      </w:r>
    </w:p>
    <w:p w14:paraId="378F43BB" w14:textId="77777777" w:rsidR="00345DC1" w:rsidRDefault="00345DC1">
      <w:pPr>
        <w:spacing w:before="239" w:after="4262" w:line="272" w:lineRule="exact"/>
        <w:sectPr w:rsidR="00345DC1">
          <w:pgSz w:w="11909" w:h="16838"/>
          <w:pgMar w:top="580" w:right="1136" w:bottom="262" w:left="1133" w:header="720" w:footer="720" w:gutter="0"/>
          <w:cols w:space="720"/>
        </w:sectPr>
      </w:pPr>
    </w:p>
    <w:p w14:paraId="0E26355A" w14:textId="77777777" w:rsidR="00345DC1" w:rsidRDefault="00DB08CC">
      <w:pPr>
        <w:spacing w:before="1"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6AD97E0E" w14:textId="77777777" w:rsidR="00345DC1" w:rsidRDefault="00DB08CC">
      <w:pPr>
        <w:spacing w:line="124" w:lineRule="exact"/>
        <w:ind w:left="144"/>
        <w:textAlignment w:val="baseline"/>
        <w:rPr>
          <w:rFonts w:ascii="Arial" w:eastAsia="Arial" w:hAnsi="Arial"/>
          <w:color w:val="FFFFFF"/>
          <w:spacing w:val="11"/>
          <w:sz w:val="15"/>
          <w:shd w:val="solid" w:color="006391" w:fill="006391"/>
        </w:rPr>
      </w:pPr>
      <w:r>
        <w:rPr>
          <w:rFonts w:ascii="Arial" w:eastAsia="Arial" w:hAnsi="Arial"/>
          <w:color w:val="FFFFFF"/>
          <w:spacing w:val="11"/>
          <w:sz w:val="15"/>
          <w:shd w:val="solid" w:color="006391" w:fill="006391"/>
        </w:rPr>
        <w:t>ii</w:t>
      </w:r>
    </w:p>
    <w:p w14:paraId="34C5E06A" w14:textId="77777777" w:rsidR="00345DC1" w:rsidRDefault="00DB08CC">
      <w:pPr>
        <w:spacing w:line="139" w:lineRule="exact"/>
        <w:ind w:left="576"/>
        <w:textAlignment w:val="baseline"/>
        <w:rPr>
          <w:rFonts w:ascii="Arial" w:eastAsia="Arial" w:hAnsi="Arial"/>
          <w:color w:val="000000"/>
          <w:spacing w:val="-1"/>
          <w:sz w:val="14"/>
        </w:rPr>
      </w:pPr>
      <w:r>
        <w:rPr>
          <w:rFonts w:ascii="Arial" w:eastAsia="Arial" w:hAnsi="Arial"/>
          <w:color w:val="000000"/>
          <w:spacing w:val="-1"/>
          <w:sz w:val="14"/>
        </w:rPr>
        <w:t>Review of Goulburn Murray Water (GMW) Water</w:t>
      </w:r>
    </w:p>
    <w:p w14:paraId="263F09C4"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5B667413" w14:textId="77777777" w:rsidR="00345DC1" w:rsidRDefault="00345DC1">
      <w:pPr>
        <w:sectPr w:rsidR="00345DC1">
          <w:type w:val="continuous"/>
          <w:pgSz w:w="11909" w:h="16838"/>
          <w:pgMar w:top="580" w:right="7136" w:bottom="262" w:left="1133" w:header="720" w:footer="720" w:gutter="0"/>
          <w:cols w:space="720"/>
        </w:sectPr>
      </w:pPr>
    </w:p>
    <w:p w14:paraId="047FEEDF" w14:textId="77777777" w:rsidR="00345DC1" w:rsidRDefault="00DB08CC">
      <w:pPr>
        <w:spacing w:before="7" w:after="145" w:line="549" w:lineRule="exact"/>
        <w:textAlignment w:val="baseline"/>
        <w:rPr>
          <w:rFonts w:ascii="Arial" w:eastAsia="Arial" w:hAnsi="Arial"/>
          <w:b/>
          <w:color w:val="006FC0"/>
          <w:spacing w:val="9"/>
          <w:w w:val="95"/>
          <w:sz w:val="48"/>
        </w:rPr>
      </w:pPr>
      <w:r>
        <w:rPr>
          <w:rFonts w:ascii="Arial" w:eastAsia="Arial" w:hAnsi="Arial"/>
          <w:b/>
          <w:color w:val="006FC0"/>
          <w:spacing w:val="9"/>
          <w:w w:val="95"/>
          <w:sz w:val="48"/>
        </w:rPr>
        <w:lastRenderedPageBreak/>
        <w:t>Schedule of Tables</w:t>
      </w:r>
    </w:p>
    <w:p w14:paraId="3AFB9F0E" w14:textId="77777777" w:rsidR="00345DC1" w:rsidRDefault="00DB08CC">
      <w:pPr>
        <w:tabs>
          <w:tab w:val="right" w:leader="dot" w:pos="9648"/>
        </w:tabs>
        <w:spacing w:before="115" w:line="230" w:lineRule="exact"/>
        <w:jc w:val="both"/>
        <w:textAlignment w:val="baseline"/>
        <w:rPr>
          <w:rFonts w:ascii="Arial" w:eastAsia="Arial" w:hAnsi="Arial"/>
          <w:color w:val="000000"/>
          <w:sz w:val="20"/>
        </w:rPr>
      </w:pPr>
      <w:r>
        <w:rPr>
          <w:rFonts w:ascii="Arial" w:eastAsia="Arial" w:hAnsi="Arial"/>
          <w:color w:val="000000"/>
          <w:sz w:val="20"/>
        </w:rPr>
        <w:t>Table 1: Budget Estimates by Work Types</w:t>
      </w:r>
      <w:r>
        <w:rPr>
          <w:rFonts w:ascii="Arial" w:eastAsia="Arial" w:hAnsi="Arial"/>
          <w:color w:val="000000"/>
          <w:sz w:val="20"/>
        </w:rPr>
        <w:tab/>
        <w:t>4</w:t>
      </w:r>
    </w:p>
    <w:p w14:paraId="62119ED8" w14:textId="77777777" w:rsidR="00345DC1" w:rsidRDefault="00DB08CC">
      <w:pPr>
        <w:tabs>
          <w:tab w:val="right" w:leader="dot" w:pos="9648"/>
        </w:tabs>
        <w:spacing w:before="116" w:line="230" w:lineRule="exact"/>
        <w:jc w:val="both"/>
        <w:textAlignment w:val="baseline"/>
        <w:rPr>
          <w:rFonts w:ascii="Arial" w:eastAsia="Arial" w:hAnsi="Arial"/>
          <w:color w:val="000000"/>
          <w:sz w:val="20"/>
        </w:rPr>
      </w:pPr>
      <w:r>
        <w:rPr>
          <w:rFonts w:ascii="Arial" w:eastAsia="Arial" w:hAnsi="Arial"/>
          <w:color w:val="000000"/>
          <w:sz w:val="20"/>
        </w:rPr>
        <w:t>Table 2: BTP Water Savings across 5 irrigation districts</w:t>
      </w:r>
      <w:r>
        <w:rPr>
          <w:rFonts w:ascii="Arial" w:eastAsia="Arial" w:hAnsi="Arial"/>
          <w:color w:val="000000"/>
          <w:sz w:val="20"/>
        </w:rPr>
        <w:tab/>
        <w:t xml:space="preserve"> 7</w:t>
      </w:r>
    </w:p>
    <w:p w14:paraId="5907BE9A" w14:textId="77777777" w:rsidR="00345DC1" w:rsidRDefault="00DB08CC">
      <w:pPr>
        <w:tabs>
          <w:tab w:val="right" w:leader="dot" w:pos="9648"/>
        </w:tabs>
        <w:spacing w:before="115" w:line="230" w:lineRule="exact"/>
        <w:jc w:val="both"/>
        <w:textAlignment w:val="baseline"/>
        <w:rPr>
          <w:rFonts w:ascii="Arial" w:eastAsia="Arial" w:hAnsi="Arial"/>
          <w:color w:val="000000"/>
          <w:sz w:val="20"/>
        </w:rPr>
      </w:pPr>
      <w:r>
        <w:rPr>
          <w:rFonts w:ascii="Arial" w:eastAsia="Arial" w:hAnsi="Arial"/>
          <w:color w:val="000000"/>
          <w:sz w:val="20"/>
        </w:rPr>
        <w:t xml:space="preserve">Table 3: BTP Base Cost by </w:t>
      </w:r>
      <w:proofErr w:type="spellStart"/>
      <w:r>
        <w:rPr>
          <w:rFonts w:ascii="Arial" w:eastAsia="Arial" w:hAnsi="Arial"/>
          <w:color w:val="000000"/>
          <w:sz w:val="20"/>
        </w:rPr>
        <w:t>Modernisation</w:t>
      </w:r>
      <w:proofErr w:type="spellEnd"/>
      <w:r>
        <w:rPr>
          <w:rFonts w:ascii="Arial" w:eastAsia="Arial" w:hAnsi="Arial"/>
          <w:color w:val="000000"/>
          <w:sz w:val="20"/>
        </w:rPr>
        <w:t xml:space="preserve"> Type and Irrigation Area</w:t>
      </w:r>
      <w:r>
        <w:rPr>
          <w:rFonts w:ascii="Arial" w:eastAsia="Arial" w:hAnsi="Arial"/>
          <w:color w:val="000000"/>
          <w:sz w:val="20"/>
        </w:rPr>
        <w:tab/>
        <w:t>8</w:t>
      </w:r>
    </w:p>
    <w:p w14:paraId="1927F6A2" w14:textId="77777777" w:rsidR="00345DC1" w:rsidRDefault="00DB08CC">
      <w:pPr>
        <w:tabs>
          <w:tab w:val="right" w:leader="dot" w:pos="9648"/>
        </w:tabs>
        <w:spacing w:before="116" w:line="230" w:lineRule="exact"/>
        <w:jc w:val="both"/>
        <w:textAlignment w:val="baseline"/>
        <w:rPr>
          <w:rFonts w:ascii="Arial" w:eastAsia="Arial" w:hAnsi="Arial"/>
          <w:color w:val="000000"/>
          <w:sz w:val="20"/>
        </w:rPr>
      </w:pPr>
      <w:r>
        <w:rPr>
          <w:rFonts w:ascii="Arial" w:eastAsia="Arial" w:hAnsi="Arial"/>
          <w:color w:val="000000"/>
          <w:sz w:val="20"/>
        </w:rPr>
        <w:t>Table 4: DELWP Estimated BTP project costs</w:t>
      </w:r>
      <w:r>
        <w:rPr>
          <w:rFonts w:ascii="Arial" w:eastAsia="Arial" w:hAnsi="Arial"/>
          <w:color w:val="000000"/>
          <w:sz w:val="20"/>
        </w:rPr>
        <w:tab/>
        <w:t>11</w:t>
      </w:r>
    </w:p>
    <w:p w14:paraId="2D2D72C7" w14:textId="77777777" w:rsidR="00345DC1" w:rsidRDefault="00DB08CC">
      <w:pPr>
        <w:tabs>
          <w:tab w:val="right" w:leader="dot" w:pos="9648"/>
        </w:tabs>
        <w:spacing w:before="116" w:line="230" w:lineRule="exact"/>
        <w:jc w:val="both"/>
        <w:textAlignment w:val="baseline"/>
        <w:rPr>
          <w:rFonts w:ascii="Arial" w:eastAsia="Arial" w:hAnsi="Arial"/>
          <w:color w:val="000000"/>
          <w:sz w:val="20"/>
        </w:rPr>
      </w:pPr>
      <w:r>
        <w:rPr>
          <w:rFonts w:ascii="Arial" w:eastAsia="Arial" w:hAnsi="Arial"/>
          <w:color w:val="000000"/>
          <w:sz w:val="20"/>
        </w:rPr>
        <w:t>Table 5: Overall BTP project costs</w:t>
      </w:r>
      <w:r>
        <w:rPr>
          <w:rFonts w:ascii="Arial" w:eastAsia="Arial" w:hAnsi="Arial"/>
          <w:color w:val="000000"/>
          <w:sz w:val="20"/>
        </w:rPr>
        <w:tab/>
        <w:t xml:space="preserve"> 12</w:t>
      </w:r>
    </w:p>
    <w:p w14:paraId="43991289" w14:textId="77777777" w:rsidR="00345DC1" w:rsidRDefault="00DB08CC">
      <w:pPr>
        <w:tabs>
          <w:tab w:val="right" w:leader="dot" w:pos="9648"/>
        </w:tabs>
        <w:spacing w:before="115" w:line="230" w:lineRule="exact"/>
        <w:jc w:val="both"/>
        <w:textAlignment w:val="baseline"/>
        <w:rPr>
          <w:rFonts w:ascii="Arial" w:eastAsia="Arial" w:hAnsi="Arial"/>
          <w:color w:val="000000"/>
          <w:sz w:val="20"/>
        </w:rPr>
      </w:pPr>
      <w:r>
        <w:rPr>
          <w:rFonts w:ascii="Arial" w:eastAsia="Arial" w:hAnsi="Arial"/>
          <w:color w:val="000000"/>
          <w:sz w:val="20"/>
        </w:rPr>
        <w:t>Table 6: SEP water savings</w:t>
      </w:r>
      <w:r>
        <w:rPr>
          <w:rFonts w:ascii="Arial" w:eastAsia="Arial" w:hAnsi="Arial"/>
          <w:color w:val="000000"/>
          <w:sz w:val="20"/>
        </w:rPr>
        <w:tab/>
        <w:t xml:space="preserve"> 14</w:t>
      </w:r>
    </w:p>
    <w:p w14:paraId="6268EE3B" w14:textId="77777777" w:rsidR="00345DC1" w:rsidRDefault="00DB08CC">
      <w:pPr>
        <w:tabs>
          <w:tab w:val="right" w:leader="dot" w:pos="9648"/>
        </w:tabs>
        <w:spacing w:before="116" w:line="230" w:lineRule="exact"/>
        <w:jc w:val="both"/>
        <w:textAlignment w:val="baseline"/>
        <w:rPr>
          <w:rFonts w:ascii="Arial" w:eastAsia="Arial" w:hAnsi="Arial"/>
          <w:color w:val="000000"/>
          <w:sz w:val="20"/>
        </w:rPr>
      </w:pPr>
      <w:r>
        <w:rPr>
          <w:rFonts w:ascii="Arial" w:eastAsia="Arial" w:hAnsi="Arial"/>
          <w:color w:val="000000"/>
          <w:sz w:val="20"/>
        </w:rPr>
        <w:t>Table 7: SEP forecast base costs</w:t>
      </w:r>
      <w:r>
        <w:rPr>
          <w:rFonts w:ascii="Arial" w:eastAsia="Arial" w:hAnsi="Arial"/>
          <w:color w:val="000000"/>
          <w:sz w:val="20"/>
        </w:rPr>
        <w:tab/>
        <w:t xml:space="preserve"> 15</w:t>
      </w:r>
    </w:p>
    <w:p w14:paraId="6E882CD1" w14:textId="77777777" w:rsidR="00345DC1" w:rsidRDefault="00DB08CC">
      <w:pPr>
        <w:tabs>
          <w:tab w:val="right" w:leader="dot" w:pos="9648"/>
        </w:tabs>
        <w:spacing w:before="115" w:after="11532" w:line="230" w:lineRule="exact"/>
        <w:jc w:val="both"/>
        <w:textAlignment w:val="baseline"/>
        <w:rPr>
          <w:rFonts w:ascii="Arial" w:eastAsia="Arial" w:hAnsi="Arial"/>
          <w:color w:val="000000"/>
          <w:sz w:val="20"/>
        </w:rPr>
      </w:pPr>
      <w:r>
        <w:rPr>
          <w:rFonts w:ascii="Arial" w:eastAsia="Arial" w:hAnsi="Arial"/>
          <w:color w:val="000000"/>
          <w:sz w:val="20"/>
        </w:rPr>
        <w:t>Table 8: SEP summary of costs</w:t>
      </w:r>
      <w:r>
        <w:rPr>
          <w:rFonts w:ascii="Arial" w:eastAsia="Arial" w:hAnsi="Arial"/>
          <w:color w:val="000000"/>
          <w:sz w:val="20"/>
        </w:rPr>
        <w:tab/>
        <w:t xml:space="preserve"> 17</w:t>
      </w:r>
    </w:p>
    <w:p w14:paraId="792C3087" w14:textId="77777777" w:rsidR="00345DC1" w:rsidRDefault="00345DC1">
      <w:pPr>
        <w:spacing w:before="115" w:after="11532" w:line="230" w:lineRule="exact"/>
        <w:sectPr w:rsidR="00345DC1">
          <w:pgSz w:w="11909" w:h="16838"/>
          <w:pgMar w:top="580" w:right="1141" w:bottom="262" w:left="1128" w:header="720" w:footer="720" w:gutter="0"/>
          <w:cols w:space="720"/>
        </w:sectPr>
      </w:pPr>
    </w:p>
    <w:p w14:paraId="2F4EACBF" w14:textId="77777777" w:rsidR="00345DC1" w:rsidRDefault="00DB08CC">
      <w:pPr>
        <w:spacing w:before="1"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7845DF0B" w14:textId="77777777" w:rsidR="00345DC1" w:rsidRDefault="00DB08CC">
      <w:pPr>
        <w:spacing w:line="124" w:lineRule="exact"/>
        <w:ind w:left="72"/>
        <w:textAlignment w:val="baseline"/>
        <w:rPr>
          <w:rFonts w:ascii="Arial" w:eastAsia="Arial" w:hAnsi="Arial"/>
          <w:color w:val="FFFFFF"/>
          <w:spacing w:val="16"/>
          <w:sz w:val="15"/>
          <w:shd w:val="solid" w:color="006391" w:fill="006391"/>
        </w:rPr>
      </w:pPr>
      <w:r>
        <w:rPr>
          <w:rFonts w:ascii="Arial" w:eastAsia="Arial" w:hAnsi="Arial"/>
          <w:color w:val="FFFFFF"/>
          <w:spacing w:val="16"/>
          <w:sz w:val="15"/>
          <w:shd w:val="solid" w:color="006391" w:fill="006391"/>
        </w:rPr>
        <w:t>iii</w:t>
      </w:r>
    </w:p>
    <w:p w14:paraId="2B8AAA06" w14:textId="77777777" w:rsidR="00345DC1" w:rsidRDefault="00DB08CC">
      <w:pPr>
        <w:spacing w:line="139" w:lineRule="exact"/>
        <w:ind w:left="576"/>
        <w:textAlignment w:val="baseline"/>
        <w:rPr>
          <w:rFonts w:ascii="Arial" w:eastAsia="Arial" w:hAnsi="Arial"/>
          <w:color w:val="000000"/>
          <w:spacing w:val="-1"/>
          <w:sz w:val="14"/>
        </w:rPr>
      </w:pPr>
      <w:r>
        <w:rPr>
          <w:rFonts w:ascii="Arial" w:eastAsia="Arial" w:hAnsi="Arial"/>
          <w:color w:val="000000"/>
          <w:spacing w:val="-1"/>
          <w:sz w:val="14"/>
        </w:rPr>
        <w:t>Review of Goulburn Murray Water (GMW) Water</w:t>
      </w:r>
    </w:p>
    <w:p w14:paraId="01A979EE"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5DB75974" w14:textId="77777777" w:rsidR="00345DC1" w:rsidRDefault="00345DC1">
      <w:pPr>
        <w:sectPr w:rsidR="00345DC1">
          <w:type w:val="continuous"/>
          <w:pgSz w:w="11909" w:h="16838"/>
          <w:pgMar w:top="580" w:right="7144" w:bottom="262" w:left="1125" w:header="720" w:footer="720" w:gutter="0"/>
          <w:cols w:space="720"/>
        </w:sectPr>
      </w:pPr>
    </w:p>
    <w:p w14:paraId="5DEFA79C" w14:textId="77777777" w:rsidR="00345DC1" w:rsidRDefault="00DB08CC">
      <w:pPr>
        <w:spacing w:before="7" w:after="229" w:line="552" w:lineRule="exact"/>
        <w:textAlignment w:val="baseline"/>
        <w:rPr>
          <w:rFonts w:ascii="Arial" w:eastAsia="Arial" w:hAnsi="Arial"/>
          <w:b/>
          <w:color w:val="006FC0"/>
          <w:spacing w:val="9"/>
          <w:w w:val="95"/>
          <w:sz w:val="48"/>
        </w:rPr>
      </w:pPr>
      <w:r>
        <w:rPr>
          <w:rFonts w:ascii="Arial" w:eastAsia="Arial" w:hAnsi="Arial"/>
          <w:b/>
          <w:color w:val="006FC0"/>
          <w:spacing w:val="9"/>
          <w:w w:val="95"/>
          <w:sz w:val="48"/>
        </w:rPr>
        <w:lastRenderedPageBreak/>
        <w:t>Glossary</w:t>
      </w:r>
    </w:p>
    <w:tbl>
      <w:tblPr>
        <w:tblW w:w="0" w:type="auto"/>
        <w:tblInd w:w="1" w:type="dxa"/>
        <w:tblLayout w:type="fixed"/>
        <w:tblCellMar>
          <w:left w:w="0" w:type="dxa"/>
          <w:right w:w="0" w:type="dxa"/>
        </w:tblCellMar>
        <w:tblLook w:val="04A0" w:firstRow="1" w:lastRow="0" w:firstColumn="1" w:lastColumn="0" w:noHBand="0" w:noVBand="1"/>
      </w:tblPr>
      <w:tblGrid>
        <w:gridCol w:w="2410"/>
        <w:gridCol w:w="7233"/>
      </w:tblGrid>
      <w:tr w:rsidR="00345DC1" w14:paraId="641C0F02" w14:textId="77777777">
        <w:tblPrEx>
          <w:tblCellMar>
            <w:top w:w="0" w:type="dxa"/>
            <w:bottom w:w="0" w:type="dxa"/>
          </w:tblCellMar>
        </w:tblPrEx>
        <w:trPr>
          <w:trHeight w:hRule="exact" w:val="826"/>
        </w:trPr>
        <w:tc>
          <w:tcPr>
            <w:tcW w:w="2410" w:type="dxa"/>
            <w:tcBorders>
              <w:top w:val="single" w:sz="5" w:space="0" w:color="000000"/>
              <w:left w:val="single" w:sz="5" w:space="0" w:color="000000"/>
              <w:bottom w:val="single" w:sz="5" w:space="0" w:color="000000"/>
              <w:right w:val="single" w:sz="5" w:space="0" w:color="000000"/>
            </w:tcBorders>
          </w:tcPr>
          <w:p w14:paraId="4DFDE343" w14:textId="77777777" w:rsidR="00345DC1" w:rsidRDefault="00DB08CC">
            <w:pPr>
              <w:spacing w:after="573" w:line="230" w:lineRule="exact"/>
              <w:ind w:left="110"/>
              <w:textAlignment w:val="baseline"/>
              <w:rPr>
                <w:rFonts w:ascii="Arial" w:eastAsia="Arial" w:hAnsi="Arial"/>
                <w:color w:val="000000"/>
                <w:sz w:val="20"/>
              </w:rPr>
            </w:pPr>
            <w:r>
              <w:rPr>
                <w:rFonts w:ascii="Arial" w:eastAsia="Arial" w:hAnsi="Arial"/>
                <w:color w:val="000000"/>
                <w:sz w:val="20"/>
              </w:rPr>
              <w:t>Affordability</w:t>
            </w:r>
          </w:p>
        </w:tc>
        <w:tc>
          <w:tcPr>
            <w:tcW w:w="7233" w:type="dxa"/>
            <w:tcBorders>
              <w:top w:val="single" w:sz="5" w:space="0" w:color="000000"/>
              <w:left w:val="single" w:sz="5" w:space="0" w:color="000000"/>
              <w:bottom w:val="single" w:sz="5" w:space="0" w:color="000000"/>
              <w:right w:val="single" w:sz="5" w:space="0" w:color="000000"/>
            </w:tcBorders>
          </w:tcPr>
          <w:p w14:paraId="20046825" w14:textId="77777777" w:rsidR="00345DC1" w:rsidRDefault="00DB08CC">
            <w:pPr>
              <w:spacing w:after="228" w:line="298" w:lineRule="exact"/>
              <w:ind w:left="72" w:right="108"/>
              <w:jc w:val="both"/>
              <w:textAlignment w:val="baseline"/>
              <w:rPr>
                <w:rFonts w:ascii="Arial" w:eastAsia="Arial" w:hAnsi="Arial"/>
                <w:color w:val="000000"/>
                <w:sz w:val="20"/>
              </w:rPr>
            </w:pPr>
            <w:r>
              <w:rPr>
                <w:rFonts w:ascii="Arial" w:eastAsia="Arial" w:hAnsi="Arial"/>
                <w:color w:val="000000"/>
                <w:sz w:val="20"/>
              </w:rPr>
              <w:t>An assessment of whether proposals can be paid for in terms of resources, cash-</w:t>
            </w:r>
            <w:proofErr w:type="gramStart"/>
            <w:r>
              <w:rPr>
                <w:rFonts w:ascii="Arial" w:eastAsia="Arial" w:hAnsi="Arial"/>
                <w:color w:val="000000"/>
                <w:sz w:val="20"/>
              </w:rPr>
              <w:t>flows</w:t>
            </w:r>
            <w:proofErr w:type="gramEnd"/>
            <w:r>
              <w:rPr>
                <w:rFonts w:ascii="Arial" w:eastAsia="Arial" w:hAnsi="Arial"/>
                <w:color w:val="000000"/>
                <w:sz w:val="20"/>
              </w:rPr>
              <w:t xml:space="preserve"> and funding.</w:t>
            </w:r>
          </w:p>
        </w:tc>
      </w:tr>
      <w:tr w:rsidR="00345DC1" w14:paraId="4C03CC17" w14:textId="77777777">
        <w:tblPrEx>
          <w:tblCellMar>
            <w:top w:w="0" w:type="dxa"/>
            <w:bottom w:w="0" w:type="dxa"/>
          </w:tblCellMar>
        </w:tblPrEx>
        <w:trPr>
          <w:trHeight w:hRule="exact" w:val="475"/>
        </w:trPr>
        <w:tc>
          <w:tcPr>
            <w:tcW w:w="2410" w:type="dxa"/>
            <w:tcBorders>
              <w:top w:val="single" w:sz="5" w:space="0" w:color="000000"/>
              <w:left w:val="single" w:sz="5" w:space="0" w:color="000000"/>
              <w:bottom w:val="single" w:sz="5" w:space="0" w:color="000000"/>
              <w:right w:val="single" w:sz="5" w:space="0" w:color="000000"/>
            </w:tcBorders>
          </w:tcPr>
          <w:p w14:paraId="2378A914" w14:textId="77777777" w:rsidR="00345DC1" w:rsidRDefault="00DB08CC">
            <w:pPr>
              <w:spacing w:after="232" w:line="230" w:lineRule="exact"/>
              <w:ind w:left="110"/>
              <w:textAlignment w:val="baseline"/>
              <w:rPr>
                <w:rFonts w:ascii="Arial" w:eastAsia="Arial" w:hAnsi="Arial"/>
                <w:color w:val="000000"/>
                <w:sz w:val="20"/>
              </w:rPr>
            </w:pPr>
            <w:r>
              <w:rPr>
                <w:rFonts w:ascii="Arial" w:eastAsia="Arial" w:hAnsi="Arial"/>
                <w:color w:val="000000"/>
                <w:sz w:val="20"/>
              </w:rPr>
              <w:t>BTP</w:t>
            </w:r>
          </w:p>
        </w:tc>
        <w:tc>
          <w:tcPr>
            <w:tcW w:w="7233" w:type="dxa"/>
            <w:tcBorders>
              <w:top w:val="single" w:sz="5" w:space="0" w:color="000000"/>
              <w:left w:val="single" w:sz="5" w:space="0" w:color="000000"/>
              <w:bottom w:val="single" w:sz="5" w:space="0" w:color="000000"/>
              <w:right w:val="single" w:sz="5" w:space="0" w:color="000000"/>
            </w:tcBorders>
          </w:tcPr>
          <w:p w14:paraId="66FB2693" w14:textId="77777777" w:rsidR="00345DC1" w:rsidRDefault="00DB08CC">
            <w:pPr>
              <w:spacing w:after="232" w:line="230" w:lineRule="exact"/>
              <w:ind w:left="100"/>
              <w:textAlignment w:val="baseline"/>
              <w:rPr>
                <w:rFonts w:ascii="Arial" w:eastAsia="Arial" w:hAnsi="Arial"/>
                <w:color w:val="000000"/>
                <w:sz w:val="20"/>
              </w:rPr>
            </w:pPr>
            <w:r>
              <w:rPr>
                <w:rFonts w:ascii="Arial" w:eastAsia="Arial" w:hAnsi="Arial"/>
                <w:color w:val="000000"/>
                <w:sz w:val="20"/>
              </w:rPr>
              <w:t>Backbone Transformation Project</w:t>
            </w:r>
          </w:p>
        </w:tc>
      </w:tr>
      <w:tr w:rsidR="00345DC1" w14:paraId="0106B5E1" w14:textId="77777777">
        <w:tblPrEx>
          <w:tblCellMar>
            <w:top w:w="0" w:type="dxa"/>
            <w:bottom w:w="0" w:type="dxa"/>
          </w:tblCellMar>
        </w:tblPrEx>
        <w:trPr>
          <w:trHeight w:hRule="exact" w:val="1166"/>
        </w:trPr>
        <w:tc>
          <w:tcPr>
            <w:tcW w:w="2410" w:type="dxa"/>
            <w:tcBorders>
              <w:top w:val="single" w:sz="5" w:space="0" w:color="000000"/>
              <w:left w:val="single" w:sz="5" w:space="0" w:color="000000"/>
              <w:bottom w:val="single" w:sz="5" w:space="0" w:color="000000"/>
              <w:right w:val="single" w:sz="5" w:space="0" w:color="000000"/>
            </w:tcBorders>
          </w:tcPr>
          <w:p w14:paraId="48B95D68" w14:textId="77777777" w:rsidR="00345DC1" w:rsidRDefault="00DB08CC">
            <w:pPr>
              <w:spacing w:after="909" w:line="230" w:lineRule="exact"/>
              <w:ind w:left="110"/>
              <w:textAlignment w:val="baseline"/>
              <w:rPr>
                <w:rFonts w:ascii="Arial" w:eastAsia="Arial" w:hAnsi="Arial"/>
                <w:color w:val="000000"/>
                <w:sz w:val="20"/>
              </w:rPr>
            </w:pPr>
            <w:r>
              <w:rPr>
                <w:rFonts w:ascii="Arial" w:eastAsia="Arial" w:hAnsi="Arial"/>
                <w:color w:val="000000"/>
                <w:sz w:val="20"/>
              </w:rPr>
              <w:t>Base Case</w:t>
            </w:r>
          </w:p>
        </w:tc>
        <w:tc>
          <w:tcPr>
            <w:tcW w:w="7233" w:type="dxa"/>
            <w:tcBorders>
              <w:top w:val="single" w:sz="5" w:space="0" w:color="000000"/>
              <w:left w:val="single" w:sz="5" w:space="0" w:color="000000"/>
              <w:bottom w:val="single" w:sz="5" w:space="0" w:color="000000"/>
              <w:right w:val="single" w:sz="5" w:space="0" w:color="000000"/>
            </w:tcBorders>
          </w:tcPr>
          <w:p w14:paraId="0A412A76" w14:textId="77777777" w:rsidR="00345DC1" w:rsidRDefault="00DB08CC">
            <w:pPr>
              <w:spacing w:after="218" w:line="311" w:lineRule="exact"/>
              <w:ind w:left="108" w:right="108"/>
              <w:jc w:val="both"/>
              <w:textAlignment w:val="baseline"/>
              <w:rPr>
                <w:rFonts w:ascii="Arial" w:eastAsia="Arial" w:hAnsi="Arial"/>
                <w:color w:val="000000"/>
                <w:sz w:val="20"/>
              </w:rPr>
            </w:pPr>
            <w:r>
              <w:rPr>
                <w:rFonts w:ascii="Arial" w:eastAsia="Arial" w:hAnsi="Arial"/>
                <w:color w:val="000000"/>
                <w:sz w:val="20"/>
              </w:rPr>
              <w:t>The financial description of the project in terms of costs, revenues, and resulting conclusions. It combines the sensitivity variables to consider the most likely scenario</w:t>
            </w:r>
          </w:p>
        </w:tc>
      </w:tr>
      <w:tr w:rsidR="00345DC1" w14:paraId="23FC8C62" w14:textId="77777777">
        <w:tblPrEx>
          <w:tblCellMar>
            <w:top w:w="0" w:type="dxa"/>
            <w:bottom w:w="0" w:type="dxa"/>
          </w:tblCellMar>
        </w:tblPrEx>
        <w:trPr>
          <w:trHeight w:hRule="exact" w:val="1507"/>
        </w:trPr>
        <w:tc>
          <w:tcPr>
            <w:tcW w:w="2410" w:type="dxa"/>
            <w:tcBorders>
              <w:top w:val="single" w:sz="5" w:space="0" w:color="000000"/>
              <w:left w:val="single" w:sz="5" w:space="0" w:color="000000"/>
              <w:bottom w:val="single" w:sz="5" w:space="0" w:color="000000"/>
              <w:right w:val="single" w:sz="5" w:space="0" w:color="000000"/>
            </w:tcBorders>
          </w:tcPr>
          <w:p w14:paraId="797C3760" w14:textId="77777777" w:rsidR="00345DC1" w:rsidRDefault="00DB08CC">
            <w:pPr>
              <w:spacing w:after="1255" w:line="230" w:lineRule="exact"/>
              <w:ind w:left="110"/>
              <w:textAlignment w:val="baseline"/>
              <w:rPr>
                <w:rFonts w:ascii="Arial" w:eastAsia="Arial" w:hAnsi="Arial"/>
                <w:color w:val="000000"/>
                <w:sz w:val="20"/>
              </w:rPr>
            </w:pPr>
            <w:r>
              <w:rPr>
                <w:rFonts w:ascii="Arial" w:eastAsia="Arial" w:hAnsi="Arial"/>
                <w:color w:val="000000"/>
                <w:sz w:val="20"/>
              </w:rPr>
              <w:t>Benchmarking</w:t>
            </w:r>
          </w:p>
        </w:tc>
        <w:tc>
          <w:tcPr>
            <w:tcW w:w="7233" w:type="dxa"/>
            <w:tcBorders>
              <w:top w:val="single" w:sz="5" w:space="0" w:color="000000"/>
              <w:left w:val="single" w:sz="5" w:space="0" w:color="000000"/>
              <w:bottom w:val="single" w:sz="5" w:space="0" w:color="000000"/>
              <w:right w:val="single" w:sz="5" w:space="0" w:color="000000"/>
            </w:tcBorders>
          </w:tcPr>
          <w:p w14:paraId="2D655863" w14:textId="77777777" w:rsidR="00345DC1" w:rsidRDefault="00DB08CC">
            <w:pPr>
              <w:spacing w:after="218" w:line="319"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A comparison of cost of an item or service against the market price for that item or service. Benchmarking is an alternative for “value testing”, the objective of which is to test the actual level of costs of the soft services against the market; this is t</w:t>
            </w:r>
            <w:r>
              <w:rPr>
                <w:rFonts w:ascii="Arial" w:eastAsia="Arial" w:hAnsi="Arial"/>
                <w:color w:val="000000"/>
                <w:spacing w:val="-1"/>
                <w:sz w:val="20"/>
              </w:rPr>
              <w:t>he other most common alternative to market testing</w:t>
            </w:r>
          </w:p>
        </w:tc>
      </w:tr>
      <w:tr w:rsidR="00345DC1" w14:paraId="2CE4C86A" w14:textId="77777777">
        <w:tblPrEx>
          <w:tblCellMar>
            <w:top w:w="0" w:type="dxa"/>
            <w:bottom w:w="0" w:type="dxa"/>
          </w:tblCellMar>
        </w:tblPrEx>
        <w:trPr>
          <w:trHeight w:hRule="exact" w:val="821"/>
        </w:trPr>
        <w:tc>
          <w:tcPr>
            <w:tcW w:w="2410" w:type="dxa"/>
            <w:tcBorders>
              <w:top w:val="single" w:sz="5" w:space="0" w:color="000000"/>
              <w:left w:val="single" w:sz="5" w:space="0" w:color="000000"/>
              <w:bottom w:val="single" w:sz="5" w:space="0" w:color="000000"/>
              <w:right w:val="single" w:sz="5" w:space="0" w:color="000000"/>
            </w:tcBorders>
          </w:tcPr>
          <w:p w14:paraId="2AA24AD8" w14:textId="77777777" w:rsidR="00345DC1" w:rsidRDefault="00DB08CC">
            <w:pPr>
              <w:spacing w:after="569" w:line="230" w:lineRule="exact"/>
              <w:ind w:left="110"/>
              <w:textAlignment w:val="baseline"/>
              <w:rPr>
                <w:rFonts w:ascii="Arial" w:eastAsia="Arial" w:hAnsi="Arial"/>
                <w:color w:val="000000"/>
                <w:sz w:val="20"/>
              </w:rPr>
            </w:pPr>
            <w:r>
              <w:rPr>
                <w:rFonts w:ascii="Arial" w:eastAsia="Arial" w:hAnsi="Arial"/>
                <w:color w:val="000000"/>
                <w:sz w:val="20"/>
              </w:rPr>
              <w:t>Benefit</w:t>
            </w:r>
          </w:p>
        </w:tc>
        <w:tc>
          <w:tcPr>
            <w:tcW w:w="7233" w:type="dxa"/>
            <w:tcBorders>
              <w:top w:val="single" w:sz="5" w:space="0" w:color="000000"/>
              <w:left w:val="single" w:sz="5" w:space="0" w:color="000000"/>
              <w:bottom w:val="single" w:sz="5" w:space="0" w:color="000000"/>
              <w:right w:val="single" w:sz="5" w:space="0" w:color="000000"/>
            </w:tcBorders>
          </w:tcPr>
          <w:p w14:paraId="2F1DFFA2" w14:textId="77777777" w:rsidR="00345DC1" w:rsidRDefault="00DB08CC">
            <w:pPr>
              <w:spacing w:after="223" w:line="294" w:lineRule="exact"/>
              <w:ind w:left="108" w:right="720"/>
              <w:textAlignment w:val="baseline"/>
              <w:rPr>
                <w:rFonts w:ascii="Arial" w:eastAsia="Arial" w:hAnsi="Arial"/>
                <w:color w:val="000000"/>
                <w:sz w:val="20"/>
              </w:rPr>
            </w:pPr>
            <w:r>
              <w:rPr>
                <w:rFonts w:ascii="Arial" w:eastAsia="Arial" w:hAnsi="Arial"/>
                <w:color w:val="000000"/>
                <w:sz w:val="20"/>
              </w:rPr>
              <w:t xml:space="preserve">Benefit is the </w:t>
            </w:r>
            <w:proofErr w:type="spellStart"/>
            <w:r>
              <w:rPr>
                <w:rFonts w:ascii="Arial" w:eastAsia="Arial" w:hAnsi="Arial"/>
                <w:color w:val="000000"/>
                <w:sz w:val="20"/>
              </w:rPr>
              <w:t>measureable</w:t>
            </w:r>
            <w:proofErr w:type="spellEnd"/>
            <w:r>
              <w:rPr>
                <w:rFonts w:ascii="Arial" w:eastAsia="Arial" w:hAnsi="Arial"/>
                <w:color w:val="000000"/>
                <w:sz w:val="20"/>
              </w:rPr>
              <w:t xml:space="preserve"> improvement that results from an</w:t>
            </w:r>
            <w:hyperlink r:id="rId7" w:anchor="Outcomes">
              <w:r>
                <w:rPr>
                  <w:rFonts w:ascii="Arial" w:eastAsia="Arial" w:hAnsi="Arial"/>
                  <w:color w:val="0000FF"/>
                  <w:sz w:val="20"/>
                  <w:u w:val="single"/>
                </w:rPr>
                <w:t xml:space="preserve"> outcome.</w:t>
              </w:r>
            </w:hyperlink>
            <w:r>
              <w:rPr>
                <w:rFonts w:ascii="Arial" w:eastAsia="Arial" w:hAnsi="Arial"/>
                <w:color w:val="000000"/>
                <w:sz w:val="20"/>
              </w:rPr>
              <w:t xml:space="preserve"> It answers the question: ‘what value is derived from this outcome</w:t>
            </w:r>
          </w:p>
        </w:tc>
      </w:tr>
      <w:tr w:rsidR="00345DC1" w14:paraId="563212D5" w14:textId="77777777">
        <w:tblPrEx>
          <w:tblCellMar>
            <w:top w:w="0" w:type="dxa"/>
            <w:bottom w:w="0" w:type="dxa"/>
          </w:tblCellMar>
        </w:tblPrEx>
        <w:trPr>
          <w:trHeight w:hRule="exact" w:val="941"/>
        </w:trPr>
        <w:tc>
          <w:tcPr>
            <w:tcW w:w="2410" w:type="dxa"/>
            <w:tcBorders>
              <w:top w:val="single" w:sz="5" w:space="0" w:color="000000"/>
              <w:left w:val="single" w:sz="5" w:space="0" w:color="000000"/>
              <w:bottom w:val="single" w:sz="5" w:space="0" w:color="000000"/>
              <w:right w:val="single" w:sz="5" w:space="0" w:color="000000"/>
            </w:tcBorders>
          </w:tcPr>
          <w:p w14:paraId="5FE946D3" w14:textId="77777777" w:rsidR="00345DC1" w:rsidRDefault="00DB08CC">
            <w:pPr>
              <w:spacing w:after="699" w:line="230" w:lineRule="exact"/>
              <w:ind w:left="110"/>
              <w:textAlignment w:val="baseline"/>
              <w:rPr>
                <w:rFonts w:ascii="Arial" w:eastAsia="Arial" w:hAnsi="Arial"/>
                <w:color w:val="000000"/>
                <w:sz w:val="20"/>
              </w:rPr>
            </w:pPr>
            <w:r>
              <w:rPr>
                <w:rFonts w:ascii="Arial" w:eastAsia="Arial" w:hAnsi="Arial"/>
                <w:color w:val="000000"/>
                <w:sz w:val="20"/>
              </w:rPr>
              <w:t>Business Case</w:t>
            </w:r>
          </w:p>
        </w:tc>
        <w:tc>
          <w:tcPr>
            <w:tcW w:w="7233" w:type="dxa"/>
            <w:tcBorders>
              <w:top w:val="single" w:sz="5" w:space="0" w:color="000000"/>
              <w:left w:val="single" w:sz="5" w:space="0" w:color="000000"/>
              <w:bottom w:val="single" w:sz="5" w:space="0" w:color="000000"/>
              <w:right w:val="single" w:sz="5" w:space="0" w:color="000000"/>
            </w:tcBorders>
          </w:tcPr>
          <w:p w14:paraId="134EEEF6" w14:textId="77777777" w:rsidR="00345DC1" w:rsidRDefault="00DB08CC">
            <w:pPr>
              <w:spacing w:after="699" w:line="230" w:lineRule="exact"/>
              <w:ind w:left="100"/>
              <w:textAlignment w:val="baseline"/>
              <w:rPr>
                <w:rFonts w:ascii="Arial" w:eastAsia="Arial" w:hAnsi="Arial"/>
                <w:color w:val="000000"/>
                <w:sz w:val="20"/>
              </w:rPr>
            </w:pPr>
            <w:r>
              <w:rPr>
                <w:rFonts w:ascii="Arial" w:eastAsia="Arial" w:hAnsi="Arial"/>
                <w:color w:val="000000"/>
                <w:sz w:val="20"/>
              </w:rPr>
              <w:t>The document that articulates the rationale for undertaking an investment.</w:t>
            </w:r>
          </w:p>
        </w:tc>
      </w:tr>
      <w:tr w:rsidR="00345DC1" w14:paraId="6E3A3E42" w14:textId="77777777">
        <w:tblPrEx>
          <w:tblCellMar>
            <w:top w:w="0" w:type="dxa"/>
            <w:bottom w:w="0" w:type="dxa"/>
          </w:tblCellMar>
        </w:tblPrEx>
        <w:trPr>
          <w:trHeight w:hRule="exact" w:val="1166"/>
        </w:trPr>
        <w:tc>
          <w:tcPr>
            <w:tcW w:w="2410" w:type="dxa"/>
            <w:tcBorders>
              <w:top w:val="single" w:sz="5" w:space="0" w:color="000000"/>
              <w:left w:val="single" w:sz="5" w:space="0" w:color="000000"/>
              <w:bottom w:val="single" w:sz="5" w:space="0" w:color="000000"/>
              <w:right w:val="single" w:sz="5" w:space="0" w:color="000000"/>
            </w:tcBorders>
          </w:tcPr>
          <w:p w14:paraId="5A094972" w14:textId="77777777" w:rsidR="00345DC1" w:rsidRDefault="00DB08CC">
            <w:pPr>
              <w:spacing w:after="910" w:line="230" w:lineRule="exact"/>
              <w:ind w:left="110"/>
              <w:textAlignment w:val="baseline"/>
              <w:rPr>
                <w:rFonts w:ascii="Arial" w:eastAsia="Arial" w:hAnsi="Arial"/>
                <w:color w:val="000000"/>
                <w:sz w:val="20"/>
              </w:rPr>
            </w:pPr>
            <w:r>
              <w:rPr>
                <w:rFonts w:ascii="Arial" w:eastAsia="Arial" w:hAnsi="Arial"/>
                <w:color w:val="000000"/>
                <w:sz w:val="20"/>
              </w:rPr>
              <w:t>Capital expenditure</w:t>
            </w:r>
          </w:p>
        </w:tc>
        <w:tc>
          <w:tcPr>
            <w:tcW w:w="7233" w:type="dxa"/>
            <w:tcBorders>
              <w:top w:val="single" w:sz="5" w:space="0" w:color="000000"/>
              <w:left w:val="single" w:sz="5" w:space="0" w:color="000000"/>
              <w:bottom w:val="single" w:sz="5" w:space="0" w:color="000000"/>
              <w:right w:val="single" w:sz="5" w:space="0" w:color="000000"/>
            </w:tcBorders>
          </w:tcPr>
          <w:p w14:paraId="315392FA" w14:textId="77777777" w:rsidR="00345DC1" w:rsidRDefault="00DB08CC">
            <w:pPr>
              <w:spacing w:after="219" w:line="311" w:lineRule="exact"/>
              <w:ind w:left="108" w:right="108"/>
              <w:jc w:val="both"/>
              <w:textAlignment w:val="baseline"/>
              <w:rPr>
                <w:rFonts w:ascii="Arial" w:eastAsia="Arial" w:hAnsi="Arial"/>
                <w:color w:val="000000"/>
                <w:sz w:val="20"/>
              </w:rPr>
            </w:pPr>
            <w:r>
              <w:rPr>
                <w:rFonts w:ascii="Arial" w:eastAsia="Arial" w:hAnsi="Arial"/>
                <w:color w:val="000000"/>
                <w:sz w:val="20"/>
              </w:rPr>
              <w:t>Capital expenditure (Capex): The initial construction costs of the infrastructure plus any expenditure on the constructed PPP assets that is not a</w:t>
            </w:r>
            <w:r>
              <w:rPr>
                <w:rFonts w:ascii="Arial" w:eastAsia="Arial" w:hAnsi="Arial"/>
                <w:color w:val="000000"/>
                <w:sz w:val="20"/>
              </w:rPr>
              <w:t>n operating expense (</w:t>
            </w:r>
            <w:proofErr w:type="spellStart"/>
            <w:r>
              <w:rPr>
                <w:rFonts w:ascii="Arial" w:eastAsia="Arial" w:hAnsi="Arial"/>
                <w:color w:val="000000"/>
                <w:sz w:val="20"/>
              </w:rPr>
              <w:t>Opex</w:t>
            </w:r>
            <w:proofErr w:type="spellEnd"/>
            <w:r>
              <w:rPr>
                <w:rFonts w:ascii="Arial" w:eastAsia="Arial" w:hAnsi="Arial"/>
                <w:color w:val="000000"/>
                <w:sz w:val="20"/>
              </w:rPr>
              <w:t>).</w:t>
            </w:r>
          </w:p>
        </w:tc>
      </w:tr>
      <w:tr w:rsidR="00345DC1" w14:paraId="57782BEC" w14:textId="77777777">
        <w:tblPrEx>
          <w:tblCellMar>
            <w:top w:w="0" w:type="dxa"/>
            <w:bottom w:w="0" w:type="dxa"/>
          </w:tblCellMar>
        </w:tblPrEx>
        <w:trPr>
          <w:trHeight w:hRule="exact" w:val="821"/>
        </w:trPr>
        <w:tc>
          <w:tcPr>
            <w:tcW w:w="2410" w:type="dxa"/>
            <w:tcBorders>
              <w:top w:val="single" w:sz="5" w:space="0" w:color="000000"/>
              <w:left w:val="single" w:sz="5" w:space="0" w:color="000000"/>
              <w:bottom w:val="single" w:sz="5" w:space="0" w:color="000000"/>
              <w:right w:val="single" w:sz="5" w:space="0" w:color="000000"/>
            </w:tcBorders>
          </w:tcPr>
          <w:p w14:paraId="4B736815" w14:textId="77777777" w:rsidR="00345DC1" w:rsidRDefault="00DB08CC">
            <w:pPr>
              <w:spacing w:after="564" w:line="230" w:lineRule="exact"/>
              <w:ind w:left="110"/>
              <w:textAlignment w:val="baseline"/>
              <w:rPr>
                <w:rFonts w:ascii="Arial" w:eastAsia="Arial" w:hAnsi="Arial"/>
                <w:color w:val="000000"/>
                <w:sz w:val="20"/>
              </w:rPr>
            </w:pPr>
            <w:r>
              <w:rPr>
                <w:rFonts w:ascii="Arial" w:eastAsia="Arial" w:hAnsi="Arial"/>
                <w:color w:val="000000"/>
                <w:sz w:val="20"/>
              </w:rPr>
              <w:t>Construction risk</w:t>
            </w:r>
          </w:p>
        </w:tc>
        <w:tc>
          <w:tcPr>
            <w:tcW w:w="7233" w:type="dxa"/>
            <w:tcBorders>
              <w:top w:val="single" w:sz="5" w:space="0" w:color="000000"/>
              <w:left w:val="single" w:sz="5" w:space="0" w:color="000000"/>
              <w:bottom w:val="single" w:sz="5" w:space="0" w:color="000000"/>
              <w:right w:val="single" w:sz="5" w:space="0" w:color="000000"/>
            </w:tcBorders>
          </w:tcPr>
          <w:p w14:paraId="256CBC15" w14:textId="77777777" w:rsidR="00345DC1" w:rsidRDefault="00DB08CC">
            <w:pPr>
              <w:spacing w:after="218" w:line="294" w:lineRule="exact"/>
              <w:ind w:left="108" w:right="108"/>
              <w:jc w:val="both"/>
              <w:textAlignment w:val="baseline"/>
              <w:rPr>
                <w:rFonts w:ascii="Arial" w:eastAsia="Arial" w:hAnsi="Arial"/>
                <w:color w:val="000000"/>
                <w:sz w:val="20"/>
              </w:rPr>
            </w:pPr>
            <w:r>
              <w:rPr>
                <w:rFonts w:ascii="Arial" w:eastAsia="Arial" w:hAnsi="Arial"/>
                <w:color w:val="000000"/>
                <w:sz w:val="20"/>
              </w:rPr>
              <w:t>The possibility that during the Design and Construction Phase the actual project costs or construction time will exceed those projected</w:t>
            </w:r>
          </w:p>
        </w:tc>
      </w:tr>
      <w:tr w:rsidR="00345DC1" w14:paraId="6DE48F94" w14:textId="77777777">
        <w:tblPrEx>
          <w:tblCellMar>
            <w:top w:w="0" w:type="dxa"/>
            <w:bottom w:w="0" w:type="dxa"/>
          </w:tblCellMar>
        </w:tblPrEx>
        <w:trPr>
          <w:trHeight w:hRule="exact" w:val="1162"/>
        </w:trPr>
        <w:tc>
          <w:tcPr>
            <w:tcW w:w="2410" w:type="dxa"/>
            <w:tcBorders>
              <w:top w:val="single" w:sz="5" w:space="0" w:color="000000"/>
              <w:left w:val="single" w:sz="5" w:space="0" w:color="000000"/>
              <w:bottom w:val="single" w:sz="5" w:space="0" w:color="000000"/>
              <w:right w:val="single" w:sz="5" w:space="0" w:color="000000"/>
            </w:tcBorders>
          </w:tcPr>
          <w:p w14:paraId="3839E2B6" w14:textId="77777777" w:rsidR="00345DC1" w:rsidRDefault="00DB08CC">
            <w:pPr>
              <w:spacing w:after="910" w:line="230" w:lineRule="exact"/>
              <w:ind w:left="110"/>
              <w:textAlignment w:val="baseline"/>
              <w:rPr>
                <w:rFonts w:ascii="Arial" w:eastAsia="Arial" w:hAnsi="Arial"/>
                <w:color w:val="000000"/>
                <w:sz w:val="20"/>
              </w:rPr>
            </w:pPr>
            <w:r>
              <w:rPr>
                <w:rFonts w:ascii="Arial" w:eastAsia="Arial" w:hAnsi="Arial"/>
                <w:color w:val="000000"/>
                <w:sz w:val="20"/>
              </w:rPr>
              <w:t>Contingency</w:t>
            </w:r>
          </w:p>
        </w:tc>
        <w:tc>
          <w:tcPr>
            <w:tcW w:w="7233" w:type="dxa"/>
            <w:tcBorders>
              <w:top w:val="single" w:sz="5" w:space="0" w:color="000000"/>
              <w:left w:val="single" w:sz="5" w:space="0" w:color="000000"/>
              <w:bottom w:val="single" w:sz="5" w:space="0" w:color="000000"/>
              <w:right w:val="single" w:sz="5" w:space="0" w:color="000000"/>
            </w:tcBorders>
          </w:tcPr>
          <w:p w14:paraId="1FBB4220" w14:textId="77777777" w:rsidR="00345DC1" w:rsidRDefault="00DB08CC">
            <w:pPr>
              <w:spacing w:after="219" w:line="311" w:lineRule="exact"/>
              <w:ind w:left="108" w:right="108"/>
              <w:jc w:val="both"/>
              <w:textAlignment w:val="baseline"/>
              <w:rPr>
                <w:rFonts w:ascii="Arial" w:eastAsia="Arial" w:hAnsi="Arial"/>
                <w:color w:val="000000"/>
                <w:sz w:val="20"/>
              </w:rPr>
            </w:pPr>
            <w:r>
              <w:rPr>
                <w:rFonts w:ascii="Arial" w:eastAsia="Arial" w:hAnsi="Arial"/>
                <w:color w:val="000000"/>
                <w:sz w:val="20"/>
              </w:rPr>
              <w:t>Unallocated reserve in the capital expenditure (Capex) budget to cover the cost of any unexpected, but required, capital expenditure. It is covered by contingent or standby funding.</w:t>
            </w:r>
          </w:p>
        </w:tc>
      </w:tr>
      <w:tr w:rsidR="00345DC1" w14:paraId="6021A5C1" w14:textId="77777777">
        <w:tblPrEx>
          <w:tblCellMar>
            <w:top w:w="0" w:type="dxa"/>
            <w:bottom w:w="0" w:type="dxa"/>
          </w:tblCellMar>
        </w:tblPrEx>
        <w:trPr>
          <w:trHeight w:hRule="exact" w:val="1512"/>
        </w:trPr>
        <w:tc>
          <w:tcPr>
            <w:tcW w:w="2410" w:type="dxa"/>
            <w:tcBorders>
              <w:top w:val="single" w:sz="5" w:space="0" w:color="000000"/>
              <w:left w:val="single" w:sz="5" w:space="0" w:color="000000"/>
              <w:bottom w:val="single" w:sz="5" w:space="0" w:color="000000"/>
              <w:right w:val="single" w:sz="5" w:space="0" w:color="000000"/>
            </w:tcBorders>
          </w:tcPr>
          <w:p w14:paraId="74650551" w14:textId="77777777" w:rsidR="00345DC1" w:rsidRDefault="00DB08CC">
            <w:pPr>
              <w:spacing w:after="1255" w:line="230" w:lineRule="exact"/>
              <w:ind w:left="110"/>
              <w:textAlignment w:val="baseline"/>
              <w:rPr>
                <w:rFonts w:ascii="Arial" w:eastAsia="Arial" w:hAnsi="Arial"/>
                <w:color w:val="000000"/>
                <w:sz w:val="20"/>
              </w:rPr>
            </w:pPr>
            <w:r>
              <w:rPr>
                <w:rFonts w:ascii="Arial" w:eastAsia="Arial" w:hAnsi="Arial"/>
                <w:color w:val="000000"/>
                <w:sz w:val="20"/>
              </w:rPr>
              <w:t>Cost-Benefit Analysis</w:t>
            </w:r>
          </w:p>
        </w:tc>
        <w:tc>
          <w:tcPr>
            <w:tcW w:w="7233" w:type="dxa"/>
            <w:tcBorders>
              <w:top w:val="single" w:sz="5" w:space="0" w:color="000000"/>
              <w:left w:val="single" w:sz="5" w:space="0" w:color="000000"/>
              <w:bottom w:val="single" w:sz="5" w:space="0" w:color="000000"/>
              <w:right w:val="single" w:sz="5" w:space="0" w:color="000000"/>
            </w:tcBorders>
          </w:tcPr>
          <w:p w14:paraId="6289EBA3" w14:textId="77777777" w:rsidR="00345DC1" w:rsidRDefault="00DB08CC">
            <w:pPr>
              <w:spacing w:after="223" w:line="319" w:lineRule="exact"/>
              <w:ind w:left="108" w:right="108"/>
              <w:jc w:val="both"/>
              <w:textAlignment w:val="baseline"/>
              <w:rPr>
                <w:rFonts w:ascii="Arial" w:eastAsia="Arial" w:hAnsi="Arial"/>
                <w:color w:val="000000"/>
                <w:spacing w:val="-4"/>
                <w:sz w:val="20"/>
              </w:rPr>
            </w:pPr>
            <w:r>
              <w:rPr>
                <w:rFonts w:ascii="Arial" w:eastAsia="Arial" w:hAnsi="Arial"/>
                <w:color w:val="000000"/>
                <w:spacing w:val="-4"/>
                <w:sz w:val="20"/>
              </w:rPr>
              <w:t>A type of analysis used to compare two or more opti</w:t>
            </w:r>
            <w:r>
              <w:rPr>
                <w:rFonts w:ascii="Arial" w:eastAsia="Arial" w:hAnsi="Arial"/>
                <w:color w:val="000000"/>
                <w:spacing w:val="-4"/>
                <w:sz w:val="20"/>
              </w:rPr>
              <w:t xml:space="preserve">ons for a </w:t>
            </w:r>
            <w:proofErr w:type="gramStart"/>
            <w:r>
              <w:rPr>
                <w:rFonts w:ascii="Arial" w:eastAsia="Arial" w:hAnsi="Arial"/>
                <w:color w:val="000000"/>
                <w:spacing w:val="-4"/>
                <w:sz w:val="20"/>
              </w:rPr>
              <w:t>project</w:t>
            </w:r>
            <w:proofErr w:type="gramEnd"/>
            <w:r>
              <w:rPr>
                <w:rFonts w:ascii="Arial" w:eastAsia="Arial" w:hAnsi="Arial"/>
                <w:color w:val="000000"/>
                <w:spacing w:val="-4"/>
                <w:sz w:val="20"/>
              </w:rPr>
              <w:t xml:space="preserve"> or a decision based on economic flows duly adjusted, following some patterns. The CBA is primarily used to assess the socio-economic feasibility or value of the selected project or project under assessment (regardless of the method of pro</w:t>
            </w:r>
            <w:r>
              <w:rPr>
                <w:rFonts w:ascii="Arial" w:eastAsia="Arial" w:hAnsi="Arial"/>
                <w:color w:val="000000"/>
                <w:spacing w:val="-4"/>
                <w:sz w:val="20"/>
              </w:rPr>
              <w:t>curement).</w:t>
            </w:r>
          </w:p>
        </w:tc>
      </w:tr>
      <w:tr w:rsidR="00345DC1" w14:paraId="23D924A7" w14:textId="77777777">
        <w:tblPrEx>
          <w:tblCellMar>
            <w:top w:w="0" w:type="dxa"/>
            <w:bottom w:w="0" w:type="dxa"/>
          </w:tblCellMar>
        </w:tblPrEx>
        <w:trPr>
          <w:trHeight w:hRule="exact" w:val="2673"/>
        </w:trPr>
        <w:tc>
          <w:tcPr>
            <w:tcW w:w="2410" w:type="dxa"/>
            <w:tcBorders>
              <w:top w:val="single" w:sz="5" w:space="0" w:color="000000"/>
              <w:left w:val="single" w:sz="5" w:space="0" w:color="000000"/>
              <w:bottom w:val="single" w:sz="5" w:space="0" w:color="000000"/>
              <w:right w:val="single" w:sz="5" w:space="0" w:color="000000"/>
            </w:tcBorders>
          </w:tcPr>
          <w:p w14:paraId="05E0B947" w14:textId="77777777" w:rsidR="00345DC1" w:rsidRDefault="00DB08CC">
            <w:pPr>
              <w:spacing w:after="2081" w:line="293" w:lineRule="exact"/>
              <w:ind w:left="108"/>
              <w:textAlignment w:val="baseline"/>
              <w:rPr>
                <w:rFonts w:ascii="Arial" w:eastAsia="Arial" w:hAnsi="Arial"/>
                <w:color w:val="000000"/>
                <w:sz w:val="20"/>
              </w:rPr>
            </w:pPr>
            <w:r>
              <w:rPr>
                <w:rFonts w:ascii="Arial" w:eastAsia="Arial" w:hAnsi="Arial"/>
                <w:color w:val="000000"/>
                <w:sz w:val="20"/>
              </w:rPr>
              <w:t xml:space="preserve">Cost Estimate </w:t>
            </w:r>
            <w:r>
              <w:rPr>
                <w:rFonts w:ascii="Arial" w:eastAsia="Arial" w:hAnsi="Arial"/>
                <w:color w:val="000000"/>
                <w:sz w:val="20"/>
              </w:rPr>
              <w:br/>
              <w:t>Confidence Levels</w:t>
            </w:r>
          </w:p>
        </w:tc>
        <w:tc>
          <w:tcPr>
            <w:tcW w:w="7233" w:type="dxa"/>
            <w:tcBorders>
              <w:top w:val="single" w:sz="5" w:space="0" w:color="000000"/>
              <w:left w:val="single" w:sz="5" w:space="0" w:color="000000"/>
              <w:bottom w:val="single" w:sz="5" w:space="0" w:color="000000"/>
              <w:right w:val="single" w:sz="5" w:space="0" w:color="000000"/>
            </w:tcBorders>
          </w:tcPr>
          <w:p w14:paraId="19309C4E" w14:textId="77777777" w:rsidR="00345DC1" w:rsidRDefault="00DB08CC">
            <w:pPr>
              <w:spacing w:line="311" w:lineRule="exact"/>
              <w:ind w:left="144" w:right="108"/>
              <w:jc w:val="both"/>
              <w:textAlignment w:val="baseline"/>
              <w:rPr>
                <w:rFonts w:ascii="Arial" w:eastAsia="Arial" w:hAnsi="Arial"/>
                <w:color w:val="000000"/>
                <w:sz w:val="20"/>
              </w:rPr>
            </w:pPr>
            <w:r>
              <w:rPr>
                <w:rFonts w:ascii="Arial" w:eastAsia="Arial" w:hAnsi="Arial"/>
                <w:color w:val="000000"/>
                <w:sz w:val="20"/>
              </w:rPr>
              <w:t>The accuracy of cost estimates will vary greatly depending on the degree of information available to inform the estimate. Confidence levels covey the likelihood of going over or under the estimate.</w:t>
            </w:r>
          </w:p>
          <w:p w14:paraId="78E9290F" w14:textId="77777777" w:rsidR="00345DC1" w:rsidRDefault="00DB08CC">
            <w:pPr>
              <w:spacing w:before="114" w:after="233" w:line="347" w:lineRule="exact"/>
              <w:ind w:left="144" w:right="108"/>
              <w:jc w:val="both"/>
              <w:textAlignment w:val="baseline"/>
              <w:rPr>
                <w:rFonts w:ascii="Arial" w:eastAsia="Arial" w:hAnsi="Arial"/>
                <w:color w:val="000000"/>
                <w:sz w:val="20"/>
              </w:rPr>
            </w:pPr>
            <w:r>
              <w:rPr>
                <w:rFonts w:ascii="Arial" w:eastAsia="Arial" w:hAnsi="Arial"/>
                <w:color w:val="000000"/>
                <w:sz w:val="20"/>
              </w:rPr>
              <w:t>For infrastructure projects, it is typical to estimate the</w:t>
            </w:r>
            <w:r>
              <w:rPr>
                <w:rFonts w:ascii="Arial" w:eastAsia="Arial" w:hAnsi="Arial"/>
                <w:color w:val="000000"/>
                <w:sz w:val="20"/>
              </w:rPr>
              <w:t xml:space="preserve"> P50 and P90 project cost estimates. The P90 cost (for example) is the project cost with sufficient contingency allowance to provide a 90 percent likelihood that the cost will be exceeded.</w:t>
            </w:r>
          </w:p>
        </w:tc>
      </w:tr>
    </w:tbl>
    <w:p w14:paraId="5C5FEC6A" w14:textId="77777777" w:rsidR="00345DC1" w:rsidRDefault="00345DC1">
      <w:pPr>
        <w:spacing w:after="1106" w:line="20" w:lineRule="exact"/>
      </w:pPr>
    </w:p>
    <w:p w14:paraId="66FD7EDD" w14:textId="77777777" w:rsidR="00345DC1" w:rsidRDefault="00DB08CC">
      <w:pPr>
        <w:spacing w:before="1"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25F8D4C1" w14:textId="77777777" w:rsidR="00345DC1" w:rsidRDefault="00DB08CC">
      <w:pPr>
        <w:spacing w:line="124" w:lineRule="exact"/>
        <w:ind w:left="72"/>
        <w:textAlignment w:val="baseline"/>
        <w:rPr>
          <w:rFonts w:ascii="Arial" w:eastAsia="Arial" w:hAnsi="Arial"/>
          <w:color w:val="FFFFFF"/>
          <w:spacing w:val="29"/>
          <w:sz w:val="15"/>
          <w:shd w:val="solid" w:color="006391" w:fill="006391"/>
        </w:rPr>
      </w:pPr>
      <w:r>
        <w:rPr>
          <w:rFonts w:ascii="Arial" w:eastAsia="Arial" w:hAnsi="Arial"/>
          <w:color w:val="FFFFFF"/>
          <w:spacing w:val="29"/>
          <w:sz w:val="15"/>
          <w:shd w:val="solid" w:color="006391" w:fill="006391"/>
        </w:rPr>
        <w:t>iv</w:t>
      </w:r>
    </w:p>
    <w:p w14:paraId="5606BC3D" w14:textId="77777777" w:rsidR="00345DC1" w:rsidRDefault="00DB08CC">
      <w:pPr>
        <w:spacing w:line="139" w:lineRule="exact"/>
        <w:ind w:left="576"/>
        <w:textAlignment w:val="baseline"/>
        <w:rPr>
          <w:rFonts w:ascii="Arial" w:eastAsia="Arial" w:hAnsi="Arial"/>
          <w:color w:val="000000"/>
          <w:sz w:val="14"/>
        </w:rPr>
      </w:pPr>
      <w:r>
        <w:rPr>
          <w:rFonts w:ascii="Arial" w:eastAsia="Arial" w:hAnsi="Arial"/>
          <w:color w:val="000000"/>
          <w:sz w:val="14"/>
        </w:rPr>
        <w:t>Review of Goulburn Murray Water (GMW) Water</w:t>
      </w:r>
    </w:p>
    <w:p w14:paraId="5B705EFA"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00F88F77" w14:textId="77777777" w:rsidR="00345DC1" w:rsidRDefault="00345DC1">
      <w:pPr>
        <w:sectPr w:rsidR="00345DC1">
          <w:pgSz w:w="11909" w:h="16838"/>
          <w:pgMar w:top="580" w:right="1131" w:bottom="262" w:left="1132" w:header="720" w:footer="720" w:gutter="0"/>
          <w:cols w:space="720"/>
        </w:sectPr>
      </w:pPr>
    </w:p>
    <w:p w14:paraId="5AA47842" w14:textId="77777777" w:rsidR="00345DC1" w:rsidRDefault="00345DC1">
      <w:pPr>
        <w:spacing w:before="6" w:line="20" w:lineRule="exact"/>
      </w:pPr>
    </w:p>
    <w:tbl>
      <w:tblPr>
        <w:tblW w:w="0" w:type="auto"/>
        <w:tblInd w:w="1" w:type="dxa"/>
        <w:tblLayout w:type="fixed"/>
        <w:tblCellMar>
          <w:left w:w="0" w:type="dxa"/>
          <w:right w:w="0" w:type="dxa"/>
        </w:tblCellMar>
        <w:tblLook w:val="04A0" w:firstRow="1" w:lastRow="0" w:firstColumn="1" w:lastColumn="0" w:noHBand="0" w:noVBand="1"/>
      </w:tblPr>
      <w:tblGrid>
        <w:gridCol w:w="2410"/>
        <w:gridCol w:w="7233"/>
      </w:tblGrid>
      <w:tr w:rsidR="00345DC1" w14:paraId="78397105" w14:textId="77777777">
        <w:tblPrEx>
          <w:tblCellMar>
            <w:top w:w="0" w:type="dxa"/>
            <w:bottom w:w="0" w:type="dxa"/>
          </w:tblCellMar>
        </w:tblPrEx>
        <w:trPr>
          <w:trHeight w:hRule="exact" w:val="826"/>
        </w:trPr>
        <w:tc>
          <w:tcPr>
            <w:tcW w:w="2410" w:type="dxa"/>
            <w:tcBorders>
              <w:top w:val="single" w:sz="5" w:space="0" w:color="000000"/>
              <w:left w:val="single" w:sz="5" w:space="0" w:color="000000"/>
              <w:bottom w:val="single" w:sz="5" w:space="0" w:color="000000"/>
              <w:right w:val="single" w:sz="5" w:space="0" w:color="000000"/>
            </w:tcBorders>
          </w:tcPr>
          <w:p w14:paraId="72A66660" w14:textId="77777777" w:rsidR="00345DC1" w:rsidRDefault="00DB08CC">
            <w:pPr>
              <w:spacing w:after="569" w:line="230" w:lineRule="exact"/>
              <w:ind w:left="115"/>
              <w:textAlignment w:val="baseline"/>
              <w:rPr>
                <w:rFonts w:ascii="Arial" w:eastAsia="Arial" w:hAnsi="Arial"/>
                <w:color w:val="000000"/>
                <w:sz w:val="20"/>
              </w:rPr>
            </w:pPr>
            <w:r>
              <w:rPr>
                <w:rFonts w:ascii="Arial" w:eastAsia="Arial" w:hAnsi="Arial"/>
                <w:color w:val="000000"/>
                <w:sz w:val="20"/>
              </w:rPr>
              <w:t>Due Diligence</w:t>
            </w:r>
          </w:p>
        </w:tc>
        <w:tc>
          <w:tcPr>
            <w:tcW w:w="7233" w:type="dxa"/>
            <w:tcBorders>
              <w:top w:val="single" w:sz="5" w:space="0" w:color="000000"/>
              <w:left w:val="single" w:sz="5" w:space="0" w:color="000000"/>
              <w:bottom w:val="single" w:sz="5" w:space="0" w:color="000000"/>
              <w:right w:val="single" w:sz="5" w:space="0" w:color="000000"/>
            </w:tcBorders>
          </w:tcPr>
          <w:p w14:paraId="74B2537A" w14:textId="77777777" w:rsidR="00345DC1" w:rsidRDefault="00DB08CC">
            <w:pPr>
              <w:spacing w:after="223" w:line="296" w:lineRule="exact"/>
              <w:ind w:left="108" w:right="108"/>
              <w:jc w:val="both"/>
              <w:textAlignment w:val="baseline"/>
              <w:rPr>
                <w:rFonts w:ascii="Arial" w:eastAsia="Arial" w:hAnsi="Arial"/>
                <w:color w:val="000000"/>
                <w:sz w:val="20"/>
              </w:rPr>
            </w:pPr>
            <w:r>
              <w:rPr>
                <w:rFonts w:ascii="Arial" w:eastAsia="Arial" w:hAnsi="Arial"/>
                <w:color w:val="000000"/>
                <w:sz w:val="20"/>
              </w:rPr>
              <w:t>An investigation or review performed to confirm the facts of matter under consideration.</w:t>
            </w:r>
          </w:p>
        </w:tc>
      </w:tr>
      <w:tr w:rsidR="00345DC1" w14:paraId="721EA708" w14:textId="77777777">
        <w:tblPrEx>
          <w:tblCellMar>
            <w:top w:w="0" w:type="dxa"/>
            <w:bottom w:w="0" w:type="dxa"/>
          </w:tblCellMar>
        </w:tblPrEx>
        <w:trPr>
          <w:trHeight w:hRule="exact" w:val="1507"/>
        </w:trPr>
        <w:tc>
          <w:tcPr>
            <w:tcW w:w="2410" w:type="dxa"/>
            <w:tcBorders>
              <w:top w:val="single" w:sz="5" w:space="0" w:color="000000"/>
              <w:left w:val="single" w:sz="5" w:space="0" w:color="000000"/>
              <w:bottom w:val="single" w:sz="5" w:space="0" w:color="000000"/>
              <w:right w:val="single" w:sz="5" w:space="0" w:color="000000"/>
            </w:tcBorders>
          </w:tcPr>
          <w:p w14:paraId="4EB1B6D7" w14:textId="77777777" w:rsidR="00345DC1" w:rsidRDefault="00DB08CC">
            <w:pPr>
              <w:spacing w:after="1260" w:line="230" w:lineRule="exact"/>
              <w:ind w:left="115"/>
              <w:textAlignment w:val="baseline"/>
              <w:rPr>
                <w:rFonts w:ascii="Arial" w:eastAsia="Arial" w:hAnsi="Arial"/>
                <w:color w:val="000000"/>
                <w:sz w:val="20"/>
              </w:rPr>
            </w:pPr>
            <w:r>
              <w:rPr>
                <w:rFonts w:ascii="Arial" w:eastAsia="Arial" w:hAnsi="Arial"/>
                <w:color w:val="000000"/>
                <w:sz w:val="20"/>
              </w:rPr>
              <w:t>ECI Contractor</w:t>
            </w:r>
          </w:p>
        </w:tc>
        <w:tc>
          <w:tcPr>
            <w:tcW w:w="7233" w:type="dxa"/>
            <w:tcBorders>
              <w:top w:val="single" w:sz="5" w:space="0" w:color="000000"/>
              <w:left w:val="single" w:sz="5" w:space="0" w:color="000000"/>
              <w:bottom w:val="single" w:sz="5" w:space="0" w:color="000000"/>
              <w:right w:val="single" w:sz="5" w:space="0" w:color="000000"/>
            </w:tcBorders>
          </w:tcPr>
          <w:p w14:paraId="12C030D9" w14:textId="77777777" w:rsidR="00345DC1" w:rsidRDefault="00DB08CC">
            <w:pPr>
              <w:spacing w:after="223" w:line="319" w:lineRule="exact"/>
              <w:ind w:left="108" w:right="108"/>
              <w:jc w:val="both"/>
              <w:textAlignment w:val="baseline"/>
              <w:rPr>
                <w:rFonts w:ascii="Arial" w:eastAsia="Arial" w:hAnsi="Arial"/>
                <w:color w:val="000000"/>
                <w:sz w:val="20"/>
              </w:rPr>
            </w:pPr>
            <w:r>
              <w:rPr>
                <w:rFonts w:ascii="Arial" w:eastAsia="Arial" w:hAnsi="Arial"/>
                <w:color w:val="000000"/>
                <w:sz w:val="20"/>
              </w:rPr>
              <w:t>Early Contractor Involvement or ECI is a method of procurement/delivery for major construction projects. The John Holland Group was appointed in 2017 a</w:t>
            </w:r>
            <w:r>
              <w:rPr>
                <w:rFonts w:ascii="Arial" w:eastAsia="Arial" w:hAnsi="Arial"/>
                <w:color w:val="000000"/>
                <w:sz w:val="20"/>
              </w:rPr>
              <w:t xml:space="preserve">s the GMW Project’s ECI Contractor to deliver </w:t>
            </w:r>
            <w:proofErr w:type="gramStart"/>
            <w:r>
              <w:rPr>
                <w:rFonts w:ascii="Arial" w:eastAsia="Arial" w:hAnsi="Arial"/>
                <w:color w:val="000000"/>
                <w:sz w:val="20"/>
              </w:rPr>
              <w:t>the majority of</w:t>
            </w:r>
            <w:proofErr w:type="gramEnd"/>
            <w:r>
              <w:rPr>
                <w:rFonts w:ascii="Arial" w:eastAsia="Arial" w:hAnsi="Arial"/>
                <w:color w:val="000000"/>
                <w:sz w:val="20"/>
              </w:rPr>
              <w:t xml:space="preserve"> the Project’s design and construction works.</w:t>
            </w:r>
          </w:p>
        </w:tc>
      </w:tr>
      <w:tr w:rsidR="00345DC1" w14:paraId="3952C991" w14:textId="77777777">
        <w:tblPrEx>
          <w:tblCellMar>
            <w:top w:w="0" w:type="dxa"/>
            <w:bottom w:w="0" w:type="dxa"/>
          </w:tblCellMar>
        </w:tblPrEx>
        <w:trPr>
          <w:trHeight w:hRule="exact" w:val="1512"/>
        </w:trPr>
        <w:tc>
          <w:tcPr>
            <w:tcW w:w="2410" w:type="dxa"/>
            <w:tcBorders>
              <w:top w:val="single" w:sz="5" w:space="0" w:color="000000"/>
              <w:left w:val="single" w:sz="5" w:space="0" w:color="000000"/>
              <w:bottom w:val="single" w:sz="5" w:space="0" w:color="000000"/>
              <w:right w:val="single" w:sz="5" w:space="0" w:color="000000"/>
            </w:tcBorders>
          </w:tcPr>
          <w:p w14:paraId="1CFAD292" w14:textId="77777777" w:rsidR="00345DC1" w:rsidRDefault="00DB08CC">
            <w:pPr>
              <w:spacing w:after="1265" w:line="230" w:lineRule="exact"/>
              <w:ind w:left="115"/>
              <w:textAlignment w:val="baseline"/>
              <w:rPr>
                <w:rFonts w:ascii="Arial" w:eastAsia="Arial" w:hAnsi="Arial"/>
                <w:color w:val="000000"/>
                <w:sz w:val="20"/>
              </w:rPr>
            </w:pPr>
            <w:r>
              <w:rPr>
                <w:rFonts w:ascii="Arial" w:eastAsia="Arial" w:hAnsi="Arial"/>
                <w:color w:val="000000"/>
                <w:sz w:val="20"/>
              </w:rPr>
              <w:t>Net present value</w:t>
            </w:r>
          </w:p>
        </w:tc>
        <w:tc>
          <w:tcPr>
            <w:tcW w:w="7233" w:type="dxa"/>
            <w:tcBorders>
              <w:top w:val="single" w:sz="5" w:space="0" w:color="000000"/>
              <w:left w:val="single" w:sz="5" w:space="0" w:color="000000"/>
              <w:bottom w:val="single" w:sz="5" w:space="0" w:color="000000"/>
              <w:right w:val="single" w:sz="5" w:space="0" w:color="000000"/>
            </w:tcBorders>
          </w:tcPr>
          <w:p w14:paraId="5D6CFDD5" w14:textId="77777777" w:rsidR="00345DC1" w:rsidRDefault="00DB08CC">
            <w:pPr>
              <w:spacing w:after="228" w:line="319" w:lineRule="exact"/>
              <w:ind w:left="108" w:right="108"/>
              <w:jc w:val="both"/>
              <w:textAlignment w:val="baseline"/>
              <w:rPr>
                <w:rFonts w:ascii="Arial" w:eastAsia="Arial" w:hAnsi="Arial"/>
                <w:color w:val="000000"/>
                <w:spacing w:val="-2"/>
                <w:sz w:val="20"/>
              </w:rPr>
            </w:pPr>
            <w:r>
              <w:rPr>
                <w:rFonts w:ascii="Arial" w:eastAsia="Arial" w:hAnsi="Arial"/>
                <w:color w:val="000000"/>
                <w:spacing w:val="-2"/>
                <w:sz w:val="20"/>
              </w:rPr>
              <w:t>NPV is a primary investment decision criterion. NPV is defined as the difference between the present value of a stream of benefits and that of a stream of costs. A positive NPV occurs when the sum of the discounted benefits exceeds the sum of the discounte</w:t>
            </w:r>
            <w:r>
              <w:rPr>
                <w:rFonts w:ascii="Arial" w:eastAsia="Arial" w:hAnsi="Arial"/>
                <w:color w:val="000000"/>
                <w:spacing w:val="-2"/>
                <w:sz w:val="20"/>
              </w:rPr>
              <w:t>d costs.</w:t>
            </w:r>
          </w:p>
        </w:tc>
      </w:tr>
      <w:tr w:rsidR="00345DC1" w14:paraId="78DCBCB3" w14:textId="77777777">
        <w:tblPrEx>
          <w:tblCellMar>
            <w:top w:w="0" w:type="dxa"/>
            <w:bottom w:w="0" w:type="dxa"/>
          </w:tblCellMar>
        </w:tblPrEx>
        <w:trPr>
          <w:trHeight w:hRule="exact" w:val="941"/>
        </w:trPr>
        <w:tc>
          <w:tcPr>
            <w:tcW w:w="2410" w:type="dxa"/>
            <w:tcBorders>
              <w:top w:val="single" w:sz="5" w:space="0" w:color="000000"/>
              <w:left w:val="single" w:sz="5" w:space="0" w:color="000000"/>
              <w:bottom w:val="single" w:sz="5" w:space="0" w:color="000000"/>
              <w:right w:val="single" w:sz="5" w:space="0" w:color="000000"/>
            </w:tcBorders>
          </w:tcPr>
          <w:p w14:paraId="380B9CD0" w14:textId="77777777" w:rsidR="00345DC1" w:rsidRDefault="00DB08CC">
            <w:pPr>
              <w:spacing w:after="689" w:line="230" w:lineRule="exact"/>
              <w:ind w:left="115"/>
              <w:textAlignment w:val="baseline"/>
              <w:rPr>
                <w:rFonts w:ascii="Arial" w:eastAsia="Arial" w:hAnsi="Arial"/>
                <w:color w:val="000000"/>
                <w:sz w:val="20"/>
              </w:rPr>
            </w:pPr>
            <w:r>
              <w:rPr>
                <w:rFonts w:ascii="Arial" w:eastAsia="Arial" w:hAnsi="Arial"/>
                <w:color w:val="000000"/>
                <w:sz w:val="20"/>
              </w:rPr>
              <w:t>Risk</w:t>
            </w:r>
          </w:p>
        </w:tc>
        <w:tc>
          <w:tcPr>
            <w:tcW w:w="7233" w:type="dxa"/>
            <w:tcBorders>
              <w:top w:val="single" w:sz="5" w:space="0" w:color="000000"/>
              <w:left w:val="single" w:sz="5" w:space="0" w:color="000000"/>
              <w:bottom w:val="single" w:sz="5" w:space="0" w:color="000000"/>
              <w:right w:val="single" w:sz="5" w:space="0" w:color="000000"/>
            </w:tcBorders>
          </w:tcPr>
          <w:p w14:paraId="308BA8F0" w14:textId="77777777" w:rsidR="00345DC1" w:rsidRDefault="00DB08CC">
            <w:pPr>
              <w:spacing w:after="689" w:line="230" w:lineRule="exact"/>
              <w:ind w:left="100"/>
              <w:textAlignment w:val="baseline"/>
              <w:rPr>
                <w:rFonts w:ascii="Arial" w:eastAsia="Arial" w:hAnsi="Arial"/>
                <w:color w:val="000000"/>
                <w:sz w:val="20"/>
              </w:rPr>
            </w:pPr>
            <w:r>
              <w:rPr>
                <w:rFonts w:ascii="Arial" w:eastAsia="Arial" w:hAnsi="Arial"/>
                <w:color w:val="000000"/>
                <w:sz w:val="20"/>
              </w:rPr>
              <w:t>The likelihood, measured by its probability that a particular event will occur.</w:t>
            </w:r>
          </w:p>
        </w:tc>
      </w:tr>
      <w:tr w:rsidR="00345DC1" w14:paraId="12218418" w14:textId="77777777">
        <w:tblPrEx>
          <w:tblCellMar>
            <w:top w:w="0" w:type="dxa"/>
            <w:bottom w:w="0" w:type="dxa"/>
          </w:tblCellMar>
        </w:tblPrEx>
        <w:trPr>
          <w:trHeight w:hRule="exact" w:val="936"/>
        </w:trPr>
        <w:tc>
          <w:tcPr>
            <w:tcW w:w="2410" w:type="dxa"/>
            <w:tcBorders>
              <w:top w:val="single" w:sz="5" w:space="0" w:color="000000"/>
              <w:left w:val="single" w:sz="5" w:space="0" w:color="000000"/>
              <w:bottom w:val="single" w:sz="5" w:space="0" w:color="000000"/>
              <w:right w:val="single" w:sz="5" w:space="0" w:color="000000"/>
            </w:tcBorders>
          </w:tcPr>
          <w:p w14:paraId="4740241A" w14:textId="77777777" w:rsidR="00345DC1" w:rsidRDefault="00DB08CC">
            <w:pPr>
              <w:spacing w:after="684" w:line="230" w:lineRule="exact"/>
              <w:ind w:left="115"/>
              <w:textAlignment w:val="baseline"/>
              <w:rPr>
                <w:rFonts w:ascii="Arial" w:eastAsia="Arial" w:hAnsi="Arial"/>
                <w:color w:val="000000"/>
                <w:sz w:val="20"/>
              </w:rPr>
            </w:pPr>
            <w:r>
              <w:rPr>
                <w:rFonts w:ascii="Arial" w:eastAsia="Arial" w:hAnsi="Arial"/>
                <w:color w:val="000000"/>
                <w:sz w:val="20"/>
              </w:rPr>
              <w:t>SEP</w:t>
            </w:r>
          </w:p>
        </w:tc>
        <w:tc>
          <w:tcPr>
            <w:tcW w:w="7233" w:type="dxa"/>
            <w:tcBorders>
              <w:top w:val="single" w:sz="5" w:space="0" w:color="000000"/>
              <w:left w:val="single" w:sz="5" w:space="0" w:color="000000"/>
              <w:bottom w:val="single" w:sz="5" w:space="0" w:color="000000"/>
              <w:right w:val="single" w:sz="5" w:space="0" w:color="000000"/>
            </w:tcBorders>
          </w:tcPr>
          <w:p w14:paraId="02B5C3B4" w14:textId="77777777" w:rsidR="00345DC1" w:rsidRDefault="00DB08CC">
            <w:pPr>
              <w:spacing w:after="684" w:line="230" w:lineRule="exact"/>
              <w:ind w:left="100"/>
              <w:textAlignment w:val="baseline"/>
              <w:rPr>
                <w:rFonts w:ascii="Arial" w:eastAsia="Arial" w:hAnsi="Arial"/>
                <w:color w:val="000000"/>
                <w:sz w:val="20"/>
              </w:rPr>
            </w:pPr>
            <w:proofErr w:type="spellStart"/>
            <w:r>
              <w:rPr>
                <w:rFonts w:ascii="Arial" w:eastAsia="Arial" w:hAnsi="Arial"/>
                <w:color w:val="000000"/>
                <w:sz w:val="20"/>
              </w:rPr>
              <w:t>Shepparton</w:t>
            </w:r>
            <w:proofErr w:type="spellEnd"/>
            <w:r>
              <w:rPr>
                <w:rFonts w:ascii="Arial" w:eastAsia="Arial" w:hAnsi="Arial"/>
                <w:color w:val="000000"/>
                <w:sz w:val="20"/>
              </w:rPr>
              <w:t xml:space="preserve"> East Project</w:t>
            </w:r>
          </w:p>
        </w:tc>
      </w:tr>
      <w:tr w:rsidR="00345DC1" w14:paraId="76D2CB7A" w14:textId="77777777">
        <w:tblPrEx>
          <w:tblCellMar>
            <w:top w:w="0" w:type="dxa"/>
            <w:bottom w:w="0" w:type="dxa"/>
          </w:tblCellMar>
        </w:tblPrEx>
        <w:trPr>
          <w:trHeight w:hRule="exact" w:val="1982"/>
        </w:trPr>
        <w:tc>
          <w:tcPr>
            <w:tcW w:w="2410" w:type="dxa"/>
            <w:tcBorders>
              <w:top w:val="single" w:sz="5" w:space="0" w:color="000000"/>
              <w:left w:val="single" w:sz="5" w:space="0" w:color="000000"/>
              <w:bottom w:val="single" w:sz="5" w:space="0" w:color="000000"/>
              <w:right w:val="single" w:sz="5" w:space="0" w:color="000000"/>
            </w:tcBorders>
          </w:tcPr>
          <w:p w14:paraId="2AD54CF0" w14:textId="77777777" w:rsidR="00345DC1" w:rsidRDefault="00DB08CC">
            <w:pPr>
              <w:spacing w:after="1730" w:line="230" w:lineRule="exact"/>
              <w:ind w:left="115"/>
              <w:textAlignment w:val="baseline"/>
              <w:rPr>
                <w:rFonts w:ascii="Arial" w:eastAsia="Arial" w:hAnsi="Arial"/>
                <w:color w:val="000000"/>
                <w:sz w:val="20"/>
              </w:rPr>
            </w:pPr>
            <w:r>
              <w:rPr>
                <w:rFonts w:ascii="Arial" w:eastAsia="Arial" w:hAnsi="Arial"/>
                <w:color w:val="000000"/>
                <w:sz w:val="20"/>
              </w:rPr>
              <w:t>Value for Money</w:t>
            </w:r>
          </w:p>
        </w:tc>
        <w:tc>
          <w:tcPr>
            <w:tcW w:w="7233" w:type="dxa"/>
            <w:tcBorders>
              <w:top w:val="single" w:sz="5" w:space="0" w:color="000000"/>
              <w:left w:val="single" w:sz="5" w:space="0" w:color="000000"/>
              <w:bottom w:val="single" w:sz="5" w:space="0" w:color="000000"/>
              <w:right w:val="single" w:sz="5" w:space="0" w:color="000000"/>
            </w:tcBorders>
          </w:tcPr>
          <w:p w14:paraId="53F550DA" w14:textId="77777777" w:rsidR="00345DC1" w:rsidRDefault="00DB08CC">
            <w:pPr>
              <w:spacing w:line="312" w:lineRule="exact"/>
              <w:ind w:left="144" w:right="108"/>
              <w:jc w:val="both"/>
              <w:textAlignment w:val="baseline"/>
              <w:rPr>
                <w:rFonts w:ascii="Arial" w:eastAsia="Arial" w:hAnsi="Arial"/>
                <w:color w:val="000000"/>
                <w:sz w:val="20"/>
              </w:rPr>
            </w:pPr>
            <w:r>
              <w:rPr>
                <w:rFonts w:ascii="Arial" w:eastAsia="Arial" w:hAnsi="Arial"/>
                <w:color w:val="000000"/>
                <w:sz w:val="20"/>
              </w:rPr>
              <w:t xml:space="preserve">Concept is used in any investment decision to be taken by the government to mean that the investment is creating net value to the society (or to the </w:t>
            </w:r>
            <w:proofErr w:type="gramStart"/>
            <w:r>
              <w:rPr>
                <w:rFonts w:ascii="Arial" w:eastAsia="Arial" w:hAnsi="Arial"/>
                <w:color w:val="000000"/>
                <w:sz w:val="20"/>
              </w:rPr>
              <w:t>tax payer</w:t>
            </w:r>
            <w:proofErr w:type="gramEnd"/>
            <w:r>
              <w:rPr>
                <w:rFonts w:ascii="Arial" w:eastAsia="Arial" w:hAnsi="Arial"/>
                <w:color w:val="000000"/>
                <w:sz w:val="20"/>
              </w:rPr>
              <w:t>), and it is tested by cost-benefit techniques</w:t>
            </w:r>
          </w:p>
          <w:p w14:paraId="052BA7D8" w14:textId="77777777" w:rsidR="00345DC1" w:rsidRDefault="00DB08CC">
            <w:pPr>
              <w:spacing w:before="111" w:after="228" w:line="350" w:lineRule="exact"/>
              <w:ind w:left="144" w:right="108"/>
              <w:jc w:val="both"/>
              <w:textAlignment w:val="baseline"/>
              <w:rPr>
                <w:rFonts w:ascii="Arial" w:eastAsia="Arial" w:hAnsi="Arial"/>
                <w:color w:val="000000"/>
                <w:sz w:val="20"/>
              </w:rPr>
            </w:pPr>
            <w:r>
              <w:rPr>
                <w:rFonts w:ascii="Arial" w:eastAsia="Arial" w:hAnsi="Arial"/>
                <w:color w:val="000000"/>
                <w:sz w:val="20"/>
              </w:rPr>
              <w:t xml:space="preserve">For this project – the </w:t>
            </w:r>
            <w:proofErr w:type="spellStart"/>
            <w:r>
              <w:rPr>
                <w:rFonts w:ascii="Arial" w:eastAsia="Arial" w:hAnsi="Arial"/>
                <w:color w:val="000000"/>
                <w:sz w:val="20"/>
              </w:rPr>
              <w:t>VfM</w:t>
            </w:r>
            <w:proofErr w:type="spellEnd"/>
            <w:r>
              <w:rPr>
                <w:rFonts w:ascii="Arial" w:eastAsia="Arial" w:hAnsi="Arial"/>
                <w:color w:val="000000"/>
                <w:sz w:val="20"/>
              </w:rPr>
              <w:t xml:space="preserve"> measure is the Cost per </w:t>
            </w:r>
            <w:proofErr w:type="spellStart"/>
            <w:r>
              <w:rPr>
                <w:rFonts w:ascii="Arial" w:eastAsia="Arial" w:hAnsi="Arial"/>
                <w:color w:val="000000"/>
                <w:sz w:val="20"/>
              </w:rPr>
              <w:t>Megalitre</w:t>
            </w:r>
            <w:proofErr w:type="spellEnd"/>
            <w:r>
              <w:rPr>
                <w:rFonts w:ascii="Arial" w:eastAsia="Arial" w:hAnsi="Arial"/>
                <w:color w:val="000000"/>
                <w:sz w:val="20"/>
              </w:rPr>
              <w:t xml:space="preserve"> of water savings which is derived from the proposed water savings works.</w:t>
            </w:r>
          </w:p>
        </w:tc>
      </w:tr>
    </w:tbl>
    <w:p w14:paraId="0FD50880" w14:textId="77777777" w:rsidR="00345DC1" w:rsidRDefault="00345DC1">
      <w:pPr>
        <w:spacing w:after="7298" w:line="20" w:lineRule="exact"/>
      </w:pPr>
    </w:p>
    <w:p w14:paraId="7AB3CFAB" w14:textId="77777777" w:rsidR="00345DC1" w:rsidRDefault="00345DC1">
      <w:pPr>
        <w:spacing w:after="7298" w:line="20" w:lineRule="exact"/>
        <w:sectPr w:rsidR="00345DC1">
          <w:pgSz w:w="11909" w:h="16838"/>
          <w:pgMar w:top="540" w:right="1131" w:bottom="262" w:left="1132" w:header="720" w:footer="720" w:gutter="0"/>
          <w:cols w:space="720"/>
        </w:sectPr>
      </w:pPr>
    </w:p>
    <w:p w14:paraId="5F32C3A9" w14:textId="77777777" w:rsidR="00345DC1" w:rsidRDefault="00DB08CC">
      <w:pPr>
        <w:spacing w:before="1"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39892401" w14:textId="77777777" w:rsidR="00345DC1" w:rsidRDefault="00DB08CC">
      <w:pPr>
        <w:spacing w:line="124" w:lineRule="exact"/>
        <w:ind w:left="72"/>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v</w:t>
      </w:r>
    </w:p>
    <w:p w14:paraId="5D370CA2" w14:textId="77777777" w:rsidR="00345DC1" w:rsidRDefault="00DB08CC">
      <w:pPr>
        <w:spacing w:line="139" w:lineRule="exact"/>
        <w:ind w:left="576"/>
        <w:textAlignment w:val="baseline"/>
        <w:rPr>
          <w:rFonts w:ascii="Arial" w:eastAsia="Arial" w:hAnsi="Arial"/>
          <w:color w:val="000000"/>
          <w:spacing w:val="-1"/>
          <w:sz w:val="14"/>
        </w:rPr>
      </w:pPr>
      <w:r>
        <w:rPr>
          <w:rFonts w:ascii="Arial" w:eastAsia="Arial" w:hAnsi="Arial"/>
          <w:color w:val="000000"/>
          <w:spacing w:val="-1"/>
          <w:sz w:val="14"/>
        </w:rPr>
        <w:t>Review of Goulburn Murray Water (GMW) Water</w:t>
      </w:r>
    </w:p>
    <w:p w14:paraId="23EC8DA0"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450206BF" w14:textId="77777777" w:rsidR="00345DC1" w:rsidRDefault="00345DC1">
      <w:pPr>
        <w:sectPr w:rsidR="00345DC1">
          <w:type w:val="continuous"/>
          <w:pgSz w:w="11909" w:h="16838"/>
          <w:pgMar w:top="540" w:right="7136" w:bottom="262" w:left="1133" w:header="720" w:footer="720" w:gutter="0"/>
          <w:cols w:space="720"/>
        </w:sectPr>
      </w:pPr>
    </w:p>
    <w:p w14:paraId="79C99C22" w14:textId="77777777" w:rsidR="00345DC1" w:rsidRDefault="00DB08CC">
      <w:pPr>
        <w:spacing w:line="288" w:lineRule="exact"/>
        <w:jc w:val="both"/>
        <w:textAlignment w:val="baseline"/>
        <w:rPr>
          <w:rFonts w:ascii="Arial" w:eastAsia="Arial" w:hAnsi="Arial"/>
          <w:b/>
          <w:color w:val="000000"/>
          <w:sz w:val="19"/>
        </w:rPr>
      </w:pPr>
      <w:r>
        <w:rPr>
          <w:rFonts w:ascii="Arial" w:eastAsia="Arial" w:hAnsi="Arial"/>
          <w:b/>
          <w:color w:val="000000"/>
          <w:sz w:val="19"/>
        </w:rPr>
        <w:lastRenderedPageBreak/>
        <w:t>This report: has been prepared by GHD for Client and may only be used and relied on by Client for the purpose agreed between GHD and the Client as set out in Section 3 of this report.</w:t>
      </w:r>
    </w:p>
    <w:p w14:paraId="4677C0E2" w14:textId="77777777" w:rsidR="00345DC1" w:rsidRDefault="00DB08CC">
      <w:pPr>
        <w:spacing w:before="121" w:line="345" w:lineRule="exact"/>
        <w:jc w:val="both"/>
        <w:textAlignment w:val="baseline"/>
        <w:rPr>
          <w:rFonts w:ascii="Arial" w:eastAsia="Arial" w:hAnsi="Arial"/>
          <w:b/>
          <w:color w:val="000000"/>
          <w:sz w:val="19"/>
        </w:rPr>
      </w:pPr>
      <w:r>
        <w:rPr>
          <w:rFonts w:ascii="Arial" w:eastAsia="Arial" w:hAnsi="Arial"/>
          <w:b/>
          <w:color w:val="000000"/>
          <w:sz w:val="19"/>
        </w:rPr>
        <w:t>GHD otherwise disclaims responsibility to any person other than Client a</w:t>
      </w:r>
      <w:r>
        <w:rPr>
          <w:rFonts w:ascii="Arial" w:eastAsia="Arial" w:hAnsi="Arial"/>
          <w:b/>
          <w:color w:val="000000"/>
          <w:sz w:val="19"/>
        </w:rPr>
        <w:t>rising in connection with this report. GHD also excludes implied warranties and conditions, to the extent legally permissible.</w:t>
      </w:r>
    </w:p>
    <w:p w14:paraId="7B2F73BE" w14:textId="77777777" w:rsidR="00345DC1" w:rsidRDefault="00DB08CC">
      <w:pPr>
        <w:spacing w:before="125" w:line="341" w:lineRule="exact"/>
        <w:jc w:val="both"/>
        <w:textAlignment w:val="baseline"/>
        <w:rPr>
          <w:rFonts w:ascii="Arial" w:eastAsia="Arial" w:hAnsi="Arial"/>
          <w:b/>
          <w:color w:val="000000"/>
          <w:sz w:val="19"/>
        </w:rPr>
      </w:pPr>
      <w:r>
        <w:rPr>
          <w:rFonts w:ascii="Arial" w:eastAsia="Arial" w:hAnsi="Arial"/>
          <w:b/>
          <w:color w:val="000000"/>
          <w:sz w:val="19"/>
        </w:rPr>
        <w:t>The services undertaken by GHD in connection with preparing this report were limited to those specifically detailed in the report and are subject to the scope limitations set out in the report.</w:t>
      </w:r>
    </w:p>
    <w:p w14:paraId="66783176" w14:textId="77777777" w:rsidR="00345DC1" w:rsidRDefault="00DB08CC">
      <w:pPr>
        <w:spacing w:before="121" w:line="345" w:lineRule="exact"/>
        <w:jc w:val="both"/>
        <w:textAlignment w:val="baseline"/>
        <w:rPr>
          <w:rFonts w:ascii="Arial" w:eastAsia="Arial" w:hAnsi="Arial"/>
          <w:b/>
          <w:color w:val="000000"/>
          <w:spacing w:val="-4"/>
          <w:sz w:val="19"/>
        </w:rPr>
      </w:pPr>
      <w:r>
        <w:rPr>
          <w:rFonts w:ascii="Arial" w:eastAsia="Arial" w:hAnsi="Arial"/>
          <w:b/>
          <w:color w:val="000000"/>
          <w:spacing w:val="-4"/>
          <w:sz w:val="19"/>
        </w:rPr>
        <w:t>The opinions, conclusions and any recommendations in this repo</w:t>
      </w:r>
      <w:r>
        <w:rPr>
          <w:rFonts w:ascii="Arial" w:eastAsia="Arial" w:hAnsi="Arial"/>
          <w:b/>
          <w:color w:val="000000"/>
          <w:spacing w:val="-4"/>
          <w:sz w:val="19"/>
        </w:rPr>
        <w:t xml:space="preserve">rt are based on conditions encountered and information reviewed at the date of preparation of the report. GHD has no responsibility or obligation to update this report to account for events or changes occurring </w:t>
      </w:r>
      <w:proofErr w:type="gramStart"/>
      <w:r>
        <w:rPr>
          <w:rFonts w:ascii="Arial" w:eastAsia="Arial" w:hAnsi="Arial"/>
          <w:b/>
          <w:color w:val="000000"/>
          <w:spacing w:val="-4"/>
          <w:sz w:val="19"/>
        </w:rPr>
        <w:t>subsequent to</w:t>
      </w:r>
      <w:proofErr w:type="gramEnd"/>
      <w:r>
        <w:rPr>
          <w:rFonts w:ascii="Arial" w:eastAsia="Arial" w:hAnsi="Arial"/>
          <w:b/>
          <w:color w:val="000000"/>
          <w:spacing w:val="-4"/>
          <w:sz w:val="19"/>
        </w:rPr>
        <w:t xml:space="preserve"> the date that the report was pr</w:t>
      </w:r>
      <w:r>
        <w:rPr>
          <w:rFonts w:ascii="Arial" w:eastAsia="Arial" w:hAnsi="Arial"/>
          <w:b/>
          <w:color w:val="000000"/>
          <w:spacing w:val="-4"/>
          <w:sz w:val="19"/>
        </w:rPr>
        <w:t>epared.</w:t>
      </w:r>
    </w:p>
    <w:p w14:paraId="2C0E7C5F" w14:textId="77777777" w:rsidR="00345DC1" w:rsidRDefault="00DB08CC">
      <w:pPr>
        <w:spacing w:before="120" w:line="346" w:lineRule="exact"/>
        <w:jc w:val="both"/>
        <w:textAlignment w:val="baseline"/>
        <w:rPr>
          <w:rFonts w:ascii="Arial" w:eastAsia="Arial" w:hAnsi="Arial"/>
          <w:b/>
          <w:color w:val="000000"/>
          <w:sz w:val="19"/>
        </w:rPr>
      </w:pPr>
      <w:r>
        <w:rPr>
          <w:rFonts w:ascii="Arial" w:eastAsia="Arial" w:hAnsi="Arial"/>
          <w:b/>
          <w:color w:val="000000"/>
          <w:sz w:val="19"/>
        </w:rPr>
        <w:t>The opinions, conclusions and any recommendations in this report are based on assumptions made by GHD described in this report. GHD disclaims liability arising from any of the assumptions being incorrect.</w:t>
      </w:r>
    </w:p>
    <w:p w14:paraId="42C60FB2" w14:textId="77777777" w:rsidR="00345DC1" w:rsidRDefault="00DB08CC">
      <w:pPr>
        <w:spacing w:before="121" w:after="8361" w:line="344" w:lineRule="exact"/>
        <w:jc w:val="both"/>
        <w:textAlignment w:val="baseline"/>
        <w:rPr>
          <w:rFonts w:ascii="Arial" w:eastAsia="Arial" w:hAnsi="Arial"/>
          <w:b/>
          <w:color w:val="000000"/>
          <w:spacing w:val="-5"/>
          <w:sz w:val="19"/>
        </w:rPr>
      </w:pPr>
      <w:r>
        <w:rPr>
          <w:rFonts w:ascii="Arial" w:eastAsia="Arial" w:hAnsi="Arial"/>
          <w:b/>
          <w:color w:val="000000"/>
          <w:spacing w:val="-5"/>
          <w:sz w:val="19"/>
        </w:rPr>
        <w:t xml:space="preserve">GHD has prepared this report </w:t>
      </w:r>
      <w:proofErr w:type="gramStart"/>
      <w:r>
        <w:rPr>
          <w:rFonts w:ascii="Arial" w:eastAsia="Arial" w:hAnsi="Arial"/>
          <w:b/>
          <w:color w:val="000000"/>
          <w:spacing w:val="-5"/>
          <w:sz w:val="19"/>
        </w:rPr>
        <w:t>on the basis o</w:t>
      </w:r>
      <w:r>
        <w:rPr>
          <w:rFonts w:ascii="Arial" w:eastAsia="Arial" w:hAnsi="Arial"/>
          <w:b/>
          <w:color w:val="000000"/>
          <w:spacing w:val="-5"/>
          <w:sz w:val="19"/>
        </w:rPr>
        <w:t>f</w:t>
      </w:r>
      <w:proofErr w:type="gramEnd"/>
      <w:r>
        <w:rPr>
          <w:rFonts w:ascii="Arial" w:eastAsia="Arial" w:hAnsi="Arial"/>
          <w:b/>
          <w:color w:val="000000"/>
          <w:spacing w:val="-5"/>
          <w:sz w:val="19"/>
        </w:rPr>
        <w:t xml:space="preserve"> information provided by Client and others who provided information to GHD (including Government authorities)], which GHD has not independently verified or checked beyond the agreed scope of work. GHD does not accept liability in connection with such unve</w:t>
      </w:r>
      <w:r>
        <w:rPr>
          <w:rFonts w:ascii="Arial" w:eastAsia="Arial" w:hAnsi="Arial"/>
          <w:b/>
          <w:color w:val="000000"/>
          <w:spacing w:val="-5"/>
          <w:sz w:val="19"/>
        </w:rPr>
        <w:t>rified information, including errors and omissions in the report which were caused by errors or omissions in that information.</w:t>
      </w:r>
    </w:p>
    <w:p w14:paraId="4354E892" w14:textId="77777777" w:rsidR="00345DC1" w:rsidRDefault="00345DC1">
      <w:pPr>
        <w:spacing w:before="121" w:after="8361" w:line="344" w:lineRule="exact"/>
        <w:sectPr w:rsidR="00345DC1">
          <w:pgSz w:w="11909" w:h="16838"/>
          <w:pgMar w:top="1560" w:right="1131" w:bottom="262" w:left="1132" w:header="720" w:footer="720" w:gutter="0"/>
          <w:cols w:space="720"/>
        </w:sectPr>
      </w:pPr>
    </w:p>
    <w:p w14:paraId="2B6AF8C4" w14:textId="77777777" w:rsidR="00345DC1" w:rsidRDefault="00DB08CC">
      <w:pPr>
        <w:spacing w:before="1" w:line="142" w:lineRule="exact"/>
        <w:ind w:left="576"/>
        <w:textAlignment w:val="baseline"/>
        <w:rPr>
          <w:rFonts w:ascii="Arial" w:eastAsia="Arial" w:hAnsi="Arial"/>
          <w:b/>
          <w:color w:val="000000"/>
          <w:sz w:val="14"/>
        </w:rPr>
      </w:pPr>
      <w:r>
        <w:rPr>
          <w:rFonts w:ascii="Arial" w:eastAsia="Arial" w:hAnsi="Arial"/>
          <w:b/>
          <w:color w:val="000000"/>
          <w:sz w:val="14"/>
        </w:rPr>
        <w:t>GHD ADVISORY</w:t>
      </w:r>
    </w:p>
    <w:p w14:paraId="41D634DF" w14:textId="77777777" w:rsidR="00345DC1" w:rsidRDefault="00DB08CC">
      <w:pPr>
        <w:spacing w:line="123" w:lineRule="exact"/>
        <w:ind w:left="144"/>
        <w:textAlignment w:val="baseline"/>
        <w:rPr>
          <w:rFonts w:ascii="Arial" w:eastAsia="Arial" w:hAnsi="Arial"/>
          <w:b/>
          <w:color w:val="FFFFFF"/>
          <w:sz w:val="14"/>
          <w:shd w:val="solid" w:color="006391" w:fill="006391"/>
        </w:rPr>
      </w:pPr>
      <w:r>
        <w:rPr>
          <w:rFonts w:ascii="Arial" w:eastAsia="Arial" w:hAnsi="Arial"/>
          <w:b/>
          <w:color w:val="FFFFFF"/>
          <w:sz w:val="14"/>
          <w:shd w:val="solid" w:color="006391" w:fill="006391"/>
        </w:rPr>
        <w:t>1</w:t>
      </w:r>
    </w:p>
    <w:p w14:paraId="51B7154B" w14:textId="77777777" w:rsidR="00345DC1" w:rsidRDefault="00DB08CC">
      <w:pPr>
        <w:spacing w:line="140" w:lineRule="exact"/>
        <w:ind w:left="576"/>
        <w:textAlignment w:val="baseline"/>
        <w:rPr>
          <w:rFonts w:ascii="Arial" w:eastAsia="Arial" w:hAnsi="Arial"/>
          <w:b/>
          <w:color w:val="000000"/>
          <w:spacing w:val="-5"/>
          <w:sz w:val="14"/>
        </w:rPr>
      </w:pPr>
      <w:r>
        <w:rPr>
          <w:rFonts w:ascii="Arial" w:eastAsia="Arial" w:hAnsi="Arial"/>
          <w:b/>
          <w:color w:val="000000"/>
          <w:spacing w:val="-5"/>
          <w:sz w:val="14"/>
        </w:rPr>
        <w:t>Review of Goulburn Murray Water (GMW) Water</w:t>
      </w:r>
    </w:p>
    <w:p w14:paraId="77B8C69E" w14:textId="77777777" w:rsidR="00345DC1" w:rsidRDefault="00DB08CC">
      <w:pPr>
        <w:spacing w:before="3" w:line="165" w:lineRule="exact"/>
        <w:ind w:left="576"/>
        <w:textAlignment w:val="baseline"/>
        <w:rPr>
          <w:rFonts w:ascii="Arial" w:eastAsia="Arial" w:hAnsi="Arial"/>
          <w:b/>
          <w:color w:val="000000"/>
          <w:spacing w:val="-5"/>
          <w:sz w:val="14"/>
        </w:rPr>
      </w:pPr>
      <w:r>
        <w:rPr>
          <w:rFonts w:ascii="Arial" w:eastAsia="Arial" w:hAnsi="Arial"/>
          <w:b/>
          <w:color w:val="000000"/>
          <w:spacing w:val="-5"/>
          <w:sz w:val="14"/>
        </w:rPr>
        <w:t>Efficiency Project</w:t>
      </w:r>
    </w:p>
    <w:p w14:paraId="06A89C94" w14:textId="77777777" w:rsidR="00345DC1" w:rsidRDefault="00345DC1">
      <w:pPr>
        <w:sectPr w:rsidR="00345DC1">
          <w:type w:val="continuous"/>
          <w:pgSz w:w="11909" w:h="16838"/>
          <w:pgMar w:top="1560" w:right="7144" w:bottom="262" w:left="1125" w:header="720" w:footer="720" w:gutter="0"/>
          <w:cols w:space="720"/>
        </w:sectPr>
      </w:pPr>
    </w:p>
    <w:p w14:paraId="0D8B92F0" w14:textId="77777777" w:rsidR="00345DC1" w:rsidRDefault="00DB08CC">
      <w:pPr>
        <w:spacing w:before="10" w:after="100" w:line="548" w:lineRule="exact"/>
        <w:textAlignment w:val="baseline"/>
        <w:rPr>
          <w:rFonts w:ascii="Arial" w:eastAsia="Arial" w:hAnsi="Arial"/>
          <w:b/>
          <w:color w:val="006CA2"/>
          <w:spacing w:val="25"/>
          <w:sz w:val="47"/>
        </w:rPr>
      </w:pPr>
      <w:r>
        <w:rPr>
          <w:rFonts w:ascii="Arial" w:eastAsia="Arial" w:hAnsi="Arial"/>
          <w:b/>
          <w:color w:val="006CA2"/>
          <w:spacing w:val="25"/>
          <w:sz w:val="47"/>
        </w:rPr>
        <w:lastRenderedPageBreak/>
        <w:t>1. Executive Summary</w:t>
      </w:r>
    </w:p>
    <w:p w14:paraId="3E90CB5E" w14:textId="77777777" w:rsidR="00345DC1" w:rsidRDefault="00DB08CC">
      <w:pPr>
        <w:spacing w:line="349" w:lineRule="exact"/>
        <w:jc w:val="both"/>
        <w:textAlignment w:val="baseline"/>
        <w:rPr>
          <w:rFonts w:ascii="Arial" w:eastAsia="Arial" w:hAnsi="Arial"/>
          <w:color w:val="000000"/>
          <w:sz w:val="20"/>
        </w:rPr>
      </w:pPr>
      <w:r>
        <w:rPr>
          <w:rFonts w:ascii="Arial" w:eastAsia="Arial" w:hAnsi="Arial"/>
          <w:color w:val="000000"/>
          <w:sz w:val="20"/>
        </w:rPr>
        <w:t xml:space="preserve">The Victorian Government has submitted a proposal encompassing two (2) projects (business cases) for Department of Agriculture, </w:t>
      </w:r>
      <w:proofErr w:type="gramStart"/>
      <w:r>
        <w:rPr>
          <w:rFonts w:ascii="Arial" w:eastAsia="Arial" w:hAnsi="Arial"/>
          <w:color w:val="000000"/>
          <w:sz w:val="20"/>
        </w:rPr>
        <w:t>Water</w:t>
      </w:r>
      <w:proofErr w:type="gramEnd"/>
      <w:r>
        <w:rPr>
          <w:rFonts w:ascii="Arial" w:eastAsia="Arial" w:hAnsi="Arial"/>
          <w:color w:val="000000"/>
          <w:sz w:val="20"/>
        </w:rPr>
        <w:t xml:space="preserve"> and the Environment (the Department), funding consideration through the Murray Darling Basin Plan Water Efficiency Program</w:t>
      </w:r>
      <w:r>
        <w:rPr>
          <w:rFonts w:ascii="Arial" w:eastAsia="Arial" w:hAnsi="Arial"/>
          <w:color w:val="000000"/>
          <w:sz w:val="20"/>
        </w:rPr>
        <w:t>.</w:t>
      </w:r>
    </w:p>
    <w:p w14:paraId="53D6A83E" w14:textId="77777777" w:rsidR="00345DC1" w:rsidRDefault="00DB08CC">
      <w:pPr>
        <w:spacing w:before="105" w:line="349" w:lineRule="exact"/>
        <w:jc w:val="both"/>
        <w:textAlignment w:val="baseline"/>
        <w:rPr>
          <w:rFonts w:ascii="Arial" w:eastAsia="Arial" w:hAnsi="Arial"/>
          <w:color w:val="000000"/>
          <w:sz w:val="20"/>
        </w:rPr>
      </w:pPr>
      <w:r>
        <w:rPr>
          <w:rFonts w:ascii="Arial" w:eastAsia="Arial" w:hAnsi="Arial"/>
          <w:color w:val="000000"/>
          <w:sz w:val="20"/>
        </w:rPr>
        <w:t xml:space="preserve">The two projects, the Backbone Transformation Project (BTP) and the </w:t>
      </w:r>
      <w:proofErr w:type="spellStart"/>
      <w:r>
        <w:rPr>
          <w:rFonts w:ascii="Arial" w:eastAsia="Arial" w:hAnsi="Arial"/>
          <w:color w:val="000000"/>
          <w:sz w:val="20"/>
        </w:rPr>
        <w:t>Shepparton</w:t>
      </w:r>
      <w:proofErr w:type="spellEnd"/>
      <w:r>
        <w:rPr>
          <w:rFonts w:ascii="Arial" w:eastAsia="Arial" w:hAnsi="Arial"/>
          <w:color w:val="000000"/>
          <w:sz w:val="20"/>
        </w:rPr>
        <w:t xml:space="preserve"> East Project (SEP) would be delivered under a single funding agreement and would share a common governance model for the works required to deliver the forecast water savings.</w:t>
      </w:r>
    </w:p>
    <w:p w14:paraId="6D013D38" w14:textId="77777777" w:rsidR="00345DC1" w:rsidRDefault="00DB08CC">
      <w:pPr>
        <w:spacing w:before="103" w:line="349" w:lineRule="exact"/>
        <w:jc w:val="both"/>
        <w:textAlignment w:val="baseline"/>
        <w:rPr>
          <w:rFonts w:ascii="Arial" w:eastAsia="Arial" w:hAnsi="Arial"/>
          <w:color w:val="000000"/>
          <w:sz w:val="20"/>
        </w:rPr>
      </w:pPr>
      <w:r>
        <w:rPr>
          <w:rFonts w:ascii="Arial" w:eastAsia="Arial" w:hAnsi="Arial"/>
          <w:color w:val="000000"/>
          <w:sz w:val="20"/>
        </w:rPr>
        <w:t xml:space="preserve">The BTP would build upon previous </w:t>
      </w:r>
      <w:proofErr w:type="spellStart"/>
      <w:r>
        <w:rPr>
          <w:rFonts w:ascii="Arial" w:eastAsia="Arial" w:hAnsi="Arial"/>
          <w:color w:val="000000"/>
          <w:sz w:val="20"/>
        </w:rPr>
        <w:t>modernisation</w:t>
      </w:r>
      <w:proofErr w:type="spellEnd"/>
      <w:r>
        <w:rPr>
          <w:rFonts w:ascii="Arial" w:eastAsia="Arial" w:hAnsi="Arial"/>
          <w:color w:val="000000"/>
          <w:sz w:val="20"/>
        </w:rPr>
        <w:t xml:space="preserve"> works undertaken as part of the GMW Connections Project whilst incorporating further asset </w:t>
      </w:r>
      <w:proofErr w:type="spellStart"/>
      <w:r>
        <w:rPr>
          <w:rFonts w:ascii="Arial" w:eastAsia="Arial" w:hAnsi="Arial"/>
          <w:color w:val="000000"/>
          <w:sz w:val="20"/>
        </w:rPr>
        <w:t>rationalisation</w:t>
      </w:r>
      <w:proofErr w:type="spellEnd"/>
      <w:r>
        <w:rPr>
          <w:rFonts w:ascii="Arial" w:eastAsia="Arial" w:hAnsi="Arial"/>
          <w:color w:val="000000"/>
          <w:sz w:val="20"/>
        </w:rPr>
        <w:t xml:space="preserve"> and </w:t>
      </w:r>
      <w:proofErr w:type="spellStart"/>
      <w:r>
        <w:rPr>
          <w:rFonts w:ascii="Arial" w:eastAsia="Arial" w:hAnsi="Arial"/>
          <w:color w:val="000000"/>
          <w:sz w:val="20"/>
        </w:rPr>
        <w:t>modernisation</w:t>
      </w:r>
      <w:proofErr w:type="spellEnd"/>
      <w:r>
        <w:rPr>
          <w:rFonts w:ascii="Arial" w:eastAsia="Arial" w:hAnsi="Arial"/>
          <w:color w:val="000000"/>
          <w:sz w:val="20"/>
        </w:rPr>
        <w:t xml:space="preserve"> with the aim of delivering 14.7 GL of water savings at a total cost of $164.5 milli</w:t>
      </w:r>
      <w:r>
        <w:rPr>
          <w:rFonts w:ascii="Arial" w:eastAsia="Arial" w:hAnsi="Arial"/>
          <w:color w:val="000000"/>
          <w:sz w:val="20"/>
        </w:rPr>
        <w:t xml:space="preserve">on. The SEP would focus on </w:t>
      </w:r>
      <w:proofErr w:type="spellStart"/>
      <w:r>
        <w:rPr>
          <w:rFonts w:ascii="Arial" w:eastAsia="Arial" w:hAnsi="Arial"/>
          <w:color w:val="000000"/>
          <w:sz w:val="20"/>
        </w:rPr>
        <w:t>rationalising</w:t>
      </w:r>
      <w:proofErr w:type="spellEnd"/>
      <w:r>
        <w:rPr>
          <w:rFonts w:ascii="Arial" w:eastAsia="Arial" w:hAnsi="Arial"/>
          <w:color w:val="000000"/>
          <w:sz w:val="20"/>
        </w:rPr>
        <w:t xml:space="preserve"> existing infrastructure and </w:t>
      </w:r>
      <w:proofErr w:type="spellStart"/>
      <w:r>
        <w:rPr>
          <w:rFonts w:ascii="Arial" w:eastAsia="Arial" w:hAnsi="Arial"/>
          <w:color w:val="000000"/>
          <w:sz w:val="20"/>
        </w:rPr>
        <w:t>modernising</w:t>
      </w:r>
      <w:proofErr w:type="spellEnd"/>
      <w:r>
        <w:rPr>
          <w:rFonts w:ascii="Arial" w:eastAsia="Arial" w:hAnsi="Arial"/>
          <w:color w:val="000000"/>
          <w:sz w:val="20"/>
        </w:rPr>
        <w:t xml:space="preserve"> the remaining sections of the water delivery system in </w:t>
      </w:r>
      <w:proofErr w:type="spellStart"/>
      <w:proofErr w:type="gramStart"/>
      <w:r>
        <w:rPr>
          <w:rFonts w:ascii="Arial" w:eastAsia="Arial" w:hAnsi="Arial"/>
          <w:color w:val="000000"/>
          <w:sz w:val="20"/>
        </w:rPr>
        <w:t>Shepparton</w:t>
      </w:r>
      <w:proofErr w:type="spellEnd"/>
      <w:r>
        <w:rPr>
          <w:rFonts w:ascii="Arial" w:eastAsia="Arial" w:hAnsi="Arial"/>
          <w:color w:val="000000"/>
          <w:sz w:val="20"/>
        </w:rPr>
        <w:t xml:space="preserve"> East, and</w:t>
      </w:r>
      <w:proofErr w:type="gramEnd"/>
      <w:r>
        <w:rPr>
          <w:rFonts w:ascii="Arial" w:eastAsia="Arial" w:hAnsi="Arial"/>
          <w:color w:val="000000"/>
          <w:sz w:val="20"/>
        </w:rPr>
        <w:t xml:space="preserve"> would aim to deliver 1.2 GL of water savings at a total cost of $13.0 million.</w:t>
      </w:r>
    </w:p>
    <w:p w14:paraId="6396805B" w14:textId="77777777" w:rsidR="00345DC1" w:rsidRDefault="00DB08CC">
      <w:pPr>
        <w:spacing w:before="105" w:line="349" w:lineRule="exact"/>
        <w:ind w:right="288"/>
        <w:jc w:val="both"/>
        <w:textAlignment w:val="baseline"/>
        <w:rPr>
          <w:rFonts w:ascii="Arial" w:eastAsia="Arial" w:hAnsi="Arial"/>
          <w:color w:val="000000"/>
          <w:sz w:val="20"/>
        </w:rPr>
      </w:pPr>
      <w:r>
        <w:rPr>
          <w:rFonts w:ascii="Arial" w:eastAsia="Arial" w:hAnsi="Arial"/>
          <w:color w:val="000000"/>
          <w:sz w:val="20"/>
        </w:rPr>
        <w:t>Both projects provid</w:t>
      </w:r>
      <w:r>
        <w:rPr>
          <w:rFonts w:ascii="Arial" w:eastAsia="Arial" w:hAnsi="Arial"/>
          <w:color w:val="000000"/>
          <w:sz w:val="20"/>
        </w:rPr>
        <w:t>e the opportunity for the recovery of water through investment in efficiency measures, which will generate benefits for local and regional communities, reduce the ongoing asset financial liability and achieve environmental enhancements</w:t>
      </w:r>
    </w:p>
    <w:p w14:paraId="1FC71C5F" w14:textId="77777777" w:rsidR="00345DC1" w:rsidRDefault="00DB08CC">
      <w:pPr>
        <w:spacing w:before="47" w:line="349" w:lineRule="exact"/>
        <w:jc w:val="both"/>
        <w:textAlignment w:val="baseline"/>
        <w:rPr>
          <w:rFonts w:ascii="Arial" w:eastAsia="Arial" w:hAnsi="Arial"/>
          <w:color w:val="000000"/>
          <w:sz w:val="20"/>
        </w:rPr>
      </w:pPr>
      <w:r>
        <w:rPr>
          <w:rFonts w:ascii="Arial" w:eastAsia="Arial" w:hAnsi="Arial"/>
          <w:color w:val="000000"/>
          <w:sz w:val="20"/>
        </w:rPr>
        <w:t>To support considera</w:t>
      </w:r>
      <w:r>
        <w:rPr>
          <w:rFonts w:ascii="Arial" w:eastAsia="Arial" w:hAnsi="Arial"/>
          <w:color w:val="000000"/>
          <w:sz w:val="20"/>
        </w:rPr>
        <w:t>tion of the investment for the BTP and the SEP, the Department commissioned an independent due diligence assessment of the Victorian Government proposal. This assessment undertaken by GHD Advisory has now been completed across the following three enquiry a</w:t>
      </w:r>
      <w:r>
        <w:rPr>
          <w:rFonts w:ascii="Arial" w:eastAsia="Arial" w:hAnsi="Arial"/>
          <w:color w:val="000000"/>
          <w:sz w:val="20"/>
        </w:rPr>
        <w:t>reas:</w:t>
      </w:r>
    </w:p>
    <w:p w14:paraId="34981EE9" w14:textId="77777777" w:rsidR="00345DC1" w:rsidRDefault="00DB08CC">
      <w:pPr>
        <w:numPr>
          <w:ilvl w:val="0"/>
          <w:numId w:val="2"/>
        </w:numPr>
        <w:tabs>
          <w:tab w:val="clear" w:pos="360"/>
          <w:tab w:val="left" w:pos="720"/>
        </w:tabs>
        <w:spacing w:before="217" w:line="250" w:lineRule="exact"/>
        <w:ind w:left="720" w:hanging="360"/>
        <w:textAlignment w:val="baseline"/>
        <w:rPr>
          <w:rFonts w:ascii="Arial" w:eastAsia="Arial" w:hAnsi="Arial"/>
          <w:b/>
          <w:color w:val="000000"/>
          <w:sz w:val="20"/>
        </w:rPr>
      </w:pPr>
      <w:r>
        <w:rPr>
          <w:rFonts w:ascii="Arial" w:eastAsia="Arial" w:hAnsi="Arial"/>
          <w:b/>
          <w:color w:val="000000"/>
          <w:sz w:val="20"/>
        </w:rPr>
        <w:t xml:space="preserve">Enquiry 1: </w:t>
      </w:r>
      <w:r>
        <w:rPr>
          <w:rFonts w:ascii="Arial" w:eastAsia="Arial" w:hAnsi="Arial"/>
          <w:color w:val="000000"/>
          <w:sz w:val="20"/>
        </w:rPr>
        <w:t>Are the proposed works likely to generate the proposed water savings?</w:t>
      </w:r>
    </w:p>
    <w:p w14:paraId="4AE6A58A" w14:textId="77777777" w:rsidR="00345DC1" w:rsidRDefault="00DB08CC">
      <w:pPr>
        <w:numPr>
          <w:ilvl w:val="0"/>
          <w:numId w:val="2"/>
        </w:numPr>
        <w:tabs>
          <w:tab w:val="clear" w:pos="360"/>
          <w:tab w:val="left" w:pos="720"/>
        </w:tabs>
        <w:spacing w:before="215" w:line="250" w:lineRule="exact"/>
        <w:ind w:left="720" w:hanging="360"/>
        <w:textAlignment w:val="baseline"/>
        <w:rPr>
          <w:rFonts w:ascii="Arial" w:eastAsia="Arial" w:hAnsi="Arial"/>
          <w:b/>
          <w:color w:val="000000"/>
          <w:sz w:val="20"/>
        </w:rPr>
      </w:pPr>
      <w:r>
        <w:rPr>
          <w:rFonts w:ascii="Arial" w:eastAsia="Arial" w:hAnsi="Arial"/>
          <w:b/>
          <w:color w:val="000000"/>
          <w:sz w:val="20"/>
        </w:rPr>
        <w:t>Enquiry 2</w:t>
      </w:r>
      <w:r>
        <w:rPr>
          <w:rFonts w:ascii="Arial" w:eastAsia="Arial" w:hAnsi="Arial"/>
          <w:color w:val="000000"/>
          <w:sz w:val="20"/>
        </w:rPr>
        <w:t>: Are the costs consistent with the nature of the works?</w:t>
      </w:r>
    </w:p>
    <w:p w14:paraId="0D697142" w14:textId="77777777" w:rsidR="00345DC1" w:rsidRDefault="00DB08CC">
      <w:pPr>
        <w:numPr>
          <w:ilvl w:val="0"/>
          <w:numId w:val="2"/>
        </w:numPr>
        <w:tabs>
          <w:tab w:val="clear" w:pos="360"/>
          <w:tab w:val="left" w:pos="720"/>
        </w:tabs>
        <w:spacing w:before="113" w:line="349" w:lineRule="exact"/>
        <w:ind w:left="720" w:hanging="360"/>
        <w:jc w:val="both"/>
        <w:textAlignment w:val="baseline"/>
        <w:rPr>
          <w:rFonts w:ascii="Arial" w:eastAsia="Arial" w:hAnsi="Arial"/>
          <w:b/>
          <w:color w:val="000000"/>
          <w:sz w:val="20"/>
        </w:rPr>
      </w:pPr>
      <w:r>
        <w:rPr>
          <w:rFonts w:ascii="Arial" w:eastAsia="Arial" w:hAnsi="Arial"/>
          <w:b/>
          <w:color w:val="000000"/>
          <w:sz w:val="20"/>
        </w:rPr>
        <w:t>Enquiry 3</w:t>
      </w:r>
      <w:r>
        <w:rPr>
          <w:rFonts w:ascii="Arial" w:eastAsia="Arial" w:hAnsi="Arial"/>
          <w:color w:val="000000"/>
          <w:sz w:val="20"/>
        </w:rPr>
        <w:t>: What extent does the detailed budget demonstrate appropriate costings that reflect market realities – including the appropriateness of any contingency costs and escalations?</w:t>
      </w:r>
    </w:p>
    <w:p w14:paraId="212AA774" w14:textId="77777777" w:rsidR="00345DC1" w:rsidRDefault="00DB08CC">
      <w:pPr>
        <w:spacing w:before="101" w:line="349" w:lineRule="exact"/>
        <w:jc w:val="both"/>
        <w:textAlignment w:val="baseline"/>
        <w:rPr>
          <w:rFonts w:ascii="Arial" w:eastAsia="Arial" w:hAnsi="Arial"/>
          <w:color w:val="000000"/>
          <w:sz w:val="20"/>
        </w:rPr>
      </w:pPr>
      <w:r>
        <w:rPr>
          <w:rFonts w:ascii="Arial" w:eastAsia="Arial" w:hAnsi="Arial"/>
          <w:color w:val="000000"/>
          <w:sz w:val="20"/>
        </w:rPr>
        <w:t xml:space="preserve">Based on data provided, the estimated water savings for both projects have been </w:t>
      </w:r>
      <w:r>
        <w:rPr>
          <w:rFonts w:ascii="Arial" w:eastAsia="Arial" w:hAnsi="Arial"/>
          <w:color w:val="000000"/>
          <w:sz w:val="20"/>
        </w:rPr>
        <w:t xml:space="preserve">calculated in accordance with the Victorian Government’s Water Savings Protocol. The BTP estimated water savings </w:t>
      </w:r>
      <w:proofErr w:type="gramStart"/>
      <w:r>
        <w:rPr>
          <w:rFonts w:ascii="Arial" w:eastAsia="Arial" w:hAnsi="Arial"/>
          <w:color w:val="000000"/>
          <w:sz w:val="20"/>
        </w:rPr>
        <w:t>are considered to be</w:t>
      </w:r>
      <w:proofErr w:type="gramEnd"/>
      <w:r>
        <w:rPr>
          <w:rFonts w:ascii="Arial" w:eastAsia="Arial" w:hAnsi="Arial"/>
          <w:color w:val="000000"/>
          <w:sz w:val="20"/>
        </w:rPr>
        <w:t xml:space="preserve"> achievable for the scope and type of water efficiency works proposed. For the SEP, no calculations or evidence of audit we</w:t>
      </w:r>
      <w:r>
        <w:rPr>
          <w:rFonts w:ascii="Arial" w:eastAsia="Arial" w:hAnsi="Arial"/>
          <w:color w:val="000000"/>
          <w:sz w:val="20"/>
        </w:rPr>
        <w:t>re provided in the proposal to enable forecasts water savings to be verified.</w:t>
      </w:r>
    </w:p>
    <w:p w14:paraId="7C66C2A3" w14:textId="77777777" w:rsidR="00345DC1" w:rsidRDefault="00DB08CC">
      <w:pPr>
        <w:spacing w:before="107" w:line="349" w:lineRule="exact"/>
        <w:jc w:val="both"/>
        <w:textAlignment w:val="baseline"/>
        <w:rPr>
          <w:rFonts w:ascii="Arial" w:eastAsia="Arial" w:hAnsi="Arial"/>
          <w:color w:val="000000"/>
          <w:sz w:val="20"/>
        </w:rPr>
      </w:pPr>
      <w:proofErr w:type="gramStart"/>
      <w:r>
        <w:rPr>
          <w:rFonts w:ascii="Arial" w:eastAsia="Arial" w:hAnsi="Arial"/>
          <w:color w:val="000000"/>
          <w:sz w:val="20"/>
        </w:rPr>
        <w:t>With regard to</w:t>
      </w:r>
      <w:proofErr w:type="gramEnd"/>
      <w:r>
        <w:rPr>
          <w:rFonts w:ascii="Arial" w:eastAsia="Arial" w:hAnsi="Arial"/>
          <w:color w:val="000000"/>
          <w:sz w:val="20"/>
        </w:rPr>
        <w:t xml:space="preserve"> consistency of costs and appropriate costings that reflect market realities, a detailed assessment is provided at </w:t>
      </w:r>
      <w:r>
        <w:rPr>
          <w:rFonts w:ascii="Arial" w:eastAsia="Arial" w:hAnsi="Arial"/>
          <w:color w:val="000000"/>
          <w:sz w:val="20"/>
          <w:u w:val="single"/>
        </w:rPr>
        <w:t>Section 7</w:t>
      </w:r>
      <w:r>
        <w:rPr>
          <w:rFonts w:ascii="Arial" w:eastAsia="Arial" w:hAnsi="Arial"/>
          <w:color w:val="000000"/>
          <w:sz w:val="20"/>
        </w:rPr>
        <w:t>. The Department may wish to consider ob</w:t>
      </w:r>
      <w:r>
        <w:rPr>
          <w:rFonts w:ascii="Arial" w:eastAsia="Arial" w:hAnsi="Arial"/>
          <w:color w:val="000000"/>
          <w:sz w:val="20"/>
        </w:rPr>
        <w:t xml:space="preserve">taining additional information from the Victorian Government to reduce the uncertainty of cost risks highlighted in this report and detailed at </w:t>
      </w:r>
      <w:r>
        <w:rPr>
          <w:rFonts w:ascii="Arial" w:eastAsia="Arial" w:hAnsi="Arial"/>
          <w:color w:val="000000"/>
          <w:sz w:val="20"/>
          <w:u w:val="single"/>
        </w:rPr>
        <w:t>Section 8</w:t>
      </w:r>
      <w:r>
        <w:rPr>
          <w:rFonts w:ascii="Arial" w:eastAsia="Arial" w:hAnsi="Arial"/>
          <w:color w:val="000000"/>
          <w:sz w:val="20"/>
        </w:rPr>
        <w:t>.</w:t>
      </w:r>
      <w:r>
        <w:rPr>
          <w:rFonts w:ascii="Arial" w:eastAsia="Arial" w:hAnsi="Arial"/>
          <w:color w:val="000000"/>
          <w:sz w:val="20"/>
          <w:u w:val="single"/>
        </w:rPr>
        <w:t xml:space="preserve"> </w:t>
      </w:r>
    </w:p>
    <w:p w14:paraId="0D45DB95" w14:textId="77777777" w:rsidR="00345DC1" w:rsidRDefault="00DB08CC">
      <w:pPr>
        <w:spacing w:before="106" w:line="349" w:lineRule="exact"/>
        <w:jc w:val="both"/>
        <w:textAlignment w:val="baseline"/>
        <w:rPr>
          <w:rFonts w:ascii="Arial" w:eastAsia="Arial" w:hAnsi="Arial"/>
          <w:color w:val="000000"/>
          <w:sz w:val="20"/>
        </w:rPr>
      </w:pPr>
      <w:r>
        <w:rPr>
          <w:rFonts w:ascii="Arial" w:eastAsia="Arial" w:hAnsi="Arial"/>
          <w:color w:val="000000"/>
          <w:sz w:val="20"/>
        </w:rPr>
        <w:t>If funding is approved for the BTP and SEP, the Department may also wish to consider adopting mechanisms to manage cost and water savings risk including (1) flexibility with regards to which sub-projects are delivered across BTP and SEP based on highest va</w:t>
      </w:r>
      <w:r>
        <w:rPr>
          <w:rFonts w:ascii="Arial" w:eastAsia="Arial" w:hAnsi="Arial"/>
          <w:color w:val="000000"/>
          <w:sz w:val="20"/>
        </w:rPr>
        <w:t>lue for money and customer acceptance; and (2) the provision of an additional risk allowance which covers the areas of cost risk uncertainty.</w:t>
      </w:r>
    </w:p>
    <w:p w14:paraId="4C059A0D" w14:textId="77777777" w:rsidR="00345DC1" w:rsidRDefault="00DB08CC">
      <w:pPr>
        <w:spacing w:before="1812"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0DF3C409" w14:textId="77777777" w:rsidR="00345DC1" w:rsidRDefault="00DB08CC">
      <w:pPr>
        <w:spacing w:line="124" w:lineRule="exact"/>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2</w:t>
      </w:r>
    </w:p>
    <w:p w14:paraId="5BB4428B" w14:textId="77777777" w:rsidR="00345DC1" w:rsidRDefault="00DB08CC">
      <w:pPr>
        <w:spacing w:line="139" w:lineRule="exact"/>
        <w:ind w:left="576"/>
        <w:textAlignment w:val="baseline"/>
        <w:rPr>
          <w:rFonts w:ascii="Arial" w:eastAsia="Arial" w:hAnsi="Arial"/>
          <w:color w:val="000000"/>
          <w:sz w:val="14"/>
        </w:rPr>
      </w:pPr>
      <w:r>
        <w:rPr>
          <w:rFonts w:ascii="Arial" w:eastAsia="Arial" w:hAnsi="Arial"/>
          <w:color w:val="000000"/>
          <w:sz w:val="14"/>
        </w:rPr>
        <w:t>Review of Goulburn Murray Water (GMW) Water</w:t>
      </w:r>
    </w:p>
    <w:p w14:paraId="2D69ADF5"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4A435337" w14:textId="77777777" w:rsidR="00345DC1" w:rsidRDefault="00345DC1">
      <w:pPr>
        <w:sectPr w:rsidR="00345DC1">
          <w:pgSz w:w="11909" w:h="16838"/>
          <w:pgMar w:top="580" w:right="1127" w:bottom="262" w:left="1132" w:header="720" w:footer="720" w:gutter="0"/>
          <w:cols w:space="720"/>
        </w:sectPr>
      </w:pPr>
    </w:p>
    <w:p w14:paraId="13DC3C33" w14:textId="77777777" w:rsidR="00345DC1" w:rsidRDefault="00DB08CC">
      <w:pPr>
        <w:numPr>
          <w:ilvl w:val="0"/>
          <w:numId w:val="3"/>
        </w:numPr>
        <w:spacing w:before="7" w:after="106" w:line="545" w:lineRule="exact"/>
        <w:textAlignment w:val="baseline"/>
        <w:rPr>
          <w:rFonts w:ascii="Arial" w:eastAsia="Arial" w:hAnsi="Arial"/>
          <w:b/>
          <w:color w:val="006CA2"/>
          <w:sz w:val="48"/>
        </w:rPr>
      </w:pPr>
      <w:r>
        <w:rPr>
          <w:rFonts w:ascii="Arial" w:eastAsia="Arial" w:hAnsi="Arial"/>
          <w:b/>
          <w:color w:val="006CA2"/>
          <w:sz w:val="48"/>
        </w:rPr>
        <w:lastRenderedPageBreak/>
        <w:t>Purpose of Report</w:t>
      </w:r>
    </w:p>
    <w:p w14:paraId="02FE347E" w14:textId="77777777" w:rsidR="00345DC1" w:rsidRDefault="00DB08CC">
      <w:pPr>
        <w:spacing w:line="345" w:lineRule="exact"/>
        <w:jc w:val="both"/>
        <w:textAlignment w:val="baseline"/>
        <w:rPr>
          <w:rFonts w:ascii="Arial" w:eastAsia="Arial" w:hAnsi="Arial"/>
          <w:color w:val="000000"/>
          <w:sz w:val="20"/>
        </w:rPr>
      </w:pPr>
      <w:r>
        <w:rPr>
          <w:rFonts w:ascii="Arial" w:eastAsia="Arial" w:hAnsi="Arial"/>
          <w:color w:val="000000"/>
          <w:sz w:val="20"/>
        </w:rPr>
        <w:t xml:space="preserve">GHD Pty Ltd was engaged by the Australian Government Department of Agriculture, </w:t>
      </w:r>
      <w:proofErr w:type="gramStart"/>
      <w:r>
        <w:rPr>
          <w:rFonts w:ascii="Arial" w:eastAsia="Arial" w:hAnsi="Arial"/>
          <w:color w:val="000000"/>
          <w:sz w:val="20"/>
        </w:rPr>
        <w:t>Water</w:t>
      </w:r>
      <w:proofErr w:type="gramEnd"/>
      <w:r>
        <w:rPr>
          <w:rFonts w:ascii="Arial" w:eastAsia="Arial" w:hAnsi="Arial"/>
          <w:color w:val="000000"/>
          <w:sz w:val="20"/>
        </w:rPr>
        <w:t xml:space="preserve"> and the Environment (the Department) to provide due diligence and technical advice on the Victorian Government’s proposal for the Goulburn Murray Water (GMW) Water Effici</w:t>
      </w:r>
      <w:r>
        <w:rPr>
          <w:rFonts w:ascii="Arial" w:eastAsia="Arial" w:hAnsi="Arial"/>
          <w:color w:val="000000"/>
          <w:sz w:val="20"/>
        </w:rPr>
        <w:t>ency Project.</w:t>
      </w:r>
    </w:p>
    <w:p w14:paraId="6D306F95" w14:textId="77777777" w:rsidR="00345DC1" w:rsidRDefault="00DB08CC">
      <w:pPr>
        <w:spacing w:before="241" w:after="469" w:line="345" w:lineRule="exact"/>
        <w:jc w:val="both"/>
        <w:textAlignment w:val="baseline"/>
        <w:rPr>
          <w:rFonts w:ascii="Arial" w:eastAsia="Arial" w:hAnsi="Arial"/>
          <w:color w:val="000000"/>
          <w:sz w:val="20"/>
        </w:rPr>
      </w:pPr>
      <w:r>
        <w:rPr>
          <w:rFonts w:ascii="Arial" w:eastAsia="Arial" w:hAnsi="Arial"/>
          <w:color w:val="000000"/>
          <w:sz w:val="20"/>
        </w:rPr>
        <w:t>The Department has a requirement for due diligence and technical advice to enable the completion of their own assessments relating to technical feasibility and value for money.</w:t>
      </w:r>
    </w:p>
    <w:p w14:paraId="76358E9B" w14:textId="77777777" w:rsidR="00345DC1" w:rsidRDefault="00DB08CC">
      <w:pPr>
        <w:numPr>
          <w:ilvl w:val="0"/>
          <w:numId w:val="3"/>
        </w:numPr>
        <w:spacing w:before="4" w:after="116" w:line="545" w:lineRule="exact"/>
        <w:textAlignment w:val="baseline"/>
        <w:rPr>
          <w:rFonts w:ascii="Arial" w:eastAsia="Arial" w:hAnsi="Arial"/>
          <w:b/>
          <w:color w:val="006CA2"/>
          <w:spacing w:val="-1"/>
          <w:sz w:val="48"/>
        </w:rPr>
      </w:pPr>
      <w:r>
        <w:rPr>
          <w:rFonts w:ascii="Arial" w:eastAsia="Arial" w:hAnsi="Arial"/>
          <w:b/>
          <w:color w:val="006CA2"/>
          <w:spacing w:val="-1"/>
          <w:sz w:val="48"/>
        </w:rPr>
        <w:t>Project description</w:t>
      </w:r>
    </w:p>
    <w:p w14:paraId="7FACBB3A" w14:textId="77777777" w:rsidR="00345DC1" w:rsidRDefault="00DB08CC">
      <w:pPr>
        <w:spacing w:line="345" w:lineRule="exact"/>
        <w:jc w:val="both"/>
        <w:textAlignment w:val="baseline"/>
        <w:rPr>
          <w:rFonts w:ascii="Arial" w:eastAsia="Arial" w:hAnsi="Arial"/>
          <w:color w:val="000000"/>
          <w:sz w:val="20"/>
        </w:rPr>
      </w:pPr>
      <w:r>
        <w:rPr>
          <w:rFonts w:ascii="Arial" w:eastAsia="Arial" w:hAnsi="Arial"/>
          <w:color w:val="000000"/>
          <w:sz w:val="20"/>
        </w:rPr>
        <w:t>The Victorian Government’s proposal comprises</w:t>
      </w:r>
      <w:r>
        <w:rPr>
          <w:rFonts w:ascii="Arial" w:eastAsia="Arial" w:hAnsi="Arial"/>
          <w:color w:val="000000"/>
          <w:sz w:val="20"/>
        </w:rPr>
        <w:t xml:space="preserve"> two projects, the Backbone Transformation Project (BTP) and the </w:t>
      </w:r>
      <w:proofErr w:type="spellStart"/>
      <w:r>
        <w:rPr>
          <w:rFonts w:ascii="Arial" w:eastAsia="Arial" w:hAnsi="Arial"/>
          <w:color w:val="000000"/>
          <w:sz w:val="20"/>
        </w:rPr>
        <w:t>Shepparton</w:t>
      </w:r>
      <w:proofErr w:type="spellEnd"/>
      <w:r>
        <w:rPr>
          <w:rFonts w:ascii="Arial" w:eastAsia="Arial" w:hAnsi="Arial"/>
          <w:color w:val="000000"/>
          <w:sz w:val="20"/>
        </w:rPr>
        <w:t xml:space="preserve"> East Project (SEP). Business cases have been prepared for both projects in accordance with the Murray Darling Basin Plan Water Efficiency Program. Given the common delivery and gov</w:t>
      </w:r>
      <w:r>
        <w:rPr>
          <w:rFonts w:ascii="Arial" w:eastAsia="Arial" w:hAnsi="Arial"/>
          <w:color w:val="000000"/>
          <w:sz w:val="20"/>
        </w:rPr>
        <w:t>ernance model these works are proposed to be delivered under a single funding agreement.</w:t>
      </w:r>
    </w:p>
    <w:p w14:paraId="2097A811" w14:textId="77777777" w:rsidR="00345DC1" w:rsidRDefault="00DB08CC">
      <w:pPr>
        <w:spacing w:before="356" w:line="230" w:lineRule="exact"/>
        <w:textAlignment w:val="baseline"/>
        <w:rPr>
          <w:rFonts w:ascii="Arial" w:eastAsia="Arial" w:hAnsi="Arial"/>
          <w:b/>
          <w:color w:val="006FC0"/>
          <w:sz w:val="20"/>
        </w:rPr>
      </w:pPr>
      <w:r>
        <w:rPr>
          <w:rFonts w:ascii="Arial" w:eastAsia="Arial" w:hAnsi="Arial"/>
          <w:b/>
          <w:color w:val="006FC0"/>
          <w:sz w:val="20"/>
        </w:rPr>
        <w:t>Backbone Transformation Project</w:t>
      </w:r>
    </w:p>
    <w:p w14:paraId="751761B9" w14:textId="77777777" w:rsidR="00345DC1" w:rsidRDefault="00DB08CC">
      <w:pPr>
        <w:spacing w:before="241" w:line="345" w:lineRule="exact"/>
        <w:jc w:val="both"/>
        <w:textAlignment w:val="baseline"/>
        <w:rPr>
          <w:rFonts w:ascii="Arial" w:eastAsia="Arial" w:hAnsi="Arial"/>
          <w:color w:val="000000"/>
          <w:sz w:val="20"/>
        </w:rPr>
      </w:pPr>
      <w:r>
        <w:rPr>
          <w:rFonts w:ascii="Arial" w:eastAsia="Arial" w:hAnsi="Arial"/>
          <w:color w:val="000000"/>
          <w:sz w:val="20"/>
        </w:rPr>
        <w:t xml:space="preserve">The Backbone Transformation Project (BTP) builds upon previous </w:t>
      </w:r>
      <w:proofErr w:type="spellStart"/>
      <w:r>
        <w:rPr>
          <w:rFonts w:ascii="Arial" w:eastAsia="Arial" w:hAnsi="Arial"/>
          <w:color w:val="000000"/>
          <w:sz w:val="20"/>
        </w:rPr>
        <w:t>modernisation</w:t>
      </w:r>
      <w:proofErr w:type="spellEnd"/>
      <w:r>
        <w:rPr>
          <w:rFonts w:ascii="Arial" w:eastAsia="Arial" w:hAnsi="Arial"/>
          <w:color w:val="000000"/>
          <w:sz w:val="20"/>
        </w:rPr>
        <w:t xml:space="preserve"> works undertaken as part of the GMW Connections Project an</w:t>
      </w:r>
      <w:r>
        <w:rPr>
          <w:rFonts w:ascii="Arial" w:eastAsia="Arial" w:hAnsi="Arial"/>
          <w:color w:val="000000"/>
          <w:sz w:val="20"/>
        </w:rPr>
        <w:t xml:space="preserve">d provides an opportunity for further asset </w:t>
      </w:r>
      <w:proofErr w:type="spellStart"/>
      <w:r>
        <w:rPr>
          <w:rFonts w:ascii="Arial" w:eastAsia="Arial" w:hAnsi="Arial"/>
          <w:color w:val="000000"/>
          <w:sz w:val="20"/>
        </w:rPr>
        <w:t>rationalisation</w:t>
      </w:r>
      <w:proofErr w:type="spellEnd"/>
      <w:r>
        <w:rPr>
          <w:rFonts w:ascii="Arial" w:eastAsia="Arial" w:hAnsi="Arial"/>
          <w:color w:val="000000"/>
          <w:sz w:val="20"/>
        </w:rPr>
        <w:t xml:space="preserve"> and </w:t>
      </w:r>
      <w:proofErr w:type="spellStart"/>
      <w:r>
        <w:rPr>
          <w:rFonts w:ascii="Arial" w:eastAsia="Arial" w:hAnsi="Arial"/>
          <w:color w:val="000000"/>
          <w:sz w:val="20"/>
        </w:rPr>
        <w:t>modernisation</w:t>
      </w:r>
      <w:proofErr w:type="spellEnd"/>
      <w:r>
        <w:rPr>
          <w:rFonts w:ascii="Arial" w:eastAsia="Arial" w:hAnsi="Arial"/>
          <w:color w:val="000000"/>
          <w:sz w:val="20"/>
        </w:rPr>
        <w:t>. The BTP is made up of Reconfiguration Plans (RPs) across five irrigation districts.</w:t>
      </w:r>
    </w:p>
    <w:p w14:paraId="1D0CF656" w14:textId="77777777" w:rsidR="00345DC1" w:rsidRDefault="00DB08CC">
      <w:pPr>
        <w:spacing w:before="237" w:line="345" w:lineRule="exact"/>
        <w:jc w:val="both"/>
        <w:textAlignment w:val="baseline"/>
        <w:rPr>
          <w:rFonts w:ascii="Arial" w:eastAsia="Arial" w:hAnsi="Arial"/>
          <w:color w:val="000000"/>
          <w:sz w:val="20"/>
        </w:rPr>
      </w:pPr>
      <w:r>
        <w:rPr>
          <w:rFonts w:ascii="Arial" w:eastAsia="Arial" w:hAnsi="Arial"/>
          <w:color w:val="000000"/>
          <w:sz w:val="20"/>
        </w:rPr>
        <w:t xml:space="preserve">The BTP proposes to treat up to 230 km of channel in the GMID, including up to 149 km of channel </w:t>
      </w:r>
      <w:proofErr w:type="spellStart"/>
      <w:r>
        <w:rPr>
          <w:rFonts w:ascii="Arial" w:eastAsia="Arial" w:hAnsi="Arial"/>
          <w:color w:val="000000"/>
          <w:sz w:val="20"/>
        </w:rPr>
        <w:t>rationalisation</w:t>
      </w:r>
      <w:proofErr w:type="spellEnd"/>
      <w:r>
        <w:rPr>
          <w:rFonts w:ascii="Arial" w:eastAsia="Arial" w:hAnsi="Arial"/>
          <w:color w:val="000000"/>
          <w:sz w:val="20"/>
        </w:rPr>
        <w:t xml:space="preserve">, up to 81 km of channel automation, up to 694 outlets upgraded and up to 148 outlets </w:t>
      </w:r>
      <w:proofErr w:type="spellStart"/>
      <w:r>
        <w:rPr>
          <w:rFonts w:ascii="Arial" w:eastAsia="Arial" w:hAnsi="Arial"/>
          <w:color w:val="000000"/>
          <w:sz w:val="20"/>
        </w:rPr>
        <w:t>rationalised</w:t>
      </w:r>
      <w:proofErr w:type="spellEnd"/>
      <w:r>
        <w:rPr>
          <w:rFonts w:ascii="Arial" w:eastAsia="Arial" w:hAnsi="Arial"/>
          <w:color w:val="000000"/>
          <w:sz w:val="20"/>
        </w:rPr>
        <w:t>. The BTP aims to provide 14.7 GL of water sav</w:t>
      </w:r>
      <w:r>
        <w:rPr>
          <w:rFonts w:ascii="Arial" w:eastAsia="Arial" w:hAnsi="Arial"/>
          <w:color w:val="000000"/>
          <w:sz w:val="20"/>
        </w:rPr>
        <w:t>ings at a total cost of $164.5 million.</w:t>
      </w:r>
    </w:p>
    <w:p w14:paraId="15530C19" w14:textId="77777777" w:rsidR="00345DC1" w:rsidRDefault="00DB08CC">
      <w:pPr>
        <w:spacing w:before="357" w:line="230" w:lineRule="exact"/>
        <w:textAlignment w:val="baseline"/>
        <w:rPr>
          <w:rFonts w:ascii="Arial" w:eastAsia="Arial" w:hAnsi="Arial"/>
          <w:b/>
          <w:color w:val="006FC0"/>
          <w:sz w:val="20"/>
        </w:rPr>
      </w:pPr>
      <w:proofErr w:type="spellStart"/>
      <w:r>
        <w:rPr>
          <w:rFonts w:ascii="Arial" w:eastAsia="Arial" w:hAnsi="Arial"/>
          <w:b/>
          <w:color w:val="006FC0"/>
          <w:sz w:val="20"/>
        </w:rPr>
        <w:t>Shepparton</w:t>
      </w:r>
      <w:proofErr w:type="spellEnd"/>
      <w:r>
        <w:rPr>
          <w:rFonts w:ascii="Arial" w:eastAsia="Arial" w:hAnsi="Arial"/>
          <w:b/>
          <w:color w:val="006FC0"/>
          <w:sz w:val="20"/>
        </w:rPr>
        <w:t xml:space="preserve"> East Project</w:t>
      </w:r>
    </w:p>
    <w:p w14:paraId="2E03E02B" w14:textId="77777777" w:rsidR="00345DC1" w:rsidRDefault="00DB08CC">
      <w:pPr>
        <w:spacing w:before="240" w:line="345" w:lineRule="exact"/>
        <w:jc w:val="both"/>
        <w:textAlignment w:val="baseline"/>
        <w:rPr>
          <w:rFonts w:ascii="Arial" w:eastAsia="Arial" w:hAnsi="Arial"/>
          <w:color w:val="000000"/>
          <w:sz w:val="20"/>
        </w:rPr>
      </w:pPr>
      <w:r>
        <w:rPr>
          <w:rFonts w:ascii="Arial" w:eastAsia="Arial" w:hAnsi="Arial"/>
          <w:color w:val="000000"/>
          <w:sz w:val="20"/>
        </w:rPr>
        <w:t xml:space="preserve">The </w:t>
      </w:r>
      <w:proofErr w:type="spellStart"/>
      <w:r>
        <w:rPr>
          <w:rFonts w:ascii="Arial" w:eastAsia="Arial" w:hAnsi="Arial"/>
          <w:color w:val="000000"/>
          <w:sz w:val="20"/>
        </w:rPr>
        <w:t>Shepparton</w:t>
      </w:r>
      <w:proofErr w:type="spellEnd"/>
      <w:r>
        <w:rPr>
          <w:rFonts w:ascii="Arial" w:eastAsia="Arial" w:hAnsi="Arial"/>
          <w:color w:val="000000"/>
          <w:sz w:val="20"/>
        </w:rPr>
        <w:t xml:space="preserve"> East Project (SEP) provides an opportunity to </w:t>
      </w:r>
      <w:proofErr w:type="spellStart"/>
      <w:r>
        <w:rPr>
          <w:rFonts w:ascii="Arial" w:eastAsia="Arial" w:hAnsi="Arial"/>
          <w:color w:val="000000"/>
          <w:sz w:val="20"/>
        </w:rPr>
        <w:t>modernise</w:t>
      </w:r>
      <w:proofErr w:type="spellEnd"/>
      <w:r>
        <w:rPr>
          <w:rFonts w:ascii="Arial" w:eastAsia="Arial" w:hAnsi="Arial"/>
          <w:color w:val="000000"/>
          <w:sz w:val="20"/>
        </w:rPr>
        <w:t xml:space="preserve"> the remaining sections of the water delivery system in </w:t>
      </w:r>
      <w:proofErr w:type="spellStart"/>
      <w:r>
        <w:rPr>
          <w:rFonts w:ascii="Arial" w:eastAsia="Arial" w:hAnsi="Arial"/>
          <w:color w:val="000000"/>
          <w:sz w:val="20"/>
        </w:rPr>
        <w:t>Shepparton</w:t>
      </w:r>
      <w:proofErr w:type="spellEnd"/>
      <w:r>
        <w:rPr>
          <w:rFonts w:ascii="Arial" w:eastAsia="Arial" w:hAnsi="Arial"/>
          <w:color w:val="000000"/>
          <w:sz w:val="20"/>
        </w:rPr>
        <w:t xml:space="preserve"> East. The SEP proposes to </w:t>
      </w:r>
      <w:proofErr w:type="spellStart"/>
      <w:r>
        <w:rPr>
          <w:rFonts w:ascii="Arial" w:eastAsia="Arial" w:hAnsi="Arial"/>
          <w:color w:val="000000"/>
          <w:sz w:val="20"/>
        </w:rPr>
        <w:t>modernise</w:t>
      </w:r>
      <w:proofErr w:type="spellEnd"/>
      <w:r>
        <w:rPr>
          <w:rFonts w:ascii="Arial" w:eastAsia="Arial" w:hAnsi="Arial"/>
          <w:color w:val="000000"/>
          <w:sz w:val="20"/>
        </w:rPr>
        <w:t xml:space="preserve"> 21km of high-loss c</w:t>
      </w:r>
      <w:r>
        <w:rPr>
          <w:rFonts w:ascii="Arial" w:eastAsia="Arial" w:hAnsi="Arial"/>
          <w:color w:val="000000"/>
          <w:sz w:val="20"/>
        </w:rPr>
        <w:t xml:space="preserve">hannel, </w:t>
      </w:r>
      <w:proofErr w:type="spellStart"/>
      <w:r>
        <w:rPr>
          <w:rFonts w:ascii="Arial" w:eastAsia="Arial" w:hAnsi="Arial"/>
          <w:color w:val="000000"/>
          <w:sz w:val="20"/>
        </w:rPr>
        <w:t>rationalise</w:t>
      </w:r>
      <w:proofErr w:type="spellEnd"/>
      <w:r>
        <w:rPr>
          <w:rFonts w:ascii="Arial" w:eastAsia="Arial" w:hAnsi="Arial"/>
          <w:color w:val="000000"/>
          <w:sz w:val="20"/>
        </w:rPr>
        <w:t xml:space="preserve"> a further 2.7km of channel, upgrading 174 outlets and </w:t>
      </w:r>
      <w:proofErr w:type="spellStart"/>
      <w:r>
        <w:rPr>
          <w:rFonts w:ascii="Arial" w:eastAsia="Arial" w:hAnsi="Arial"/>
          <w:color w:val="000000"/>
          <w:sz w:val="20"/>
        </w:rPr>
        <w:t>rationalising</w:t>
      </w:r>
      <w:proofErr w:type="spellEnd"/>
      <w:r>
        <w:rPr>
          <w:rFonts w:ascii="Arial" w:eastAsia="Arial" w:hAnsi="Arial"/>
          <w:color w:val="000000"/>
          <w:sz w:val="20"/>
        </w:rPr>
        <w:t xml:space="preserve"> 5 outlets.</w:t>
      </w:r>
    </w:p>
    <w:p w14:paraId="65BB973A" w14:textId="77777777" w:rsidR="00345DC1" w:rsidRDefault="00DB08CC">
      <w:pPr>
        <w:spacing w:before="6" w:line="581" w:lineRule="exact"/>
        <w:ind w:right="2952"/>
        <w:jc w:val="both"/>
        <w:textAlignment w:val="baseline"/>
        <w:rPr>
          <w:rFonts w:ascii="Arial" w:eastAsia="Arial" w:hAnsi="Arial"/>
          <w:color w:val="000000"/>
          <w:sz w:val="20"/>
        </w:rPr>
      </w:pPr>
      <w:r>
        <w:rPr>
          <w:rFonts w:ascii="Arial" w:eastAsia="Arial" w:hAnsi="Arial"/>
          <w:color w:val="000000"/>
          <w:sz w:val="20"/>
        </w:rPr>
        <w:t xml:space="preserve">The SEP will provide 1.2 GL of water savings at a total cost of $13.0 million. </w:t>
      </w:r>
      <w:r>
        <w:rPr>
          <w:rFonts w:ascii="Arial" w:eastAsia="Arial" w:hAnsi="Arial"/>
          <w:b/>
          <w:color w:val="006FC0"/>
          <w:sz w:val="20"/>
        </w:rPr>
        <w:t>Scope and Budgets</w:t>
      </w:r>
    </w:p>
    <w:p w14:paraId="68A58274" w14:textId="77777777" w:rsidR="00345DC1" w:rsidRDefault="00DB08CC">
      <w:pPr>
        <w:spacing w:before="240" w:line="345" w:lineRule="exact"/>
        <w:jc w:val="both"/>
        <w:textAlignment w:val="baseline"/>
        <w:rPr>
          <w:rFonts w:ascii="Arial" w:eastAsia="Arial" w:hAnsi="Arial"/>
          <w:color w:val="000000"/>
          <w:sz w:val="20"/>
        </w:rPr>
      </w:pPr>
      <w:r>
        <w:rPr>
          <w:rFonts w:ascii="Arial" w:eastAsia="Arial" w:hAnsi="Arial"/>
          <w:color w:val="000000"/>
          <w:sz w:val="20"/>
        </w:rPr>
        <w:t>The budget estimate has been produced based on concept desig</w:t>
      </w:r>
      <w:r>
        <w:rPr>
          <w:rFonts w:ascii="Arial" w:eastAsia="Arial" w:hAnsi="Arial"/>
          <w:color w:val="000000"/>
          <w:sz w:val="20"/>
        </w:rPr>
        <w:t xml:space="preserve">n solutions for the works and applying unit costs as detailed at </w:t>
      </w:r>
      <w:r>
        <w:rPr>
          <w:rFonts w:ascii="Arial" w:eastAsia="Arial" w:hAnsi="Arial"/>
          <w:color w:val="000000"/>
          <w:sz w:val="20"/>
          <w:u w:val="single"/>
        </w:rPr>
        <w:t>Table 1</w:t>
      </w:r>
      <w:r>
        <w:rPr>
          <w:rFonts w:ascii="Arial" w:eastAsia="Arial" w:hAnsi="Arial"/>
          <w:color w:val="000000"/>
          <w:sz w:val="20"/>
        </w:rPr>
        <w:t>.</w:t>
      </w:r>
      <w:r>
        <w:rPr>
          <w:rFonts w:ascii="Arial" w:eastAsia="Arial" w:hAnsi="Arial"/>
          <w:color w:val="000000"/>
          <w:sz w:val="20"/>
          <w:u w:val="single"/>
        </w:rPr>
        <w:t xml:space="preserve"> </w:t>
      </w:r>
    </w:p>
    <w:p w14:paraId="308A9C0B" w14:textId="77777777" w:rsidR="00345DC1" w:rsidRDefault="00DB08CC">
      <w:pPr>
        <w:spacing w:before="2748" w:line="165" w:lineRule="exact"/>
        <w:ind w:left="576"/>
        <w:textAlignment w:val="baseline"/>
        <w:rPr>
          <w:rFonts w:ascii="Arial" w:eastAsia="Arial" w:hAnsi="Arial"/>
          <w:color w:val="000000"/>
          <w:sz w:val="14"/>
        </w:rPr>
      </w:pPr>
      <w:r>
        <w:rPr>
          <w:rFonts w:ascii="Arial" w:eastAsia="Arial" w:hAnsi="Arial"/>
          <w:color w:val="000000"/>
          <w:sz w:val="14"/>
        </w:rPr>
        <w:t>GHD ADVISORY</w:t>
      </w:r>
    </w:p>
    <w:p w14:paraId="50912E28" w14:textId="77777777" w:rsidR="00345DC1" w:rsidRDefault="00DB08CC">
      <w:pPr>
        <w:tabs>
          <w:tab w:val="left" w:pos="576"/>
        </w:tabs>
        <w:spacing w:before="58" w:line="175" w:lineRule="exact"/>
        <w:ind w:left="576" w:hanging="576"/>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3</w:t>
      </w:r>
      <w:r>
        <w:rPr>
          <w:rFonts w:ascii="Arial" w:eastAsia="Arial" w:hAnsi="Arial"/>
          <w:color w:val="FFFFFF"/>
          <w:sz w:val="15"/>
          <w:shd w:val="solid" w:color="006391" w:fill="006391"/>
        </w:rPr>
        <w:tab/>
      </w:r>
      <w:r>
        <w:rPr>
          <w:rFonts w:ascii="Arial" w:eastAsia="Arial" w:hAnsi="Arial"/>
          <w:color w:val="000000"/>
          <w:sz w:val="14"/>
        </w:rPr>
        <w:t xml:space="preserve">Review of Goulburn Murray Water (GMW) Water </w:t>
      </w:r>
      <w:r>
        <w:rPr>
          <w:rFonts w:ascii="Arial" w:eastAsia="Arial" w:hAnsi="Arial"/>
          <w:color w:val="000000"/>
          <w:sz w:val="14"/>
        </w:rPr>
        <w:br/>
        <w:t>Efficiency Project</w:t>
      </w:r>
    </w:p>
    <w:p w14:paraId="6CA49E67" w14:textId="77777777" w:rsidR="00345DC1" w:rsidRDefault="00345DC1">
      <w:pPr>
        <w:sectPr w:rsidR="00345DC1">
          <w:pgSz w:w="11909" w:h="16838"/>
          <w:pgMar w:top="580" w:right="1127" w:bottom="262" w:left="1132" w:header="720" w:footer="720" w:gutter="0"/>
          <w:cols w:space="720"/>
        </w:sectPr>
      </w:pPr>
    </w:p>
    <w:p w14:paraId="025DC883" w14:textId="77777777" w:rsidR="00345DC1" w:rsidRDefault="00DB08CC">
      <w:pPr>
        <w:spacing w:before="43" w:after="119" w:line="226" w:lineRule="exact"/>
        <w:jc w:val="right"/>
        <w:textAlignment w:val="baseline"/>
        <w:rPr>
          <w:rFonts w:ascii="Calibri" w:eastAsia="Calibri" w:hAnsi="Calibri"/>
          <w:b/>
          <w:color w:val="000000"/>
        </w:rPr>
      </w:pPr>
      <w:r>
        <w:rPr>
          <w:rFonts w:ascii="Calibri" w:eastAsia="Calibri" w:hAnsi="Calibri"/>
          <w:b/>
          <w:color w:val="000000"/>
        </w:rPr>
        <w:lastRenderedPageBreak/>
        <w:t>Table 1: Budget Estimates by Work Types</w:t>
      </w:r>
    </w:p>
    <w:p w14:paraId="62E1FD10" w14:textId="77777777" w:rsidR="00345DC1" w:rsidRDefault="00DB08CC">
      <w:pPr>
        <w:spacing w:after="414"/>
        <w:ind w:left="1587" w:right="1492"/>
        <w:textAlignment w:val="baseline"/>
      </w:pPr>
      <w:r>
        <w:rPr>
          <w:noProof/>
        </w:rPr>
        <w:drawing>
          <wp:inline distT="0" distB="0" distL="0" distR="0" wp14:anchorId="135A999E" wp14:editId="15C406E3">
            <wp:extent cx="4172585" cy="24841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172585" cy="2484120"/>
                    </a:xfrm>
                    <a:prstGeom prst="rect">
                      <a:avLst/>
                    </a:prstGeom>
                  </pic:spPr>
                </pic:pic>
              </a:graphicData>
            </a:graphic>
          </wp:inline>
        </w:drawing>
      </w:r>
    </w:p>
    <w:p w14:paraId="12B646DA" w14:textId="77777777" w:rsidR="00345DC1" w:rsidRDefault="00DB08CC">
      <w:pPr>
        <w:spacing w:before="1" w:line="231" w:lineRule="exact"/>
        <w:textAlignment w:val="baseline"/>
        <w:rPr>
          <w:rFonts w:ascii="Arial" w:eastAsia="Arial" w:hAnsi="Arial"/>
          <w:b/>
          <w:color w:val="006FC0"/>
          <w:spacing w:val="-1"/>
          <w:sz w:val="20"/>
        </w:rPr>
      </w:pPr>
      <w:r>
        <w:rPr>
          <w:rFonts w:ascii="Arial" w:eastAsia="Arial" w:hAnsi="Arial"/>
          <w:b/>
          <w:color w:val="006FC0"/>
          <w:spacing w:val="-1"/>
          <w:sz w:val="20"/>
        </w:rPr>
        <w:t>Governance</w:t>
      </w:r>
    </w:p>
    <w:p w14:paraId="75C8E339" w14:textId="77777777" w:rsidR="00345DC1" w:rsidRDefault="00DB08CC">
      <w:pPr>
        <w:spacing w:before="247" w:line="344" w:lineRule="exact"/>
        <w:jc w:val="both"/>
        <w:textAlignment w:val="baseline"/>
        <w:rPr>
          <w:rFonts w:ascii="Arial" w:eastAsia="Arial" w:hAnsi="Arial"/>
          <w:color w:val="000000"/>
          <w:sz w:val="20"/>
        </w:rPr>
      </w:pPr>
      <w:r>
        <w:rPr>
          <w:rFonts w:ascii="Arial" w:eastAsia="Arial" w:hAnsi="Arial"/>
          <w:color w:val="000000"/>
          <w:sz w:val="20"/>
        </w:rPr>
        <w:t xml:space="preserve">The works are proposed to be delivered under the established governance arrangements from the GMW Connections Project Team. This governance structure was developed as part of the Connections Project Reset Delivery Plan. The governance arrangement includes </w:t>
      </w:r>
      <w:r>
        <w:rPr>
          <w:rFonts w:ascii="Arial" w:eastAsia="Arial" w:hAnsi="Arial"/>
          <w:color w:val="000000"/>
          <w:sz w:val="20"/>
        </w:rPr>
        <w:t>a Project Control Group (PCG) who assume responsibility for the Project and report directly to the Victorian Government Minister for Water and GMW Board.</w:t>
      </w:r>
    </w:p>
    <w:p w14:paraId="36C1ED3B" w14:textId="77777777" w:rsidR="00345DC1" w:rsidRDefault="00DB08CC">
      <w:pPr>
        <w:spacing w:before="355" w:line="231" w:lineRule="exact"/>
        <w:textAlignment w:val="baseline"/>
        <w:rPr>
          <w:rFonts w:ascii="Arial" w:eastAsia="Arial" w:hAnsi="Arial"/>
          <w:b/>
          <w:color w:val="006FC0"/>
          <w:spacing w:val="-3"/>
          <w:sz w:val="20"/>
        </w:rPr>
      </w:pPr>
      <w:r>
        <w:rPr>
          <w:rFonts w:ascii="Arial" w:eastAsia="Arial" w:hAnsi="Arial"/>
          <w:b/>
          <w:color w:val="006FC0"/>
          <w:spacing w:val="-3"/>
          <w:sz w:val="20"/>
        </w:rPr>
        <w:t>Program</w:t>
      </w:r>
    </w:p>
    <w:p w14:paraId="48B6BD16" w14:textId="77777777" w:rsidR="00345DC1" w:rsidRDefault="00DB08CC">
      <w:pPr>
        <w:spacing w:before="355" w:after="6770" w:line="230" w:lineRule="exact"/>
        <w:textAlignment w:val="baseline"/>
        <w:rPr>
          <w:rFonts w:ascii="Arial" w:eastAsia="Arial" w:hAnsi="Arial"/>
          <w:color w:val="000000"/>
          <w:sz w:val="20"/>
        </w:rPr>
      </w:pPr>
      <w:r>
        <w:rPr>
          <w:rFonts w:ascii="Arial" w:eastAsia="Arial" w:hAnsi="Arial"/>
          <w:color w:val="000000"/>
          <w:sz w:val="20"/>
        </w:rPr>
        <w:t>The works are proposed to commence from October 2020 with works completion by March 2023.</w:t>
      </w:r>
    </w:p>
    <w:p w14:paraId="2580C7DD" w14:textId="77777777" w:rsidR="00345DC1" w:rsidRDefault="00345DC1">
      <w:pPr>
        <w:spacing w:before="355" w:after="6770" w:line="230" w:lineRule="exact"/>
        <w:sectPr w:rsidR="00345DC1">
          <w:pgSz w:w="11909" w:h="16838"/>
          <w:pgMar w:top="720" w:right="1129" w:bottom="262" w:left="1130" w:header="720" w:footer="720" w:gutter="0"/>
          <w:cols w:space="720"/>
        </w:sectPr>
      </w:pPr>
    </w:p>
    <w:p w14:paraId="58803F14" w14:textId="77777777" w:rsidR="00345DC1" w:rsidRDefault="00DB08CC">
      <w:pPr>
        <w:spacing w:before="1"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4B00BB48" w14:textId="77777777" w:rsidR="00345DC1" w:rsidRDefault="00DB08CC">
      <w:pPr>
        <w:spacing w:line="124" w:lineRule="exact"/>
        <w:ind w:left="72"/>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4</w:t>
      </w:r>
    </w:p>
    <w:p w14:paraId="761D8AE6" w14:textId="77777777" w:rsidR="00345DC1" w:rsidRDefault="00DB08CC">
      <w:pPr>
        <w:spacing w:line="139" w:lineRule="exact"/>
        <w:ind w:left="576"/>
        <w:textAlignment w:val="baseline"/>
        <w:rPr>
          <w:rFonts w:ascii="Arial" w:eastAsia="Arial" w:hAnsi="Arial"/>
          <w:color w:val="000000"/>
          <w:spacing w:val="-1"/>
          <w:sz w:val="14"/>
        </w:rPr>
      </w:pPr>
      <w:r>
        <w:rPr>
          <w:rFonts w:ascii="Arial" w:eastAsia="Arial" w:hAnsi="Arial"/>
          <w:color w:val="000000"/>
          <w:spacing w:val="-1"/>
          <w:sz w:val="14"/>
        </w:rPr>
        <w:t>Review of Goulburn Murray Water (GMW) Water</w:t>
      </w:r>
    </w:p>
    <w:p w14:paraId="6666A046"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0A1F8E0D" w14:textId="77777777" w:rsidR="00345DC1" w:rsidRDefault="00345DC1">
      <w:pPr>
        <w:sectPr w:rsidR="00345DC1">
          <w:type w:val="continuous"/>
          <w:pgSz w:w="11909" w:h="16838"/>
          <w:pgMar w:top="720" w:right="7136" w:bottom="262" w:left="1130" w:header="720" w:footer="720" w:gutter="0"/>
          <w:cols w:space="720"/>
        </w:sectPr>
      </w:pPr>
    </w:p>
    <w:p w14:paraId="77993C6C" w14:textId="77777777" w:rsidR="00345DC1" w:rsidRDefault="00DB08CC">
      <w:pPr>
        <w:spacing w:before="7" w:after="108" w:line="543" w:lineRule="exact"/>
        <w:textAlignment w:val="baseline"/>
        <w:rPr>
          <w:rFonts w:ascii="Arial" w:eastAsia="Arial" w:hAnsi="Arial"/>
          <w:b/>
          <w:color w:val="006CA2"/>
          <w:spacing w:val="33"/>
          <w:w w:val="95"/>
          <w:sz w:val="48"/>
        </w:rPr>
      </w:pPr>
      <w:r>
        <w:rPr>
          <w:rFonts w:ascii="Arial" w:eastAsia="Arial" w:hAnsi="Arial"/>
          <w:b/>
          <w:color w:val="006CA2"/>
          <w:spacing w:val="33"/>
          <w:w w:val="95"/>
          <w:sz w:val="48"/>
        </w:rPr>
        <w:lastRenderedPageBreak/>
        <w:t>4. Scope and method</w:t>
      </w:r>
    </w:p>
    <w:p w14:paraId="4CAFE1D0" w14:textId="77777777" w:rsidR="00345DC1" w:rsidRDefault="00DB08CC">
      <w:pPr>
        <w:spacing w:line="345" w:lineRule="exact"/>
        <w:textAlignment w:val="baseline"/>
        <w:rPr>
          <w:rFonts w:ascii="Arial" w:eastAsia="Arial" w:hAnsi="Arial"/>
          <w:color w:val="000000"/>
          <w:sz w:val="20"/>
        </w:rPr>
      </w:pPr>
      <w:r>
        <w:rPr>
          <w:rFonts w:ascii="Arial" w:eastAsia="Arial" w:hAnsi="Arial"/>
          <w:color w:val="000000"/>
          <w:sz w:val="20"/>
        </w:rPr>
        <w:t>The Department requested that a desktop due diligence assessment and analysis of the proposal is undertaken to address the following questions:</w:t>
      </w:r>
    </w:p>
    <w:p w14:paraId="1276B5AB" w14:textId="77777777" w:rsidR="00345DC1" w:rsidRDefault="00DB08CC">
      <w:pPr>
        <w:spacing w:line="463" w:lineRule="exact"/>
        <w:textAlignment w:val="baseline"/>
        <w:rPr>
          <w:rFonts w:ascii="Arial" w:eastAsia="Arial" w:hAnsi="Arial"/>
          <w:b/>
          <w:color w:val="000000"/>
          <w:sz w:val="20"/>
        </w:rPr>
      </w:pPr>
      <w:r>
        <w:rPr>
          <w:rFonts w:ascii="Arial" w:eastAsia="Arial" w:hAnsi="Arial"/>
          <w:b/>
          <w:color w:val="000000"/>
          <w:sz w:val="20"/>
        </w:rPr>
        <w:t xml:space="preserve">Enquiry 1: </w:t>
      </w:r>
      <w:r>
        <w:rPr>
          <w:rFonts w:ascii="Arial" w:eastAsia="Arial" w:hAnsi="Arial"/>
          <w:color w:val="000000"/>
          <w:sz w:val="20"/>
        </w:rPr>
        <w:t xml:space="preserve">Are the proposed works likely to generate the proposed water savings </w:t>
      </w:r>
      <w:r>
        <w:rPr>
          <w:rFonts w:ascii="Arial" w:eastAsia="Arial" w:hAnsi="Arial"/>
          <w:color w:val="000000"/>
          <w:sz w:val="20"/>
        </w:rPr>
        <w:br/>
      </w:r>
      <w:r>
        <w:rPr>
          <w:rFonts w:ascii="Arial" w:eastAsia="Arial" w:hAnsi="Arial"/>
          <w:b/>
          <w:color w:val="000000"/>
          <w:sz w:val="20"/>
        </w:rPr>
        <w:t>Enquiry 2</w:t>
      </w:r>
      <w:r>
        <w:rPr>
          <w:rFonts w:ascii="Arial" w:eastAsia="Arial" w:hAnsi="Arial"/>
          <w:color w:val="000000"/>
          <w:sz w:val="20"/>
        </w:rPr>
        <w:t>: Are the costs consis</w:t>
      </w:r>
      <w:r>
        <w:rPr>
          <w:rFonts w:ascii="Arial" w:eastAsia="Arial" w:hAnsi="Arial"/>
          <w:color w:val="000000"/>
          <w:sz w:val="20"/>
        </w:rPr>
        <w:t>tent with the nature of the works</w:t>
      </w:r>
    </w:p>
    <w:p w14:paraId="6F241113" w14:textId="77777777" w:rsidR="00345DC1" w:rsidRDefault="00DB08CC">
      <w:pPr>
        <w:spacing w:before="119" w:line="346" w:lineRule="exact"/>
        <w:textAlignment w:val="baseline"/>
        <w:rPr>
          <w:rFonts w:ascii="Arial" w:eastAsia="Arial" w:hAnsi="Arial"/>
          <w:b/>
          <w:color w:val="000000"/>
          <w:sz w:val="20"/>
        </w:rPr>
      </w:pPr>
      <w:r>
        <w:rPr>
          <w:rFonts w:ascii="Arial" w:eastAsia="Arial" w:hAnsi="Arial"/>
          <w:b/>
          <w:color w:val="000000"/>
          <w:sz w:val="20"/>
        </w:rPr>
        <w:t>Enquiry 3</w:t>
      </w:r>
      <w:r>
        <w:rPr>
          <w:rFonts w:ascii="Arial" w:eastAsia="Arial" w:hAnsi="Arial"/>
          <w:color w:val="000000"/>
          <w:sz w:val="20"/>
        </w:rPr>
        <w:t>: What extent does the detailed budget demonstrate appropriate costings that reflect market realities – including the appropriateness of any contingency costs and escalations?</w:t>
      </w:r>
    </w:p>
    <w:p w14:paraId="55AFE955" w14:textId="77777777" w:rsidR="00345DC1" w:rsidRDefault="00DB08CC">
      <w:pPr>
        <w:spacing w:before="119" w:after="11090" w:line="346" w:lineRule="exact"/>
        <w:textAlignment w:val="baseline"/>
        <w:rPr>
          <w:rFonts w:ascii="Arial" w:eastAsia="Arial" w:hAnsi="Arial"/>
          <w:color w:val="000000"/>
          <w:sz w:val="20"/>
        </w:rPr>
      </w:pPr>
      <w:r>
        <w:rPr>
          <w:rFonts w:ascii="Arial" w:eastAsia="Arial" w:hAnsi="Arial"/>
          <w:color w:val="000000"/>
          <w:sz w:val="20"/>
        </w:rPr>
        <w:t>The advice in this report is intended</w:t>
      </w:r>
      <w:r>
        <w:rPr>
          <w:rFonts w:ascii="Arial" w:eastAsia="Arial" w:hAnsi="Arial"/>
          <w:color w:val="000000"/>
          <w:sz w:val="20"/>
        </w:rPr>
        <w:t xml:space="preserve"> to support decision making by the Department on potential investment in the proposal.</w:t>
      </w:r>
    </w:p>
    <w:p w14:paraId="58973D37" w14:textId="77777777" w:rsidR="00345DC1" w:rsidRDefault="00345DC1">
      <w:pPr>
        <w:spacing w:before="119" w:after="11090" w:line="346" w:lineRule="exact"/>
        <w:sectPr w:rsidR="00345DC1">
          <w:pgSz w:w="11909" w:h="16838"/>
          <w:pgMar w:top="580" w:right="1137" w:bottom="262" w:left="1122" w:header="720" w:footer="720" w:gutter="0"/>
          <w:cols w:space="720"/>
        </w:sectPr>
      </w:pPr>
    </w:p>
    <w:p w14:paraId="3D1450EE" w14:textId="77777777" w:rsidR="00345DC1" w:rsidRDefault="00DB08CC">
      <w:pPr>
        <w:spacing w:before="1" w:line="155" w:lineRule="exact"/>
        <w:ind w:left="576"/>
        <w:textAlignment w:val="baseline"/>
        <w:rPr>
          <w:rFonts w:ascii="Arial" w:eastAsia="Arial" w:hAnsi="Arial"/>
          <w:color w:val="000000"/>
          <w:sz w:val="14"/>
        </w:rPr>
      </w:pPr>
      <w:r>
        <w:rPr>
          <w:rFonts w:ascii="Arial" w:eastAsia="Arial" w:hAnsi="Arial"/>
          <w:color w:val="000000"/>
          <w:sz w:val="14"/>
        </w:rPr>
        <w:t>GHD ADVISORY</w:t>
      </w:r>
    </w:p>
    <w:p w14:paraId="4F718E28" w14:textId="77777777" w:rsidR="00345DC1" w:rsidRDefault="00DB08CC">
      <w:pPr>
        <w:tabs>
          <w:tab w:val="right" w:pos="3672"/>
        </w:tabs>
        <w:spacing w:line="245" w:lineRule="exact"/>
        <w:ind w:left="144"/>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5</w:t>
      </w:r>
      <w:r>
        <w:rPr>
          <w:rFonts w:ascii="Arial" w:eastAsia="Arial" w:hAnsi="Arial"/>
          <w:color w:val="FFFFFF"/>
          <w:sz w:val="15"/>
          <w:shd w:val="solid" w:color="006391" w:fill="006391"/>
        </w:rPr>
        <w:tab/>
      </w:r>
      <w:r>
        <w:rPr>
          <w:rFonts w:ascii="Arial" w:eastAsia="Arial" w:hAnsi="Arial"/>
          <w:color w:val="000000"/>
          <w:sz w:val="14"/>
        </w:rPr>
        <w:t>Review of Goulburn Murray Water (GMW) Water</w:t>
      </w:r>
    </w:p>
    <w:p w14:paraId="52676A40" w14:textId="77777777" w:rsidR="00345DC1" w:rsidRDefault="00DB08CC">
      <w:pPr>
        <w:spacing w:before="8"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6463EB4B" w14:textId="77777777" w:rsidR="00345DC1" w:rsidRDefault="00345DC1">
      <w:pPr>
        <w:sectPr w:rsidR="00345DC1">
          <w:type w:val="continuous"/>
          <w:pgSz w:w="11909" w:h="16838"/>
          <w:pgMar w:top="580" w:right="7142" w:bottom="262" w:left="1124" w:header="720" w:footer="720" w:gutter="0"/>
          <w:cols w:space="720"/>
        </w:sectPr>
      </w:pPr>
    </w:p>
    <w:p w14:paraId="6846987A" w14:textId="77777777" w:rsidR="00345DC1" w:rsidRDefault="00DB08CC">
      <w:pPr>
        <w:spacing w:before="7" w:after="223" w:line="543" w:lineRule="exact"/>
        <w:textAlignment w:val="baseline"/>
        <w:rPr>
          <w:rFonts w:ascii="Arial" w:eastAsia="Arial" w:hAnsi="Arial"/>
          <w:b/>
          <w:color w:val="006CA2"/>
          <w:spacing w:val="28"/>
          <w:w w:val="95"/>
          <w:sz w:val="48"/>
        </w:rPr>
      </w:pPr>
      <w:r>
        <w:rPr>
          <w:rFonts w:ascii="Arial" w:eastAsia="Arial" w:hAnsi="Arial"/>
          <w:b/>
          <w:color w:val="006CA2"/>
          <w:spacing w:val="28"/>
          <w:w w:val="95"/>
          <w:sz w:val="48"/>
        </w:rPr>
        <w:lastRenderedPageBreak/>
        <w:t>5. Proposal documentation</w:t>
      </w:r>
    </w:p>
    <w:p w14:paraId="7754604D" w14:textId="77777777" w:rsidR="00345DC1" w:rsidRDefault="00DB08CC">
      <w:pPr>
        <w:spacing w:before="1" w:line="230" w:lineRule="exact"/>
        <w:textAlignment w:val="baseline"/>
        <w:rPr>
          <w:rFonts w:ascii="Arial" w:eastAsia="Arial" w:hAnsi="Arial"/>
          <w:color w:val="000000"/>
          <w:sz w:val="20"/>
        </w:rPr>
      </w:pPr>
      <w:r>
        <w:rPr>
          <w:rFonts w:ascii="Arial" w:eastAsia="Arial" w:hAnsi="Arial"/>
          <w:color w:val="000000"/>
          <w:sz w:val="20"/>
        </w:rPr>
        <w:t>The Victorian Government’s proposal is described in the following documents:</w:t>
      </w:r>
    </w:p>
    <w:p w14:paraId="7AFF5DF5" w14:textId="77777777" w:rsidR="00345DC1" w:rsidRDefault="00DB08CC">
      <w:pPr>
        <w:tabs>
          <w:tab w:val="left" w:pos="432"/>
        </w:tabs>
        <w:spacing w:before="124" w:line="341" w:lineRule="exact"/>
        <w:ind w:left="432" w:hanging="432"/>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 xml:space="preserve">DELWP - Submission of Proposal for the Goulburn Murray Water (GMW) Water Efficiency Project (Letter: Andrew </w:t>
      </w:r>
      <w:proofErr w:type="spellStart"/>
      <w:r>
        <w:rPr>
          <w:rFonts w:ascii="Arial" w:eastAsia="Arial" w:hAnsi="Arial"/>
          <w:color w:val="000000"/>
          <w:sz w:val="20"/>
        </w:rPr>
        <w:t>Fennessy</w:t>
      </w:r>
      <w:proofErr w:type="spellEnd"/>
      <w:r>
        <w:rPr>
          <w:rFonts w:ascii="Arial" w:eastAsia="Arial" w:hAnsi="Arial"/>
          <w:color w:val="000000"/>
          <w:sz w:val="20"/>
        </w:rPr>
        <w:t xml:space="preserve"> 27/7/2020)</w:t>
      </w:r>
    </w:p>
    <w:p w14:paraId="31C4871A" w14:textId="77777777" w:rsidR="00345DC1" w:rsidRDefault="00DB08CC">
      <w:pPr>
        <w:tabs>
          <w:tab w:val="left" w:pos="432"/>
        </w:tabs>
        <w:spacing w:before="225" w:line="221" w:lineRule="exact"/>
        <w:textAlignment w:val="baseline"/>
        <w:rPr>
          <w:rFonts w:ascii="Wingdings" w:eastAsia="Wingdings" w:hAnsi="Wingdings"/>
          <w:color w:val="000000"/>
          <w:spacing w:val="1"/>
          <w:sz w:val="20"/>
        </w:rPr>
      </w:pPr>
      <w:r>
        <w:rPr>
          <w:rFonts w:ascii="Wingdings" w:eastAsia="Wingdings" w:hAnsi="Wingdings"/>
          <w:color w:val="000000"/>
          <w:spacing w:val="1"/>
          <w:sz w:val="20"/>
        </w:rPr>
        <w:t></w:t>
      </w:r>
      <w:r>
        <w:rPr>
          <w:rFonts w:ascii="Arial" w:eastAsia="Arial" w:hAnsi="Arial"/>
          <w:color w:val="000000"/>
          <w:spacing w:val="1"/>
          <w:sz w:val="20"/>
        </w:rPr>
        <w:tab/>
      </w:r>
      <w:r>
        <w:rPr>
          <w:rFonts w:ascii="Arial" w:eastAsia="Arial" w:hAnsi="Arial"/>
          <w:color w:val="000000"/>
          <w:spacing w:val="1"/>
          <w:sz w:val="20"/>
        </w:rPr>
        <w:t>GMW Water Efficiency Project - Summary</w:t>
      </w:r>
    </w:p>
    <w:p w14:paraId="5B7FB71A" w14:textId="77777777" w:rsidR="00345DC1" w:rsidRDefault="00DB08CC">
      <w:pPr>
        <w:tabs>
          <w:tab w:val="left" w:pos="432"/>
        </w:tabs>
        <w:spacing w:before="226" w:line="221"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Backbone Transformation Project – Funding Submission (June 2020)</w:t>
      </w:r>
    </w:p>
    <w:p w14:paraId="4DA0454C" w14:textId="77777777" w:rsidR="00345DC1" w:rsidRDefault="00DB08CC">
      <w:pPr>
        <w:tabs>
          <w:tab w:val="left" w:pos="432"/>
        </w:tabs>
        <w:spacing w:line="444"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r>
      <w:proofErr w:type="spellStart"/>
      <w:r>
        <w:rPr>
          <w:rFonts w:ascii="Arial" w:eastAsia="Arial" w:hAnsi="Arial"/>
          <w:color w:val="000000"/>
          <w:sz w:val="20"/>
        </w:rPr>
        <w:t>Shepparton</w:t>
      </w:r>
      <w:proofErr w:type="spellEnd"/>
      <w:r>
        <w:rPr>
          <w:rFonts w:ascii="Arial" w:eastAsia="Arial" w:hAnsi="Arial"/>
          <w:color w:val="000000"/>
          <w:sz w:val="20"/>
        </w:rPr>
        <w:t xml:space="preserve"> East Project Delivery (SEP) Business Case (June 2020) </w:t>
      </w:r>
      <w:r>
        <w:rPr>
          <w:rFonts w:ascii="Arial" w:eastAsia="Arial" w:hAnsi="Arial"/>
          <w:color w:val="000000"/>
          <w:sz w:val="20"/>
        </w:rPr>
        <w:br/>
        <w:t>Other supporting documentation and files provided for assessment included:</w:t>
      </w:r>
    </w:p>
    <w:p w14:paraId="188F612F" w14:textId="77777777" w:rsidR="00345DC1" w:rsidRDefault="00DB08CC">
      <w:pPr>
        <w:tabs>
          <w:tab w:val="left" w:pos="432"/>
        </w:tabs>
        <w:spacing w:before="244" w:line="221"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Attac</w:t>
      </w:r>
      <w:r>
        <w:rPr>
          <w:rFonts w:ascii="Arial" w:eastAsia="Arial" w:hAnsi="Arial"/>
          <w:color w:val="000000"/>
          <w:sz w:val="20"/>
        </w:rPr>
        <w:t>hment 1. BTP Water Savings Detailed Estimate.xlsx</w:t>
      </w:r>
    </w:p>
    <w:p w14:paraId="4F90031E" w14:textId="77777777" w:rsidR="00345DC1" w:rsidRDefault="00DB08CC">
      <w:pPr>
        <w:tabs>
          <w:tab w:val="left" w:pos="432"/>
        </w:tabs>
        <w:spacing w:before="221" w:line="221"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Attachment 2. Detailed Budget Calculation Spreadsheet.xlsx</w:t>
      </w:r>
    </w:p>
    <w:p w14:paraId="62D474D5" w14:textId="77777777" w:rsidR="00345DC1" w:rsidRDefault="00DB08CC">
      <w:pPr>
        <w:tabs>
          <w:tab w:val="left" w:pos="432"/>
        </w:tabs>
        <w:spacing w:before="225" w:line="221"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Attachment 3. BTP Cost Assumptions.pdf</w:t>
      </w:r>
    </w:p>
    <w:p w14:paraId="0B92EE8B" w14:textId="77777777" w:rsidR="00345DC1" w:rsidRDefault="00DB08CC">
      <w:pPr>
        <w:tabs>
          <w:tab w:val="left" w:pos="432"/>
        </w:tabs>
        <w:spacing w:before="226" w:after="9597" w:line="221"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Attachment 4. Detailed Project Cost Analysis.pdf</w:t>
      </w:r>
    </w:p>
    <w:p w14:paraId="1ED5F1D6" w14:textId="77777777" w:rsidR="00345DC1" w:rsidRDefault="00345DC1">
      <w:pPr>
        <w:spacing w:before="226" w:after="9597" w:line="221" w:lineRule="exact"/>
        <w:sectPr w:rsidR="00345DC1">
          <w:pgSz w:w="11909" w:h="16838"/>
          <w:pgMar w:top="580" w:right="1139" w:bottom="262" w:left="1120" w:header="720" w:footer="720" w:gutter="0"/>
          <w:cols w:space="720"/>
        </w:sectPr>
      </w:pPr>
    </w:p>
    <w:p w14:paraId="10AB6015" w14:textId="77777777" w:rsidR="00345DC1" w:rsidRDefault="00DB08CC">
      <w:pPr>
        <w:spacing w:before="1" w:line="155" w:lineRule="exact"/>
        <w:ind w:left="576"/>
        <w:textAlignment w:val="baseline"/>
        <w:rPr>
          <w:rFonts w:ascii="Arial" w:eastAsia="Arial" w:hAnsi="Arial"/>
          <w:color w:val="000000"/>
          <w:sz w:val="14"/>
        </w:rPr>
      </w:pPr>
      <w:r>
        <w:rPr>
          <w:rFonts w:ascii="Arial" w:eastAsia="Arial" w:hAnsi="Arial"/>
          <w:color w:val="000000"/>
          <w:sz w:val="14"/>
        </w:rPr>
        <w:t>GHD ADVISORY</w:t>
      </w:r>
    </w:p>
    <w:p w14:paraId="1991C818" w14:textId="77777777" w:rsidR="00345DC1" w:rsidRDefault="00DB08CC">
      <w:pPr>
        <w:tabs>
          <w:tab w:val="right" w:pos="3672"/>
        </w:tabs>
        <w:spacing w:line="245" w:lineRule="exact"/>
        <w:ind w:left="144"/>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6</w:t>
      </w:r>
      <w:r>
        <w:rPr>
          <w:rFonts w:ascii="Arial" w:eastAsia="Arial" w:hAnsi="Arial"/>
          <w:color w:val="FFFFFF"/>
          <w:sz w:val="15"/>
          <w:shd w:val="solid" w:color="006391" w:fill="006391"/>
        </w:rPr>
        <w:tab/>
      </w:r>
      <w:r>
        <w:rPr>
          <w:rFonts w:ascii="Arial" w:eastAsia="Arial" w:hAnsi="Arial"/>
          <w:color w:val="000000"/>
          <w:sz w:val="14"/>
        </w:rPr>
        <w:t>Review of Goulburn Murray Water (GMW) Water</w:t>
      </w:r>
    </w:p>
    <w:p w14:paraId="08B5F89E" w14:textId="77777777" w:rsidR="00345DC1" w:rsidRDefault="00DB08CC">
      <w:pPr>
        <w:spacing w:before="8"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480F8C35" w14:textId="77777777" w:rsidR="00345DC1" w:rsidRDefault="00345DC1">
      <w:pPr>
        <w:sectPr w:rsidR="00345DC1">
          <w:type w:val="continuous"/>
          <w:pgSz w:w="11909" w:h="16838"/>
          <w:pgMar w:top="580" w:right="7142" w:bottom="262" w:left="1124" w:header="720" w:footer="720" w:gutter="0"/>
          <w:cols w:space="720"/>
        </w:sectPr>
      </w:pPr>
    </w:p>
    <w:p w14:paraId="178299AF" w14:textId="77777777" w:rsidR="00345DC1" w:rsidRDefault="00DB08CC">
      <w:pPr>
        <w:spacing w:before="10" w:line="548" w:lineRule="exact"/>
        <w:textAlignment w:val="baseline"/>
        <w:rPr>
          <w:rFonts w:ascii="Arial" w:eastAsia="Arial" w:hAnsi="Arial"/>
          <w:b/>
          <w:color w:val="006CA2"/>
          <w:spacing w:val="49"/>
          <w:w w:val="95"/>
          <w:sz w:val="47"/>
        </w:rPr>
      </w:pPr>
      <w:r>
        <w:rPr>
          <w:rFonts w:ascii="Arial" w:eastAsia="Arial" w:hAnsi="Arial"/>
          <w:b/>
          <w:color w:val="006CA2"/>
          <w:spacing w:val="49"/>
          <w:w w:val="95"/>
          <w:sz w:val="47"/>
        </w:rPr>
        <w:lastRenderedPageBreak/>
        <w:t>6. Analysis</w:t>
      </w:r>
    </w:p>
    <w:p w14:paraId="084E8C8B" w14:textId="77777777" w:rsidR="00345DC1" w:rsidRDefault="00DB08CC">
      <w:pPr>
        <w:tabs>
          <w:tab w:val="left" w:pos="1008"/>
        </w:tabs>
        <w:spacing w:before="368" w:after="389" w:line="322" w:lineRule="exact"/>
        <w:textAlignment w:val="baseline"/>
        <w:rPr>
          <w:rFonts w:ascii="Arial" w:eastAsia="Arial" w:hAnsi="Arial"/>
          <w:b/>
          <w:color w:val="009BAC"/>
          <w:sz w:val="28"/>
        </w:rPr>
      </w:pPr>
      <w:r>
        <w:rPr>
          <w:rFonts w:ascii="Arial" w:eastAsia="Arial" w:hAnsi="Arial"/>
          <w:b/>
          <w:color w:val="009BAC"/>
          <w:sz w:val="28"/>
        </w:rPr>
        <w:t>6.1</w:t>
      </w:r>
      <w:r>
        <w:rPr>
          <w:rFonts w:ascii="Arial" w:eastAsia="Arial" w:hAnsi="Arial"/>
          <w:b/>
          <w:color w:val="009BAC"/>
          <w:sz w:val="28"/>
        </w:rPr>
        <w:tab/>
        <w:t>Backbone Transformation Project</w:t>
      </w:r>
    </w:p>
    <w:p w14:paraId="48726C4A" w14:textId="77777777" w:rsidR="00345DC1" w:rsidRDefault="00DB08CC">
      <w:pPr>
        <w:tabs>
          <w:tab w:val="left" w:pos="1008"/>
        </w:tabs>
        <w:spacing w:before="1" w:line="230" w:lineRule="exact"/>
        <w:textAlignment w:val="baseline"/>
        <w:rPr>
          <w:rFonts w:ascii="Arial" w:eastAsia="Arial" w:hAnsi="Arial"/>
          <w:b/>
          <w:color w:val="C00000"/>
          <w:sz w:val="20"/>
        </w:rPr>
      </w:pPr>
      <w:r>
        <w:rPr>
          <w:rFonts w:ascii="Arial" w:eastAsia="Arial" w:hAnsi="Arial"/>
          <w:b/>
          <w:color w:val="C00000"/>
          <w:sz w:val="20"/>
        </w:rPr>
        <w:t>6.1.1</w:t>
      </w:r>
      <w:r>
        <w:rPr>
          <w:rFonts w:ascii="Arial" w:eastAsia="Arial" w:hAnsi="Arial"/>
          <w:b/>
          <w:color w:val="C00000"/>
          <w:sz w:val="20"/>
        </w:rPr>
        <w:tab/>
        <w:t>Enquiry 1: Are the proposed works likely to generate the proposed water savings</w:t>
      </w:r>
    </w:p>
    <w:p w14:paraId="68B12AC6" w14:textId="77777777" w:rsidR="00345DC1" w:rsidRDefault="00DB08CC">
      <w:pPr>
        <w:tabs>
          <w:tab w:val="left" w:pos="1008"/>
        </w:tabs>
        <w:spacing w:before="360" w:line="230" w:lineRule="exact"/>
        <w:textAlignment w:val="baseline"/>
        <w:rPr>
          <w:rFonts w:ascii="Arial" w:eastAsia="Arial" w:hAnsi="Arial"/>
          <w:b/>
          <w:color w:val="000000"/>
          <w:sz w:val="20"/>
        </w:rPr>
      </w:pPr>
      <w:r>
        <w:rPr>
          <w:rFonts w:ascii="Arial" w:eastAsia="Arial" w:hAnsi="Arial"/>
          <w:b/>
          <w:color w:val="000000"/>
          <w:sz w:val="20"/>
        </w:rPr>
        <w:t>6.1.1.1</w:t>
      </w:r>
      <w:r>
        <w:rPr>
          <w:rFonts w:ascii="Arial" w:eastAsia="Arial" w:hAnsi="Arial"/>
          <w:b/>
          <w:color w:val="000000"/>
          <w:sz w:val="20"/>
        </w:rPr>
        <w:tab/>
        <w:t>Business Case Information</w:t>
      </w:r>
    </w:p>
    <w:p w14:paraId="6FC2CA3D" w14:textId="77777777" w:rsidR="00345DC1" w:rsidRDefault="00DB08CC">
      <w:pPr>
        <w:tabs>
          <w:tab w:val="left" w:pos="360"/>
        </w:tabs>
        <w:spacing w:before="57" w:line="346" w:lineRule="exact"/>
        <w:ind w:left="432"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r>
      <w:r>
        <w:rPr>
          <w:rFonts w:ascii="Arial" w:eastAsia="Arial" w:hAnsi="Arial"/>
          <w:color w:val="000000"/>
          <w:sz w:val="20"/>
        </w:rPr>
        <w:t xml:space="preserve">Water savings generated by the BTP have been calculated following the Victorian Government’s Water Savings Protocol for Irrigation </w:t>
      </w:r>
      <w:proofErr w:type="spellStart"/>
      <w:r>
        <w:rPr>
          <w:rFonts w:ascii="Arial" w:eastAsia="Arial" w:hAnsi="Arial"/>
          <w:color w:val="000000"/>
          <w:sz w:val="20"/>
        </w:rPr>
        <w:t>Modernisation</w:t>
      </w:r>
      <w:proofErr w:type="spellEnd"/>
      <w:r>
        <w:rPr>
          <w:rFonts w:ascii="Arial" w:eastAsia="Arial" w:hAnsi="Arial"/>
          <w:color w:val="000000"/>
          <w:sz w:val="20"/>
        </w:rPr>
        <w:t xml:space="preserve"> Projects (‘the Protocol’).</w:t>
      </w:r>
    </w:p>
    <w:p w14:paraId="1ED57DF9" w14:textId="77777777" w:rsidR="00345DC1" w:rsidRDefault="00DB08CC">
      <w:pPr>
        <w:tabs>
          <w:tab w:val="left" w:pos="360"/>
        </w:tabs>
        <w:spacing w:before="245" w:line="221" w:lineRule="exact"/>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Water savings will be generated as follows:</w:t>
      </w:r>
    </w:p>
    <w:p w14:paraId="7F4E7E03" w14:textId="77777777" w:rsidR="00345DC1" w:rsidRDefault="00DB08CC">
      <w:pPr>
        <w:numPr>
          <w:ilvl w:val="0"/>
          <w:numId w:val="4"/>
        </w:numPr>
        <w:tabs>
          <w:tab w:val="clear" w:pos="288"/>
          <w:tab w:val="left" w:pos="720"/>
        </w:tabs>
        <w:spacing w:before="114" w:line="346" w:lineRule="exact"/>
        <w:ind w:left="720" w:right="216" w:hanging="288"/>
        <w:jc w:val="both"/>
        <w:textAlignment w:val="baseline"/>
        <w:rPr>
          <w:rFonts w:ascii="Arial" w:eastAsia="Arial" w:hAnsi="Arial"/>
          <w:color w:val="000000"/>
          <w:sz w:val="20"/>
        </w:rPr>
      </w:pPr>
      <w:r>
        <w:rPr>
          <w:rFonts w:ascii="Arial" w:eastAsia="Arial" w:hAnsi="Arial"/>
          <w:color w:val="000000"/>
          <w:sz w:val="20"/>
        </w:rPr>
        <w:t xml:space="preserve">Channel </w:t>
      </w:r>
      <w:proofErr w:type="spellStart"/>
      <w:r>
        <w:rPr>
          <w:rFonts w:ascii="Arial" w:eastAsia="Arial" w:hAnsi="Arial"/>
          <w:color w:val="000000"/>
          <w:sz w:val="20"/>
        </w:rPr>
        <w:t>rationalisation</w:t>
      </w:r>
      <w:proofErr w:type="spellEnd"/>
      <w:r>
        <w:rPr>
          <w:rFonts w:ascii="Arial" w:eastAsia="Arial" w:hAnsi="Arial"/>
          <w:color w:val="000000"/>
          <w:sz w:val="20"/>
        </w:rPr>
        <w:t>: generates wat</w:t>
      </w:r>
      <w:r>
        <w:rPr>
          <w:rFonts w:ascii="Arial" w:eastAsia="Arial" w:hAnsi="Arial"/>
          <w:color w:val="000000"/>
          <w:sz w:val="20"/>
        </w:rPr>
        <w:t xml:space="preserve">er savings by eliminating seepage, </w:t>
      </w:r>
      <w:proofErr w:type="gramStart"/>
      <w:r>
        <w:rPr>
          <w:rFonts w:ascii="Arial" w:eastAsia="Arial" w:hAnsi="Arial"/>
          <w:color w:val="000000"/>
          <w:sz w:val="20"/>
        </w:rPr>
        <w:t>leakage</w:t>
      </w:r>
      <w:proofErr w:type="gramEnd"/>
      <w:r>
        <w:rPr>
          <w:rFonts w:ascii="Arial" w:eastAsia="Arial" w:hAnsi="Arial"/>
          <w:color w:val="000000"/>
          <w:sz w:val="20"/>
        </w:rPr>
        <w:t xml:space="preserve"> and evaporation losses</w:t>
      </w:r>
    </w:p>
    <w:p w14:paraId="01454104" w14:textId="77777777" w:rsidR="00345DC1" w:rsidRDefault="00DB08CC">
      <w:pPr>
        <w:numPr>
          <w:ilvl w:val="0"/>
          <w:numId w:val="4"/>
        </w:numPr>
        <w:tabs>
          <w:tab w:val="clear" w:pos="288"/>
          <w:tab w:val="left" w:pos="720"/>
        </w:tabs>
        <w:spacing w:before="65" w:line="343" w:lineRule="exact"/>
        <w:ind w:left="720" w:hanging="288"/>
        <w:textAlignment w:val="baseline"/>
        <w:rPr>
          <w:rFonts w:ascii="Arial" w:eastAsia="Arial" w:hAnsi="Arial"/>
          <w:color w:val="000000"/>
          <w:sz w:val="20"/>
        </w:rPr>
      </w:pPr>
      <w:r>
        <w:rPr>
          <w:rFonts w:ascii="Arial" w:eastAsia="Arial" w:hAnsi="Arial"/>
          <w:color w:val="000000"/>
          <w:sz w:val="20"/>
        </w:rPr>
        <w:t xml:space="preserve">Channel </w:t>
      </w:r>
      <w:proofErr w:type="spellStart"/>
      <w:r>
        <w:rPr>
          <w:rFonts w:ascii="Arial" w:eastAsia="Arial" w:hAnsi="Arial"/>
          <w:color w:val="000000"/>
          <w:sz w:val="20"/>
        </w:rPr>
        <w:t>modernisation</w:t>
      </w:r>
      <w:proofErr w:type="spellEnd"/>
      <w:r>
        <w:rPr>
          <w:rFonts w:ascii="Arial" w:eastAsia="Arial" w:hAnsi="Arial"/>
          <w:color w:val="000000"/>
          <w:sz w:val="20"/>
        </w:rPr>
        <w:t>: generates water savings by improving the control of water levels in channels resulting in a reduction in the volume of water overflowing from the end of the irrigation</w:t>
      </w:r>
      <w:r>
        <w:rPr>
          <w:rFonts w:ascii="Arial" w:eastAsia="Arial" w:hAnsi="Arial"/>
          <w:color w:val="000000"/>
          <w:sz w:val="20"/>
        </w:rPr>
        <w:t xml:space="preserve"> system (outfall)</w:t>
      </w:r>
    </w:p>
    <w:p w14:paraId="58DBD6BF" w14:textId="77777777" w:rsidR="00345DC1" w:rsidRDefault="00DB08CC">
      <w:pPr>
        <w:numPr>
          <w:ilvl w:val="0"/>
          <w:numId w:val="4"/>
        </w:numPr>
        <w:tabs>
          <w:tab w:val="clear" w:pos="288"/>
          <w:tab w:val="left" w:pos="720"/>
        </w:tabs>
        <w:spacing w:before="62" w:line="346" w:lineRule="exact"/>
        <w:ind w:left="720" w:right="216" w:hanging="288"/>
        <w:jc w:val="both"/>
        <w:textAlignment w:val="baseline"/>
        <w:rPr>
          <w:rFonts w:ascii="Arial" w:eastAsia="Arial" w:hAnsi="Arial"/>
          <w:color w:val="000000"/>
          <w:sz w:val="20"/>
        </w:rPr>
      </w:pPr>
      <w:r>
        <w:rPr>
          <w:rFonts w:ascii="Arial" w:eastAsia="Arial" w:hAnsi="Arial"/>
          <w:color w:val="000000"/>
          <w:sz w:val="20"/>
        </w:rPr>
        <w:t xml:space="preserve">Meter </w:t>
      </w:r>
      <w:proofErr w:type="spellStart"/>
      <w:r>
        <w:rPr>
          <w:rFonts w:ascii="Arial" w:eastAsia="Arial" w:hAnsi="Arial"/>
          <w:color w:val="000000"/>
          <w:sz w:val="20"/>
        </w:rPr>
        <w:t>rationalisation</w:t>
      </w:r>
      <w:proofErr w:type="spellEnd"/>
      <w:r>
        <w:rPr>
          <w:rFonts w:ascii="Arial" w:eastAsia="Arial" w:hAnsi="Arial"/>
          <w:color w:val="000000"/>
          <w:sz w:val="20"/>
        </w:rPr>
        <w:t>: generates water savings by eliminating water losses due to meter inaccuracy and leakage from old or inefficient meters</w:t>
      </w:r>
    </w:p>
    <w:p w14:paraId="04CA423F" w14:textId="77777777" w:rsidR="00345DC1" w:rsidRDefault="00DB08CC">
      <w:pPr>
        <w:numPr>
          <w:ilvl w:val="0"/>
          <w:numId w:val="4"/>
        </w:numPr>
        <w:tabs>
          <w:tab w:val="clear" w:pos="288"/>
          <w:tab w:val="left" w:pos="720"/>
        </w:tabs>
        <w:spacing w:before="173" w:line="230" w:lineRule="exact"/>
        <w:ind w:left="720" w:hanging="288"/>
        <w:jc w:val="both"/>
        <w:textAlignment w:val="baseline"/>
        <w:rPr>
          <w:rFonts w:ascii="Arial" w:eastAsia="Arial" w:hAnsi="Arial"/>
          <w:color w:val="000000"/>
          <w:sz w:val="20"/>
        </w:rPr>
      </w:pPr>
      <w:r>
        <w:rPr>
          <w:rFonts w:ascii="Arial" w:eastAsia="Arial" w:hAnsi="Arial"/>
          <w:color w:val="000000"/>
          <w:sz w:val="20"/>
        </w:rPr>
        <w:t xml:space="preserve">Meter </w:t>
      </w:r>
      <w:proofErr w:type="spellStart"/>
      <w:r>
        <w:rPr>
          <w:rFonts w:ascii="Arial" w:eastAsia="Arial" w:hAnsi="Arial"/>
          <w:color w:val="000000"/>
          <w:sz w:val="20"/>
        </w:rPr>
        <w:t>modernisation</w:t>
      </w:r>
      <w:proofErr w:type="spellEnd"/>
      <w:r>
        <w:rPr>
          <w:rFonts w:ascii="Arial" w:eastAsia="Arial" w:hAnsi="Arial"/>
          <w:color w:val="000000"/>
          <w:sz w:val="20"/>
        </w:rPr>
        <w:t>: generates water savings by improving meter accuracy and reducing leakage</w:t>
      </w:r>
    </w:p>
    <w:p w14:paraId="5E5C1632" w14:textId="77777777" w:rsidR="00345DC1" w:rsidRDefault="00DB08CC">
      <w:pPr>
        <w:tabs>
          <w:tab w:val="left" w:pos="360"/>
        </w:tabs>
        <w:spacing w:before="57" w:line="346" w:lineRule="exact"/>
        <w:ind w:left="432" w:right="648" w:hanging="432"/>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r>
      <w:r>
        <w:rPr>
          <w:rFonts w:ascii="Arial" w:eastAsia="Arial" w:hAnsi="Arial"/>
          <w:color w:val="000000"/>
          <w:sz w:val="20"/>
        </w:rPr>
        <w:t xml:space="preserve">The BTP aims to achieve 14.7 GL of water savings from a range water savings works across five irrigation districts as detailed at </w:t>
      </w:r>
      <w:r>
        <w:rPr>
          <w:rFonts w:ascii="Arial" w:eastAsia="Arial" w:hAnsi="Arial"/>
          <w:color w:val="000000"/>
          <w:sz w:val="20"/>
          <w:u w:val="single"/>
        </w:rPr>
        <w:t>Table 2</w:t>
      </w:r>
      <w:r>
        <w:rPr>
          <w:rFonts w:ascii="Arial" w:eastAsia="Arial" w:hAnsi="Arial"/>
          <w:color w:val="000000"/>
          <w:sz w:val="20"/>
        </w:rPr>
        <w:t>.</w:t>
      </w:r>
      <w:r>
        <w:rPr>
          <w:rFonts w:ascii="Arial" w:eastAsia="Arial" w:hAnsi="Arial"/>
          <w:color w:val="000000"/>
          <w:sz w:val="20"/>
          <w:u w:val="single"/>
        </w:rPr>
        <w:t xml:space="preserve"> </w:t>
      </w:r>
    </w:p>
    <w:p w14:paraId="0DCC558F" w14:textId="77777777" w:rsidR="00345DC1" w:rsidRDefault="00DB08CC">
      <w:pPr>
        <w:spacing w:before="410" w:after="211" w:line="226" w:lineRule="exact"/>
        <w:jc w:val="right"/>
        <w:textAlignment w:val="baseline"/>
        <w:rPr>
          <w:rFonts w:ascii="Calibri" w:eastAsia="Calibri" w:hAnsi="Calibri"/>
          <w:b/>
          <w:color w:val="000000"/>
        </w:rPr>
      </w:pPr>
      <w:r>
        <w:rPr>
          <w:rFonts w:ascii="Calibri" w:eastAsia="Calibri" w:hAnsi="Calibri"/>
          <w:b/>
          <w:color w:val="000000"/>
        </w:rPr>
        <w:t>Table 2: BTP Water Savings across 5 irrigation districts</w:t>
      </w:r>
    </w:p>
    <w:p w14:paraId="72FAF6CF" w14:textId="77777777" w:rsidR="00345DC1" w:rsidRDefault="00DB08CC">
      <w:pPr>
        <w:spacing w:after="299"/>
        <w:ind w:left="1834" w:right="1979"/>
        <w:textAlignment w:val="baseline"/>
      </w:pPr>
      <w:r>
        <w:rPr>
          <w:noProof/>
        </w:rPr>
        <w:drawing>
          <wp:inline distT="0" distB="0" distL="0" distR="0" wp14:anchorId="1C48E6B1" wp14:editId="33C6DEEE">
            <wp:extent cx="3706495" cy="16484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3706495" cy="1648460"/>
                    </a:xfrm>
                    <a:prstGeom prst="rect">
                      <a:avLst/>
                    </a:prstGeom>
                  </pic:spPr>
                </pic:pic>
              </a:graphicData>
            </a:graphic>
          </wp:inline>
        </w:drawing>
      </w:r>
    </w:p>
    <w:p w14:paraId="20DB5551" w14:textId="77777777" w:rsidR="00345DC1" w:rsidRDefault="00DB08CC">
      <w:pPr>
        <w:tabs>
          <w:tab w:val="left" w:pos="1008"/>
        </w:tabs>
        <w:spacing w:before="1" w:line="230" w:lineRule="exact"/>
        <w:textAlignment w:val="baseline"/>
        <w:rPr>
          <w:rFonts w:ascii="Arial" w:eastAsia="Arial" w:hAnsi="Arial"/>
          <w:b/>
          <w:color w:val="000000"/>
          <w:sz w:val="20"/>
        </w:rPr>
      </w:pPr>
      <w:r>
        <w:rPr>
          <w:rFonts w:ascii="Arial" w:eastAsia="Arial" w:hAnsi="Arial"/>
          <w:b/>
          <w:color w:val="000000"/>
          <w:sz w:val="20"/>
        </w:rPr>
        <w:t>6.1.1.2</w:t>
      </w:r>
      <w:r>
        <w:rPr>
          <w:rFonts w:ascii="Arial" w:eastAsia="Arial" w:hAnsi="Arial"/>
          <w:b/>
          <w:color w:val="000000"/>
          <w:sz w:val="20"/>
        </w:rPr>
        <w:tab/>
        <w:t>Analysis and Assessment</w:t>
      </w:r>
    </w:p>
    <w:p w14:paraId="1964D07B" w14:textId="77777777" w:rsidR="00345DC1" w:rsidRDefault="00DB08CC">
      <w:pPr>
        <w:tabs>
          <w:tab w:val="left" w:pos="360"/>
        </w:tabs>
        <w:spacing w:before="65" w:line="345" w:lineRule="exact"/>
        <w:ind w:left="432"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r>
      <w:r>
        <w:rPr>
          <w:rFonts w:ascii="Arial" w:eastAsia="Arial" w:hAnsi="Arial"/>
          <w:color w:val="000000"/>
          <w:sz w:val="20"/>
        </w:rPr>
        <w:t xml:space="preserve">A </w:t>
      </w:r>
      <w:proofErr w:type="gramStart"/>
      <w:r>
        <w:rPr>
          <w:rFonts w:ascii="Arial" w:eastAsia="Arial" w:hAnsi="Arial"/>
          <w:color w:val="000000"/>
          <w:sz w:val="20"/>
        </w:rPr>
        <w:t>bottom up</w:t>
      </w:r>
      <w:proofErr w:type="gramEnd"/>
      <w:r>
        <w:rPr>
          <w:rFonts w:ascii="Arial" w:eastAsia="Arial" w:hAnsi="Arial"/>
          <w:color w:val="000000"/>
          <w:sz w:val="20"/>
        </w:rPr>
        <w:t xml:space="preserve"> approach has been used to estimate water savings. The water savings estimates are directly related to the 100 predefined sub-projects for the BTP. Attachment 1: BTP Water Savings Detailed Estimate provides evidence of the detailed water savings</w:t>
      </w:r>
      <w:r>
        <w:rPr>
          <w:rFonts w:ascii="Arial" w:eastAsia="Arial" w:hAnsi="Arial"/>
          <w:color w:val="000000"/>
          <w:sz w:val="20"/>
        </w:rPr>
        <w:t xml:space="preserve"> calculations and the alignment with the project scope.</w:t>
      </w:r>
    </w:p>
    <w:p w14:paraId="4B9EC02C" w14:textId="77777777" w:rsidR="00345DC1" w:rsidRDefault="00DB08CC">
      <w:pPr>
        <w:tabs>
          <w:tab w:val="left" w:pos="360"/>
        </w:tabs>
        <w:spacing w:before="121" w:line="345" w:lineRule="exact"/>
        <w:ind w:left="432"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The detailed water savings calculations have been audited by an independent consultant who concluded that the water savings estimate has been calculated in accordance with the Protocol.</w:t>
      </w:r>
    </w:p>
    <w:p w14:paraId="243F2862" w14:textId="77777777" w:rsidR="00345DC1" w:rsidRDefault="00DB08CC">
      <w:pPr>
        <w:tabs>
          <w:tab w:val="left" w:pos="360"/>
        </w:tabs>
        <w:spacing w:before="115" w:line="346" w:lineRule="exact"/>
        <w:ind w:left="432" w:hanging="432"/>
        <w:jc w:val="both"/>
        <w:textAlignment w:val="baseline"/>
        <w:rPr>
          <w:rFonts w:ascii="Wingdings" w:eastAsia="Wingdings" w:hAnsi="Wingdings"/>
          <w:color w:val="000000"/>
          <w:spacing w:val="-1"/>
          <w:sz w:val="20"/>
        </w:rPr>
      </w:pPr>
      <w:r>
        <w:rPr>
          <w:rFonts w:ascii="Wingdings" w:eastAsia="Wingdings" w:hAnsi="Wingdings"/>
          <w:color w:val="000000"/>
          <w:spacing w:val="-1"/>
          <w:sz w:val="20"/>
        </w:rPr>
        <w:t></w:t>
      </w:r>
      <w:r>
        <w:rPr>
          <w:rFonts w:ascii="Arial" w:eastAsia="Arial" w:hAnsi="Arial"/>
          <w:color w:val="000000"/>
          <w:spacing w:val="-1"/>
          <w:sz w:val="20"/>
        </w:rPr>
        <w:tab/>
        <w:t>The propos</w:t>
      </w:r>
      <w:r>
        <w:rPr>
          <w:rFonts w:ascii="Arial" w:eastAsia="Arial" w:hAnsi="Arial"/>
          <w:color w:val="000000"/>
          <w:spacing w:val="-1"/>
          <w:sz w:val="20"/>
        </w:rPr>
        <w:t>ed water savings works are the same as those undertaken for the Connections project. It is reasonable to expect that water savings from these works will also be achieved from the BTP. However,</w:t>
      </w:r>
    </w:p>
    <w:p w14:paraId="25FD0D9F" w14:textId="77777777" w:rsidR="00345DC1" w:rsidRDefault="00DB08CC">
      <w:pPr>
        <w:spacing w:before="486"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78005451" w14:textId="77777777" w:rsidR="00345DC1" w:rsidRDefault="00DB08CC">
      <w:pPr>
        <w:spacing w:line="124" w:lineRule="exact"/>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7</w:t>
      </w:r>
    </w:p>
    <w:p w14:paraId="3FAF932C" w14:textId="77777777" w:rsidR="00345DC1" w:rsidRDefault="00DB08CC">
      <w:pPr>
        <w:spacing w:line="139" w:lineRule="exact"/>
        <w:ind w:left="576"/>
        <w:textAlignment w:val="baseline"/>
        <w:rPr>
          <w:rFonts w:ascii="Arial" w:eastAsia="Arial" w:hAnsi="Arial"/>
          <w:color w:val="000000"/>
          <w:sz w:val="14"/>
        </w:rPr>
      </w:pPr>
      <w:r>
        <w:rPr>
          <w:rFonts w:ascii="Arial" w:eastAsia="Arial" w:hAnsi="Arial"/>
          <w:color w:val="000000"/>
          <w:sz w:val="14"/>
        </w:rPr>
        <w:t>Review of Goulburn Murray Water (GMW) Water</w:t>
      </w:r>
    </w:p>
    <w:p w14:paraId="4DADE09E"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228EDAE0" w14:textId="77777777" w:rsidR="00345DC1" w:rsidRDefault="00345DC1">
      <w:pPr>
        <w:sectPr w:rsidR="00345DC1">
          <w:pgSz w:w="11909" w:h="16838"/>
          <w:pgMar w:top="580" w:right="1127" w:bottom="262" w:left="1132" w:header="720" w:footer="720" w:gutter="0"/>
          <w:cols w:space="720"/>
        </w:sectPr>
      </w:pPr>
    </w:p>
    <w:p w14:paraId="5D6F962B" w14:textId="77777777" w:rsidR="00345DC1" w:rsidRDefault="00DB08CC">
      <w:pPr>
        <w:spacing w:before="18" w:line="345" w:lineRule="exact"/>
        <w:ind w:left="360"/>
        <w:jc w:val="both"/>
        <w:textAlignment w:val="baseline"/>
        <w:rPr>
          <w:rFonts w:ascii="Arial" w:eastAsia="Arial" w:hAnsi="Arial"/>
          <w:color w:val="000000"/>
          <w:sz w:val="20"/>
        </w:rPr>
      </w:pPr>
      <w:r>
        <w:rPr>
          <w:rFonts w:ascii="Arial" w:eastAsia="Arial" w:hAnsi="Arial"/>
          <w:color w:val="000000"/>
          <w:sz w:val="20"/>
        </w:rPr>
        <w:lastRenderedPageBreak/>
        <w:t xml:space="preserve">it is noted that the water savings volume per asset </w:t>
      </w:r>
      <w:proofErr w:type="spellStart"/>
      <w:r>
        <w:rPr>
          <w:rFonts w:ascii="Arial" w:eastAsia="Arial" w:hAnsi="Arial"/>
          <w:color w:val="000000"/>
          <w:sz w:val="20"/>
        </w:rPr>
        <w:t>modernised</w:t>
      </w:r>
      <w:proofErr w:type="spellEnd"/>
      <w:r>
        <w:rPr>
          <w:rFonts w:ascii="Arial" w:eastAsia="Arial" w:hAnsi="Arial"/>
          <w:color w:val="000000"/>
          <w:sz w:val="20"/>
        </w:rPr>
        <w:t>/</w:t>
      </w:r>
      <w:proofErr w:type="spellStart"/>
      <w:r>
        <w:rPr>
          <w:rFonts w:ascii="Arial" w:eastAsia="Arial" w:hAnsi="Arial"/>
          <w:color w:val="000000"/>
          <w:sz w:val="20"/>
        </w:rPr>
        <w:t>rationalised</w:t>
      </w:r>
      <w:proofErr w:type="spellEnd"/>
      <w:r>
        <w:rPr>
          <w:rFonts w:ascii="Arial" w:eastAsia="Arial" w:hAnsi="Arial"/>
          <w:color w:val="000000"/>
          <w:sz w:val="20"/>
        </w:rPr>
        <w:t xml:space="preserve"> is lower than that achieved on the Connections Project, which is attributable to:</w:t>
      </w:r>
    </w:p>
    <w:p w14:paraId="1CE0E4D0" w14:textId="77777777" w:rsidR="00345DC1" w:rsidRDefault="00DB08CC">
      <w:pPr>
        <w:numPr>
          <w:ilvl w:val="0"/>
          <w:numId w:val="5"/>
        </w:numPr>
        <w:tabs>
          <w:tab w:val="clear" w:pos="360"/>
          <w:tab w:val="left" w:pos="720"/>
        </w:tabs>
        <w:spacing w:before="117" w:line="345" w:lineRule="exact"/>
        <w:ind w:left="720" w:right="1008" w:hanging="360"/>
        <w:textAlignment w:val="baseline"/>
        <w:rPr>
          <w:rFonts w:ascii="Arial" w:eastAsia="Arial" w:hAnsi="Arial"/>
          <w:color w:val="000000"/>
          <w:sz w:val="20"/>
        </w:rPr>
      </w:pPr>
      <w:r>
        <w:rPr>
          <w:rFonts w:ascii="Arial" w:eastAsia="Arial" w:hAnsi="Arial"/>
          <w:color w:val="000000"/>
          <w:sz w:val="20"/>
        </w:rPr>
        <w:t xml:space="preserve">The channels within the BTP scope being relatively efficient compared to those previously </w:t>
      </w:r>
      <w:proofErr w:type="spellStart"/>
      <w:r>
        <w:rPr>
          <w:rFonts w:ascii="Arial" w:eastAsia="Arial" w:hAnsi="Arial"/>
          <w:color w:val="000000"/>
          <w:sz w:val="20"/>
        </w:rPr>
        <w:t>modernis</w:t>
      </w:r>
      <w:r>
        <w:rPr>
          <w:rFonts w:ascii="Arial" w:eastAsia="Arial" w:hAnsi="Arial"/>
          <w:color w:val="000000"/>
          <w:sz w:val="20"/>
        </w:rPr>
        <w:t>ed</w:t>
      </w:r>
      <w:proofErr w:type="spellEnd"/>
      <w:r>
        <w:rPr>
          <w:rFonts w:ascii="Arial" w:eastAsia="Arial" w:hAnsi="Arial"/>
          <w:color w:val="000000"/>
          <w:sz w:val="20"/>
        </w:rPr>
        <w:t xml:space="preserve"> in the GMID</w:t>
      </w:r>
    </w:p>
    <w:p w14:paraId="7AB6B655" w14:textId="77777777" w:rsidR="00345DC1" w:rsidRDefault="00DB08CC">
      <w:pPr>
        <w:numPr>
          <w:ilvl w:val="0"/>
          <w:numId w:val="5"/>
        </w:numPr>
        <w:tabs>
          <w:tab w:val="clear" w:pos="360"/>
          <w:tab w:val="left" w:pos="720"/>
        </w:tabs>
        <w:spacing w:before="121" w:line="345" w:lineRule="exact"/>
        <w:ind w:left="720" w:right="576" w:hanging="360"/>
        <w:textAlignment w:val="baseline"/>
        <w:rPr>
          <w:rFonts w:ascii="Arial" w:eastAsia="Arial" w:hAnsi="Arial"/>
          <w:color w:val="000000"/>
          <w:sz w:val="20"/>
        </w:rPr>
      </w:pPr>
      <w:r>
        <w:rPr>
          <w:rFonts w:ascii="Arial" w:eastAsia="Arial" w:hAnsi="Arial"/>
          <w:color w:val="000000"/>
          <w:sz w:val="20"/>
        </w:rPr>
        <w:t xml:space="preserve">Historical water </w:t>
      </w:r>
      <w:proofErr w:type="gramStart"/>
      <w:r>
        <w:rPr>
          <w:rFonts w:ascii="Arial" w:eastAsia="Arial" w:hAnsi="Arial"/>
          <w:color w:val="000000"/>
          <w:sz w:val="20"/>
        </w:rPr>
        <w:t>use</w:t>
      </w:r>
      <w:proofErr w:type="gramEnd"/>
      <w:r>
        <w:rPr>
          <w:rFonts w:ascii="Arial" w:eastAsia="Arial" w:hAnsi="Arial"/>
          <w:color w:val="000000"/>
          <w:sz w:val="20"/>
        </w:rPr>
        <w:t xml:space="preserve"> for the assessment period (which forms part of the meter and outfall water saving) is typically lower that those previously </w:t>
      </w:r>
      <w:proofErr w:type="spellStart"/>
      <w:r>
        <w:rPr>
          <w:rFonts w:ascii="Arial" w:eastAsia="Arial" w:hAnsi="Arial"/>
          <w:color w:val="000000"/>
          <w:sz w:val="20"/>
        </w:rPr>
        <w:t>modernised</w:t>
      </w:r>
      <w:proofErr w:type="spellEnd"/>
    </w:p>
    <w:p w14:paraId="4E7DD29D" w14:textId="77777777" w:rsidR="00345DC1" w:rsidRDefault="00DB08CC">
      <w:pPr>
        <w:tabs>
          <w:tab w:val="left" w:pos="1008"/>
        </w:tabs>
        <w:spacing w:before="236" w:line="230" w:lineRule="exact"/>
        <w:textAlignment w:val="baseline"/>
        <w:rPr>
          <w:rFonts w:ascii="Arial" w:eastAsia="Arial" w:hAnsi="Arial"/>
          <w:b/>
          <w:color w:val="C00000"/>
          <w:sz w:val="20"/>
        </w:rPr>
      </w:pPr>
      <w:r>
        <w:rPr>
          <w:rFonts w:ascii="Arial" w:eastAsia="Arial" w:hAnsi="Arial"/>
          <w:b/>
          <w:color w:val="C00000"/>
          <w:sz w:val="20"/>
        </w:rPr>
        <w:t>6.1.2</w:t>
      </w:r>
      <w:r>
        <w:rPr>
          <w:rFonts w:ascii="Arial" w:eastAsia="Arial" w:hAnsi="Arial"/>
          <w:b/>
          <w:color w:val="C00000"/>
          <w:sz w:val="20"/>
        </w:rPr>
        <w:tab/>
        <w:t>Enquiry 2: Are the costs consistent with the nature of the works</w:t>
      </w:r>
    </w:p>
    <w:p w14:paraId="4C05B510" w14:textId="77777777" w:rsidR="00345DC1" w:rsidRDefault="00DB08CC">
      <w:pPr>
        <w:tabs>
          <w:tab w:val="left" w:pos="1008"/>
        </w:tabs>
        <w:spacing w:before="231" w:line="230" w:lineRule="exact"/>
        <w:textAlignment w:val="baseline"/>
        <w:rPr>
          <w:rFonts w:ascii="Arial" w:eastAsia="Arial" w:hAnsi="Arial"/>
          <w:b/>
          <w:color w:val="000000"/>
          <w:sz w:val="20"/>
        </w:rPr>
      </w:pPr>
      <w:r>
        <w:rPr>
          <w:rFonts w:ascii="Arial" w:eastAsia="Arial" w:hAnsi="Arial"/>
          <w:b/>
          <w:color w:val="000000"/>
          <w:sz w:val="20"/>
        </w:rPr>
        <w:t>6.1.2.1</w:t>
      </w:r>
      <w:r>
        <w:rPr>
          <w:rFonts w:ascii="Arial" w:eastAsia="Arial" w:hAnsi="Arial"/>
          <w:b/>
          <w:color w:val="000000"/>
          <w:sz w:val="20"/>
        </w:rPr>
        <w:tab/>
        <w:t>Busine</w:t>
      </w:r>
      <w:r>
        <w:rPr>
          <w:rFonts w:ascii="Arial" w:eastAsia="Arial" w:hAnsi="Arial"/>
          <w:b/>
          <w:color w:val="000000"/>
          <w:sz w:val="20"/>
        </w:rPr>
        <w:t>ss Case Information</w:t>
      </w:r>
    </w:p>
    <w:p w14:paraId="12001376" w14:textId="77777777" w:rsidR="00345DC1" w:rsidRDefault="00DB08CC">
      <w:pPr>
        <w:numPr>
          <w:ilvl w:val="0"/>
          <w:numId w:val="2"/>
        </w:numPr>
        <w:spacing w:before="122" w:line="345" w:lineRule="exact"/>
        <w:ind w:left="360" w:hanging="360"/>
        <w:jc w:val="both"/>
        <w:textAlignment w:val="baseline"/>
        <w:rPr>
          <w:rFonts w:ascii="Arial" w:eastAsia="Arial" w:hAnsi="Arial"/>
          <w:color w:val="000000"/>
          <w:sz w:val="20"/>
        </w:rPr>
      </w:pPr>
      <w:r>
        <w:rPr>
          <w:rFonts w:ascii="Arial" w:eastAsia="Arial" w:hAnsi="Arial"/>
          <w:color w:val="000000"/>
          <w:sz w:val="20"/>
        </w:rPr>
        <w:t xml:space="preserve">The cost for the works has been estimated for three categories of works, these </w:t>
      </w:r>
      <w:proofErr w:type="gramStart"/>
      <w:r>
        <w:rPr>
          <w:rFonts w:ascii="Arial" w:eastAsia="Arial" w:hAnsi="Arial"/>
          <w:color w:val="000000"/>
          <w:sz w:val="20"/>
        </w:rPr>
        <w:t>being;</w:t>
      </w:r>
      <w:proofErr w:type="gramEnd"/>
      <w:r>
        <w:rPr>
          <w:rFonts w:ascii="Arial" w:eastAsia="Arial" w:hAnsi="Arial"/>
          <w:color w:val="000000"/>
          <w:sz w:val="20"/>
        </w:rPr>
        <w:t xml:space="preserve"> on-farm works, GMW asset works (pipelines, regulators, decommissioning), and meter works. On farm works are to be undertake by agreement with the landowner. The cost esti</w:t>
      </w:r>
      <w:r>
        <w:rPr>
          <w:rFonts w:ascii="Arial" w:eastAsia="Arial" w:hAnsi="Arial"/>
          <w:color w:val="000000"/>
          <w:sz w:val="20"/>
        </w:rPr>
        <w:t xml:space="preserve">mates are based on preliminary farm designs and historical </w:t>
      </w:r>
      <w:proofErr w:type="gramStart"/>
      <w:r>
        <w:rPr>
          <w:rFonts w:ascii="Arial" w:eastAsia="Arial" w:hAnsi="Arial"/>
          <w:color w:val="000000"/>
          <w:sz w:val="20"/>
        </w:rPr>
        <w:t>Connections</w:t>
      </w:r>
      <w:proofErr w:type="gramEnd"/>
      <w:r>
        <w:rPr>
          <w:rFonts w:ascii="Arial" w:eastAsia="Arial" w:hAnsi="Arial"/>
          <w:color w:val="000000"/>
          <w:sz w:val="20"/>
        </w:rPr>
        <w:t xml:space="preserve"> project rates for these types of works.</w:t>
      </w:r>
    </w:p>
    <w:p w14:paraId="27F757E1" w14:textId="77777777" w:rsidR="00345DC1" w:rsidRDefault="00DB08CC">
      <w:pPr>
        <w:numPr>
          <w:ilvl w:val="0"/>
          <w:numId w:val="2"/>
        </w:numPr>
        <w:spacing w:before="124" w:line="345" w:lineRule="exact"/>
        <w:ind w:left="360" w:hanging="360"/>
        <w:jc w:val="both"/>
        <w:textAlignment w:val="baseline"/>
        <w:rPr>
          <w:rFonts w:ascii="Arial" w:eastAsia="Arial" w:hAnsi="Arial"/>
          <w:color w:val="000000"/>
          <w:sz w:val="20"/>
        </w:rPr>
      </w:pPr>
      <w:r>
        <w:rPr>
          <w:rFonts w:ascii="Arial" w:eastAsia="Arial" w:hAnsi="Arial"/>
          <w:color w:val="000000"/>
          <w:sz w:val="20"/>
        </w:rPr>
        <w:t xml:space="preserve">GMW asset works reflects all costs associated with connecting landowners to </w:t>
      </w:r>
      <w:proofErr w:type="spellStart"/>
      <w:r>
        <w:rPr>
          <w:rFonts w:ascii="Arial" w:eastAsia="Arial" w:hAnsi="Arial"/>
          <w:color w:val="000000"/>
          <w:sz w:val="20"/>
        </w:rPr>
        <w:t>modernised</w:t>
      </w:r>
      <w:proofErr w:type="spellEnd"/>
      <w:r>
        <w:rPr>
          <w:rFonts w:ascii="Arial" w:eastAsia="Arial" w:hAnsi="Arial"/>
          <w:color w:val="000000"/>
          <w:sz w:val="20"/>
        </w:rPr>
        <w:t xml:space="preserve"> irrigation systems other than on-farm works and meter cost</w:t>
      </w:r>
      <w:r>
        <w:rPr>
          <w:rFonts w:ascii="Arial" w:eastAsia="Arial" w:hAnsi="Arial"/>
          <w:color w:val="000000"/>
          <w:sz w:val="20"/>
        </w:rPr>
        <w:t xml:space="preserve">s. The quantity of the GMW asset works has been determined from assessment of works requirements, concept designs (for pipelines) and historical </w:t>
      </w:r>
      <w:proofErr w:type="gramStart"/>
      <w:r>
        <w:rPr>
          <w:rFonts w:ascii="Arial" w:eastAsia="Arial" w:hAnsi="Arial"/>
          <w:color w:val="000000"/>
          <w:sz w:val="20"/>
        </w:rPr>
        <w:t>Connections</w:t>
      </w:r>
      <w:proofErr w:type="gramEnd"/>
      <w:r>
        <w:rPr>
          <w:rFonts w:ascii="Arial" w:eastAsia="Arial" w:hAnsi="Arial"/>
          <w:color w:val="000000"/>
          <w:sz w:val="20"/>
        </w:rPr>
        <w:t xml:space="preserve"> project rates for these types of works. The costs for meter installation have been determined from </w:t>
      </w:r>
      <w:r>
        <w:rPr>
          <w:rFonts w:ascii="Arial" w:eastAsia="Arial" w:hAnsi="Arial"/>
          <w:color w:val="000000"/>
          <w:sz w:val="20"/>
        </w:rPr>
        <w:t xml:space="preserve">concept design identifying the number and size of meters to be replaced on each channel and applying a cost estimate for the replacement of each meter. On-farm concept designs also enable the number of </w:t>
      </w:r>
      <w:proofErr w:type="spellStart"/>
      <w:r>
        <w:rPr>
          <w:rFonts w:ascii="Arial" w:eastAsia="Arial" w:hAnsi="Arial"/>
          <w:color w:val="000000"/>
          <w:sz w:val="20"/>
        </w:rPr>
        <w:t>rationalised</w:t>
      </w:r>
      <w:proofErr w:type="spellEnd"/>
      <w:r>
        <w:rPr>
          <w:rFonts w:ascii="Arial" w:eastAsia="Arial" w:hAnsi="Arial"/>
          <w:color w:val="000000"/>
          <w:sz w:val="20"/>
        </w:rPr>
        <w:t xml:space="preserve"> outlets to be identified.</w:t>
      </w:r>
    </w:p>
    <w:p w14:paraId="56F32D8D" w14:textId="77777777" w:rsidR="00345DC1" w:rsidRDefault="00DB08CC">
      <w:pPr>
        <w:numPr>
          <w:ilvl w:val="0"/>
          <w:numId w:val="2"/>
        </w:numPr>
        <w:spacing w:before="122" w:line="345" w:lineRule="exact"/>
        <w:ind w:left="360" w:hanging="360"/>
        <w:jc w:val="both"/>
        <w:textAlignment w:val="baseline"/>
        <w:rPr>
          <w:rFonts w:ascii="Arial" w:eastAsia="Arial" w:hAnsi="Arial"/>
          <w:color w:val="000000"/>
          <w:sz w:val="20"/>
        </w:rPr>
      </w:pPr>
      <w:r>
        <w:rPr>
          <w:rFonts w:ascii="Arial" w:eastAsia="Arial" w:hAnsi="Arial"/>
          <w:color w:val="000000"/>
          <w:sz w:val="20"/>
        </w:rPr>
        <w:t xml:space="preserve">Detailed at </w:t>
      </w:r>
      <w:r>
        <w:rPr>
          <w:rFonts w:ascii="Arial" w:eastAsia="Arial" w:hAnsi="Arial"/>
          <w:color w:val="000000"/>
          <w:sz w:val="20"/>
          <w:u w:val="single"/>
        </w:rPr>
        <w:t>Tab</w:t>
      </w:r>
      <w:r>
        <w:rPr>
          <w:rFonts w:ascii="Arial" w:eastAsia="Arial" w:hAnsi="Arial"/>
          <w:color w:val="000000"/>
          <w:sz w:val="20"/>
          <w:u w:val="single"/>
        </w:rPr>
        <w:t>le 3</w:t>
      </w:r>
      <w:r>
        <w:rPr>
          <w:rFonts w:ascii="Arial" w:eastAsia="Arial" w:hAnsi="Arial"/>
          <w:color w:val="000000"/>
          <w:sz w:val="20"/>
        </w:rPr>
        <w:t xml:space="preserve"> is the forecast base cost of the BTP. The base cost comprises detailed design, regulatory approvals, land dealings, and direct construction costs (material, </w:t>
      </w:r>
      <w:proofErr w:type="spellStart"/>
      <w:r>
        <w:rPr>
          <w:rFonts w:ascii="Arial" w:eastAsia="Arial" w:hAnsi="Arial"/>
          <w:color w:val="000000"/>
          <w:sz w:val="20"/>
        </w:rPr>
        <w:t>labour</w:t>
      </w:r>
      <w:proofErr w:type="spellEnd"/>
      <w:r>
        <w:rPr>
          <w:rFonts w:ascii="Arial" w:eastAsia="Arial" w:hAnsi="Arial"/>
          <w:color w:val="000000"/>
          <w:sz w:val="20"/>
        </w:rPr>
        <w:t>, plant, contractor overhead, risk margin and profit margin).</w:t>
      </w:r>
    </w:p>
    <w:p w14:paraId="4A2759C2" w14:textId="77777777" w:rsidR="00345DC1" w:rsidRDefault="00DB08CC">
      <w:pPr>
        <w:spacing w:before="420" w:after="153" w:line="227" w:lineRule="exact"/>
        <w:jc w:val="right"/>
        <w:textAlignment w:val="baseline"/>
        <w:rPr>
          <w:rFonts w:ascii="Calibri" w:eastAsia="Calibri" w:hAnsi="Calibri"/>
          <w:b/>
          <w:color w:val="000000"/>
        </w:rPr>
      </w:pPr>
      <w:r>
        <w:rPr>
          <w:rFonts w:ascii="Calibri" w:eastAsia="Calibri" w:hAnsi="Calibri"/>
          <w:b/>
          <w:color w:val="000000"/>
        </w:rPr>
        <w:t xml:space="preserve">Table 3: BTP Base Cost by </w:t>
      </w:r>
      <w:proofErr w:type="spellStart"/>
      <w:r>
        <w:rPr>
          <w:rFonts w:ascii="Calibri" w:eastAsia="Calibri" w:hAnsi="Calibri"/>
          <w:b/>
          <w:color w:val="000000"/>
        </w:rPr>
        <w:t>Modernisation</w:t>
      </w:r>
      <w:proofErr w:type="spellEnd"/>
      <w:r>
        <w:rPr>
          <w:rFonts w:ascii="Calibri" w:eastAsia="Calibri" w:hAnsi="Calibri"/>
          <w:b/>
          <w:color w:val="000000"/>
        </w:rPr>
        <w:t xml:space="preserve"> Type and Irrigation Area</w:t>
      </w:r>
    </w:p>
    <w:p w14:paraId="62AB31A7" w14:textId="77777777" w:rsidR="00345DC1" w:rsidRDefault="00DB08CC">
      <w:pPr>
        <w:spacing w:after="381"/>
        <w:ind w:left="1748" w:right="1825"/>
        <w:textAlignment w:val="baseline"/>
      </w:pPr>
      <w:r>
        <w:rPr>
          <w:noProof/>
        </w:rPr>
        <w:drawing>
          <wp:inline distT="0" distB="0" distL="0" distR="0" wp14:anchorId="6F632700" wp14:editId="49DC2356">
            <wp:extent cx="3858895" cy="14839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3858895" cy="1483995"/>
                    </a:xfrm>
                    <a:prstGeom prst="rect">
                      <a:avLst/>
                    </a:prstGeom>
                  </pic:spPr>
                </pic:pic>
              </a:graphicData>
            </a:graphic>
          </wp:inline>
        </w:drawing>
      </w:r>
    </w:p>
    <w:p w14:paraId="5C9CCD20" w14:textId="77777777" w:rsidR="00345DC1" w:rsidRDefault="00DB08CC">
      <w:pPr>
        <w:tabs>
          <w:tab w:val="left" w:pos="1008"/>
        </w:tabs>
        <w:spacing w:before="1" w:line="230" w:lineRule="exact"/>
        <w:textAlignment w:val="baseline"/>
        <w:rPr>
          <w:rFonts w:ascii="Arial" w:eastAsia="Arial" w:hAnsi="Arial"/>
          <w:b/>
          <w:color w:val="000000"/>
          <w:sz w:val="20"/>
        </w:rPr>
      </w:pPr>
      <w:r>
        <w:rPr>
          <w:rFonts w:ascii="Arial" w:eastAsia="Arial" w:hAnsi="Arial"/>
          <w:b/>
          <w:color w:val="000000"/>
          <w:sz w:val="20"/>
        </w:rPr>
        <w:t>6.1.2.2</w:t>
      </w:r>
      <w:r>
        <w:rPr>
          <w:rFonts w:ascii="Arial" w:eastAsia="Arial" w:hAnsi="Arial"/>
          <w:b/>
          <w:color w:val="000000"/>
          <w:sz w:val="20"/>
        </w:rPr>
        <w:tab/>
        <w:t>Analysis and Assessment</w:t>
      </w:r>
    </w:p>
    <w:p w14:paraId="06762F54" w14:textId="77777777" w:rsidR="00345DC1" w:rsidRDefault="00DB08CC">
      <w:pPr>
        <w:numPr>
          <w:ilvl w:val="0"/>
          <w:numId w:val="2"/>
        </w:numPr>
        <w:spacing w:before="63" w:line="345" w:lineRule="exact"/>
        <w:ind w:left="360" w:hanging="360"/>
        <w:jc w:val="both"/>
        <w:textAlignment w:val="baseline"/>
        <w:rPr>
          <w:rFonts w:ascii="Arial" w:eastAsia="Arial" w:hAnsi="Arial"/>
          <w:color w:val="000000"/>
          <w:sz w:val="20"/>
        </w:rPr>
      </w:pPr>
      <w:r>
        <w:rPr>
          <w:rFonts w:ascii="Arial" w:eastAsia="Arial" w:hAnsi="Arial"/>
          <w:color w:val="000000"/>
          <w:sz w:val="20"/>
        </w:rPr>
        <w:t>The base costs for the project have been developed from a scope determined from desktop concept development work combined with unit cost rates derived from the Connections Project. The following provides an analysis of the methods and assumptions applied i</w:t>
      </w:r>
      <w:r>
        <w:rPr>
          <w:rFonts w:ascii="Arial" w:eastAsia="Arial" w:hAnsi="Arial"/>
          <w:color w:val="000000"/>
          <w:sz w:val="20"/>
        </w:rPr>
        <w:t>n developing project costs.</w:t>
      </w:r>
    </w:p>
    <w:p w14:paraId="7F024FCD" w14:textId="77777777" w:rsidR="00345DC1" w:rsidRDefault="00DB08CC">
      <w:pPr>
        <w:spacing w:before="698" w:line="230" w:lineRule="exact"/>
        <w:textAlignment w:val="baseline"/>
        <w:rPr>
          <w:rFonts w:ascii="Arial" w:eastAsia="Arial" w:hAnsi="Arial"/>
          <w:b/>
          <w:color w:val="006399"/>
          <w:spacing w:val="-1"/>
          <w:sz w:val="20"/>
        </w:rPr>
      </w:pPr>
      <w:r>
        <w:rPr>
          <w:rFonts w:ascii="Arial" w:eastAsia="Arial" w:hAnsi="Arial"/>
          <w:b/>
          <w:color w:val="006399"/>
          <w:spacing w:val="-1"/>
          <w:sz w:val="20"/>
        </w:rPr>
        <w:t>Project identification</w:t>
      </w:r>
    </w:p>
    <w:p w14:paraId="16BC64B6" w14:textId="77777777" w:rsidR="00345DC1" w:rsidRDefault="00DB08CC">
      <w:pPr>
        <w:spacing w:before="913" w:line="165" w:lineRule="exact"/>
        <w:ind w:left="576"/>
        <w:textAlignment w:val="baseline"/>
        <w:rPr>
          <w:rFonts w:ascii="Arial" w:eastAsia="Arial" w:hAnsi="Arial"/>
          <w:color w:val="000000"/>
          <w:sz w:val="14"/>
        </w:rPr>
      </w:pPr>
      <w:r>
        <w:rPr>
          <w:rFonts w:ascii="Arial" w:eastAsia="Arial" w:hAnsi="Arial"/>
          <w:color w:val="000000"/>
          <w:sz w:val="14"/>
        </w:rPr>
        <w:t>GHD ADVISORY</w:t>
      </w:r>
    </w:p>
    <w:p w14:paraId="547049B2" w14:textId="77777777" w:rsidR="00345DC1" w:rsidRDefault="00DB08CC">
      <w:pPr>
        <w:tabs>
          <w:tab w:val="left" w:pos="576"/>
        </w:tabs>
        <w:spacing w:before="58" w:line="175" w:lineRule="exact"/>
        <w:ind w:left="576" w:hanging="576"/>
        <w:textAlignment w:val="baseline"/>
        <w:rPr>
          <w:rFonts w:ascii="Arial" w:eastAsia="Arial" w:hAnsi="Arial"/>
          <w:color w:val="FFFFFF"/>
          <w:sz w:val="15"/>
          <w:shd w:val="solid" w:color="006399" w:fill="006399"/>
        </w:rPr>
      </w:pPr>
      <w:r>
        <w:rPr>
          <w:rFonts w:ascii="Arial" w:eastAsia="Arial" w:hAnsi="Arial"/>
          <w:color w:val="FFFFFF"/>
          <w:sz w:val="15"/>
          <w:shd w:val="solid" w:color="006399" w:fill="006399"/>
        </w:rPr>
        <w:t>8</w:t>
      </w:r>
      <w:r>
        <w:rPr>
          <w:rFonts w:ascii="Arial" w:eastAsia="Arial" w:hAnsi="Arial"/>
          <w:color w:val="FFFFFF"/>
          <w:sz w:val="15"/>
          <w:shd w:val="solid" w:color="006399" w:fill="006399"/>
        </w:rPr>
        <w:tab/>
      </w:r>
      <w:r>
        <w:rPr>
          <w:rFonts w:ascii="Arial" w:eastAsia="Arial" w:hAnsi="Arial"/>
          <w:color w:val="000000"/>
          <w:sz w:val="14"/>
        </w:rPr>
        <w:t xml:space="preserve">Review of Goulburn Murray Water (GMW) Water </w:t>
      </w:r>
      <w:r>
        <w:rPr>
          <w:rFonts w:ascii="Arial" w:eastAsia="Arial" w:hAnsi="Arial"/>
          <w:color w:val="000000"/>
          <w:sz w:val="14"/>
        </w:rPr>
        <w:br/>
        <w:t>Efficiency Project</w:t>
      </w:r>
    </w:p>
    <w:p w14:paraId="72C8189D" w14:textId="77777777" w:rsidR="00345DC1" w:rsidRDefault="00345DC1">
      <w:pPr>
        <w:sectPr w:rsidR="00345DC1">
          <w:pgSz w:w="11909" w:h="16838"/>
          <w:pgMar w:top="440" w:right="1127" w:bottom="262" w:left="1132" w:header="720" w:footer="720" w:gutter="0"/>
          <w:cols w:space="720"/>
        </w:sectPr>
      </w:pPr>
    </w:p>
    <w:p w14:paraId="01652EE8" w14:textId="77777777" w:rsidR="00345DC1" w:rsidRDefault="00DB08CC">
      <w:pPr>
        <w:numPr>
          <w:ilvl w:val="0"/>
          <w:numId w:val="6"/>
        </w:numPr>
        <w:spacing w:before="18" w:line="345" w:lineRule="exact"/>
        <w:ind w:left="432" w:hanging="432"/>
        <w:jc w:val="both"/>
        <w:textAlignment w:val="baseline"/>
        <w:rPr>
          <w:rFonts w:ascii="Arial" w:eastAsia="Arial" w:hAnsi="Arial"/>
          <w:color w:val="000000"/>
          <w:sz w:val="20"/>
        </w:rPr>
      </w:pPr>
      <w:r>
        <w:rPr>
          <w:rFonts w:ascii="Arial" w:eastAsia="Arial" w:hAnsi="Arial"/>
          <w:color w:val="000000"/>
          <w:sz w:val="20"/>
        </w:rPr>
        <w:lastRenderedPageBreak/>
        <w:t>A list of 100 projects forms the basis for the BTP package of works. There is limited information to substantiate the basis for individual project selection.</w:t>
      </w:r>
    </w:p>
    <w:p w14:paraId="21C5351A" w14:textId="77777777" w:rsidR="00345DC1" w:rsidRDefault="00DB08CC">
      <w:pPr>
        <w:numPr>
          <w:ilvl w:val="0"/>
          <w:numId w:val="6"/>
        </w:numPr>
        <w:spacing w:before="117" w:line="345" w:lineRule="exact"/>
        <w:ind w:left="432" w:hanging="432"/>
        <w:jc w:val="both"/>
        <w:textAlignment w:val="baseline"/>
        <w:rPr>
          <w:rFonts w:ascii="Arial" w:eastAsia="Arial" w:hAnsi="Arial"/>
          <w:color w:val="000000"/>
          <w:sz w:val="20"/>
        </w:rPr>
      </w:pPr>
      <w:r>
        <w:rPr>
          <w:rFonts w:ascii="Arial" w:eastAsia="Arial" w:hAnsi="Arial"/>
          <w:color w:val="000000"/>
          <w:sz w:val="20"/>
        </w:rPr>
        <w:t>Cost and water savings risks for the GMW Connections Project were (partly) mitigated though a list</w:t>
      </w:r>
      <w:r>
        <w:rPr>
          <w:rFonts w:ascii="Arial" w:eastAsia="Arial" w:hAnsi="Arial"/>
          <w:color w:val="000000"/>
          <w:sz w:val="20"/>
        </w:rPr>
        <w:t xml:space="preserve"> of alternative sub-projects which could be pursued if difficulties were encountered within in the nominated projects. There is potential that additional projects of equivalent value for money may become limited.</w:t>
      </w:r>
    </w:p>
    <w:p w14:paraId="2592F07A" w14:textId="77777777" w:rsidR="00345DC1" w:rsidRDefault="00DB08CC">
      <w:pPr>
        <w:numPr>
          <w:ilvl w:val="0"/>
          <w:numId w:val="6"/>
        </w:numPr>
        <w:spacing w:before="123" w:line="345" w:lineRule="exact"/>
        <w:ind w:left="432" w:hanging="432"/>
        <w:jc w:val="both"/>
        <w:textAlignment w:val="baseline"/>
        <w:rPr>
          <w:rFonts w:ascii="Arial" w:eastAsia="Arial" w:hAnsi="Arial"/>
          <w:color w:val="000000"/>
          <w:sz w:val="20"/>
        </w:rPr>
      </w:pPr>
      <w:r>
        <w:rPr>
          <w:rFonts w:ascii="Arial" w:eastAsia="Arial" w:hAnsi="Arial"/>
          <w:color w:val="000000"/>
          <w:sz w:val="20"/>
        </w:rPr>
        <w:t>It appears the current list of BTP projects</w:t>
      </w:r>
      <w:r>
        <w:rPr>
          <w:rFonts w:ascii="Arial" w:eastAsia="Arial" w:hAnsi="Arial"/>
          <w:color w:val="000000"/>
          <w:sz w:val="20"/>
        </w:rPr>
        <w:t xml:space="preserve"> includes projects which were identified as part of the Connections project but either abandoned or not progressed. It is possible that projects which did not meet the Connections value for money threshold are now being progressed within BTP. Regardless of</w:t>
      </w:r>
      <w:r>
        <w:rPr>
          <w:rFonts w:ascii="Arial" w:eastAsia="Arial" w:hAnsi="Arial"/>
          <w:color w:val="000000"/>
          <w:sz w:val="20"/>
        </w:rPr>
        <w:t xml:space="preserve"> the level of development of each sub-project, the full development cost of each sub-project is included in the BTP budget.</w:t>
      </w:r>
    </w:p>
    <w:p w14:paraId="112048FC" w14:textId="77777777" w:rsidR="00345DC1" w:rsidRDefault="00DB08CC">
      <w:pPr>
        <w:numPr>
          <w:ilvl w:val="0"/>
          <w:numId w:val="6"/>
        </w:numPr>
        <w:spacing w:before="117" w:line="345" w:lineRule="exact"/>
        <w:ind w:left="432" w:hanging="432"/>
        <w:jc w:val="both"/>
        <w:textAlignment w:val="baseline"/>
        <w:rPr>
          <w:rFonts w:ascii="Arial" w:eastAsia="Arial" w:hAnsi="Arial"/>
          <w:color w:val="000000"/>
          <w:sz w:val="20"/>
        </w:rPr>
      </w:pPr>
      <w:r>
        <w:rPr>
          <w:rFonts w:ascii="Arial" w:eastAsia="Arial" w:hAnsi="Arial"/>
          <w:color w:val="000000"/>
          <w:sz w:val="20"/>
        </w:rPr>
        <w:t>There is a risk that costs may be incurred pursuing projects which were abandoned in Connections due to technical issues or difficulties in reaching agreement with landowners.</w:t>
      </w:r>
    </w:p>
    <w:p w14:paraId="1E9CA069" w14:textId="77777777" w:rsidR="00345DC1" w:rsidRDefault="00DB08CC">
      <w:pPr>
        <w:spacing w:before="284" w:line="230" w:lineRule="exact"/>
        <w:textAlignment w:val="baseline"/>
        <w:rPr>
          <w:rFonts w:ascii="Arial" w:eastAsia="Arial" w:hAnsi="Arial"/>
          <w:b/>
          <w:color w:val="0064A3"/>
          <w:sz w:val="20"/>
        </w:rPr>
      </w:pPr>
      <w:r>
        <w:rPr>
          <w:rFonts w:ascii="Arial" w:eastAsia="Arial" w:hAnsi="Arial"/>
          <w:b/>
          <w:color w:val="0064A3"/>
          <w:sz w:val="20"/>
        </w:rPr>
        <w:t>Scoping of works and sub-projects</w:t>
      </w:r>
    </w:p>
    <w:p w14:paraId="79C2A875" w14:textId="77777777" w:rsidR="00345DC1" w:rsidRDefault="00DB08CC">
      <w:pPr>
        <w:numPr>
          <w:ilvl w:val="0"/>
          <w:numId w:val="7"/>
        </w:numPr>
        <w:tabs>
          <w:tab w:val="clear" w:pos="288"/>
          <w:tab w:val="left" w:pos="432"/>
        </w:tabs>
        <w:spacing w:before="10" w:line="345" w:lineRule="exact"/>
        <w:ind w:left="432" w:hanging="288"/>
        <w:jc w:val="both"/>
        <w:textAlignment w:val="baseline"/>
        <w:rPr>
          <w:rFonts w:ascii="Arial" w:eastAsia="Arial" w:hAnsi="Arial"/>
          <w:color w:val="000000"/>
          <w:sz w:val="20"/>
        </w:rPr>
      </w:pPr>
      <w:r>
        <w:rPr>
          <w:rFonts w:ascii="Arial" w:eastAsia="Arial" w:hAnsi="Arial"/>
          <w:color w:val="000000"/>
          <w:sz w:val="20"/>
        </w:rPr>
        <w:t xml:space="preserve">Desktop concepts have been developed for each </w:t>
      </w:r>
      <w:r>
        <w:rPr>
          <w:rFonts w:ascii="Arial" w:eastAsia="Arial" w:hAnsi="Arial"/>
          <w:color w:val="000000"/>
          <w:sz w:val="20"/>
        </w:rPr>
        <w:t>project drawing upon local knowledge, historical usage, expertise from farm design and GMW assets designers.</w:t>
      </w:r>
    </w:p>
    <w:p w14:paraId="3BC57D90" w14:textId="77777777" w:rsidR="00345DC1" w:rsidRDefault="00DB08CC">
      <w:pPr>
        <w:numPr>
          <w:ilvl w:val="0"/>
          <w:numId w:val="7"/>
        </w:numPr>
        <w:tabs>
          <w:tab w:val="clear" w:pos="288"/>
          <w:tab w:val="left" w:pos="432"/>
        </w:tabs>
        <w:spacing w:before="116" w:line="345" w:lineRule="exact"/>
        <w:ind w:left="432" w:hanging="288"/>
        <w:jc w:val="both"/>
        <w:textAlignment w:val="baseline"/>
        <w:rPr>
          <w:rFonts w:ascii="Arial" w:eastAsia="Arial" w:hAnsi="Arial"/>
          <w:color w:val="000000"/>
          <w:sz w:val="20"/>
        </w:rPr>
      </w:pPr>
      <w:r>
        <w:rPr>
          <w:rFonts w:ascii="Arial" w:eastAsia="Arial" w:hAnsi="Arial"/>
          <w:color w:val="000000"/>
          <w:sz w:val="20"/>
        </w:rPr>
        <w:t xml:space="preserve">The same approach was adopted for the Connections which provided a realistic and reliable basis in which to develop sub-projects through </w:t>
      </w:r>
      <w:proofErr w:type="spellStart"/>
      <w:r>
        <w:rPr>
          <w:rFonts w:ascii="Arial" w:eastAsia="Arial" w:hAnsi="Arial"/>
          <w:color w:val="000000"/>
          <w:sz w:val="20"/>
        </w:rPr>
        <w:t>tod</w:t>
      </w:r>
      <w:proofErr w:type="spellEnd"/>
      <w:r>
        <w:rPr>
          <w:rFonts w:ascii="Arial" w:eastAsia="Arial" w:hAnsi="Arial"/>
          <w:color w:val="000000"/>
          <w:sz w:val="20"/>
        </w:rPr>
        <w:t xml:space="preserve"> detail</w:t>
      </w:r>
      <w:r>
        <w:rPr>
          <w:rFonts w:ascii="Arial" w:eastAsia="Arial" w:hAnsi="Arial"/>
          <w:color w:val="000000"/>
          <w:sz w:val="20"/>
        </w:rPr>
        <w:t>ed design.</w:t>
      </w:r>
    </w:p>
    <w:p w14:paraId="226ED282" w14:textId="77777777" w:rsidR="00345DC1" w:rsidRDefault="00DB08CC">
      <w:pPr>
        <w:spacing w:before="237" w:line="230" w:lineRule="exact"/>
        <w:ind w:left="144"/>
        <w:textAlignment w:val="baseline"/>
        <w:rPr>
          <w:rFonts w:ascii="Arial" w:eastAsia="Arial" w:hAnsi="Arial"/>
          <w:b/>
          <w:color w:val="0064A3"/>
          <w:spacing w:val="-7"/>
          <w:sz w:val="20"/>
        </w:rPr>
      </w:pPr>
      <w:r>
        <w:rPr>
          <w:rFonts w:ascii="Arial" w:eastAsia="Arial" w:hAnsi="Arial"/>
          <w:b/>
          <w:color w:val="0064A3"/>
          <w:spacing w:val="-7"/>
          <w:sz w:val="20"/>
        </w:rPr>
        <w:t>Unit Rates</w:t>
      </w:r>
    </w:p>
    <w:p w14:paraId="108E8CDC" w14:textId="77777777" w:rsidR="00345DC1" w:rsidRDefault="00DB08CC">
      <w:pPr>
        <w:numPr>
          <w:ilvl w:val="0"/>
          <w:numId w:val="7"/>
        </w:numPr>
        <w:tabs>
          <w:tab w:val="clear" w:pos="288"/>
          <w:tab w:val="left" w:pos="432"/>
        </w:tabs>
        <w:spacing w:before="121" w:line="345" w:lineRule="exact"/>
        <w:ind w:left="432" w:hanging="288"/>
        <w:jc w:val="both"/>
        <w:textAlignment w:val="baseline"/>
        <w:rPr>
          <w:rFonts w:ascii="Arial" w:eastAsia="Arial" w:hAnsi="Arial"/>
          <w:color w:val="000000"/>
          <w:spacing w:val="-1"/>
          <w:sz w:val="20"/>
        </w:rPr>
      </w:pPr>
      <w:r>
        <w:rPr>
          <w:rFonts w:ascii="Arial" w:eastAsia="Arial" w:hAnsi="Arial"/>
          <w:color w:val="000000"/>
          <w:spacing w:val="-1"/>
          <w:sz w:val="20"/>
        </w:rPr>
        <w:t xml:space="preserve">Unit rates for all project works (farm works, GMW assets, meters) have been derived from 2015/16 cost rates and escalated by a number of factors to generate the 2019/20 cost </w:t>
      </w:r>
      <w:proofErr w:type="gramStart"/>
      <w:r>
        <w:rPr>
          <w:rFonts w:ascii="Arial" w:eastAsia="Arial" w:hAnsi="Arial"/>
          <w:color w:val="000000"/>
          <w:spacing w:val="-1"/>
          <w:sz w:val="20"/>
        </w:rPr>
        <w:t>estimate.</w:t>
      </w:r>
      <w:r>
        <w:rPr>
          <w:rFonts w:ascii="Arial" w:eastAsia="Arial" w:hAnsi="Arial"/>
          <w:b/>
          <w:color w:val="000000"/>
          <w:spacing w:val="-1"/>
          <w:sz w:val="20"/>
        </w:rPr>
        <w:t>.</w:t>
      </w:r>
      <w:proofErr w:type="gramEnd"/>
      <w:r>
        <w:rPr>
          <w:rFonts w:ascii="Arial" w:eastAsia="Arial" w:hAnsi="Arial"/>
          <w:b/>
          <w:color w:val="000000"/>
          <w:spacing w:val="-1"/>
          <w:sz w:val="20"/>
        </w:rPr>
        <w:t xml:space="preserve"> </w:t>
      </w:r>
      <w:r>
        <w:rPr>
          <w:rFonts w:ascii="Arial" w:eastAsia="Arial" w:hAnsi="Arial"/>
          <w:color w:val="000000"/>
          <w:spacing w:val="-1"/>
          <w:sz w:val="20"/>
        </w:rPr>
        <w:t xml:space="preserve">It is noted that costs have only been escalated over a </w:t>
      </w:r>
      <w:proofErr w:type="gramStart"/>
      <w:r>
        <w:rPr>
          <w:rFonts w:ascii="Arial" w:eastAsia="Arial" w:hAnsi="Arial"/>
          <w:color w:val="000000"/>
          <w:spacing w:val="-1"/>
          <w:sz w:val="20"/>
        </w:rPr>
        <w:t>3 year</w:t>
      </w:r>
      <w:proofErr w:type="gramEnd"/>
      <w:r>
        <w:rPr>
          <w:rFonts w:ascii="Arial" w:eastAsia="Arial" w:hAnsi="Arial"/>
          <w:color w:val="000000"/>
          <w:spacing w:val="-1"/>
          <w:sz w:val="20"/>
        </w:rPr>
        <w:t xml:space="preserve"> period ra</w:t>
      </w:r>
      <w:r>
        <w:rPr>
          <w:rFonts w:ascii="Arial" w:eastAsia="Arial" w:hAnsi="Arial"/>
          <w:color w:val="000000"/>
          <w:spacing w:val="-1"/>
          <w:sz w:val="20"/>
        </w:rPr>
        <w:t>ther than the 4 years period between 2016 and 2020.</w:t>
      </w:r>
    </w:p>
    <w:p w14:paraId="47BEA046" w14:textId="77777777" w:rsidR="00345DC1" w:rsidRDefault="00DB08CC">
      <w:pPr>
        <w:numPr>
          <w:ilvl w:val="0"/>
          <w:numId w:val="7"/>
        </w:numPr>
        <w:tabs>
          <w:tab w:val="clear" w:pos="288"/>
          <w:tab w:val="left" w:pos="432"/>
        </w:tabs>
        <w:spacing w:before="117" w:line="345" w:lineRule="exact"/>
        <w:ind w:left="432" w:hanging="288"/>
        <w:jc w:val="both"/>
        <w:textAlignment w:val="baseline"/>
        <w:rPr>
          <w:rFonts w:ascii="Arial" w:eastAsia="Arial" w:hAnsi="Arial"/>
          <w:color w:val="000000"/>
          <w:sz w:val="20"/>
        </w:rPr>
      </w:pPr>
      <w:r>
        <w:rPr>
          <w:rFonts w:ascii="Arial" w:eastAsia="Arial" w:hAnsi="Arial"/>
          <w:color w:val="000000"/>
          <w:sz w:val="20"/>
        </w:rPr>
        <w:t>Attachment 2 of the proposal indicates that unit rates for pipelines and on farm works include contingency allowances of 15% and 20%, respectively, (assumed to represent unmeasured items) however meters a</w:t>
      </w:r>
      <w:r>
        <w:rPr>
          <w:rFonts w:ascii="Arial" w:eastAsia="Arial" w:hAnsi="Arial"/>
          <w:color w:val="000000"/>
          <w:sz w:val="20"/>
        </w:rPr>
        <w:t>nd regulators do not include any contingency. It is unclear whether there is duplication with the overall project contingency of 10%</w:t>
      </w:r>
    </w:p>
    <w:p w14:paraId="77177ACA" w14:textId="77777777" w:rsidR="00345DC1" w:rsidRDefault="00DB08CC">
      <w:pPr>
        <w:numPr>
          <w:ilvl w:val="0"/>
          <w:numId w:val="7"/>
        </w:numPr>
        <w:tabs>
          <w:tab w:val="clear" w:pos="288"/>
          <w:tab w:val="left" w:pos="432"/>
        </w:tabs>
        <w:spacing w:before="122" w:line="345" w:lineRule="exact"/>
        <w:ind w:left="432" w:hanging="288"/>
        <w:jc w:val="both"/>
        <w:textAlignment w:val="baseline"/>
        <w:rPr>
          <w:rFonts w:ascii="Arial" w:eastAsia="Arial" w:hAnsi="Arial"/>
          <w:color w:val="000000"/>
          <w:sz w:val="20"/>
        </w:rPr>
      </w:pPr>
      <w:r>
        <w:rPr>
          <w:rFonts w:ascii="Arial" w:eastAsia="Arial" w:hAnsi="Arial"/>
          <w:color w:val="000000"/>
          <w:sz w:val="20"/>
        </w:rPr>
        <w:t xml:space="preserve">There is no justification of the 2% escalation rate, as the application applies a ‘generic’ escalation rather than element </w:t>
      </w:r>
      <w:r>
        <w:rPr>
          <w:rFonts w:ascii="Arial" w:eastAsia="Arial" w:hAnsi="Arial"/>
          <w:color w:val="000000"/>
          <w:sz w:val="20"/>
        </w:rPr>
        <w:t>specific escalation. The rate would appear to be low.</w:t>
      </w:r>
    </w:p>
    <w:p w14:paraId="5ACE7DA9" w14:textId="77777777" w:rsidR="00345DC1" w:rsidRDefault="00DB08CC">
      <w:pPr>
        <w:numPr>
          <w:ilvl w:val="0"/>
          <w:numId w:val="7"/>
        </w:numPr>
        <w:tabs>
          <w:tab w:val="clear" w:pos="288"/>
          <w:tab w:val="left" w:pos="432"/>
        </w:tabs>
        <w:spacing w:before="58" w:line="345" w:lineRule="exact"/>
        <w:ind w:left="432" w:hanging="288"/>
        <w:jc w:val="both"/>
        <w:textAlignment w:val="baseline"/>
        <w:rPr>
          <w:rFonts w:ascii="Arial" w:eastAsia="Arial" w:hAnsi="Arial"/>
          <w:color w:val="000000"/>
          <w:sz w:val="20"/>
        </w:rPr>
      </w:pPr>
      <w:r>
        <w:rPr>
          <w:rFonts w:ascii="Arial" w:eastAsia="Arial" w:hAnsi="Arial"/>
          <w:color w:val="000000"/>
          <w:sz w:val="20"/>
        </w:rPr>
        <w:t>Pipelines represent 30% of project cost – yet no cost information provided in the proposal’s supporting documents. Stated process appears acceptable however no documentation has been sighted by GHD.</w:t>
      </w:r>
    </w:p>
    <w:p w14:paraId="3EB793FC" w14:textId="77777777" w:rsidR="00345DC1" w:rsidRDefault="00DB08CC">
      <w:pPr>
        <w:numPr>
          <w:ilvl w:val="0"/>
          <w:numId w:val="7"/>
        </w:numPr>
        <w:tabs>
          <w:tab w:val="clear" w:pos="288"/>
          <w:tab w:val="left" w:pos="432"/>
        </w:tabs>
        <w:spacing w:before="123" w:line="345" w:lineRule="exact"/>
        <w:ind w:left="432" w:hanging="288"/>
        <w:jc w:val="both"/>
        <w:textAlignment w:val="baseline"/>
        <w:rPr>
          <w:rFonts w:ascii="Arial" w:eastAsia="Arial" w:hAnsi="Arial"/>
          <w:color w:val="000000"/>
          <w:sz w:val="20"/>
        </w:rPr>
      </w:pPr>
      <w:r>
        <w:rPr>
          <w:rFonts w:ascii="Arial" w:eastAsia="Arial" w:hAnsi="Arial"/>
          <w:color w:val="000000"/>
          <w:sz w:val="20"/>
        </w:rPr>
        <w:t>Given the volume of cost data which would have been obtai</w:t>
      </w:r>
      <w:r>
        <w:rPr>
          <w:rFonts w:ascii="Arial" w:eastAsia="Arial" w:hAnsi="Arial"/>
          <w:color w:val="000000"/>
          <w:sz w:val="20"/>
        </w:rPr>
        <w:t>ned by GMW Connections for the period 2017 to 2020, it would not be unreasonable to expect that BTP costs are derived from updated unit rates to remove uncertainty associated with the multiplier approach. Alternatively, the business case would benefit if a</w:t>
      </w:r>
      <w:r>
        <w:rPr>
          <w:rFonts w:ascii="Arial" w:eastAsia="Arial" w:hAnsi="Arial"/>
          <w:color w:val="000000"/>
          <w:sz w:val="20"/>
        </w:rPr>
        <w:t xml:space="preserve"> comparison was made between the costs derived from 2015/16 rates and costs using actual 2020 rates.</w:t>
      </w:r>
    </w:p>
    <w:p w14:paraId="23B5115A" w14:textId="77777777" w:rsidR="00345DC1" w:rsidRDefault="00DB08CC">
      <w:pPr>
        <w:numPr>
          <w:ilvl w:val="0"/>
          <w:numId w:val="7"/>
        </w:numPr>
        <w:tabs>
          <w:tab w:val="clear" w:pos="288"/>
          <w:tab w:val="left" w:pos="432"/>
        </w:tabs>
        <w:spacing w:before="117" w:line="345" w:lineRule="exact"/>
        <w:ind w:left="432" w:hanging="288"/>
        <w:jc w:val="both"/>
        <w:textAlignment w:val="baseline"/>
        <w:rPr>
          <w:rFonts w:ascii="Arial" w:eastAsia="Arial" w:hAnsi="Arial"/>
          <w:color w:val="000000"/>
          <w:sz w:val="20"/>
        </w:rPr>
      </w:pPr>
      <w:r>
        <w:rPr>
          <w:rFonts w:ascii="Arial" w:eastAsia="Arial" w:hAnsi="Arial"/>
          <w:color w:val="000000"/>
          <w:sz w:val="20"/>
        </w:rPr>
        <w:t xml:space="preserve">Furthermore, it is possible that some work elements would have experienced larger than expected changes in </w:t>
      </w:r>
      <w:proofErr w:type="gramStart"/>
      <w:r>
        <w:rPr>
          <w:rFonts w:ascii="Arial" w:eastAsia="Arial" w:hAnsi="Arial"/>
          <w:color w:val="000000"/>
          <w:sz w:val="20"/>
        </w:rPr>
        <w:t>units</w:t>
      </w:r>
      <w:proofErr w:type="gramEnd"/>
      <w:r>
        <w:rPr>
          <w:rFonts w:ascii="Arial" w:eastAsia="Arial" w:hAnsi="Arial"/>
          <w:color w:val="000000"/>
          <w:sz w:val="20"/>
        </w:rPr>
        <w:t xml:space="preserve"> rates compared to the 2015/16 unit rates. </w:t>
      </w:r>
      <w:r>
        <w:rPr>
          <w:rFonts w:ascii="Arial" w:eastAsia="Arial" w:hAnsi="Arial"/>
          <w:color w:val="000000"/>
          <w:sz w:val="20"/>
        </w:rPr>
        <w:t>There is no evidence to show that the work packages have been derived from lessons learned from GMW Connections Project costings.</w:t>
      </w:r>
    </w:p>
    <w:p w14:paraId="74676543" w14:textId="77777777" w:rsidR="00345DC1" w:rsidRDefault="00DB08CC">
      <w:pPr>
        <w:spacing w:before="934" w:line="165" w:lineRule="exact"/>
        <w:ind w:left="576"/>
        <w:textAlignment w:val="baseline"/>
        <w:rPr>
          <w:rFonts w:ascii="Arial" w:eastAsia="Arial" w:hAnsi="Arial"/>
          <w:color w:val="000000"/>
          <w:sz w:val="14"/>
        </w:rPr>
      </w:pPr>
      <w:r>
        <w:rPr>
          <w:rFonts w:ascii="Arial" w:eastAsia="Arial" w:hAnsi="Arial"/>
          <w:color w:val="000000"/>
          <w:sz w:val="14"/>
        </w:rPr>
        <w:t>GHD ADVISORY</w:t>
      </w:r>
    </w:p>
    <w:p w14:paraId="3DA4A4B1" w14:textId="77777777" w:rsidR="00345DC1" w:rsidRDefault="00DB08CC">
      <w:pPr>
        <w:tabs>
          <w:tab w:val="left" w:pos="576"/>
        </w:tabs>
        <w:spacing w:before="58" w:line="175" w:lineRule="exact"/>
        <w:ind w:left="576" w:hanging="432"/>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9</w:t>
      </w:r>
      <w:r>
        <w:rPr>
          <w:rFonts w:ascii="Arial" w:eastAsia="Arial" w:hAnsi="Arial"/>
          <w:color w:val="FFFFFF"/>
          <w:sz w:val="15"/>
          <w:shd w:val="solid" w:color="006391" w:fill="006391"/>
        </w:rPr>
        <w:tab/>
      </w:r>
      <w:r>
        <w:rPr>
          <w:rFonts w:ascii="Arial" w:eastAsia="Arial" w:hAnsi="Arial"/>
          <w:color w:val="000000"/>
          <w:sz w:val="14"/>
        </w:rPr>
        <w:t xml:space="preserve">Review of Goulburn Murray Water (GMW) Water </w:t>
      </w:r>
      <w:r>
        <w:rPr>
          <w:rFonts w:ascii="Arial" w:eastAsia="Arial" w:hAnsi="Arial"/>
          <w:color w:val="000000"/>
          <w:sz w:val="14"/>
        </w:rPr>
        <w:br/>
        <w:t>Efficiency Project</w:t>
      </w:r>
    </w:p>
    <w:p w14:paraId="704EDCC2" w14:textId="77777777" w:rsidR="00345DC1" w:rsidRDefault="00345DC1">
      <w:pPr>
        <w:sectPr w:rsidR="00345DC1">
          <w:pgSz w:w="11909" w:h="16838"/>
          <w:pgMar w:top="440" w:right="1127" w:bottom="262" w:left="1132" w:header="720" w:footer="720" w:gutter="0"/>
          <w:cols w:space="720"/>
        </w:sectPr>
      </w:pPr>
    </w:p>
    <w:p w14:paraId="1C78031A" w14:textId="77777777" w:rsidR="00345DC1" w:rsidRDefault="00DB08CC">
      <w:pPr>
        <w:numPr>
          <w:ilvl w:val="0"/>
          <w:numId w:val="2"/>
        </w:numPr>
        <w:tabs>
          <w:tab w:val="clear" w:pos="360"/>
          <w:tab w:val="left" w:pos="432"/>
        </w:tabs>
        <w:spacing w:line="324" w:lineRule="exact"/>
        <w:ind w:left="432" w:hanging="360"/>
        <w:jc w:val="both"/>
        <w:textAlignment w:val="baseline"/>
        <w:rPr>
          <w:rFonts w:ascii="Arial" w:eastAsia="Arial" w:hAnsi="Arial"/>
          <w:color w:val="000000"/>
          <w:sz w:val="20"/>
        </w:rPr>
      </w:pPr>
      <w:r>
        <w:rPr>
          <w:rFonts w:ascii="Arial" w:eastAsia="Arial" w:hAnsi="Arial"/>
          <w:color w:val="000000"/>
          <w:sz w:val="20"/>
        </w:rPr>
        <w:lastRenderedPageBreak/>
        <w:t>From a program perspective, cost accuracy for individual projects is relatively low risk as the overall budget affords some flexibility to manage over and under-runs. However, cost accuracy for individual projects has a greater significance when considerin</w:t>
      </w:r>
      <w:r>
        <w:rPr>
          <w:rFonts w:ascii="Arial" w:eastAsia="Arial" w:hAnsi="Arial"/>
          <w:color w:val="000000"/>
          <w:sz w:val="20"/>
        </w:rPr>
        <w:t xml:space="preserve">g value for money on an individual project basis, which may </w:t>
      </w:r>
      <w:proofErr w:type="gramStart"/>
      <w:r>
        <w:rPr>
          <w:rFonts w:ascii="Arial" w:eastAsia="Arial" w:hAnsi="Arial"/>
          <w:color w:val="000000"/>
          <w:sz w:val="20"/>
        </w:rPr>
        <w:t>results</w:t>
      </w:r>
      <w:proofErr w:type="gramEnd"/>
      <w:r>
        <w:rPr>
          <w:rFonts w:ascii="Arial" w:eastAsia="Arial" w:hAnsi="Arial"/>
          <w:color w:val="000000"/>
          <w:sz w:val="20"/>
        </w:rPr>
        <w:t xml:space="preserve"> in some projects being unnecessarily pursued or removed from scope.</w:t>
      </w:r>
    </w:p>
    <w:p w14:paraId="431BC367" w14:textId="77777777" w:rsidR="00345DC1" w:rsidRDefault="00DB08CC">
      <w:pPr>
        <w:numPr>
          <w:ilvl w:val="0"/>
          <w:numId w:val="2"/>
        </w:numPr>
        <w:tabs>
          <w:tab w:val="clear" w:pos="360"/>
          <w:tab w:val="left" w:pos="432"/>
        </w:tabs>
        <w:spacing w:before="115" w:line="346" w:lineRule="exact"/>
        <w:ind w:left="432" w:hanging="360"/>
        <w:jc w:val="both"/>
        <w:textAlignment w:val="baseline"/>
        <w:rPr>
          <w:rFonts w:ascii="Arial" w:eastAsia="Arial" w:hAnsi="Arial"/>
          <w:color w:val="000000"/>
          <w:sz w:val="20"/>
        </w:rPr>
      </w:pPr>
      <w:r>
        <w:rPr>
          <w:rFonts w:ascii="Arial" w:eastAsia="Arial" w:hAnsi="Arial"/>
          <w:color w:val="000000"/>
          <w:sz w:val="20"/>
        </w:rPr>
        <w:t>There is no detail provided in the Business Case or supporting documents on the unit rates for GMW pipelines. GMW pipeli</w:t>
      </w:r>
      <w:r>
        <w:rPr>
          <w:rFonts w:ascii="Arial" w:eastAsia="Arial" w:hAnsi="Arial"/>
          <w:color w:val="000000"/>
          <w:sz w:val="20"/>
        </w:rPr>
        <w:t>nes comprise 28% of the total project budget.</w:t>
      </w:r>
    </w:p>
    <w:p w14:paraId="1B2420C9" w14:textId="77777777" w:rsidR="00345DC1" w:rsidRDefault="00DB08CC">
      <w:pPr>
        <w:numPr>
          <w:ilvl w:val="0"/>
          <w:numId w:val="2"/>
        </w:numPr>
        <w:tabs>
          <w:tab w:val="clear" w:pos="360"/>
          <w:tab w:val="left" w:pos="432"/>
        </w:tabs>
        <w:spacing w:before="119" w:line="346"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It appears that the project involves self-delivery rather than adopting the ECI delivery model used for Connections. It is not clear where the budget provision exists for this additional Owner’s role </w:t>
      </w:r>
      <w:proofErr w:type="gramStart"/>
      <w:r>
        <w:rPr>
          <w:rFonts w:ascii="Arial" w:eastAsia="Arial" w:hAnsi="Arial"/>
          <w:color w:val="000000"/>
          <w:sz w:val="20"/>
        </w:rPr>
        <w:t>and also</w:t>
      </w:r>
      <w:proofErr w:type="gramEnd"/>
      <w:r>
        <w:rPr>
          <w:rFonts w:ascii="Arial" w:eastAsia="Arial" w:hAnsi="Arial"/>
          <w:color w:val="000000"/>
          <w:sz w:val="20"/>
        </w:rPr>
        <w:t xml:space="preserve"> whether the Owner has the skills, expertise and</w:t>
      </w:r>
      <w:r>
        <w:rPr>
          <w:rFonts w:ascii="Arial" w:eastAsia="Arial" w:hAnsi="Arial"/>
          <w:color w:val="000000"/>
          <w:sz w:val="20"/>
        </w:rPr>
        <w:t xml:space="preserve"> systems provided by a Tier 1 contractor.</w:t>
      </w:r>
    </w:p>
    <w:p w14:paraId="540A74BE" w14:textId="77777777" w:rsidR="00345DC1" w:rsidRDefault="00DB08CC">
      <w:pPr>
        <w:numPr>
          <w:ilvl w:val="0"/>
          <w:numId w:val="2"/>
        </w:numPr>
        <w:tabs>
          <w:tab w:val="clear" w:pos="360"/>
          <w:tab w:val="left" w:pos="432"/>
        </w:tabs>
        <w:spacing w:before="123" w:line="343" w:lineRule="exact"/>
        <w:ind w:left="432" w:hanging="360"/>
        <w:jc w:val="both"/>
        <w:textAlignment w:val="baseline"/>
        <w:rPr>
          <w:rFonts w:ascii="Arial" w:eastAsia="Arial" w:hAnsi="Arial"/>
          <w:color w:val="000000"/>
          <w:spacing w:val="-3"/>
          <w:sz w:val="20"/>
        </w:rPr>
      </w:pPr>
      <w:r>
        <w:rPr>
          <w:rFonts w:ascii="Arial" w:eastAsia="Arial" w:hAnsi="Arial"/>
          <w:color w:val="000000"/>
          <w:spacing w:val="-3"/>
          <w:sz w:val="20"/>
        </w:rPr>
        <w:t>The water savings spreadsheet provided with the proposal identifies projects where costs have already been incurred. Whether these costs been claimed via the Connections Project and to what extent is there duplicat</w:t>
      </w:r>
      <w:r>
        <w:rPr>
          <w:rFonts w:ascii="Arial" w:eastAsia="Arial" w:hAnsi="Arial"/>
          <w:color w:val="000000"/>
          <w:spacing w:val="-3"/>
          <w:sz w:val="20"/>
        </w:rPr>
        <w:t>ion with the cost being claimed for BTP could not be confirmed based on the level of data provided.</w:t>
      </w:r>
    </w:p>
    <w:p w14:paraId="302D7FEE" w14:textId="77777777" w:rsidR="00345DC1" w:rsidRDefault="00DB08CC">
      <w:pPr>
        <w:spacing w:before="236" w:line="230" w:lineRule="exact"/>
        <w:ind w:left="72"/>
        <w:textAlignment w:val="baseline"/>
        <w:rPr>
          <w:rFonts w:ascii="Arial" w:eastAsia="Arial" w:hAnsi="Arial"/>
          <w:b/>
          <w:color w:val="0064A3"/>
          <w:spacing w:val="-4"/>
          <w:sz w:val="20"/>
        </w:rPr>
      </w:pPr>
      <w:r>
        <w:rPr>
          <w:rFonts w:ascii="Arial" w:eastAsia="Arial" w:hAnsi="Arial"/>
          <w:b/>
          <w:color w:val="0064A3"/>
          <w:spacing w:val="-4"/>
          <w:sz w:val="20"/>
        </w:rPr>
        <w:t>Development Cost</w:t>
      </w:r>
    </w:p>
    <w:p w14:paraId="5C919E4F" w14:textId="77777777" w:rsidR="00345DC1" w:rsidRDefault="00DB08CC">
      <w:pPr>
        <w:numPr>
          <w:ilvl w:val="0"/>
          <w:numId w:val="2"/>
        </w:numPr>
        <w:tabs>
          <w:tab w:val="clear" w:pos="360"/>
          <w:tab w:val="left" w:pos="432"/>
        </w:tabs>
        <w:spacing w:before="122" w:line="345" w:lineRule="exact"/>
        <w:ind w:left="432" w:hanging="360"/>
        <w:jc w:val="both"/>
        <w:textAlignment w:val="baseline"/>
        <w:rPr>
          <w:rFonts w:ascii="Arial" w:eastAsia="Arial" w:hAnsi="Arial"/>
          <w:color w:val="000000"/>
          <w:sz w:val="20"/>
        </w:rPr>
      </w:pPr>
      <w:r>
        <w:rPr>
          <w:rFonts w:ascii="Arial" w:eastAsia="Arial" w:hAnsi="Arial"/>
          <w:color w:val="000000"/>
          <w:sz w:val="20"/>
        </w:rPr>
        <w:t>The approach used to develop the cost estimates does not completely align with the proposed delivery model which makes it difficult to eval</w:t>
      </w:r>
      <w:r>
        <w:rPr>
          <w:rFonts w:ascii="Arial" w:eastAsia="Arial" w:hAnsi="Arial"/>
          <w:color w:val="000000"/>
          <w:sz w:val="20"/>
        </w:rPr>
        <w:t>uate whether the costs estimated using a percentage approach accounts for all anticipated activities. Furthermore, it is difficult to ascertain to what extent allowances for risk and uncertainty have been accounted for (or duplicated).</w:t>
      </w:r>
    </w:p>
    <w:p w14:paraId="5973162A" w14:textId="77777777" w:rsidR="00345DC1" w:rsidRDefault="00DB08CC">
      <w:pPr>
        <w:numPr>
          <w:ilvl w:val="0"/>
          <w:numId w:val="2"/>
        </w:numPr>
        <w:tabs>
          <w:tab w:val="clear" w:pos="360"/>
          <w:tab w:val="left" w:pos="432"/>
        </w:tabs>
        <w:spacing w:before="216" w:line="250" w:lineRule="exact"/>
        <w:ind w:left="432" w:hanging="360"/>
        <w:jc w:val="both"/>
        <w:textAlignment w:val="baseline"/>
        <w:rPr>
          <w:rFonts w:ascii="Arial" w:eastAsia="Arial" w:hAnsi="Arial"/>
          <w:color w:val="000000"/>
          <w:spacing w:val="-2"/>
          <w:sz w:val="20"/>
          <w:u w:val="single"/>
        </w:rPr>
      </w:pPr>
      <w:r>
        <w:rPr>
          <w:rFonts w:ascii="Arial" w:eastAsia="Arial" w:hAnsi="Arial"/>
          <w:color w:val="000000"/>
          <w:spacing w:val="-2"/>
          <w:sz w:val="20"/>
          <w:u w:val="single"/>
        </w:rPr>
        <w:t>For example</w:t>
      </w:r>
      <w:r>
        <w:rPr>
          <w:rFonts w:ascii="Arial" w:eastAsia="Arial" w:hAnsi="Arial"/>
          <w:color w:val="000000"/>
          <w:spacing w:val="-2"/>
          <w:sz w:val="20"/>
        </w:rPr>
        <w:t>:</w:t>
      </w:r>
      <w:r>
        <w:rPr>
          <w:rFonts w:ascii="Arial" w:eastAsia="Arial" w:hAnsi="Arial"/>
          <w:color w:val="000000"/>
          <w:spacing w:val="-2"/>
          <w:sz w:val="20"/>
          <w:u w:val="single"/>
        </w:rPr>
        <w:t xml:space="preserve"> </w:t>
      </w:r>
    </w:p>
    <w:p w14:paraId="2F261E74" w14:textId="77777777" w:rsidR="00345DC1" w:rsidRDefault="00DB08CC">
      <w:pPr>
        <w:numPr>
          <w:ilvl w:val="0"/>
          <w:numId w:val="8"/>
        </w:numPr>
        <w:tabs>
          <w:tab w:val="clear" w:pos="288"/>
          <w:tab w:val="left" w:pos="720"/>
        </w:tabs>
        <w:spacing w:before="120" w:line="345" w:lineRule="exact"/>
        <w:ind w:left="720" w:hanging="288"/>
        <w:textAlignment w:val="baseline"/>
        <w:rPr>
          <w:rFonts w:ascii="Arial" w:eastAsia="Arial" w:hAnsi="Arial"/>
          <w:color w:val="000000"/>
          <w:sz w:val="20"/>
        </w:rPr>
      </w:pPr>
      <w:r>
        <w:rPr>
          <w:rFonts w:ascii="Arial" w:eastAsia="Arial" w:hAnsi="Arial"/>
          <w:color w:val="000000"/>
          <w:sz w:val="20"/>
        </w:rPr>
        <w:t>There is no clear delineation between client costs related to design, approvals roles and design &amp; approvals delivery roles.</w:t>
      </w:r>
    </w:p>
    <w:p w14:paraId="646B0FC5" w14:textId="77777777" w:rsidR="00345DC1" w:rsidRDefault="00DB08CC">
      <w:pPr>
        <w:numPr>
          <w:ilvl w:val="0"/>
          <w:numId w:val="8"/>
        </w:numPr>
        <w:tabs>
          <w:tab w:val="clear" w:pos="288"/>
          <w:tab w:val="left" w:pos="720"/>
        </w:tabs>
        <w:spacing w:before="232" w:line="229" w:lineRule="exact"/>
        <w:ind w:left="720" w:hanging="288"/>
        <w:textAlignment w:val="baseline"/>
        <w:rPr>
          <w:rFonts w:ascii="Arial" w:eastAsia="Arial" w:hAnsi="Arial"/>
          <w:color w:val="000000"/>
          <w:sz w:val="20"/>
        </w:rPr>
      </w:pPr>
      <w:r>
        <w:rPr>
          <w:rFonts w:ascii="Arial" w:eastAsia="Arial" w:hAnsi="Arial"/>
          <w:color w:val="000000"/>
          <w:sz w:val="20"/>
        </w:rPr>
        <w:t>It is not clear where costs associated with construction are included in the budget</w:t>
      </w:r>
    </w:p>
    <w:p w14:paraId="7A48EB47" w14:textId="77777777" w:rsidR="00345DC1" w:rsidRDefault="00DB08CC">
      <w:pPr>
        <w:numPr>
          <w:ilvl w:val="0"/>
          <w:numId w:val="8"/>
        </w:numPr>
        <w:tabs>
          <w:tab w:val="clear" w:pos="288"/>
          <w:tab w:val="left" w:pos="720"/>
        </w:tabs>
        <w:spacing w:before="237" w:line="229" w:lineRule="exact"/>
        <w:ind w:left="720" w:hanging="288"/>
        <w:textAlignment w:val="baseline"/>
        <w:rPr>
          <w:rFonts w:ascii="Arial" w:eastAsia="Arial" w:hAnsi="Arial"/>
          <w:color w:val="000000"/>
          <w:sz w:val="20"/>
        </w:rPr>
      </w:pPr>
      <w:r>
        <w:rPr>
          <w:rFonts w:ascii="Arial" w:eastAsia="Arial" w:hAnsi="Arial"/>
          <w:color w:val="000000"/>
          <w:sz w:val="20"/>
        </w:rPr>
        <w:t>There is no contingency allowance for "Operating Costs" (Owners Costs)</w:t>
      </w:r>
    </w:p>
    <w:p w14:paraId="5A770684" w14:textId="77777777" w:rsidR="00345DC1" w:rsidRDefault="00DB08CC">
      <w:pPr>
        <w:numPr>
          <w:ilvl w:val="0"/>
          <w:numId w:val="8"/>
        </w:numPr>
        <w:tabs>
          <w:tab w:val="clear" w:pos="288"/>
          <w:tab w:val="left" w:pos="720"/>
        </w:tabs>
        <w:spacing w:before="236" w:line="229" w:lineRule="exact"/>
        <w:ind w:left="720" w:hanging="288"/>
        <w:textAlignment w:val="baseline"/>
        <w:rPr>
          <w:rFonts w:ascii="Arial" w:eastAsia="Arial" w:hAnsi="Arial"/>
          <w:color w:val="000000"/>
          <w:sz w:val="20"/>
        </w:rPr>
      </w:pPr>
      <w:r>
        <w:rPr>
          <w:rFonts w:ascii="Arial" w:eastAsia="Arial" w:hAnsi="Arial"/>
          <w:color w:val="000000"/>
          <w:sz w:val="20"/>
        </w:rPr>
        <w:t>Pipeline and on-farm unit costs includes unexplained contingency allowances</w:t>
      </w:r>
    </w:p>
    <w:p w14:paraId="2341DC62" w14:textId="77777777" w:rsidR="00345DC1" w:rsidRDefault="00DB08CC">
      <w:pPr>
        <w:numPr>
          <w:ilvl w:val="0"/>
          <w:numId w:val="8"/>
        </w:numPr>
        <w:tabs>
          <w:tab w:val="clear" w:pos="288"/>
          <w:tab w:val="left" w:pos="720"/>
        </w:tabs>
        <w:spacing w:before="120" w:line="346" w:lineRule="exact"/>
        <w:ind w:left="720" w:hanging="288"/>
        <w:textAlignment w:val="baseline"/>
        <w:rPr>
          <w:rFonts w:ascii="Arial" w:eastAsia="Arial" w:hAnsi="Arial"/>
          <w:color w:val="000000"/>
          <w:sz w:val="20"/>
        </w:rPr>
      </w:pPr>
      <w:r>
        <w:rPr>
          <w:rFonts w:ascii="Arial" w:eastAsia="Arial" w:hAnsi="Arial"/>
          <w:color w:val="000000"/>
          <w:sz w:val="20"/>
        </w:rPr>
        <w:t>It is not clear where the budget provision exists for the Owner to self-deliver the project and the 14.5% all</w:t>
      </w:r>
      <w:r>
        <w:rPr>
          <w:rFonts w:ascii="Arial" w:eastAsia="Arial" w:hAnsi="Arial"/>
          <w:color w:val="000000"/>
          <w:sz w:val="20"/>
        </w:rPr>
        <w:t>owance for "Operating Expenditure" does not appear to include this cost.</w:t>
      </w:r>
    </w:p>
    <w:p w14:paraId="30B05AB1" w14:textId="77777777" w:rsidR="00345DC1" w:rsidRDefault="00DB08CC">
      <w:pPr>
        <w:numPr>
          <w:ilvl w:val="0"/>
          <w:numId w:val="8"/>
        </w:numPr>
        <w:tabs>
          <w:tab w:val="clear" w:pos="288"/>
          <w:tab w:val="left" w:pos="720"/>
        </w:tabs>
        <w:spacing w:before="123" w:after="4025" w:line="343" w:lineRule="exact"/>
        <w:ind w:left="720" w:hanging="288"/>
        <w:jc w:val="both"/>
        <w:textAlignment w:val="baseline"/>
        <w:rPr>
          <w:rFonts w:ascii="Arial" w:eastAsia="Arial" w:hAnsi="Arial"/>
          <w:color w:val="000000"/>
          <w:sz w:val="20"/>
        </w:rPr>
      </w:pPr>
      <w:r>
        <w:rPr>
          <w:rFonts w:ascii="Arial" w:eastAsia="Arial" w:hAnsi="Arial"/>
          <w:color w:val="000000"/>
          <w:sz w:val="20"/>
        </w:rPr>
        <w:t>The cost item is based on the approvals process applying the approach applied for the Connections, which significantly reduces approvals costs during the delivery phase of the project</w:t>
      </w:r>
      <w:r>
        <w:rPr>
          <w:rFonts w:ascii="Arial" w:eastAsia="Arial" w:hAnsi="Arial"/>
          <w:color w:val="000000"/>
          <w:sz w:val="20"/>
        </w:rPr>
        <w:t>. If works are not completed under existing planning provisions, then higher costs would be likely.</w:t>
      </w:r>
    </w:p>
    <w:p w14:paraId="78940FE4" w14:textId="77777777" w:rsidR="00345DC1" w:rsidRDefault="00345DC1">
      <w:pPr>
        <w:spacing w:before="123" w:after="4025" w:line="343" w:lineRule="exact"/>
        <w:sectPr w:rsidR="00345DC1">
          <w:pgSz w:w="11909" w:h="16838"/>
          <w:pgMar w:top="540" w:right="1122" w:bottom="262" w:left="1137" w:header="720" w:footer="720" w:gutter="0"/>
          <w:cols w:space="720"/>
        </w:sectPr>
      </w:pPr>
    </w:p>
    <w:p w14:paraId="633284A1" w14:textId="77777777" w:rsidR="00345DC1" w:rsidRDefault="00DB08CC">
      <w:pPr>
        <w:spacing w:before="1" w:line="155" w:lineRule="exact"/>
        <w:ind w:left="576"/>
        <w:textAlignment w:val="baseline"/>
        <w:rPr>
          <w:rFonts w:ascii="Arial" w:eastAsia="Arial" w:hAnsi="Arial"/>
          <w:color w:val="000000"/>
          <w:sz w:val="14"/>
        </w:rPr>
      </w:pPr>
      <w:r>
        <w:rPr>
          <w:rFonts w:ascii="Arial" w:eastAsia="Arial" w:hAnsi="Arial"/>
          <w:color w:val="000000"/>
          <w:sz w:val="14"/>
        </w:rPr>
        <w:t>GHD ADVISORY</w:t>
      </w:r>
    </w:p>
    <w:p w14:paraId="2416F66C" w14:textId="77777777" w:rsidR="00345DC1" w:rsidRDefault="00DB08CC">
      <w:pPr>
        <w:tabs>
          <w:tab w:val="right" w:pos="3672"/>
        </w:tabs>
        <w:spacing w:line="245" w:lineRule="exact"/>
        <w:ind w:left="72"/>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10</w:t>
      </w:r>
      <w:r>
        <w:rPr>
          <w:rFonts w:ascii="Arial" w:eastAsia="Arial" w:hAnsi="Arial"/>
          <w:color w:val="FFFFFF"/>
          <w:sz w:val="15"/>
          <w:shd w:val="solid" w:color="006391" w:fill="006391"/>
        </w:rPr>
        <w:tab/>
      </w:r>
      <w:r>
        <w:rPr>
          <w:rFonts w:ascii="Arial" w:eastAsia="Arial" w:hAnsi="Arial"/>
          <w:color w:val="000000"/>
          <w:sz w:val="14"/>
        </w:rPr>
        <w:t>Review of Goulburn Murray Water (GMW) Water</w:t>
      </w:r>
    </w:p>
    <w:p w14:paraId="1FF85039" w14:textId="77777777" w:rsidR="00345DC1" w:rsidRDefault="00DB08CC">
      <w:pPr>
        <w:spacing w:before="8"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142A5D06" w14:textId="77777777" w:rsidR="00345DC1" w:rsidRDefault="00345DC1">
      <w:pPr>
        <w:sectPr w:rsidR="00345DC1">
          <w:type w:val="continuous"/>
          <w:pgSz w:w="11909" w:h="16838"/>
          <w:pgMar w:top="540" w:right="7116" w:bottom="262" w:left="1133" w:header="720" w:footer="720" w:gutter="0"/>
          <w:cols w:space="720"/>
        </w:sectPr>
      </w:pPr>
    </w:p>
    <w:p w14:paraId="383F5924" w14:textId="77777777" w:rsidR="00345DC1" w:rsidRDefault="00DB08CC">
      <w:pPr>
        <w:tabs>
          <w:tab w:val="left" w:pos="1008"/>
        </w:tabs>
        <w:spacing w:before="14" w:line="230" w:lineRule="exact"/>
        <w:textAlignment w:val="baseline"/>
        <w:rPr>
          <w:rFonts w:ascii="Arial" w:eastAsia="Arial" w:hAnsi="Arial"/>
          <w:b/>
          <w:color w:val="C00000"/>
          <w:sz w:val="20"/>
        </w:rPr>
      </w:pPr>
      <w:r>
        <w:rPr>
          <w:rFonts w:ascii="Arial" w:eastAsia="Arial" w:hAnsi="Arial"/>
          <w:b/>
          <w:color w:val="C00000"/>
          <w:sz w:val="20"/>
        </w:rPr>
        <w:lastRenderedPageBreak/>
        <w:t>6.1.3</w:t>
      </w:r>
      <w:r>
        <w:rPr>
          <w:rFonts w:ascii="Arial" w:eastAsia="Arial" w:hAnsi="Arial"/>
          <w:b/>
          <w:color w:val="C00000"/>
          <w:sz w:val="20"/>
        </w:rPr>
        <w:tab/>
      </w:r>
      <w:r>
        <w:rPr>
          <w:rFonts w:ascii="Arial" w:eastAsia="Arial" w:hAnsi="Arial"/>
          <w:b/>
          <w:color w:val="C00000"/>
          <w:sz w:val="20"/>
        </w:rPr>
        <w:t>Enquiry 3: What extent does the detailed budget demonstrate appropriate costings that</w:t>
      </w:r>
    </w:p>
    <w:p w14:paraId="714B8920" w14:textId="77777777" w:rsidR="00345DC1" w:rsidRDefault="00DB08CC">
      <w:pPr>
        <w:spacing w:line="345" w:lineRule="exact"/>
        <w:ind w:left="1008" w:right="936"/>
        <w:textAlignment w:val="baseline"/>
        <w:rPr>
          <w:rFonts w:ascii="Arial" w:eastAsia="Arial" w:hAnsi="Arial"/>
          <w:b/>
          <w:color w:val="C00000"/>
          <w:sz w:val="20"/>
        </w:rPr>
      </w:pPr>
      <w:r>
        <w:rPr>
          <w:rFonts w:ascii="Arial" w:eastAsia="Arial" w:hAnsi="Arial"/>
          <w:b/>
          <w:color w:val="C00000"/>
          <w:sz w:val="20"/>
        </w:rPr>
        <w:t>reflect market realities – including the appropriateness of any contingency costs and escalations</w:t>
      </w:r>
    </w:p>
    <w:p w14:paraId="79D882AA" w14:textId="77777777" w:rsidR="00345DC1" w:rsidRDefault="00DB08CC">
      <w:pPr>
        <w:tabs>
          <w:tab w:val="left" w:pos="1008"/>
        </w:tabs>
        <w:spacing w:before="351" w:line="230" w:lineRule="exact"/>
        <w:textAlignment w:val="baseline"/>
        <w:rPr>
          <w:rFonts w:ascii="Arial" w:eastAsia="Arial" w:hAnsi="Arial"/>
          <w:b/>
          <w:color w:val="000000"/>
          <w:sz w:val="20"/>
        </w:rPr>
      </w:pPr>
      <w:r>
        <w:rPr>
          <w:rFonts w:ascii="Arial" w:eastAsia="Arial" w:hAnsi="Arial"/>
          <w:b/>
          <w:color w:val="000000"/>
          <w:sz w:val="20"/>
        </w:rPr>
        <w:t>6.1.3.1</w:t>
      </w:r>
      <w:r>
        <w:rPr>
          <w:rFonts w:ascii="Arial" w:eastAsia="Arial" w:hAnsi="Arial"/>
          <w:b/>
          <w:color w:val="000000"/>
          <w:sz w:val="20"/>
        </w:rPr>
        <w:tab/>
        <w:t>Business Case Information</w:t>
      </w:r>
    </w:p>
    <w:p w14:paraId="02199F49" w14:textId="77777777" w:rsidR="00345DC1" w:rsidRDefault="00DB08CC">
      <w:pPr>
        <w:spacing w:before="178" w:line="229" w:lineRule="exact"/>
        <w:textAlignment w:val="baseline"/>
        <w:rPr>
          <w:rFonts w:ascii="Arial" w:eastAsia="Arial" w:hAnsi="Arial"/>
          <w:color w:val="000000"/>
          <w:sz w:val="20"/>
        </w:rPr>
      </w:pPr>
      <w:r>
        <w:rPr>
          <w:rFonts w:ascii="Arial" w:eastAsia="Arial" w:hAnsi="Arial"/>
          <w:color w:val="000000"/>
          <w:sz w:val="20"/>
        </w:rPr>
        <w:t>The estimated cost of the project is $</w:t>
      </w:r>
      <w:r>
        <w:rPr>
          <w:rFonts w:ascii="Arial" w:eastAsia="Arial" w:hAnsi="Arial"/>
          <w:color w:val="000000"/>
          <w:sz w:val="20"/>
        </w:rPr>
        <w:t xml:space="preserve">164.5M, as </w:t>
      </w:r>
      <w:proofErr w:type="spellStart"/>
      <w:r>
        <w:rPr>
          <w:rFonts w:ascii="Arial" w:eastAsia="Arial" w:hAnsi="Arial"/>
          <w:color w:val="000000"/>
          <w:sz w:val="20"/>
        </w:rPr>
        <w:t>summarised</w:t>
      </w:r>
      <w:proofErr w:type="spellEnd"/>
      <w:r>
        <w:rPr>
          <w:rFonts w:ascii="Arial" w:eastAsia="Arial" w:hAnsi="Arial"/>
          <w:color w:val="000000"/>
          <w:sz w:val="20"/>
        </w:rPr>
        <w:t xml:space="preserve"> in </w:t>
      </w:r>
      <w:r>
        <w:rPr>
          <w:rFonts w:ascii="Arial" w:eastAsia="Arial" w:hAnsi="Arial"/>
          <w:color w:val="000000"/>
          <w:sz w:val="20"/>
          <w:u w:val="single"/>
        </w:rPr>
        <w:t>Table 4</w:t>
      </w:r>
      <w:r>
        <w:rPr>
          <w:rFonts w:ascii="Arial" w:eastAsia="Arial" w:hAnsi="Arial"/>
          <w:color w:val="000000"/>
          <w:sz w:val="20"/>
        </w:rPr>
        <w:t>.</w:t>
      </w:r>
      <w:r>
        <w:rPr>
          <w:rFonts w:ascii="Arial" w:eastAsia="Arial" w:hAnsi="Arial"/>
          <w:color w:val="000000"/>
          <w:sz w:val="20"/>
          <w:u w:val="single"/>
        </w:rPr>
        <w:t xml:space="preserve"> </w:t>
      </w:r>
    </w:p>
    <w:p w14:paraId="2C0059CF" w14:textId="77777777" w:rsidR="00345DC1" w:rsidRDefault="00DB08CC">
      <w:pPr>
        <w:spacing w:line="345" w:lineRule="exact"/>
        <w:ind w:right="432"/>
        <w:textAlignment w:val="baseline"/>
        <w:rPr>
          <w:rFonts w:ascii="Arial" w:eastAsia="Arial" w:hAnsi="Arial"/>
          <w:color w:val="000000"/>
          <w:sz w:val="20"/>
        </w:rPr>
      </w:pPr>
      <w:r>
        <w:rPr>
          <w:rFonts w:ascii="Arial" w:eastAsia="Arial" w:hAnsi="Arial"/>
          <w:color w:val="000000"/>
          <w:sz w:val="20"/>
        </w:rPr>
        <w:t>The Victorian Government has advised that the project estimate has been produced based on concept design solutions for the works and applying unit costs and were subject to independent peer review from Currie &amp; Brown.</w:t>
      </w:r>
    </w:p>
    <w:p w14:paraId="24822D13" w14:textId="77777777" w:rsidR="00345DC1" w:rsidRDefault="00DB08CC">
      <w:pPr>
        <w:spacing w:before="302" w:after="130" w:line="226" w:lineRule="exact"/>
        <w:ind w:left="5616"/>
        <w:textAlignment w:val="baseline"/>
        <w:rPr>
          <w:rFonts w:ascii="Calibri" w:eastAsia="Calibri" w:hAnsi="Calibri"/>
          <w:b/>
          <w:color w:val="000000"/>
        </w:rPr>
      </w:pPr>
      <w:r>
        <w:rPr>
          <w:rFonts w:ascii="Calibri" w:eastAsia="Calibri" w:hAnsi="Calibri"/>
          <w:b/>
          <w:color w:val="000000"/>
        </w:rPr>
        <w:t>Tab</w:t>
      </w:r>
      <w:r>
        <w:rPr>
          <w:rFonts w:ascii="Calibri" w:eastAsia="Calibri" w:hAnsi="Calibri"/>
          <w:b/>
          <w:color w:val="000000"/>
        </w:rPr>
        <w:t>le 4: DELWP Estimated BTP project costs</w:t>
      </w:r>
    </w:p>
    <w:p w14:paraId="3107F856" w14:textId="77777777" w:rsidR="00345DC1" w:rsidRDefault="00DB08CC">
      <w:pPr>
        <w:spacing w:after="293"/>
        <w:ind w:right="212"/>
        <w:textAlignment w:val="baseline"/>
      </w:pPr>
      <w:r>
        <w:rPr>
          <w:noProof/>
        </w:rPr>
        <w:drawing>
          <wp:inline distT="0" distB="0" distL="0" distR="0" wp14:anchorId="1D44694B" wp14:editId="64882DEC">
            <wp:extent cx="6266180" cy="2828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6266180" cy="282829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7065"/>
        <w:gridCol w:w="3015"/>
      </w:tblGrid>
      <w:tr w:rsidR="00345DC1" w14:paraId="53E6C1CB" w14:textId="77777777">
        <w:tblPrEx>
          <w:tblCellMar>
            <w:top w:w="0" w:type="dxa"/>
            <w:bottom w:w="0" w:type="dxa"/>
          </w:tblCellMar>
        </w:tblPrEx>
        <w:trPr>
          <w:trHeight w:hRule="exact" w:val="528"/>
        </w:trPr>
        <w:tc>
          <w:tcPr>
            <w:tcW w:w="7065" w:type="dxa"/>
            <w:tcBorders>
              <w:top w:val="none" w:sz="0" w:space="0" w:color="020000"/>
              <w:left w:val="none" w:sz="0" w:space="0" w:color="020000"/>
              <w:bottom w:val="none" w:sz="0" w:space="0" w:color="020000"/>
              <w:right w:val="none" w:sz="0" w:space="0" w:color="020000"/>
            </w:tcBorders>
            <w:vAlign w:val="bottom"/>
          </w:tcPr>
          <w:p w14:paraId="19CECB31" w14:textId="77777777" w:rsidR="00345DC1" w:rsidRDefault="00DB08CC">
            <w:pPr>
              <w:spacing w:before="277" w:after="47" w:line="203" w:lineRule="exact"/>
              <w:ind w:left="1300"/>
              <w:textAlignment w:val="baseline"/>
              <w:rPr>
                <w:rFonts w:ascii="Calibri" w:eastAsia="Calibri" w:hAnsi="Calibri"/>
                <w:color w:val="000000"/>
                <w:sz w:val="20"/>
              </w:rPr>
            </w:pPr>
            <w:r>
              <w:rPr>
                <w:rFonts w:ascii="Calibri" w:eastAsia="Calibri" w:hAnsi="Calibri"/>
                <w:color w:val="000000"/>
                <w:sz w:val="20"/>
              </w:rPr>
              <w:t>Meter Outlet Upgrades</w:t>
            </w:r>
          </w:p>
        </w:tc>
        <w:tc>
          <w:tcPr>
            <w:tcW w:w="3015" w:type="dxa"/>
            <w:tcBorders>
              <w:top w:val="none" w:sz="0" w:space="0" w:color="020000"/>
              <w:left w:val="none" w:sz="0" w:space="0" w:color="020000"/>
              <w:bottom w:val="none" w:sz="0" w:space="0" w:color="020000"/>
              <w:right w:val="none" w:sz="0" w:space="0" w:color="020000"/>
            </w:tcBorders>
            <w:vAlign w:val="center"/>
          </w:tcPr>
          <w:p w14:paraId="2D55E960" w14:textId="77777777" w:rsidR="00345DC1" w:rsidRDefault="00DB08CC">
            <w:pPr>
              <w:spacing w:before="254" w:after="31" w:line="242" w:lineRule="exact"/>
              <w:ind w:right="1704"/>
              <w:jc w:val="right"/>
              <w:textAlignment w:val="baseline"/>
              <w:rPr>
                <w:rFonts w:ascii="Calibri" w:eastAsia="Calibri" w:hAnsi="Calibri"/>
                <w:color w:val="000000"/>
              </w:rPr>
            </w:pPr>
            <w:r>
              <w:rPr>
                <w:rFonts w:ascii="Calibri" w:eastAsia="Calibri" w:hAnsi="Calibri"/>
                <w:color w:val="000000"/>
              </w:rPr>
              <w:t>14%</w:t>
            </w:r>
          </w:p>
        </w:tc>
      </w:tr>
      <w:tr w:rsidR="00345DC1" w14:paraId="7ADE25CB" w14:textId="77777777">
        <w:tblPrEx>
          <w:tblCellMar>
            <w:top w:w="0" w:type="dxa"/>
            <w:bottom w:w="0" w:type="dxa"/>
          </w:tblCellMar>
        </w:tblPrEx>
        <w:trPr>
          <w:trHeight w:hRule="exact" w:val="298"/>
        </w:trPr>
        <w:tc>
          <w:tcPr>
            <w:tcW w:w="7065" w:type="dxa"/>
            <w:tcBorders>
              <w:top w:val="none" w:sz="0" w:space="0" w:color="020000"/>
              <w:left w:val="none" w:sz="0" w:space="0" w:color="020000"/>
              <w:bottom w:val="none" w:sz="0" w:space="0" w:color="020000"/>
              <w:right w:val="none" w:sz="0" w:space="0" w:color="020000"/>
            </w:tcBorders>
            <w:vAlign w:val="center"/>
          </w:tcPr>
          <w:p w14:paraId="56A5723E" w14:textId="77777777" w:rsidR="00345DC1" w:rsidRDefault="00DB08CC">
            <w:pPr>
              <w:spacing w:before="52" w:after="33" w:line="202" w:lineRule="exact"/>
              <w:ind w:left="1300"/>
              <w:textAlignment w:val="baseline"/>
              <w:rPr>
                <w:rFonts w:ascii="Calibri" w:eastAsia="Calibri" w:hAnsi="Calibri"/>
                <w:color w:val="000000"/>
                <w:sz w:val="20"/>
              </w:rPr>
            </w:pPr>
            <w:r>
              <w:rPr>
                <w:rFonts w:ascii="Calibri" w:eastAsia="Calibri" w:hAnsi="Calibri"/>
                <w:color w:val="000000"/>
                <w:sz w:val="20"/>
              </w:rPr>
              <w:t>Regulator Automation</w:t>
            </w:r>
          </w:p>
        </w:tc>
        <w:tc>
          <w:tcPr>
            <w:tcW w:w="3015" w:type="dxa"/>
            <w:tcBorders>
              <w:top w:val="none" w:sz="0" w:space="0" w:color="020000"/>
              <w:left w:val="none" w:sz="0" w:space="0" w:color="020000"/>
              <w:bottom w:val="none" w:sz="0" w:space="0" w:color="020000"/>
              <w:right w:val="none" w:sz="0" w:space="0" w:color="020000"/>
            </w:tcBorders>
            <w:vAlign w:val="center"/>
          </w:tcPr>
          <w:p w14:paraId="241CAB23" w14:textId="77777777" w:rsidR="00345DC1" w:rsidRDefault="00DB08CC">
            <w:pPr>
              <w:spacing w:after="22" w:line="242" w:lineRule="exact"/>
              <w:ind w:right="1704"/>
              <w:jc w:val="right"/>
              <w:textAlignment w:val="baseline"/>
              <w:rPr>
                <w:rFonts w:ascii="Calibri" w:eastAsia="Calibri" w:hAnsi="Calibri"/>
                <w:color w:val="000000"/>
              </w:rPr>
            </w:pPr>
            <w:r>
              <w:rPr>
                <w:rFonts w:ascii="Calibri" w:eastAsia="Calibri" w:hAnsi="Calibri"/>
                <w:color w:val="000000"/>
              </w:rPr>
              <w:t>8%</w:t>
            </w:r>
          </w:p>
        </w:tc>
      </w:tr>
      <w:tr w:rsidR="00345DC1" w14:paraId="3C51E130" w14:textId="77777777">
        <w:tblPrEx>
          <w:tblCellMar>
            <w:top w:w="0" w:type="dxa"/>
            <w:bottom w:w="0" w:type="dxa"/>
          </w:tblCellMar>
        </w:tblPrEx>
        <w:trPr>
          <w:trHeight w:hRule="exact" w:val="302"/>
        </w:trPr>
        <w:tc>
          <w:tcPr>
            <w:tcW w:w="7065" w:type="dxa"/>
            <w:tcBorders>
              <w:top w:val="none" w:sz="0" w:space="0" w:color="020000"/>
              <w:left w:val="none" w:sz="0" w:space="0" w:color="020000"/>
              <w:bottom w:val="none" w:sz="0" w:space="0" w:color="020000"/>
              <w:right w:val="none" w:sz="0" w:space="0" w:color="020000"/>
            </w:tcBorders>
            <w:vAlign w:val="center"/>
          </w:tcPr>
          <w:p w14:paraId="375CD2E9" w14:textId="77777777" w:rsidR="00345DC1" w:rsidRDefault="00DB08CC">
            <w:pPr>
              <w:spacing w:before="51" w:after="38" w:line="203" w:lineRule="exact"/>
              <w:ind w:left="1300"/>
              <w:textAlignment w:val="baseline"/>
              <w:rPr>
                <w:rFonts w:ascii="Calibri" w:eastAsia="Calibri" w:hAnsi="Calibri"/>
                <w:color w:val="000000"/>
                <w:sz w:val="20"/>
              </w:rPr>
            </w:pPr>
            <w:r>
              <w:rPr>
                <w:rFonts w:ascii="Calibri" w:eastAsia="Calibri" w:hAnsi="Calibri"/>
                <w:color w:val="000000"/>
                <w:sz w:val="20"/>
              </w:rPr>
              <w:t>GMW Pipelines</w:t>
            </w:r>
          </w:p>
        </w:tc>
        <w:tc>
          <w:tcPr>
            <w:tcW w:w="3015" w:type="dxa"/>
            <w:tcBorders>
              <w:top w:val="none" w:sz="0" w:space="0" w:color="020000"/>
              <w:left w:val="none" w:sz="0" w:space="0" w:color="020000"/>
              <w:bottom w:val="none" w:sz="0" w:space="0" w:color="020000"/>
              <w:right w:val="none" w:sz="0" w:space="0" w:color="020000"/>
            </w:tcBorders>
            <w:vAlign w:val="center"/>
          </w:tcPr>
          <w:p w14:paraId="7F13F95A" w14:textId="77777777" w:rsidR="00345DC1" w:rsidRDefault="00DB08CC">
            <w:pPr>
              <w:spacing w:after="22" w:line="242" w:lineRule="exact"/>
              <w:ind w:right="1704"/>
              <w:jc w:val="right"/>
              <w:textAlignment w:val="baseline"/>
              <w:rPr>
                <w:rFonts w:ascii="Calibri" w:eastAsia="Calibri" w:hAnsi="Calibri"/>
                <w:color w:val="000000"/>
              </w:rPr>
            </w:pPr>
            <w:r>
              <w:rPr>
                <w:rFonts w:ascii="Calibri" w:eastAsia="Calibri" w:hAnsi="Calibri"/>
                <w:color w:val="000000"/>
              </w:rPr>
              <w:t>28%</w:t>
            </w:r>
          </w:p>
        </w:tc>
      </w:tr>
      <w:tr w:rsidR="00345DC1" w14:paraId="51DAC7E0" w14:textId="77777777">
        <w:tblPrEx>
          <w:tblCellMar>
            <w:top w:w="0" w:type="dxa"/>
            <w:bottom w:w="0" w:type="dxa"/>
          </w:tblCellMar>
        </w:tblPrEx>
        <w:trPr>
          <w:trHeight w:hRule="exact" w:val="298"/>
        </w:trPr>
        <w:tc>
          <w:tcPr>
            <w:tcW w:w="7065" w:type="dxa"/>
            <w:tcBorders>
              <w:top w:val="none" w:sz="0" w:space="0" w:color="020000"/>
              <w:left w:val="none" w:sz="0" w:space="0" w:color="020000"/>
              <w:bottom w:val="none" w:sz="0" w:space="0" w:color="020000"/>
              <w:right w:val="none" w:sz="0" w:space="0" w:color="020000"/>
            </w:tcBorders>
            <w:vAlign w:val="center"/>
          </w:tcPr>
          <w:p w14:paraId="2C38D311" w14:textId="77777777" w:rsidR="00345DC1" w:rsidRDefault="00DB08CC">
            <w:pPr>
              <w:spacing w:before="52" w:after="38" w:line="202" w:lineRule="exact"/>
              <w:ind w:left="1300"/>
              <w:textAlignment w:val="baseline"/>
              <w:rPr>
                <w:rFonts w:ascii="Calibri" w:eastAsia="Calibri" w:hAnsi="Calibri"/>
                <w:color w:val="000000"/>
                <w:sz w:val="20"/>
              </w:rPr>
            </w:pPr>
            <w:r>
              <w:rPr>
                <w:rFonts w:ascii="Calibri" w:eastAsia="Calibri" w:hAnsi="Calibri"/>
                <w:color w:val="000000"/>
                <w:sz w:val="20"/>
              </w:rPr>
              <w:t>On-farm Works</w:t>
            </w:r>
          </w:p>
        </w:tc>
        <w:tc>
          <w:tcPr>
            <w:tcW w:w="3015" w:type="dxa"/>
            <w:tcBorders>
              <w:top w:val="none" w:sz="0" w:space="0" w:color="020000"/>
              <w:left w:val="none" w:sz="0" w:space="0" w:color="020000"/>
              <w:bottom w:val="none" w:sz="0" w:space="0" w:color="020000"/>
              <w:right w:val="none" w:sz="0" w:space="0" w:color="020000"/>
            </w:tcBorders>
            <w:vAlign w:val="center"/>
          </w:tcPr>
          <w:p w14:paraId="1B060AD8" w14:textId="77777777" w:rsidR="00345DC1" w:rsidRDefault="00DB08CC">
            <w:pPr>
              <w:spacing w:after="27" w:line="242" w:lineRule="exact"/>
              <w:ind w:right="1704"/>
              <w:jc w:val="right"/>
              <w:textAlignment w:val="baseline"/>
              <w:rPr>
                <w:rFonts w:ascii="Calibri" w:eastAsia="Calibri" w:hAnsi="Calibri"/>
                <w:color w:val="000000"/>
              </w:rPr>
            </w:pPr>
            <w:r>
              <w:rPr>
                <w:rFonts w:ascii="Calibri" w:eastAsia="Calibri" w:hAnsi="Calibri"/>
                <w:color w:val="000000"/>
              </w:rPr>
              <w:t>26%</w:t>
            </w:r>
          </w:p>
        </w:tc>
      </w:tr>
      <w:tr w:rsidR="00345DC1" w14:paraId="61C92543" w14:textId="77777777">
        <w:tblPrEx>
          <w:tblCellMar>
            <w:top w:w="0" w:type="dxa"/>
            <w:bottom w:w="0" w:type="dxa"/>
          </w:tblCellMar>
        </w:tblPrEx>
        <w:trPr>
          <w:trHeight w:hRule="exact" w:val="302"/>
        </w:trPr>
        <w:tc>
          <w:tcPr>
            <w:tcW w:w="7065" w:type="dxa"/>
            <w:tcBorders>
              <w:top w:val="none" w:sz="0" w:space="0" w:color="020000"/>
              <w:left w:val="none" w:sz="0" w:space="0" w:color="020000"/>
              <w:bottom w:val="none" w:sz="0" w:space="0" w:color="020000"/>
              <w:right w:val="none" w:sz="0" w:space="0" w:color="020000"/>
            </w:tcBorders>
            <w:vAlign w:val="center"/>
          </w:tcPr>
          <w:p w14:paraId="5132BA2F" w14:textId="77777777" w:rsidR="00345DC1" w:rsidRDefault="00DB08CC">
            <w:pPr>
              <w:spacing w:before="51" w:after="43" w:line="203" w:lineRule="exact"/>
              <w:ind w:left="1300"/>
              <w:textAlignment w:val="baseline"/>
              <w:rPr>
                <w:rFonts w:ascii="Calibri" w:eastAsia="Calibri" w:hAnsi="Calibri"/>
                <w:color w:val="000000"/>
                <w:sz w:val="20"/>
              </w:rPr>
            </w:pPr>
            <w:r>
              <w:rPr>
                <w:rFonts w:ascii="Calibri" w:eastAsia="Calibri" w:hAnsi="Calibri"/>
                <w:color w:val="000000"/>
                <w:sz w:val="20"/>
              </w:rPr>
              <w:t>Asset Decommissioning</w:t>
            </w:r>
          </w:p>
        </w:tc>
        <w:tc>
          <w:tcPr>
            <w:tcW w:w="3015" w:type="dxa"/>
            <w:tcBorders>
              <w:top w:val="none" w:sz="0" w:space="0" w:color="020000"/>
              <w:left w:val="none" w:sz="0" w:space="0" w:color="020000"/>
              <w:bottom w:val="none" w:sz="0" w:space="0" w:color="020000"/>
              <w:right w:val="none" w:sz="0" w:space="0" w:color="020000"/>
            </w:tcBorders>
            <w:vAlign w:val="center"/>
          </w:tcPr>
          <w:p w14:paraId="221D86CD" w14:textId="77777777" w:rsidR="00345DC1" w:rsidRDefault="00DB08CC">
            <w:pPr>
              <w:spacing w:after="27" w:line="242" w:lineRule="exact"/>
              <w:ind w:right="1704"/>
              <w:jc w:val="right"/>
              <w:textAlignment w:val="baseline"/>
              <w:rPr>
                <w:rFonts w:ascii="Calibri" w:eastAsia="Calibri" w:hAnsi="Calibri"/>
                <w:color w:val="000000"/>
              </w:rPr>
            </w:pPr>
            <w:r>
              <w:rPr>
                <w:rFonts w:ascii="Calibri" w:eastAsia="Calibri" w:hAnsi="Calibri"/>
                <w:color w:val="000000"/>
              </w:rPr>
              <w:t>2%</w:t>
            </w:r>
          </w:p>
        </w:tc>
      </w:tr>
      <w:tr w:rsidR="00345DC1" w14:paraId="14ACE3F8" w14:textId="77777777">
        <w:tblPrEx>
          <w:tblCellMar>
            <w:top w:w="0" w:type="dxa"/>
            <w:bottom w:w="0" w:type="dxa"/>
          </w:tblCellMar>
        </w:tblPrEx>
        <w:trPr>
          <w:trHeight w:hRule="exact" w:val="298"/>
        </w:trPr>
        <w:tc>
          <w:tcPr>
            <w:tcW w:w="7065" w:type="dxa"/>
            <w:tcBorders>
              <w:top w:val="none" w:sz="0" w:space="0" w:color="020000"/>
              <w:left w:val="none" w:sz="0" w:space="0" w:color="020000"/>
              <w:bottom w:val="none" w:sz="0" w:space="0" w:color="020000"/>
              <w:right w:val="none" w:sz="0" w:space="0" w:color="020000"/>
            </w:tcBorders>
            <w:vAlign w:val="center"/>
          </w:tcPr>
          <w:p w14:paraId="7CA75D6B" w14:textId="77777777" w:rsidR="00345DC1" w:rsidRDefault="00DB08CC">
            <w:pPr>
              <w:spacing w:before="52" w:after="43" w:line="202" w:lineRule="exact"/>
              <w:ind w:left="1300"/>
              <w:textAlignment w:val="baseline"/>
              <w:rPr>
                <w:rFonts w:ascii="Calibri" w:eastAsia="Calibri" w:hAnsi="Calibri"/>
                <w:color w:val="000000"/>
                <w:sz w:val="20"/>
              </w:rPr>
            </w:pPr>
            <w:r>
              <w:rPr>
                <w:rFonts w:ascii="Calibri" w:eastAsia="Calibri" w:hAnsi="Calibri"/>
                <w:color w:val="000000"/>
                <w:sz w:val="20"/>
              </w:rPr>
              <w:t>Contingency</w:t>
            </w:r>
          </w:p>
        </w:tc>
        <w:tc>
          <w:tcPr>
            <w:tcW w:w="3015" w:type="dxa"/>
            <w:tcBorders>
              <w:top w:val="none" w:sz="0" w:space="0" w:color="020000"/>
              <w:left w:val="none" w:sz="0" w:space="0" w:color="020000"/>
              <w:bottom w:val="none" w:sz="0" w:space="0" w:color="020000"/>
              <w:right w:val="none" w:sz="0" w:space="0" w:color="020000"/>
            </w:tcBorders>
            <w:vAlign w:val="center"/>
          </w:tcPr>
          <w:p w14:paraId="3BB7C928" w14:textId="77777777" w:rsidR="00345DC1" w:rsidRDefault="00DB08CC">
            <w:pPr>
              <w:spacing w:after="32" w:line="242" w:lineRule="exact"/>
              <w:ind w:right="1704"/>
              <w:jc w:val="right"/>
              <w:textAlignment w:val="baseline"/>
              <w:rPr>
                <w:rFonts w:ascii="Calibri" w:eastAsia="Calibri" w:hAnsi="Calibri"/>
                <w:color w:val="000000"/>
              </w:rPr>
            </w:pPr>
            <w:r>
              <w:rPr>
                <w:rFonts w:ascii="Calibri" w:eastAsia="Calibri" w:hAnsi="Calibri"/>
                <w:color w:val="000000"/>
              </w:rPr>
              <w:t>8%</w:t>
            </w:r>
          </w:p>
        </w:tc>
      </w:tr>
      <w:tr w:rsidR="00345DC1" w14:paraId="5608584C" w14:textId="77777777">
        <w:tblPrEx>
          <w:tblCellMar>
            <w:top w:w="0" w:type="dxa"/>
            <w:bottom w:w="0" w:type="dxa"/>
          </w:tblCellMar>
        </w:tblPrEx>
        <w:trPr>
          <w:trHeight w:hRule="exact" w:val="302"/>
        </w:trPr>
        <w:tc>
          <w:tcPr>
            <w:tcW w:w="7065" w:type="dxa"/>
            <w:tcBorders>
              <w:top w:val="none" w:sz="0" w:space="0" w:color="020000"/>
              <w:left w:val="none" w:sz="0" w:space="0" w:color="020000"/>
              <w:bottom w:val="none" w:sz="0" w:space="0" w:color="020000"/>
              <w:right w:val="none" w:sz="0" w:space="0" w:color="020000"/>
            </w:tcBorders>
            <w:vAlign w:val="center"/>
          </w:tcPr>
          <w:p w14:paraId="47B24BCE" w14:textId="77777777" w:rsidR="00345DC1" w:rsidRDefault="00DB08CC">
            <w:pPr>
              <w:spacing w:before="51" w:after="47" w:line="203" w:lineRule="exact"/>
              <w:ind w:left="1300"/>
              <w:textAlignment w:val="baseline"/>
              <w:rPr>
                <w:rFonts w:ascii="Calibri" w:eastAsia="Calibri" w:hAnsi="Calibri"/>
                <w:color w:val="000000"/>
                <w:sz w:val="20"/>
              </w:rPr>
            </w:pPr>
            <w:r>
              <w:rPr>
                <w:rFonts w:ascii="Calibri" w:eastAsia="Calibri" w:hAnsi="Calibri"/>
                <w:color w:val="000000"/>
                <w:sz w:val="20"/>
              </w:rPr>
              <w:t>Project management and landowner engagement overheads</w:t>
            </w:r>
          </w:p>
        </w:tc>
        <w:tc>
          <w:tcPr>
            <w:tcW w:w="3015" w:type="dxa"/>
            <w:tcBorders>
              <w:top w:val="none" w:sz="0" w:space="0" w:color="020000"/>
              <w:left w:val="none" w:sz="0" w:space="0" w:color="020000"/>
              <w:bottom w:val="none" w:sz="0" w:space="0" w:color="020000"/>
              <w:right w:val="none" w:sz="0" w:space="0" w:color="020000"/>
            </w:tcBorders>
            <w:vAlign w:val="center"/>
          </w:tcPr>
          <w:p w14:paraId="1E12E5D8" w14:textId="77777777" w:rsidR="00345DC1" w:rsidRDefault="00DB08CC">
            <w:pPr>
              <w:spacing w:after="31" w:line="242" w:lineRule="exact"/>
              <w:ind w:right="1704"/>
              <w:jc w:val="right"/>
              <w:textAlignment w:val="baseline"/>
              <w:rPr>
                <w:rFonts w:ascii="Calibri" w:eastAsia="Calibri" w:hAnsi="Calibri"/>
                <w:color w:val="000000"/>
              </w:rPr>
            </w:pPr>
            <w:r>
              <w:rPr>
                <w:rFonts w:ascii="Calibri" w:eastAsia="Calibri" w:hAnsi="Calibri"/>
                <w:color w:val="000000"/>
              </w:rPr>
              <w:t>11%</w:t>
            </w:r>
          </w:p>
        </w:tc>
      </w:tr>
      <w:tr w:rsidR="00345DC1" w14:paraId="2A0EE41E" w14:textId="77777777">
        <w:tblPrEx>
          <w:tblCellMar>
            <w:top w:w="0" w:type="dxa"/>
            <w:bottom w:w="0" w:type="dxa"/>
          </w:tblCellMar>
        </w:tblPrEx>
        <w:trPr>
          <w:trHeight w:hRule="exact" w:val="264"/>
        </w:trPr>
        <w:tc>
          <w:tcPr>
            <w:tcW w:w="7065" w:type="dxa"/>
            <w:tcBorders>
              <w:top w:val="none" w:sz="0" w:space="0" w:color="020000"/>
              <w:left w:val="none" w:sz="0" w:space="0" w:color="020000"/>
              <w:bottom w:val="none" w:sz="0" w:space="0" w:color="020000"/>
              <w:right w:val="none" w:sz="0" w:space="0" w:color="020000"/>
            </w:tcBorders>
            <w:vAlign w:val="center"/>
          </w:tcPr>
          <w:p w14:paraId="19304ABB" w14:textId="77777777" w:rsidR="00345DC1" w:rsidRDefault="00DB08CC">
            <w:pPr>
              <w:spacing w:before="52" w:after="5" w:line="202" w:lineRule="exact"/>
              <w:ind w:left="1300"/>
              <w:textAlignment w:val="baseline"/>
              <w:rPr>
                <w:rFonts w:ascii="Calibri" w:eastAsia="Calibri" w:hAnsi="Calibri"/>
                <w:color w:val="000000"/>
                <w:sz w:val="20"/>
              </w:rPr>
            </w:pPr>
            <w:r>
              <w:rPr>
                <w:rFonts w:ascii="Calibri" w:eastAsia="Calibri" w:hAnsi="Calibri"/>
                <w:color w:val="000000"/>
                <w:sz w:val="20"/>
              </w:rPr>
              <w:t>Escalation</w:t>
            </w:r>
          </w:p>
        </w:tc>
        <w:tc>
          <w:tcPr>
            <w:tcW w:w="3015" w:type="dxa"/>
            <w:tcBorders>
              <w:top w:val="none" w:sz="0" w:space="0" w:color="020000"/>
              <w:left w:val="none" w:sz="0" w:space="0" w:color="020000"/>
              <w:bottom w:val="none" w:sz="0" w:space="0" w:color="020000"/>
              <w:right w:val="none" w:sz="0" w:space="0" w:color="020000"/>
            </w:tcBorders>
            <w:vAlign w:val="center"/>
          </w:tcPr>
          <w:p w14:paraId="6CAFA9B8" w14:textId="77777777" w:rsidR="00345DC1" w:rsidRDefault="00DB08CC">
            <w:pPr>
              <w:spacing w:line="236" w:lineRule="exact"/>
              <w:ind w:right="1704"/>
              <w:jc w:val="right"/>
              <w:textAlignment w:val="baseline"/>
              <w:rPr>
                <w:rFonts w:ascii="Calibri" w:eastAsia="Calibri" w:hAnsi="Calibri"/>
                <w:color w:val="000000"/>
              </w:rPr>
            </w:pPr>
            <w:r>
              <w:rPr>
                <w:rFonts w:ascii="Calibri" w:eastAsia="Calibri" w:hAnsi="Calibri"/>
                <w:color w:val="000000"/>
              </w:rPr>
              <w:t>3%</w:t>
            </w:r>
          </w:p>
        </w:tc>
      </w:tr>
      <w:tr w:rsidR="00345DC1" w14:paraId="5D2087CA" w14:textId="77777777">
        <w:tblPrEx>
          <w:tblCellMar>
            <w:top w:w="0" w:type="dxa"/>
            <w:bottom w:w="0" w:type="dxa"/>
          </w:tblCellMar>
        </w:tblPrEx>
        <w:trPr>
          <w:trHeight w:hRule="exact" w:val="302"/>
        </w:trPr>
        <w:tc>
          <w:tcPr>
            <w:tcW w:w="7065" w:type="dxa"/>
            <w:tcBorders>
              <w:top w:val="none" w:sz="0" w:space="0" w:color="020000"/>
              <w:left w:val="none" w:sz="0" w:space="0" w:color="020000"/>
              <w:bottom w:val="none" w:sz="0" w:space="0" w:color="020000"/>
              <w:right w:val="none" w:sz="0" w:space="0" w:color="020000"/>
            </w:tcBorders>
            <w:shd w:val="clear" w:color="EAEAEA" w:fill="EAEAEA"/>
            <w:vAlign w:val="center"/>
          </w:tcPr>
          <w:p w14:paraId="18521882" w14:textId="77777777" w:rsidR="00345DC1" w:rsidRDefault="00DB08CC">
            <w:pPr>
              <w:spacing w:before="50" w:after="42" w:line="205" w:lineRule="exact"/>
              <w:ind w:left="1300"/>
              <w:textAlignment w:val="baseline"/>
              <w:rPr>
                <w:rFonts w:ascii="Arial" w:eastAsia="Arial" w:hAnsi="Arial"/>
                <w:b/>
                <w:color w:val="000000"/>
                <w:sz w:val="18"/>
              </w:rPr>
            </w:pPr>
            <w:r>
              <w:rPr>
                <w:rFonts w:ascii="Arial" w:eastAsia="Arial" w:hAnsi="Arial"/>
                <w:b/>
                <w:color w:val="000000"/>
                <w:sz w:val="18"/>
              </w:rPr>
              <w:t>Total Estimated Cost</w:t>
            </w:r>
          </w:p>
        </w:tc>
        <w:tc>
          <w:tcPr>
            <w:tcW w:w="3015" w:type="dxa"/>
            <w:tcBorders>
              <w:top w:val="none" w:sz="0" w:space="0" w:color="020000"/>
              <w:left w:val="none" w:sz="0" w:space="0" w:color="020000"/>
              <w:bottom w:val="none" w:sz="0" w:space="0" w:color="020000"/>
              <w:right w:val="none" w:sz="0" w:space="0" w:color="020000"/>
            </w:tcBorders>
            <w:vAlign w:val="center"/>
          </w:tcPr>
          <w:p w14:paraId="20830341" w14:textId="77777777" w:rsidR="00345DC1" w:rsidRDefault="00DB08CC">
            <w:pPr>
              <w:spacing w:before="57" w:line="240" w:lineRule="exact"/>
              <w:ind w:right="1704"/>
              <w:jc w:val="right"/>
              <w:textAlignment w:val="baseline"/>
              <w:rPr>
                <w:rFonts w:ascii="Calibri" w:eastAsia="Calibri" w:hAnsi="Calibri"/>
                <w:color w:val="000000"/>
              </w:rPr>
            </w:pPr>
            <w:r>
              <w:rPr>
                <w:rFonts w:ascii="Calibri" w:eastAsia="Calibri" w:hAnsi="Calibri"/>
                <w:color w:val="000000"/>
              </w:rPr>
              <w:t>100%</w:t>
            </w:r>
          </w:p>
        </w:tc>
      </w:tr>
    </w:tbl>
    <w:p w14:paraId="44062C8B" w14:textId="77777777" w:rsidR="00345DC1" w:rsidRDefault="00345DC1">
      <w:pPr>
        <w:spacing w:after="3741" w:line="20" w:lineRule="exact"/>
      </w:pPr>
    </w:p>
    <w:p w14:paraId="3BE7BA5F" w14:textId="77777777" w:rsidR="00345DC1" w:rsidRDefault="00345DC1">
      <w:pPr>
        <w:spacing w:after="3741" w:line="20" w:lineRule="exact"/>
        <w:sectPr w:rsidR="00345DC1">
          <w:pgSz w:w="11909" w:h="16838"/>
          <w:pgMar w:top="560" w:right="715" w:bottom="262" w:left="1114" w:header="720" w:footer="720" w:gutter="0"/>
          <w:cols w:space="720"/>
        </w:sectPr>
      </w:pPr>
    </w:p>
    <w:p w14:paraId="43E59B3D" w14:textId="77777777" w:rsidR="00345DC1" w:rsidRDefault="00DB08CC">
      <w:pPr>
        <w:spacing w:before="1" w:line="142" w:lineRule="exact"/>
        <w:ind w:left="576"/>
        <w:textAlignment w:val="baseline"/>
        <w:rPr>
          <w:rFonts w:ascii="Arial" w:eastAsia="Arial" w:hAnsi="Arial"/>
          <w:color w:val="000000"/>
          <w:sz w:val="14"/>
        </w:rPr>
      </w:pPr>
      <w:r>
        <w:rPr>
          <w:rFonts w:ascii="Arial" w:eastAsia="Arial" w:hAnsi="Arial"/>
          <w:color w:val="000000"/>
          <w:sz w:val="14"/>
        </w:rPr>
        <w:t>GHD ADVISORY</w:t>
      </w:r>
    </w:p>
    <w:p w14:paraId="5A814CFF" w14:textId="77777777" w:rsidR="00345DC1" w:rsidRDefault="00DB08CC">
      <w:pPr>
        <w:spacing w:line="124" w:lineRule="exact"/>
        <w:ind w:left="72"/>
        <w:textAlignment w:val="baseline"/>
        <w:rPr>
          <w:rFonts w:ascii="Arial" w:eastAsia="Arial" w:hAnsi="Arial"/>
          <w:color w:val="FFFFFF"/>
          <w:spacing w:val="31"/>
          <w:sz w:val="15"/>
          <w:shd w:val="solid" w:color="006391" w:fill="006391"/>
        </w:rPr>
      </w:pPr>
      <w:r>
        <w:rPr>
          <w:rFonts w:ascii="Arial" w:eastAsia="Arial" w:hAnsi="Arial"/>
          <w:color w:val="FFFFFF"/>
          <w:spacing w:val="31"/>
          <w:sz w:val="15"/>
          <w:shd w:val="solid" w:color="006391" w:fill="006391"/>
        </w:rPr>
        <w:t>11</w:t>
      </w:r>
    </w:p>
    <w:p w14:paraId="2D73CAAC" w14:textId="77777777" w:rsidR="00345DC1" w:rsidRDefault="00DB08CC">
      <w:pPr>
        <w:spacing w:line="139" w:lineRule="exact"/>
        <w:ind w:left="576"/>
        <w:textAlignment w:val="baseline"/>
        <w:rPr>
          <w:rFonts w:ascii="Arial" w:eastAsia="Arial" w:hAnsi="Arial"/>
          <w:color w:val="000000"/>
          <w:spacing w:val="-1"/>
          <w:sz w:val="14"/>
        </w:rPr>
      </w:pPr>
      <w:r>
        <w:rPr>
          <w:rFonts w:ascii="Arial" w:eastAsia="Arial" w:hAnsi="Arial"/>
          <w:color w:val="000000"/>
          <w:spacing w:val="-1"/>
          <w:sz w:val="14"/>
        </w:rPr>
        <w:t>Review of Goulburn Murray Water (GMW) Water</w:t>
      </w:r>
    </w:p>
    <w:p w14:paraId="4E3301E0" w14:textId="77777777" w:rsidR="00345DC1" w:rsidRDefault="00DB08CC">
      <w:pPr>
        <w:spacing w:before="3" w:line="165" w:lineRule="exact"/>
        <w:ind w:left="576"/>
        <w:textAlignment w:val="baseline"/>
        <w:rPr>
          <w:rFonts w:ascii="Arial" w:eastAsia="Arial" w:hAnsi="Arial"/>
          <w:color w:val="000000"/>
          <w:sz w:val="14"/>
        </w:rPr>
      </w:pPr>
      <w:r>
        <w:rPr>
          <w:rFonts w:ascii="Arial" w:eastAsia="Arial" w:hAnsi="Arial"/>
          <w:color w:val="000000"/>
          <w:sz w:val="14"/>
        </w:rPr>
        <w:t>Efficiency Project</w:t>
      </w:r>
    </w:p>
    <w:p w14:paraId="15DBBC9A" w14:textId="77777777" w:rsidR="00345DC1" w:rsidRDefault="00345DC1">
      <w:pPr>
        <w:sectPr w:rsidR="00345DC1">
          <w:type w:val="continuous"/>
          <w:pgSz w:w="11909" w:h="16838"/>
          <w:pgMar w:top="560" w:right="7134" w:bottom="262" w:left="1115" w:header="720" w:footer="720" w:gutter="0"/>
          <w:cols w:space="720"/>
        </w:sectPr>
      </w:pPr>
    </w:p>
    <w:p w14:paraId="29DF2BB3" w14:textId="77777777" w:rsidR="00345DC1" w:rsidRDefault="00DB08CC">
      <w:pPr>
        <w:tabs>
          <w:tab w:val="left" w:pos="1224"/>
        </w:tabs>
        <w:spacing w:before="14" w:line="230" w:lineRule="exact"/>
        <w:ind w:left="288"/>
        <w:textAlignment w:val="baseline"/>
        <w:rPr>
          <w:rFonts w:ascii="Arial" w:eastAsia="Arial" w:hAnsi="Arial"/>
          <w:b/>
          <w:color w:val="000000"/>
          <w:sz w:val="20"/>
        </w:rPr>
      </w:pPr>
      <w:r>
        <w:rPr>
          <w:rFonts w:ascii="Arial" w:eastAsia="Arial" w:hAnsi="Arial"/>
          <w:b/>
          <w:color w:val="000000"/>
          <w:sz w:val="20"/>
        </w:rPr>
        <w:lastRenderedPageBreak/>
        <w:t>6.1.3.2</w:t>
      </w:r>
      <w:r>
        <w:rPr>
          <w:rFonts w:ascii="Arial" w:eastAsia="Arial" w:hAnsi="Arial"/>
          <w:b/>
          <w:color w:val="000000"/>
          <w:sz w:val="20"/>
        </w:rPr>
        <w:tab/>
      </w:r>
      <w:r>
        <w:rPr>
          <w:rFonts w:ascii="Arial" w:eastAsia="Arial" w:hAnsi="Arial"/>
          <w:b/>
          <w:color w:val="000000"/>
          <w:sz w:val="20"/>
        </w:rPr>
        <w:t>Analysis and Assessment</w:t>
      </w:r>
    </w:p>
    <w:p w14:paraId="719C3E00" w14:textId="77777777" w:rsidR="00345DC1" w:rsidRDefault="00DB08CC">
      <w:pPr>
        <w:spacing w:before="57" w:line="345" w:lineRule="exact"/>
        <w:ind w:left="288" w:right="216"/>
        <w:jc w:val="both"/>
        <w:textAlignment w:val="baseline"/>
        <w:rPr>
          <w:rFonts w:ascii="Arial" w:eastAsia="Arial" w:hAnsi="Arial"/>
          <w:color w:val="000000"/>
          <w:sz w:val="20"/>
        </w:rPr>
      </w:pPr>
      <w:r>
        <w:rPr>
          <w:rFonts w:ascii="Arial" w:eastAsia="Arial" w:hAnsi="Arial"/>
          <w:color w:val="000000"/>
          <w:sz w:val="20"/>
        </w:rPr>
        <w:t xml:space="preserve">The following provides an analysis of the methods and assumptions used to estimate the overall project cost, as </w:t>
      </w:r>
      <w:proofErr w:type="spellStart"/>
      <w:r>
        <w:rPr>
          <w:rFonts w:ascii="Arial" w:eastAsia="Arial" w:hAnsi="Arial"/>
          <w:color w:val="000000"/>
          <w:sz w:val="20"/>
        </w:rPr>
        <w:t>summarised</w:t>
      </w:r>
      <w:proofErr w:type="spellEnd"/>
      <w:r>
        <w:rPr>
          <w:rFonts w:ascii="Arial" w:eastAsia="Arial" w:hAnsi="Arial"/>
          <w:color w:val="000000"/>
          <w:sz w:val="20"/>
        </w:rPr>
        <w:t xml:space="preserve"> in Table 5.</w:t>
      </w:r>
    </w:p>
    <w:p w14:paraId="12038D40" w14:textId="77777777" w:rsidR="00345DC1" w:rsidRDefault="00DB08CC">
      <w:pPr>
        <w:spacing w:before="423" w:after="245" w:line="229" w:lineRule="exact"/>
        <w:ind w:right="216"/>
        <w:jc w:val="right"/>
        <w:textAlignment w:val="baseline"/>
        <w:rPr>
          <w:rFonts w:ascii="Calibri" w:eastAsia="Calibri" w:hAnsi="Calibri"/>
          <w:b/>
          <w:color w:val="000000"/>
          <w:spacing w:val="-3"/>
          <w:sz w:val="23"/>
        </w:rPr>
      </w:pPr>
      <w:r>
        <w:rPr>
          <w:rFonts w:ascii="Calibri" w:eastAsia="Calibri" w:hAnsi="Calibri"/>
          <w:b/>
          <w:color w:val="000000"/>
          <w:spacing w:val="-3"/>
          <w:sz w:val="23"/>
        </w:rPr>
        <w:t>Table 5: Overall BTP project costs</w:t>
      </w:r>
    </w:p>
    <w:p w14:paraId="2D4E7E7B" w14:textId="77777777" w:rsidR="00345DC1" w:rsidRDefault="00DB08CC">
      <w:pPr>
        <w:spacing w:after="314"/>
        <w:ind w:left="1123" w:right="1383"/>
        <w:textAlignment w:val="baseline"/>
      </w:pPr>
      <w:r>
        <w:rPr>
          <w:noProof/>
        </w:rPr>
        <w:drawing>
          <wp:inline distT="0" distB="0" distL="0" distR="0" wp14:anchorId="5756A21B" wp14:editId="3195CAD0">
            <wp:extent cx="4809490" cy="18014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4809490" cy="1801495"/>
                    </a:xfrm>
                    <a:prstGeom prst="rect">
                      <a:avLst/>
                    </a:prstGeom>
                  </pic:spPr>
                </pic:pic>
              </a:graphicData>
            </a:graphic>
          </wp:inline>
        </w:drawing>
      </w:r>
    </w:p>
    <w:p w14:paraId="3757114C" w14:textId="77777777" w:rsidR="00345DC1" w:rsidRDefault="00DB08CC">
      <w:pPr>
        <w:spacing w:before="1" w:line="230" w:lineRule="exact"/>
        <w:ind w:left="288"/>
        <w:textAlignment w:val="baseline"/>
        <w:rPr>
          <w:rFonts w:ascii="Arial" w:eastAsia="Arial" w:hAnsi="Arial"/>
          <w:b/>
          <w:color w:val="00649E"/>
          <w:spacing w:val="-7"/>
          <w:sz w:val="20"/>
        </w:rPr>
      </w:pPr>
      <w:r>
        <w:rPr>
          <w:rFonts w:ascii="Arial" w:eastAsia="Arial" w:hAnsi="Arial"/>
          <w:b/>
          <w:color w:val="00649E"/>
          <w:spacing w:val="-7"/>
          <w:sz w:val="20"/>
        </w:rPr>
        <w:t>Base Cost</w:t>
      </w:r>
    </w:p>
    <w:p w14:paraId="223F5792" w14:textId="77777777" w:rsidR="00345DC1" w:rsidRDefault="00DB08CC">
      <w:pPr>
        <w:numPr>
          <w:ilvl w:val="0"/>
          <w:numId w:val="2"/>
        </w:numPr>
        <w:tabs>
          <w:tab w:val="clear" w:pos="360"/>
          <w:tab w:val="left" w:pos="648"/>
        </w:tabs>
        <w:spacing w:before="4" w:line="466" w:lineRule="exact"/>
        <w:ind w:left="648" w:right="3672" w:hanging="360"/>
        <w:jc w:val="both"/>
        <w:textAlignment w:val="baseline"/>
        <w:rPr>
          <w:rFonts w:ascii="Arial" w:eastAsia="Arial" w:hAnsi="Arial"/>
          <w:color w:val="000000"/>
          <w:sz w:val="20"/>
        </w:rPr>
      </w:pPr>
      <w:r>
        <w:rPr>
          <w:rFonts w:ascii="Arial" w:eastAsia="Arial" w:hAnsi="Arial"/>
          <w:color w:val="000000"/>
          <w:sz w:val="20"/>
        </w:rPr>
        <w:t xml:space="preserve">Comments on base cost estimates are provided in </w:t>
      </w:r>
      <w:r>
        <w:rPr>
          <w:rFonts w:ascii="Arial" w:eastAsia="Arial" w:hAnsi="Arial"/>
          <w:color w:val="000000"/>
          <w:sz w:val="21"/>
          <w:u w:val="single"/>
        </w:rPr>
        <w:t>Section 6.1.2</w:t>
      </w:r>
      <w:r>
        <w:rPr>
          <w:rFonts w:ascii="Arial" w:eastAsia="Arial" w:hAnsi="Arial"/>
          <w:color w:val="000000"/>
          <w:sz w:val="20"/>
        </w:rPr>
        <w:t>.</w:t>
      </w:r>
      <w:r>
        <w:rPr>
          <w:rFonts w:ascii="Arial" w:eastAsia="Arial" w:hAnsi="Arial"/>
          <w:color w:val="000000"/>
          <w:sz w:val="21"/>
          <w:u w:val="single"/>
        </w:rPr>
        <w:t xml:space="preserve"> </w:t>
      </w:r>
      <w:r>
        <w:rPr>
          <w:rFonts w:ascii="Arial" w:eastAsia="Arial" w:hAnsi="Arial"/>
          <w:b/>
          <w:color w:val="00649E"/>
          <w:sz w:val="20"/>
        </w:rPr>
        <w:t>General</w:t>
      </w:r>
    </w:p>
    <w:p w14:paraId="730F3009" w14:textId="77777777" w:rsidR="00345DC1" w:rsidRDefault="00DB08CC">
      <w:pPr>
        <w:numPr>
          <w:ilvl w:val="0"/>
          <w:numId w:val="2"/>
        </w:numPr>
        <w:tabs>
          <w:tab w:val="clear" w:pos="360"/>
          <w:tab w:val="left" w:pos="648"/>
        </w:tabs>
        <w:spacing w:before="116"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There has been no confidence level (probabilistic forecasts) specified for the project cost estimates. The Department of Infrastructure, Regional Development and Cities requires a proba</w:t>
      </w:r>
      <w:r>
        <w:rPr>
          <w:rFonts w:ascii="Arial" w:eastAsia="Arial" w:hAnsi="Arial"/>
          <w:color w:val="000000"/>
          <w:sz w:val="20"/>
        </w:rPr>
        <w:t>bilistic cost estimation to be used when seeking funds for projects which exceed $25 million.</w:t>
      </w:r>
    </w:p>
    <w:p w14:paraId="28B2CBB9" w14:textId="77777777" w:rsidR="00345DC1" w:rsidRDefault="00DB08CC">
      <w:pPr>
        <w:spacing w:before="236" w:line="230" w:lineRule="exact"/>
        <w:ind w:left="288"/>
        <w:textAlignment w:val="baseline"/>
        <w:rPr>
          <w:rFonts w:ascii="Arial" w:eastAsia="Arial" w:hAnsi="Arial"/>
          <w:b/>
          <w:color w:val="00649E"/>
          <w:spacing w:val="-2"/>
          <w:sz w:val="20"/>
        </w:rPr>
      </w:pPr>
      <w:r>
        <w:rPr>
          <w:rFonts w:ascii="Arial" w:eastAsia="Arial" w:hAnsi="Arial"/>
          <w:b/>
          <w:color w:val="00649E"/>
          <w:spacing w:val="-2"/>
          <w:sz w:val="20"/>
        </w:rPr>
        <w:t>Operating Expenditure (14.5%)</w:t>
      </w:r>
    </w:p>
    <w:p w14:paraId="6E3E34D2" w14:textId="77777777" w:rsidR="00345DC1" w:rsidRDefault="00DB08CC">
      <w:pPr>
        <w:numPr>
          <w:ilvl w:val="0"/>
          <w:numId w:val="2"/>
        </w:numPr>
        <w:tabs>
          <w:tab w:val="clear" w:pos="360"/>
          <w:tab w:val="left" w:pos="648"/>
        </w:tabs>
        <w:spacing w:before="120"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This item covers more than operating expenditure and include a range of </w:t>
      </w:r>
      <w:proofErr w:type="gramStart"/>
      <w:r>
        <w:rPr>
          <w:rFonts w:ascii="Arial" w:eastAsia="Arial" w:hAnsi="Arial"/>
          <w:color w:val="000000"/>
          <w:sz w:val="20"/>
        </w:rPr>
        <w:t>client side</w:t>
      </w:r>
      <w:proofErr w:type="gramEnd"/>
      <w:r>
        <w:rPr>
          <w:rFonts w:ascii="Arial" w:eastAsia="Arial" w:hAnsi="Arial"/>
          <w:color w:val="000000"/>
          <w:sz w:val="20"/>
        </w:rPr>
        <w:t xml:space="preserve"> delivery roles. </w:t>
      </w:r>
      <w:proofErr w:type="gramStart"/>
      <w:r>
        <w:rPr>
          <w:rFonts w:ascii="Arial" w:eastAsia="Arial" w:hAnsi="Arial"/>
          <w:color w:val="000000"/>
          <w:sz w:val="20"/>
        </w:rPr>
        <w:t>It would appear that a</w:t>
      </w:r>
      <w:proofErr w:type="gramEnd"/>
      <w:r>
        <w:rPr>
          <w:rFonts w:ascii="Arial" w:eastAsia="Arial" w:hAnsi="Arial"/>
          <w:color w:val="000000"/>
          <w:sz w:val="20"/>
        </w:rPr>
        <w:t xml:space="preserve"> 14.5% allowance is low.</w:t>
      </w:r>
    </w:p>
    <w:p w14:paraId="637D5A77" w14:textId="77777777" w:rsidR="00345DC1" w:rsidRDefault="00DB08CC">
      <w:pPr>
        <w:numPr>
          <w:ilvl w:val="0"/>
          <w:numId w:val="2"/>
        </w:numPr>
        <w:tabs>
          <w:tab w:val="clear" w:pos="360"/>
          <w:tab w:val="left" w:pos="648"/>
        </w:tabs>
        <w:spacing w:before="122"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The Business Cases state that operating costs are for the period 1 October 2020 to 31/10/2022, however the cost is </w:t>
      </w:r>
      <w:proofErr w:type="gramStart"/>
      <w:r>
        <w:rPr>
          <w:rFonts w:ascii="Arial" w:eastAsia="Arial" w:hAnsi="Arial"/>
          <w:color w:val="000000"/>
          <w:sz w:val="20"/>
        </w:rPr>
        <w:t>actually based</w:t>
      </w:r>
      <w:proofErr w:type="gramEnd"/>
      <w:r>
        <w:rPr>
          <w:rFonts w:ascii="Arial" w:eastAsia="Arial" w:hAnsi="Arial"/>
          <w:color w:val="000000"/>
          <w:sz w:val="20"/>
        </w:rPr>
        <w:t xml:space="preserve"> on a percentage of the Base Cost.</w:t>
      </w:r>
    </w:p>
    <w:p w14:paraId="5B0482F0" w14:textId="77777777" w:rsidR="00345DC1" w:rsidRDefault="00DB08CC">
      <w:pPr>
        <w:numPr>
          <w:ilvl w:val="0"/>
          <w:numId w:val="2"/>
        </w:numPr>
        <w:tabs>
          <w:tab w:val="clear" w:pos="360"/>
          <w:tab w:val="left" w:pos="648"/>
        </w:tabs>
        <w:spacing w:before="116" w:line="345" w:lineRule="exact"/>
        <w:ind w:left="648" w:right="216" w:hanging="360"/>
        <w:jc w:val="both"/>
        <w:textAlignment w:val="baseline"/>
        <w:rPr>
          <w:rFonts w:ascii="Arial" w:eastAsia="Arial" w:hAnsi="Arial"/>
          <w:color w:val="000000"/>
          <w:spacing w:val="-3"/>
          <w:sz w:val="20"/>
        </w:rPr>
      </w:pPr>
      <w:r>
        <w:rPr>
          <w:rFonts w:ascii="Arial" w:eastAsia="Arial" w:hAnsi="Arial"/>
          <w:color w:val="000000"/>
          <w:spacing w:val="-3"/>
          <w:sz w:val="20"/>
        </w:rPr>
        <w:t>Business Case assumes that operating expenditure will continue at the current run rate. No a</w:t>
      </w:r>
      <w:r>
        <w:rPr>
          <w:rFonts w:ascii="Arial" w:eastAsia="Arial" w:hAnsi="Arial"/>
          <w:color w:val="000000"/>
          <w:spacing w:val="-3"/>
          <w:sz w:val="20"/>
        </w:rPr>
        <w:t>nalysis of resourcing level, evaluation of the project fixed costs and/or re-adjustment applied to justify this statement.</w:t>
      </w:r>
    </w:p>
    <w:p w14:paraId="572006C1" w14:textId="77777777" w:rsidR="00345DC1" w:rsidRDefault="00DB08CC">
      <w:pPr>
        <w:numPr>
          <w:ilvl w:val="0"/>
          <w:numId w:val="2"/>
        </w:numPr>
        <w:tabs>
          <w:tab w:val="clear" w:pos="360"/>
          <w:tab w:val="left" w:pos="648"/>
        </w:tabs>
        <w:spacing w:before="121"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It is expected that there would be uncertainty in estimating operating expenditure however no provision has been made for this risk.</w:t>
      </w:r>
    </w:p>
    <w:p w14:paraId="02B00497" w14:textId="77777777" w:rsidR="00345DC1" w:rsidRDefault="00DB08CC">
      <w:pPr>
        <w:spacing w:before="232" w:line="230" w:lineRule="exact"/>
        <w:ind w:left="288"/>
        <w:textAlignment w:val="baseline"/>
        <w:rPr>
          <w:rFonts w:ascii="Arial" w:eastAsia="Arial" w:hAnsi="Arial"/>
          <w:b/>
          <w:color w:val="00649E"/>
          <w:spacing w:val="-4"/>
          <w:sz w:val="20"/>
        </w:rPr>
      </w:pPr>
      <w:r>
        <w:rPr>
          <w:rFonts w:ascii="Arial" w:eastAsia="Arial" w:hAnsi="Arial"/>
          <w:b/>
          <w:color w:val="00649E"/>
          <w:spacing w:val="-4"/>
          <w:sz w:val="20"/>
        </w:rPr>
        <w:t>Contingency (10%)</w:t>
      </w:r>
    </w:p>
    <w:p w14:paraId="35ACCC9A" w14:textId="77777777" w:rsidR="00345DC1" w:rsidRDefault="00DB08CC">
      <w:pPr>
        <w:numPr>
          <w:ilvl w:val="0"/>
          <w:numId w:val="2"/>
        </w:numPr>
        <w:tabs>
          <w:tab w:val="clear" w:pos="360"/>
          <w:tab w:val="left" w:pos="648"/>
        </w:tabs>
        <w:spacing w:before="121"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The adequacy of the 10% project contingency allowance is difficult to assess as it is not clear what level of confidence the project cost is determined for. Furthermore, contingency has been applied inconsistently across project cost item</w:t>
      </w:r>
      <w:r>
        <w:rPr>
          <w:rFonts w:ascii="Arial" w:eastAsia="Arial" w:hAnsi="Arial"/>
          <w:color w:val="000000"/>
          <w:sz w:val="20"/>
        </w:rPr>
        <w:t>s including duplication with unit rates and omissions in elements such as Operating Expenditure.</w:t>
      </w:r>
    </w:p>
    <w:p w14:paraId="41320F2F" w14:textId="77777777" w:rsidR="00345DC1" w:rsidRDefault="00DB08CC">
      <w:pPr>
        <w:numPr>
          <w:ilvl w:val="0"/>
          <w:numId w:val="2"/>
        </w:numPr>
        <w:tabs>
          <w:tab w:val="clear" w:pos="360"/>
          <w:tab w:val="left" w:pos="648"/>
        </w:tabs>
        <w:spacing w:before="122"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The Business Case </w:t>
      </w:r>
      <w:proofErr w:type="spellStart"/>
      <w:r>
        <w:rPr>
          <w:rFonts w:ascii="Arial" w:eastAsia="Arial" w:hAnsi="Arial"/>
          <w:color w:val="000000"/>
          <w:sz w:val="20"/>
        </w:rPr>
        <w:t>recognises</w:t>
      </w:r>
      <w:proofErr w:type="spellEnd"/>
      <w:r>
        <w:rPr>
          <w:rFonts w:ascii="Arial" w:eastAsia="Arial" w:hAnsi="Arial"/>
          <w:color w:val="000000"/>
          <w:sz w:val="20"/>
        </w:rPr>
        <w:t xml:space="preserve"> that a 10% contingency allowance is low by industry standards and has adopted this percentage based on previous project performanc</w:t>
      </w:r>
      <w:r>
        <w:rPr>
          <w:rFonts w:ascii="Arial" w:eastAsia="Arial" w:hAnsi="Arial"/>
          <w:color w:val="000000"/>
          <w:sz w:val="20"/>
        </w:rPr>
        <w:t>e.</w:t>
      </w:r>
    </w:p>
    <w:p w14:paraId="387D4362" w14:textId="77777777" w:rsidR="00345DC1" w:rsidRDefault="00DB08CC">
      <w:pPr>
        <w:spacing w:before="1178" w:line="142" w:lineRule="exact"/>
        <w:ind w:left="792"/>
        <w:textAlignment w:val="baseline"/>
        <w:rPr>
          <w:rFonts w:ascii="Arial" w:eastAsia="Arial" w:hAnsi="Arial"/>
          <w:color w:val="000000"/>
          <w:sz w:val="14"/>
        </w:rPr>
      </w:pPr>
      <w:r>
        <w:rPr>
          <w:rFonts w:ascii="Arial" w:eastAsia="Arial" w:hAnsi="Arial"/>
          <w:color w:val="000000"/>
          <w:sz w:val="14"/>
        </w:rPr>
        <w:t>GHD ADVISORY</w:t>
      </w:r>
    </w:p>
    <w:p w14:paraId="388EE11E" w14:textId="77777777" w:rsidR="00345DC1" w:rsidRDefault="00DB08CC">
      <w:pPr>
        <w:spacing w:line="124" w:lineRule="exact"/>
        <w:ind w:left="288"/>
        <w:textAlignment w:val="baseline"/>
        <w:rPr>
          <w:rFonts w:ascii="Arial" w:eastAsia="Arial" w:hAnsi="Arial"/>
          <w:color w:val="FFFFFF"/>
          <w:spacing w:val="33"/>
          <w:sz w:val="15"/>
          <w:shd w:val="solid" w:color="00649E" w:fill="00649E"/>
        </w:rPr>
      </w:pPr>
      <w:r>
        <w:rPr>
          <w:rFonts w:ascii="Arial" w:eastAsia="Arial" w:hAnsi="Arial"/>
          <w:color w:val="FFFFFF"/>
          <w:spacing w:val="33"/>
          <w:sz w:val="15"/>
          <w:shd w:val="solid" w:color="00649E" w:fill="00649E"/>
        </w:rPr>
        <w:t>12</w:t>
      </w:r>
    </w:p>
    <w:p w14:paraId="5C5EFF8F" w14:textId="77777777" w:rsidR="00345DC1" w:rsidRDefault="00DB08CC">
      <w:pPr>
        <w:spacing w:line="139" w:lineRule="exact"/>
        <w:ind w:left="792"/>
        <w:textAlignment w:val="baseline"/>
        <w:rPr>
          <w:rFonts w:ascii="Arial" w:eastAsia="Arial" w:hAnsi="Arial"/>
          <w:color w:val="000000"/>
          <w:sz w:val="14"/>
        </w:rPr>
      </w:pPr>
      <w:r>
        <w:rPr>
          <w:rFonts w:ascii="Arial" w:eastAsia="Arial" w:hAnsi="Arial"/>
          <w:color w:val="000000"/>
          <w:sz w:val="14"/>
        </w:rPr>
        <w:t>Review of Goulburn Murray Water (GMW) Water</w:t>
      </w:r>
    </w:p>
    <w:p w14:paraId="437EEB9D" w14:textId="77777777" w:rsidR="00345DC1" w:rsidRDefault="00DB08CC">
      <w:pPr>
        <w:spacing w:before="3" w:line="165" w:lineRule="exact"/>
        <w:ind w:left="792"/>
        <w:textAlignment w:val="baseline"/>
        <w:rPr>
          <w:rFonts w:ascii="Arial" w:eastAsia="Arial" w:hAnsi="Arial"/>
          <w:color w:val="000000"/>
          <w:sz w:val="14"/>
        </w:rPr>
      </w:pPr>
      <w:r>
        <w:rPr>
          <w:rFonts w:ascii="Arial" w:eastAsia="Arial" w:hAnsi="Arial"/>
          <w:color w:val="000000"/>
          <w:sz w:val="14"/>
        </w:rPr>
        <w:t>Efficiency Project</w:t>
      </w:r>
    </w:p>
    <w:p w14:paraId="7721B7A1" w14:textId="77777777" w:rsidR="00345DC1" w:rsidRDefault="00345DC1">
      <w:pPr>
        <w:sectPr w:rsidR="00345DC1">
          <w:pgSz w:w="11909" w:h="16838"/>
          <w:pgMar w:top="560" w:right="912" w:bottom="262" w:left="917" w:header="720" w:footer="720" w:gutter="0"/>
          <w:cols w:space="720"/>
        </w:sectPr>
      </w:pPr>
    </w:p>
    <w:p w14:paraId="638E9445" w14:textId="77777777" w:rsidR="00345DC1" w:rsidRDefault="00DB08CC">
      <w:pPr>
        <w:numPr>
          <w:ilvl w:val="0"/>
          <w:numId w:val="2"/>
        </w:numPr>
        <w:tabs>
          <w:tab w:val="clear" w:pos="360"/>
          <w:tab w:val="left" w:pos="648"/>
        </w:tabs>
        <w:spacing w:line="318" w:lineRule="exact"/>
        <w:ind w:left="648" w:right="216" w:hanging="360"/>
        <w:textAlignment w:val="baseline"/>
        <w:rPr>
          <w:rFonts w:ascii="Arial" w:eastAsia="Arial" w:hAnsi="Arial"/>
          <w:color w:val="000000"/>
          <w:sz w:val="20"/>
        </w:rPr>
      </w:pPr>
      <w:r>
        <w:rPr>
          <w:rFonts w:ascii="Arial" w:eastAsia="Arial" w:hAnsi="Arial"/>
          <w:color w:val="000000"/>
          <w:sz w:val="20"/>
        </w:rPr>
        <w:lastRenderedPageBreak/>
        <w:t>The ability to manage cost risks relies on a sound sub-project approval process which abandons projects which do not meet predetermined cost thresholds prior to any significant costs being incurred. This proposed gateway approval process provides a suitabl</w:t>
      </w:r>
      <w:r>
        <w:rPr>
          <w:rFonts w:ascii="Arial" w:eastAsia="Arial" w:hAnsi="Arial"/>
          <w:color w:val="000000"/>
          <w:sz w:val="20"/>
        </w:rPr>
        <w:t>e cost review mechanism.</w:t>
      </w:r>
    </w:p>
    <w:p w14:paraId="6FDB13C6" w14:textId="77777777" w:rsidR="00345DC1" w:rsidRDefault="00DB08CC">
      <w:pPr>
        <w:spacing w:before="231" w:line="230" w:lineRule="exact"/>
        <w:ind w:left="288"/>
        <w:textAlignment w:val="baseline"/>
        <w:rPr>
          <w:rFonts w:ascii="Arial" w:eastAsia="Arial" w:hAnsi="Arial"/>
          <w:b/>
          <w:color w:val="0064A3"/>
          <w:spacing w:val="-7"/>
          <w:sz w:val="20"/>
        </w:rPr>
      </w:pPr>
      <w:r>
        <w:rPr>
          <w:rFonts w:ascii="Arial" w:eastAsia="Arial" w:hAnsi="Arial"/>
          <w:b/>
          <w:color w:val="0064A3"/>
          <w:spacing w:val="-7"/>
          <w:sz w:val="20"/>
        </w:rPr>
        <w:t>Escalation</w:t>
      </w:r>
    </w:p>
    <w:p w14:paraId="429284AC" w14:textId="77777777" w:rsidR="00345DC1" w:rsidRDefault="00DB08CC">
      <w:pPr>
        <w:numPr>
          <w:ilvl w:val="0"/>
          <w:numId w:val="2"/>
        </w:numPr>
        <w:tabs>
          <w:tab w:val="clear" w:pos="360"/>
          <w:tab w:val="left" w:pos="648"/>
        </w:tabs>
        <w:spacing w:before="119" w:line="346" w:lineRule="exact"/>
        <w:ind w:left="648" w:right="216" w:hanging="360"/>
        <w:jc w:val="both"/>
        <w:textAlignment w:val="baseline"/>
        <w:rPr>
          <w:rFonts w:ascii="Arial" w:eastAsia="Arial" w:hAnsi="Arial"/>
          <w:color w:val="000000"/>
          <w:sz w:val="20"/>
        </w:rPr>
      </w:pPr>
      <w:r>
        <w:rPr>
          <w:rFonts w:ascii="Arial" w:eastAsia="Arial" w:hAnsi="Arial"/>
          <w:color w:val="000000"/>
          <w:sz w:val="20"/>
        </w:rPr>
        <w:t>There are inconsistencies between the Business Case and supporting documents about the application of cost escalation. For example:</w:t>
      </w:r>
    </w:p>
    <w:p w14:paraId="09F88A23" w14:textId="77777777" w:rsidR="00345DC1" w:rsidRDefault="00DB08CC">
      <w:pPr>
        <w:numPr>
          <w:ilvl w:val="0"/>
          <w:numId w:val="9"/>
        </w:numPr>
        <w:tabs>
          <w:tab w:val="clear" w:pos="432"/>
          <w:tab w:val="left" w:pos="1080"/>
        </w:tabs>
        <w:spacing w:before="235" w:line="230" w:lineRule="exact"/>
        <w:ind w:left="648"/>
        <w:jc w:val="both"/>
        <w:textAlignment w:val="baseline"/>
        <w:rPr>
          <w:rFonts w:ascii="Arial" w:eastAsia="Arial" w:hAnsi="Arial"/>
          <w:color w:val="000000"/>
          <w:spacing w:val="1"/>
          <w:sz w:val="20"/>
        </w:rPr>
      </w:pPr>
      <w:r>
        <w:rPr>
          <w:rFonts w:ascii="Arial" w:eastAsia="Arial" w:hAnsi="Arial"/>
          <w:color w:val="000000"/>
          <w:spacing w:val="1"/>
          <w:sz w:val="20"/>
        </w:rPr>
        <w:t>Attachment 3 - Page 5- fifth dot point: states that 2.0% pa rate used for cost escalatio</w:t>
      </w:r>
      <w:r>
        <w:rPr>
          <w:rFonts w:ascii="Arial" w:eastAsia="Arial" w:hAnsi="Arial"/>
          <w:color w:val="000000"/>
          <w:spacing w:val="1"/>
          <w:sz w:val="20"/>
        </w:rPr>
        <w:t>n</w:t>
      </w:r>
    </w:p>
    <w:p w14:paraId="1ED8176A" w14:textId="77777777" w:rsidR="00345DC1" w:rsidRDefault="00DB08CC">
      <w:pPr>
        <w:numPr>
          <w:ilvl w:val="0"/>
          <w:numId w:val="9"/>
        </w:numPr>
        <w:tabs>
          <w:tab w:val="clear" w:pos="432"/>
          <w:tab w:val="left" w:pos="1080"/>
        </w:tabs>
        <w:spacing w:before="236" w:line="230" w:lineRule="exact"/>
        <w:ind w:left="648"/>
        <w:jc w:val="both"/>
        <w:textAlignment w:val="baseline"/>
        <w:rPr>
          <w:rFonts w:ascii="Arial" w:eastAsia="Arial" w:hAnsi="Arial"/>
          <w:color w:val="000000"/>
          <w:sz w:val="20"/>
        </w:rPr>
      </w:pPr>
      <w:r>
        <w:rPr>
          <w:rFonts w:ascii="Arial" w:eastAsia="Arial" w:hAnsi="Arial"/>
          <w:color w:val="000000"/>
          <w:sz w:val="20"/>
        </w:rPr>
        <w:t>BTP Business Case – Page 9 states a rate of 3.6% was used</w:t>
      </w:r>
    </w:p>
    <w:p w14:paraId="630707E9" w14:textId="77777777" w:rsidR="00345DC1" w:rsidRDefault="00DB08CC">
      <w:pPr>
        <w:numPr>
          <w:ilvl w:val="0"/>
          <w:numId w:val="2"/>
        </w:numPr>
        <w:tabs>
          <w:tab w:val="clear" w:pos="360"/>
          <w:tab w:val="left" w:pos="648"/>
        </w:tabs>
        <w:spacing w:before="121" w:line="345"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It would appear that the cashflow forecast is biased towards the start of the project (20% of costs proposed in last 10 months of </w:t>
      </w:r>
      <w:proofErr w:type="gramStart"/>
      <w:r>
        <w:rPr>
          <w:rFonts w:ascii="Arial" w:eastAsia="Arial" w:hAnsi="Arial"/>
          <w:color w:val="000000"/>
          <w:sz w:val="20"/>
        </w:rPr>
        <w:t>23 month</w:t>
      </w:r>
      <w:proofErr w:type="gramEnd"/>
      <w:r>
        <w:rPr>
          <w:rFonts w:ascii="Arial" w:eastAsia="Arial" w:hAnsi="Arial"/>
          <w:color w:val="000000"/>
          <w:sz w:val="20"/>
        </w:rPr>
        <w:t xml:space="preserve"> program appear to be low).</w:t>
      </w:r>
    </w:p>
    <w:p w14:paraId="1FC75DA6" w14:textId="77777777" w:rsidR="00345DC1" w:rsidRDefault="00DB08CC">
      <w:pPr>
        <w:spacing w:before="231" w:line="230" w:lineRule="exact"/>
        <w:ind w:left="288"/>
        <w:textAlignment w:val="baseline"/>
        <w:rPr>
          <w:rFonts w:ascii="Arial" w:eastAsia="Arial" w:hAnsi="Arial"/>
          <w:b/>
          <w:color w:val="0064A3"/>
          <w:spacing w:val="-3"/>
          <w:sz w:val="20"/>
        </w:rPr>
      </w:pPr>
      <w:r>
        <w:rPr>
          <w:rFonts w:ascii="Arial" w:eastAsia="Arial" w:hAnsi="Arial"/>
          <w:b/>
          <w:color w:val="0064A3"/>
          <w:spacing w:val="-3"/>
          <w:sz w:val="20"/>
        </w:rPr>
        <w:t>Program and Resourcing</w:t>
      </w:r>
    </w:p>
    <w:p w14:paraId="3E606147" w14:textId="77777777" w:rsidR="00345DC1" w:rsidRDefault="00DB08CC">
      <w:pPr>
        <w:numPr>
          <w:ilvl w:val="0"/>
          <w:numId w:val="2"/>
        </w:numPr>
        <w:tabs>
          <w:tab w:val="clear" w:pos="360"/>
          <w:tab w:val="left" w:pos="648"/>
        </w:tabs>
        <w:spacing w:before="122" w:line="345" w:lineRule="exact"/>
        <w:ind w:left="648" w:right="216" w:hanging="360"/>
        <w:textAlignment w:val="baseline"/>
        <w:rPr>
          <w:rFonts w:ascii="Arial" w:eastAsia="Arial" w:hAnsi="Arial"/>
          <w:color w:val="000000"/>
          <w:spacing w:val="-3"/>
          <w:sz w:val="20"/>
        </w:rPr>
      </w:pPr>
      <w:r>
        <w:rPr>
          <w:rFonts w:ascii="Arial" w:eastAsia="Arial" w:hAnsi="Arial"/>
          <w:color w:val="000000"/>
          <w:spacing w:val="-3"/>
          <w:sz w:val="20"/>
        </w:rPr>
        <w:t>The program appears to be ambitious and is reliant on a rapid commencement of design and procurement to enable construction to commence in January 2021. The program would also appear to rely of production rates achieved during the Connections Project. Achi</w:t>
      </w:r>
      <w:r>
        <w:rPr>
          <w:rFonts w:ascii="Arial" w:eastAsia="Arial" w:hAnsi="Arial"/>
          <w:color w:val="000000"/>
          <w:spacing w:val="-3"/>
          <w:sz w:val="20"/>
        </w:rPr>
        <w:t>eving previous production assumes that:</w:t>
      </w:r>
    </w:p>
    <w:p w14:paraId="1280AE92" w14:textId="77777777" w:rsidR="00345DC1" w:rsidRDefault="00DB08CC">
      <w:pPr>
        <w:numPr>
          <w:ilvl w:val="0"/>
          <w:numId w:val="10"/>
        </w:numPr>
        <w:tabs>
          <w:tab w:val="clear" w:pos="432"/>
          <w:tab w:val="left" w:pos="1080"/>
        </w:tabs>
        <w:spacing w:before="235" w:line="230" w:lineRule="exact"/>
        <w:ind w:left="648"/>
        <w:textAlignment w:val="baseline"/>
        <w:rPr>
          <w:rFonts w:ascii="Arial" w:eastAsia="Arial" w:hAnsi="Arial"/>
          <w:color w:val="000000"/>
          <w:sz w:val="20"/>
        </w:rPr>
      </w:pPr>
      <w:r>
        <w:rPr>
          <w:rFonts w:ascii="Arial" w:eastAsia="Arial" w:hAnsi="Arial"/>
          <w:color w:val="000000"/>
          <w:sz w:val="20"/>
        </w:rPr>
        <w:t xml:space="preserve">A relatively large workforce can be </w:t>
      </w:r>
      <w:proofErr w:type="spellStart"/>
      <w:r>
        <w:rPr>
          <w:rFonts w:ascii="Arial" w:eastAsia="Arial" w:hAnsi="Arial"/>
          <w:color w:val="000000"/>
          <w:sz w:val="20"/>
        </w:rPr>
        <w:t>mobilised</w:t>
      </w:r>
      <w:proofErr w:type="spellEnd"/>
      <w:r>
        <w:rPr>
          <w:rFonts w:ascii="Arial" w:eastAsia="Arial" w:hAnsi="Arial"/>
          <w:color w:val="000000"/>
          <w:sz w:val="20"/>
        </w:rPr>
        <w:t xml:space="preserve"> quickly into a regional location</w:t>
      </w:r>
    </w:p>
    <w:p w14:paraId="6DB5DF58" w14:textId="77777777" w:rsidR="00345DC1" w:rsidRDefault="00DB08CC">
      <w:pPr>
        <w:numPr>
          <w:ilvl w:val="0"/>
          <w:numId w:val="10"/>
        </w:numPr>
        <w:tabs>
          <w:tab w:val="clear" w:pos="432"/>
          <w:tab w:val="left" w:pos="1080"/>
        </w:tabs>
        <w:spacing w:before="236" w:line="230" w:lineRule="exact"/>
        <w:ind w:left="648"/>
        <w:textAlignment w:val="baseline"/>
        <w:rPr>
          <w:rFonts w:ascii="Arial" w:eastAsia="Arial" w:hAnsi="Arial"/>
          <w:color w:val="000000"/>
          <w:sz w:val="20"/>
        </w:rPr>
      </w:pPr>
      <w:r>
        <w:rPr>
          <w:rFonts w:ascii="Arial" w:eastAsia="Arial" w:hAnsi="Arial"/>
          <w:color w:val="000000"/>
          <w:sz w:val="20"/>
        </w:rPr>
        <w:t>Staff are experienced and require minimal training</w:t>
      </w:r>
    </w:p>
    <w:p w14:paraId="754617AB" w14:textId="77777777" w:rsidR="00345DC1" w:rsidRDefault="00DB08CC">
      <w:pPr>
        <w:numPr>
          <w:ilvl w:val="0"/>
          <w:numId w:val="10"/>
        </w:numPr>
        <w:tabs>
          <w:tab w:val="clear" w:pos="432"/>
          <w:tab w:val="left" w:pos="1080"/>
        </w:tabs>
        <w:spacing w:before="236" w:line="230" w:lineRule="exact"/>
        <w:ind w:left="648"/>
        <w:textAlignment w:val="baseline"/>
        <w:rPr>
          <w:rFonts w:ascii="Arial" w:eastAsia="Arial" w:hAnsi="Arial"/>
          <w:color w:val="000000"/>
          <w:sz w:val="20"/>
        </w:rPr>
      </w:pPr>
      <w:r>
        <w:rPr>
          <w:rFonts w:ascii="Arial" w:eastAsia="Arial" w:hAnsi="Arial"/>
          <w:color w:val="000000"/>
          <w:sz w:val="20"/>
        </w:rPr>
        <w:t>Suitable weather conditions are encountered over the entire program</w:t>
      </w:r>
    </w:p>
    <w:p w14:paraId="1D07001F" w14:textId="77777777" w:rsidR="00345DC1" w:rsidRDefault="00DB08CC">
      <w:pPr>
        <w:numPr>
          <w:ilvl w:val="0"/>
          <w:numId w:val="10"/>
        </w:numPr>
        <w:tabs>
          <w:tab w:val="clear" w:pos="432"/>
          <w:tab w:val="left" w:pos="1080"/>
        </w:tabs>
        <w:spacing w:before="235" w:line="230" w:lineRule="exact"/>
        <w:ind w:left="648"/>
        <w:textAlignment w:val="baseline"/>
        <w:rPr>
          <w:rFonts w:ascii="Arial" w:eastAsia="Arial" w:hAnsi="Arial"/>
          <w:color w:val="000000"/>
          <w:sz w:val="20"/>
        </w:rPr>
      </w:pPr>
      <w:proofErr w:type="gramStart"/>
      <w:r>
        <w:rPr>
          <w:rFonts w:ascii="Arial" w:eastAsia="Arial" w:hAnsi="Arial"/>
          <w:color w:val="000000"/>
          <w:sz w:val="20"/>
        </w:rPr>
        <w:t>Landowner’s</w:t>
      </w:r>
      <w:proofErr w:type="gramEnd"/>
      <w:r>
        <w:rPr>
          <w:rFonts w:ascii="Arial" w:eastAsia="Arial" w:hAnsi="Arial"/>
          <w:color w:val="000000"/>
          <w:sz w:val="20"/>
        </w:rPr>
        <w:t xml:space="preserve"> continue to accept the </w:t>
      </w:r>
      <w:proofErr w:type="spellStart"/>
      <w:r>
        <w:rPr>
          <w:rFonts w:ascii="Arial" w:eastAsia="Arial" w:hAnsi="Arial"/>
          <w:color w:val="000000"/>
          <w:sz w:val="20"/>
        </w:rPr>
        <w:t>modernisation</w:t>
      </w:r>
      <w:proofErr w:type="spellEnd"/>
      <w:r>
        <w:rPr>
          <w:rFonts w:ascii="Arial" w:eastAsia="Arial" w:hAnsi="Arial"/>
          <w:color w:val="000000"/>
          <w:sz w:val="20"/>
        </w:rPr>
        <w:t xml:space="preserve"> approaches</w:t>
      </w:r>
    </w:p>
    <w:p w14:paraId="309C68A0" w14:textId="77777777" w:rsidR="00345DC1" w:rsidRDefault="00DB08CC">
      <w:pPr>
        <w:numPr>
          <w:ilvl w:val="0"/>
          <w:numId w:val="2"/>
        </w:numPr>
        <w:tabs>
          <w:tab w:val="clear" w:pos="360"/>
          <w:tab w:val="left" w:pos="648"/>
        </w:tabs>
        <w:spacing w:before="125" w:line="341" w:lineRule="exact"/>
        <w:ind w:left="648" w:right="216" w:hanging="360"/>
        <w:jc w:val="both"/>
        <w:textAlignment w:val="baseline"/>
        <w:rPr>
          <w:rFonts w:ascii="Arial" w:eastAsia="Arial" w:hAnsi="Arial"/>
          <w:color w:val="000000"/>
          <w:sz w:val="20"/>
        </w:rPr>
      </w:pPr>
      <w:r>
        <w:rPr>
          <w:rFonts w:ascii="Arial" w:eastAsia="Arial" w:hAnsi="Arial"/>
          <w:color w:val="000000"/>
          <w:sz w:val="20"/>
        </w:rPr>
        <w:t>There are inconsistencies between the project dates shown in the business case, which may impact upon Client costs:</w:t>
      </w:r>
    </w:p>
    <w:p w14:paraId="7B6680E9" w14:textId="77777777" w:rsidR="00345DC1" w:rsidRDefault="00DB08CC">
      <w:pPr>
        <w:numPr>
          <w:ilvl w:val="0"/>
          <w:numId w:val="11"/>
        </w:numPr>
        <w:tabs>
          <w:tab w:val="clear" w:pos="360"/>
          <w:tab w:val="left" w:pos="1080"/>
        </w:tabs>
        <w:spacing w:before="229" w:line="240" w:lineRule="exact"/>
        <w:ind w:left="144" w:firstLine="576"/>
        <w:jc w:val="both"/>
        <w:textAlignment w:val="baseline"/>
        <w:rPr>
          <w:rFonts w:ascii="Verdana" w:eastAsia="Verdana" w:hAnsi="Verdana"/>
          <w:color w:val="000000"/>
          <w:spacing w:val="1"/>
          <w:sz w:val="19"/>
        </w:rPr>
      </w:pPr>
      <w:r>
        <w:rPr>
          <w:rFonts w:ascii="Verdana" w:eastAsia="Verdana" w:hAnsi="Verdana"/>
          <w:color w:val="000000"/>
          <w:spacing w:val="1"/>
          <w:sz w:val="19"/>
        </w:rPr>
        <w:t>"</w:t>
      </w:r>
      <w:r>
        <w:rPr>
          <w:rFonts w:ascii="Arial" w:eastAsia="Arial" w:hAnsi="Arial"/>
          <w:color w:val="000000"/>
          <w:spacing w:val="1"/>
          <w:sz w:val="20"/>
        </w:rPr>
        <w:t>Oct 2020 ti</w:t>
      </w:r>
      <w:r>
        <w:rPr>
          <w:rFonts w:ascii="Arial" w:eastAsia="Arial" w:hAnsi="Arial"/>
          <w:color w:val="000000"/>
          <w:spacing w:val="1"/>
          <w:sz w:val="20"/>
        </w:rPr>
        <w:t>ll October 2022 "</w:t>
      </w:r>
    </w:p>
    <w:p w14:paraId="266C7317" w14:textId="77777777" w:rsidR="00345DC1" w:rsidRDefault="00DB08CC">
      <w:pPr>
        <w:numPr>
          <w:ilvl w:val="0"/>
          <w:numId w:val="5"/>
        </w:numPr>
        <w:tabs>
          <w:tab w:val="clear" w:pos="360"/>
          <w:tab w:val="left" w:pos="1080"/>
        </w:tabs>
        <w:spacing w:before="232" w:line="230" w:lineRule="exact"/>
        <w:ind w:left="144" w:firstLine="576"/>
        <w:jc w:val="both"/>
        <w:textAlignment w:val="baseline"/>
        <w:rPr>
          <w:rFonts w:ascii="Arial" w:eastAsia="Arial" w:hAnsi="Arial"/>
          <w:color w:val="000000"/>
          <w:spacing w:val="1"/>
          <w:sz w:val="20"/>
        </w:rPr>
      </w:pPr>
      <w:r>
        <w:rPr>
          <w:rFonts w:ascii="Arial" w:eastAsia="Arial" w:hAnsi="Arial"/>
          <w:color w:val="000000"/>
          <w:spacing w:val="1"/>
          <w:sz w:val="20"/>
        </w:rPr>
        <w:t>"Oct 2020 till December 2022"</w:t>
      </w:r>
    </w:p>
    <w:p w14:paraId="29880A5B" w14:textId="77777777" w:rsidR="00345DC1" w:rsidRDefault="00DB08CC">
      <w:pPr>
        <w:numPr>
          <w:ilvl w:val="0"/>
          <w:numId w:val="5"/>
        </w:numPr>
        <w:tabs>
          <w:tab w:val="clear" w:pos="360"/>
          <w:tab w:val="left" w:pos="1080"/>
        </w:tabs>
        <w:spacing w:before="4" w:line="461" w:lineRule="exact"/>
        <w:ind w:left="144" w:right="6624" w:firstLine="576"/>
        <w:jc w:val="both"/>
        <w:textAlignment w:val="baseline"/>
        <w:rPr>
          <w:rFonts w:ascii="Arial" w:eastAsia="Arial" w:hAnsi="Arial"/>
          <w:color w:val="000000"/>
          <w:sz w:val="20"/>
        </w:rPr>
      </w:pPr>
      <w:r>
        <w:rPr>
          <w:rFonts w:ascii="Arial" w:eastAsia="Arial" w:hAnsi="Arial"/>
          <w:color w:val="000000"/>
          <w:sz w:val="20"/>
        </w:rPr>
        <w:t xml:space="preserve">"Oct 2020 till March 2023" </w:t>
      </w:r>
      <w:r>
        <w:rPr>
          <w:rFonts w:ascii="Arial" w:eastAsia="Arial" w:hAnsi="Arial"/>
          <w:b/>
          <w:color w:val="0064A3"/>
          <w:sz w:val="20"/>
        </w:rPr>
        <w:t>Other</w:t>
      </w:r>
    </w:p>
    <w:p w14:paraId="63020618" w14:textId="77777777" w:rsidR="00345DC1" w:rsidRDefault="00DB08CC">
      <w:pPr>
        <w:spacing w:before="128" w:line="343" w:lineRule="exact"/>
        <w:ind w:left="288" w:right="216"/>
        <w:jc w:val="both"/>
        <w:textAlignment w:val="baseline"/>
        <w:rPr>
          <w:rFonts w:ascii="Arial" w:eastAsia="Arial" w:hAnsi="Arial"/>
          <w:color w:val="000000"/>
          <w:sz w:val="20"/>
        </w:rPr>
      </w:pPr>
      <w:r>
        <w:rPr>
          <w:rFonts w:ascii="Arial" w:eastAsia="Arial" w:hAnsi="Arial"/>
          <w:color w:val="000000"/>
          <w:sz w:val="20"/>
        </w:rPr>
        <w:t>The Business Case does not make any cost provisions for implementing the reconfiguration statutory powers, such as the additional engagement and legal costs. Another gap in the Business Case is the lack of information relating to the potential impacts asso</w:t>
      </w:r>
      <w:r>
        <w:rPr>
          <w:rFonts w:ascii="Arial" w:eastAsia="Arial" w:hAnsi="Arial"/>
          <w:color w:val="000000"/>
          <w:sz w:val="20"/>
        </w:rPr>
        <w:t>ciated with COVID-19.</w:t>
      </w:r>
    </w:p>
    <w:p w14:paraId="5FB0BA08" w14:textId="77777777" w:rsidR="00345DC1" w:rsidRDefault="00DB08CC">
      <w:pPr>
        <w:spacing w:before="124" w:line="346" w:lineRule="exact"/>
        <w:ind w:left="288" w:right="216"/>
        <w:jc w:val="both"/>
        <w:textAlignment w:val="baseline"/>
        <w:rPr>
          <w:rFonts w:ascii="Arial" w:eastAsia="Arial" w:hAnsi="Arial"/>
          <w:color w:val="000000"/>
          <w:spacing w:val="-2"/>
          <w:sz w:val="20"/>
        </w:rPr>
      </w:pPr>
      <w:r>
        <w:rPr>
          <w:rFonts w:ascii="Arial" w:eastAsia="Arial" w:hAnsi="Arial"/>
          <w:color w:val="000000"/>
          <w:spacing w:val="-2"/>
          <w:sz w:val="20"/>
        </w:rPr>
        <w:t xml:space="preserve">The current pandemic has the potential to significantly impact </w:t>
      </w:r>
      <w:proofErr w:type="spellStart"/>
      <w:r>
        <w:rPr>
          <w:rFonts w:ascii="Arial" w:eastAsia="Arial" w:hAnsi="Arial"/>
          <w:color w:val="000000"/>
          <w:spacing w:val="-2"/>
          <w:sz w:val="20"/>
        </w:rPr>
        <w:t>mobilisation</w:t>
      </w:r>
      <w:proofErr w:type="spellEnd"/>
      <w:r>
        <w:rPr>
          <w:rFonts w:ascii="Arial" w:eastAsia="Arial" w:hAnsi="Arial"/>
          <w:color w:val="000000"/>
          <w:spacing w:val="-2"/>
          <w:sz w:val="20"/>
        </w:rPr>
        <w:t xml:space="preserve">, production rates </w:t>
      </w:r>
      <w:proofErr w:type="gramStart"/>
      <w:r>
        <w:rPr>
          <w:rFonts w:ascii="Arial" w:eastAsia="Arial" w:hAnsi="Arial"/>
          <w:color w:val="000000"/>
          <w:spacing w:val="-2"/>
          <w:sz w:val="20"/>
        </w:rPr>
        <w:t>and also</w:t>
      </w:r>
      <w:proofErr w:type="gramEnd"/>
      <w:r>
        <w:rPr>
          <w:rFonts w:ascii="Arial" w:eastAsia="Arial" w:hAnsi="Arial"/>
          <w:color w:val="000000"/>
          <w:spacing w:val="-2"/>
          <w:sz w:val="20"/>
        </w:rPr>
        <w:t xml:space="preserve"> requires additional OH&amp;S resources to administer and implement safe work practices across the workplace. It would be prudent for th</w:t>
      </w:r>
      <w:r>
        <w:rPr>
          <w:rFonts w:ascii="Arial" w:eastAsia="Arial" w:hAnsi="Arial"/>
          <w:color w:val="000000"/>
          <w:spacing w:val="-2"/>
          <w:sz w:val="20"/>
        </w:rPr>
        <w:t>e project to have considered these impacts and detailed a range of contingency measures.</w:t>
      </w:r>
    </w:p>
    <w:p w14:paraId="19DDB3A7" w14:textId="77777777" w:rsidR="00345DC1" w:rsidRDefault="00DB08CC">
      <w:pPr>
        <w:spacing w:before="2617" w:line="165" w:lineRule="exact"/>
        <w:ind w:left="720"/>
        <w:textAlignment w:val="baseline"/>
        <w:rPr>
          <w:rFonts w:ascii="Arial" w:eastAsia="Arial" w:hAnsi="Arial"/>
          <w:color w:val="000000"/>
          <w:sz w:val="14"/>
        </w:rPr>
      </w:pPr>
      <w:r>
        <w:rPr>
          <w:rFonts w:ascii="Arial" w:eastAsia="Arial" w:hAnsi="Arial"/>
          <w:color w:val="000000"/>
          <w:sz w:val="14"/>
        </w:rPr>
        <w:t>GHD ADVISORY</w:t>
      </w:r>
    </w:p>
    <w:p w14:paraId="6941D2F9" w14:textId="77777777" w:rsidR="00345DC1" w:rsidRDefault="00DB08CC">
      <w:pPr>
        <w:tabs>
          <w:tab w:val="left" w:pos="792"/>
        </w:tabs>
        <w:spacing w:before="52" w:line="178" w:lineRule="exact"/>
        <w:ind w:left="720" w:hanging="432"/>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13</w:t>
      </w:r>
      <w:r>
        <w:rPr>
          <w:rFonts w:ascii="Arial" w:eastAsia="Arial" w:hAnsi="Arial"/>
          <w:color w:val="FFFFFF"/>
          <w:sz w:val="15"/>
          <w:shd w:val="solid" w:color="006391" w:fill="006391"/>
        </w:rPr>
        <w:tab/>
      </w:r>
      <w:r>
        <w:rPr>
          <w:rFonts w:ascii="Arial" w:eastAsia="Arial" w:hAnsi="Arial"/>
          <w:color w:val="000000"/>
          <w:sz w:val="14"/>
        </w:rPr>
        <w:t xml:space="preserve">Review of Goulburn Murray Water (GMW) Water </w:t>
      </w:r>
      <w:r>
        <w:rPr>
          <w:rFonts w:ascii="Arial" w:eastAsia="Arial" w:hAnsi="Arial"/>
          <w:color w:val="000000"/>
          <w:sz w:val="14"/>
        </w:rPr>
        <w:br/>
        <w:t>Efficiency Project</w:t>
      </w:r>
    </w:p>
    <w:p w14:paraId="1D479B56" w14:textId="77777777" w:rsidR="00345DC1" w:rsidRDefault="00345DC1">
      <w:pPr>
        <w:sectPr w:rsidR="00345DC1">
          <w:pgSz w:w="11909" w:h="16838"/>
          <w:pgMar w:top="540" w:right="912" w:bottom="262" w:left="917" w:header="720" w:footer="720" w:gutter="0"/>
          <w:cols w:space="720"/>
        </w:sectPr>
      </w:pPr>
    </w:p>
    <w:p w14:paraId="5F1EF5E7" w14:textId="77777777" w:rsidR="00345DC1" w:rsidRDefault="00DB08CC">
      <w:pPr>
        <w:tabs>
          <w:tab w:val="left" w:pos="1224"/>
        </w:tabs>
        <w:spacing w:before="15" w:line="320" w:lineRule="exact"/>
        <w:ind w:left="216"/>
        <w:textAlignment w:val="baseline"/>
        <w:rPr>
          <w:rFonts w:ascii="Arial" w:eastAsia="Arial" w:hAnsi="Arial"/>
          <w:b/>
          <w:color w:val="009BAC"/>
          <w:sz w:val="28"/>
        </w:rPr>
      </w:pPr>
      <w:r>
        <w:rPr>
          <w:rFonts w:ascii="Arial" w:eastAsia="Arial" w:hAnsi="Arial"/>
          <w:b/>
          <w:color w:val="009BAC"/>
          <w:sz w:val="28"/>
        </w:rPr>
        <w:lastRenderedPageBreak/>
        <w:t>6.2</w:t>
      </w:r>
      <w:r>
        <w:rPr>
          <w:rFonts w:ascii="Arial" w:eastAsia="Arial" w:hAnsi="Arial"/>
          <w:b/>
          <w:color w:val="009BAC"/>
          <w:sz w:val="28"/>
        </w:rPr>
        <w:tab/>
      </w:r>
      <w:proofErr w:type="spellStart"/>
      <w:r>
        <w:rPr>
          <w:rFonts w:ascii="Arial" w:eastAsia="Arial" w:hAnsi="Arial"/>
          <w:b/>
          <w:color w:val="009BAC"/>
          <w:sz w:val="28"/>
        </w:rPr>
        <w:t>Shepparton</w:t>
      </w:r>
      <w:proofErr w:type="spellEnd"/>
      <w:r>
        <w:rPr>
          <w:rFonts w:ascii="Arial" w:eastAsia="Arial" w:hAnsi="Arial"/>
          <w:b/>
          <w:color w:val="009BAC"/>
          <w:sz w:val="28"/>
        </w:rPr>
        <w:t xml:space="preserve"> East Project Delivery (SEP)</w:t>
      </w:r>
    </w:p>
    <w:p w14:paraId="41CC7995" w14:textId="77777777" w:rsidR="00345DC1" w:rsidRDefault="00DB08CC">
      <w:pPr>
        <w:tabs>
          <w:tab w:val="left" w:pos="1224"/>
        </w:tabs>
        <w:spacing w:before="235" w:line="231" w:lineRule="exact"/>
        <w:ind w:left="216"/>
        <w:textAlignment w:val="baseline"/>
        <w:rPr>
          <w:rFonts w:ascii="Arial" w:eastAsia="Arial" w:hAnsi="Arial"/>
          <w:b/>
          <w:color w:val="C00000"/>
          <w:sz w:val="20"/>
        </w:rPr>
      </w:pPr>
      <w:r>
        <w:rPr>
          <w:rFonts w:ascii="Arial" w:eastAsia="Arial" w:hAnsi="Arial"/>
          <w:b/>
          <w:color w:val="C00000"/>
          <w:sz w:val="20"/>
        </w:rPr>
        <w:t>6.2.1</w:t>
      </w:r>
      <w:r>
        <w:rPr>
          <w:rFonts w:ascii="Arial" w:eastAsia="Arial" w:hAnsi="Arial"/>
          <w:b/>
          <w:color w:val="C00000"/>
          <w:sz w:val="20"/>
        </w:rPr>
        <w:tab/>
      </w:r>
      <w:r>
        <w:rPr>
          <w:rFonts w:ascii="Arial" w:eastAsia="Arial" w:hAnsi="Arial"/>
          <w:b/>
          <w:color w:val="C00000"/>
          <w:sz w:val="20"/>
        </w:rPr>
        <w:t>Enquiry 1: Are the proposed works likely to generate the proposed water savings</w:t>
      </w:r>
    </w:p>
    <w:p w14:paraId="5C611AB9" w14:textId="77777777" w:rsidR="00345DC1" w:rsidRDefault="00DB08CC">
      <w:pPr>
        <w:tabs>
          <w:tab w:val="left" w:pos="1224"/>
        </w:tabs>
        <w:spacing w:before="360" w:line="231" w:lineRule="exact"/>
        <w:ind w:left="216"/>
        <w:textAlignment w:val="baseline"/>
        <w:rPr>
          <w:rFonts w:ascii="Arial" w:eastAsia="Arial" w:hAnsi="Arial"/>
          <w:b/>
          <w:color w:val="000000"/>
          <w:sz w:val="20"/>
        </w:rPr>
      </w:pPr>
      <w:r>
        <w:rPr>
          <w:rFonts w:ascii="Arial" w:eastAsia="Arial" w:hAnsi="Arial"/>
          <w:b/>
          <w:color w:val="000000"/>
          <w:sz w:val="20"/>
        </w:rPr>
        <w:t>6.2.1.1</w:t>
      </w:r>
      <w:r>
        <w:rPr>
          <w:rFonts w:ascii="Arial" w:eastAsia="Arial" w:hAnsi="Arial"/>
          <w:b/>
          <w:color w:val="000000"/>
          <w:sz w:val="20"/>
        </w:rPr>
        <w:tab/>
        <w:t>Business Case Information</w:t>
      </w:r>
    </w:p>
    <w:p w14:paraId="144B23FF" w14:textId="77777777" w:rsidR="00345DC1" w:rsidRDefault="00DB08CC">
      <w:pPr>
        <w:spacing w:before="62" w:line="345" w:lineRule="exact"/>
        <w:ind w:left="216" w:right="216"/>
        <w:textAlignment w:val="baseline"/>
        <w:rPr>
          <w:rFonts w:ascii="Arial" w:eastAsia="Arial" w:hAnsi="Arial"/>
          <w:color w:val="000000"/>
          <w:sz w:val="20"/>
        </w:rPr>
      </w:pPr>
      <w:r>
        <w:rPr>
          <w:rFonts w:ascii="Arial" w:eastAsia="Arial" w:hAnsi="Arial"/>
          <w:color w:val="000000"/>
          <w:sz w:val="20"/>
        </w:rPr>
        <w:t xml:space="preserve">Water savings generated by the SEP have been calculated following the Water Savings Protocol for Irrigation </w:t>
      </w:r>
      <w:proofErr w:type="spellStart"/>
      <w:r>
        <w:rPr>
          <w:rFonts w:ascii="Arial" w:eastAsia="Arial" w:hAnsi="Arial"/>
          <w:color w:val="000000"/>
          <w:sz w:val="20"/>
        </w:rPr>
        <w:t>Modernisation</w:t>
      </w:r>
      <w:proofErr w:type="spellEnd"/>
      <w:r>
        <w:rPr>
          <w:rFonts w:ascii="Arial" w:eastAsia="Arial" w:hAnsi="Arial"/>
          <w:color w:val="000000"/>
          <w:sz w:val="20"/>
        </w:rPr>
        <w:t xml:space="preserve"> Projects (‘the Proto</w:t>
      </w:r>
      <w:r>
        <w:rPr>
          <w:rFonts w:ascii="Arial" w:eastAsia="Arial" w:hAnsi="Arial"/>
          <w:color w:val="000000"/>
          <w:sz w:val="20"/>
        </w:rPr>
        <w:t>col’). Water savings will be generated as follows:</w:t>
      </w:r>
    </w:p>
    <w:p w14:paraId="21B0999F" w14:textId="77777777" w:rsidR="00345DC1" w:rsidRDefault="00DB08CC">
      <w:pPr>
        <w:numPr>
          <w:ilvl w:val="0"/>
          <w:numId w:val="6"/>
        </w:numPr>
        <w:tabs>
          <w:tab w:val="clear" w:pos="432"/>
          <w:tab w:val="left" w:pos="648"/>
        </w:tabs>
        <w:spacing w:before="206" w:line="250" w:lineRule="exact"/>
        <w:ind w:left="648" w:hanging="432"/>
        <w:textAlignment w:val="baseline"/>
        <w:rPr>
          <w:rFonts w:ascii="Arial" w:eastAsia="Arial" w:hAnsi="Arial"/>
          <w:color w:val="000000"/>
          <w:spacing w:val="-1"/>
          <w:sz w:val="20"/>
        </w:rPr>
      </w:pPr>
      <w:r>
        <w:rPr>
          <w:rFonts w:ascii="Arial" w:eastAsia="Arial" w:hAnsi="Arial"/>
          <w:color w:val="000000"/>
          <w:spacing w:val="-1"/>
          <w:sz w:val="20"/>
        </w:rPr>
        <w:t xml:space="preserve">Channel </w:t>
      </w:r>
      <w:proofErr w:type="spellStart"/>
      <w:r>
        <w:rPr>
          <w:rFonts w:ascii="Arial" w:eastAsia="Arial" w:hAnsi="Arial"/>
          <w:color w:val="000000"/>
          <w:spacing w:val="-1"/>
          <w:sz w:val="20"/>
        </w:rPr>
        <w:t>rationalisation</w:t>
      </w:r>
      <w:proofErr w:type="spellEnd"/>
      <w:r>
        <w:rPr>
          <w:rFonts w:ascii="Arial" w:eastAsia="Arial" w:hAnsi="Arial"/>
          <w:color w:val="000000"/>
          <w:spacing w:val="-1"/>
          <w:sz w:val="20"/>
        </w:rPr>
        <w:t xml:space="preserve">: generates water savings by eliminating seepage, </w:t>
      </w:r>
      <w:proofErr w:type="gramStart"/>
      <w:r>
        <w:rPr>
          <w:rFonts w:ascii="Arial" w:eastAsia="Arial" w:hAnsi="Arial"/>
          <w:color w:val="000000"/>
          <w:spacing w:val="-1"/>
          <w:sz w:val="20"/>
        </w:rPr>
        <w:t>leakage</w:t>
      </w:r>
      <w:proofErr w:type="gramEnd"/>
      <w:r>
        <w:rPr>
          <w:rFonts w:ascii="Arial" w:eastAsia="Arial" w:hAnsi="Arial"/>
          <w:color w:val="000000"/>
          <w:spacing w:val="-1"/>
          <w:sz w:val="20"/>
        </w:rPr>
        <w:t xml:space="preserve"> and evaporation losses</w:t>
      </w:r>
    </w:p>
    <w:p w14:paraId="0F023425" w14:textId="77777777" w:rsidR="00345DC1" w:rsidRDefault="00DB08CC">
      <w:pPr>
        <w:numPr>
          <w:ilvl w:val="0"/>
          <w:numId w:val="6"/>
        </w:numPr>
        <w:tabs>
          <w:tab w:val="clear" w:pos="432"/>
          <w:tab w:val="left" w:pos="648"/>
        </w:tabs>
        <w:spacing w:before="102" w:line="345" w:lineRule="exact"/>
        <w:ind w:left="648" w:right="216" w:hanging="432"/>
        <w:textAlignment w:val="baseline"/>
        <w:rPr>
          <w:rFonts w:ascii="Arial" w:eastAsia="Arial" w:hAnsi="Arial"/>
          <w:color w:val="000000"/>
          <w:sz w:val="20"/>
        </w:rPr>
      </w:pPr>
      <w:r>
        <w:rPr>
          <w:rFonts w:ascii="Arial" w:eastAsia="Arial" w:hAnsi="Arial"/>
          <w:color w:val="000000"/>
          <w:sz w:val="20"/>
        </w:rPr>
        <w:t xml:space="preserve">Channel </w:t>
      </w:r>
      <w:proofErr w:type="spellStart"/>
      <w:r>
        <w:rPr>
          <w:rFonts w:ascii="Arial" w:eastAsia="Arial" w:hAnsi="Arial"/>
          <w:color w:val="000000"/>
          <w:sz w:val="20"/>
        </w:rPr>
        <w:t>modernisation</w:t>
      </w:r>
      <w:proofErr w:type="spellEnd"/>
      <w:r>
        <w:rPr>
          <w:rFonts w:ascii="Arial" w:eastAsia="Arial" w:hAnsi="Arial"/>
          <w:color w:val="000000"/>
          <w:sz w:val="20"/>
        </w:rPr>
        <w:t xml:space="preserve">: generates water savings by improving the control of water levels in channels resulting in a reduction in the volume of water </w:t>
      </w:r>
      <w:proofErr w:type="spellStart"/>
      <w:r>
        <w:rPr>
          <w:rFonts w:ascii="Arial" w:eastAsia="Arial" w:hAnsi="Arial"/>
          <w:color w:val="000000"/>
          <w:sz w:val="20"/>
        </w:rPr>
        <w:t>outf</w:t>
      </w:r>
      <w:r>
        <w:rPr>
          <w:rFonts w:ascii="Arial" w:eastAsia="Arial" w:hAnsi="Arial"/>
          <w:color w:val="000000"/>
          <w:sz w:val="20"/>
        </w:rPr>
        <w:t>alled</w:t>
      </w:r>
      <w:proofErr w:type="spellEnd"/>
    </w:p>
    <w:p w14:paraId="62971893" w14:textId="77777777" w:rsidR="00345DC1" w:rsidRDefault="00DB08CC">
      <w:pPr>
        <w:numPr>
          <w:ilvl w:val="0"/>
          <w:numId w:val="6"/>
        </w:numPr>
        <w:tabs>
          <w:tab w:val="clear" w:pos="432"/>
          <w:tab w:val="left" w:pos="648"/>
        </w:tabs>
        <w:spacing w:before="197" w:line="250" w:lineRule="exact"/>
        <w:ind w:left="648" w:hanging="432"/>
        <w:textAlignment w:val="baseline"/>
        <w:rPr>
          <w:rFonts w:ascii="Arial" w:eastAsia="Arial" w:hAnsi="Arial"/>
          <w:color w:val="000000"/>
          <w:sz w:val="20"/>
        </w:rPr>
      </w:pPr>
      <w:r>
        <w:rPr>
          <w:rFonts w:ascii="Arial" w:eastAsia="Arial" w:hAnsi="Arial"/>
          <w:color w:val="000000"/>
          <w:sz w:val="20"/>
        </w:rPr>
        <w:t xml:space="preserve">Meter </w:t>
      </w:r>
      <w:proofErr w:type="spellStart"/>
      <w:r>
        <w:rPr>
          <w:rFonts w:ascii="Arial" w:eastAsia="Arial" w:hAnsi="Arial"/>
          <w:color w:val="000000"/>
          <w:sz w:val="20"/>
        </w:rPr>
        <w:t>rationalisation</w:t>
      </w:r>
      <w:proofErr w:type="spellEnd"/>
      <w:r>
        <w:rPr>
          <w:rFonts w:ascii="Arial" w:eastAsia="Arial" w:hAnsi="Arial"/>
          <w:color w:val="000000"/>
          <w:sz w:val="20"/>
        </w:rPr>
        <w:t>: generates water savings by eliminating meter accuracy losses and leakage</w:t>
      </w:r>
    </w:p>
    <w:p w14:paraId="5996B4E3" w14:textId="77777777" w:rsidR="00345DC1" w:rsidRDefault="00DB08CC">
      <w:pPr>
        <w:numPr>
          <w:ilvl w:val="0"/>
          <w:numId w:val="6"/>
        </w:numPr>
        <w:tabs>
          <w:tab w:val="clear" w:pos="432"/>
          <w:tab w:val="left" w:pos="648"/>
        </w:tabs>
        <w:spacing w:before="196" w:line="250" w:lineRule="exact"/>
        <w:ind w:left="648" w:hanging="432"/>
        <w:textAlignment w:val="baseline"/>
        <w:rPr>
          <w:rFonts w:ascii="Arial" w:eastAsia="Arial" w:hAnsi="Arial"/>
          <w:color w:val="000000"/>
          <w:sz w:val="20"/>
        </w:rPr>
      </w:pPr>
      <w:r>
        <w:rPr>
          <w:rFonts w:ascii="Arial" w:eastAsia="Arial" w:hAnsi="Arial"/>
          <w:color w:val="000000"/>
          <w:sz w:val="20"/>
        </w:rPr>
        <w:t xml:space="preserve">Meter </w:t>
      </w:r>
      <w:proofErr w:type="spellStart"/>
      <w:r>
        <w:rPr>
          <w:rFonts w:ascii="Arial" w:eastAsia="Arial" w:hAnsi="Arial"/>
          <w:color w:val="000000"/>
          <w:sz w:val="20"/>
        </w:rPr>
        <w:t>modernisation</w:t>
      </w:r>
      <w:proofErr w:type="spellEnd"/>
      <w:r>
        <w:rPr>
          <w:rFonts w:ascii="Arial" w:eastAsia="Arial" w:hAnsi="Arial"/>
          <w:color w:val="000000"/>
          <w:sz w:val="20"/>
        </w:rPr>
        <w:t>: generates water savings by improving meter accuracy and reducing leakage</w:t>
      </w:r>
    </w:p>
    <w:p w14:paraId="05A6617A" w14:textId="77777777" w:rsidR="00345DC1" w:rsidRDefault="00DB08CC">
      <w:pPr>
        <w:spacing w:before="102" w:line="345" w:lineRule="exact"/>
        <w:ind w:left="216" w:right="216"/>
        <w:textAlignment w:val="baseline"/>
        <w:rPr>
          <w:rFonts w:ascii="Arial" w:eastAsia="Arial" w:hAnsi="Arial"/>
          <w:color w:val="000000"/>
          <w:sz w:val="20"/>
        </w:rPr>
      </w:pPr>
      <w:r>
        <w:rPr>
          <w:rFonts w:ascii="Arial" w:eastAsia="Arial" w:hAnsi="Arial"/>
          <w:color w:val="000000"/>
          <w:sz w:val="20"/>
        </w:rPr>
        <w:t>The BTP aims to achieve 1.248 GL of water savings from a ran</w:t>
      </w:r>
      <w:r>
        <w:rPr>
          <w:rFonts w:ascii="Arial" w:eastAsia="Arial" w:hAnsi="Arial"/>
          <w:color w:val="000000"/>
          <w:sz w:val="20"/>
        </w:rPr>
        <w:t xml:space="preserve">ge water savings works across the </w:t>
      </w:r>
      <w:proofErr w:type="spellStart"/>
      <w:r>
        <w:rPr>
          <w:rFonts w:ascii="Arial" w:eastAsia="Arial" w:hAnsi="Arial"/>
          <w:color w:val="000000"/>
          <w:sz w:val="20"/>
        </w:rPr>
        <w:t>Shepparton</w:t>
      </w:r>
      <w:proofErr w:type="spellEnd"/>
      <w:r>
        <w:rPr>
          <w:rFonts w:ascii="Arial" w:eastAsia="Arial" w:hAnsi="Arial"/>
          <w:color w:val="000000"/>
          <w:sz w:val="20"/>
        </w:rPr>
        <w:t xml:space="preserve"> East irrigation area as detailed at </w:t>
      </w:r>
      <w:r>
        <w:rPr>
          <w:rFonts w:ascii="Arial" w:eastAsia="Arial" w:hAnsi="Arial"/>
          <w:color w:val="000000"/>
          <w:sz w:val="20"/>
          <w:u w:val="single"/>
        </w:rPr>
        <w:t>Table 6</w:t>
      </w:r>
      <w:r>
        <w:rPr>
          <w:rFonts w:ascii="Arial" w:eastAsia="Arial" w:hAnsi="Arial"/>
          <w:color w:val="000000"/>
          <w:sz w:val="20"/>
        </w:rPr>
        <w:t>.</w:t>
      </w:r>
      <w:r>
        <w:rPr>
          <w:rFonts w:ascii="Arial" w:eastAsia="Arial" w:hAnsi="Arial"/>
          <w:color w:val="000000"/>
          <w:sz w:val="20"/>
          <w:u w:val="single"/>
        </w:rPr>
        <w:t xml:space="preserve"> </w:t>
      </w:r>
    </w:p>
    <w:p w14:paraId="5AF64635" w14:textId="77777777" w:rsidR="00345DC1" w:rsidRDefault="00DB08CC">
      <w:pPr>
        <w:spacing w:before="425" w:after="220" w:line="226" w:lineRule="exact"/>
        <w:ind w:right="144"/>
        <w:jc w:val="right"/>
        <w:textAlignment w:val="baseline"/>
        <w:rPr>
          <w:rFonts w:ascii="Calibri" w:eastAsia="Calibri" w:hAnsi="Calibri"/>
          <w:b/>
          <w:color w:val="000000"/>
        </w:rPr>
      </w:pPr>
      <w:r>
        <w:rPr>
          <w:rFonts w:ascii="Calibri" w:eastAsia="Calibri" w:hAnsi="Calibri"/>
          <w:b/>
          <w:color w:val="000000"/>
        </w:rPr>
        <w:t>Table 6: SEP water savings</w:t>
      </w:r>
    </w:p>
    <w:p w14:paraId="34F044A2" w14:textId="77777777" w:rsidR="00345DC1" w:rsidRDefault="00DB08CC">
      <w:pPr>
        <w:spacing w:after="721"/>
        <w:ind w:left="398" w:right="336"/>
        <w:textAlignment w:val="baseline"/>
      </w:pPr>
      <w:r>
        <w:rPr>
          <w:noProof/>
        </w:rPr>
        <w:drawing>
          <wp:inline distT="0" distB="0" distL="0" distR="0" wp14:anchorId="5A9261B5" wp14:editId="3CBB35EB">
            <wp:extent cx="5934710" cy="11156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5934710" cy="1115695"/>
                    </a:xfrm>
                    <a:prstGeom prst="rect">
                      <a:avLst/>
                    </a:prstGeom>
                  </pic:spPr>
                </pic:pic>
              </a:graphicData>
            </a:graphic>
          </wp:inline>
        </w:drawing>
      </w:r>
    </w:p>
    <w:p w14:paraId="0085CB7B" w14:textId="77777777" w:rsidR="00345DC1" w:rsidRDefault="00DB08CC">
      <w:pPr>
        <w:tabs>
          <w:tab w:val="left" w:pos="1224"/>
        </w:tabs>
        <w:spacing w:before="1" w:line="231" w:lineRule="exact"/>
        <w:ind w:left="216"/>
        <w:textAlignment w:val="baseline"/>
        <w:rPr>
          <w:rFonts w:ascii="Arial" w:eastAsia="Arial" w:hAnsi="Arial"/>
          <w:b/>
          <w:color w:val="000000"/>
          <w:sz w:val="20"/>
        </w:rPr>
      </w:pPr>
      <w:r>
        <w:rPr>
          <w:rFonts w:ascii="Arial" w:eastAsia="Arial" w:hAnsi="Arial"/>
          <w:b/>
          <w:color w:val="000000"/>
          <w:sz w:val="20"/>
        </w:rPr>
        <w:t>6.2.1.2</w:t>
      </w:r>
      <w:r>
        <w:rPr>
          <w:rFonts w:ascii="Arial" w:eastAsia="Arial" w:hAnsi="Arial"/>
          <w:b/>
          <w:color w:val="000000"/>
          <w:sz w:val="20"/>
        </w:rPr>
        <w:tab/>
        <w:t>Analysis and Assessment</w:t>
      </w:r>
    </w:p>
    <w:p w14:paraId="27DBCBE2" w14:textId="77777777" w:rsidR="00345DC1" w:rsidRDefault="00DB08CC">
      <w:pPr>
        <w:numPr>
          <w:ilvl w:val="0"/>
          <w:numId w:val="6"/>
        </w:numPr>
        <w:tabs>
          <w:tab w:val="clear" w:pos="432"/>
          <w:tab w:val="left" w:pos="648"/>
        </w:tabs>
        <w:spacing w:before="59" w:line="345" w:lineRule="exact"/>
        <w:ind w:left="648" w:right="216" w:hanging="432"/>
        <w:jc w:val="both"/>
        <w:textAlignment w:val="baseline"/>
        <w:rPr>
          <w:rFonts w:ascii="Arial" w:eastAsia="Arial" w:hAnsi="Arial"/>
          <w:color w:val="000000"/>
          <w:sz w:val="20"/>
        </w:rPr>
      </w:pPr>
      <w:r>
        <w:rPr>
          <w:rFonts w:ascii="Arial" w:eastAsia="Arial" w:hAnsi="Arial"/>
          <w:color w:val="000000"/>
          <w:sz w:val="20"/>
        </w:rPr>
        <w:t>Whilst the Business Case states that water savings have been estimated in accordance with the Protocol, there is no supporting calculations or statement of audit. GHD is unable to verify whether this process has been followed.</w:t>
      </w:r>
    </w:p>
    <w:p w14:paraId="3629584C" w14:textId="77777777" w:rsidR="00345DC1" w:rsidRDefault="00DB08CC">
      <w:pPr>
        <w:numPr>
          <w:ilvl w:val="0"/>
          <w:numId w:val="6"/>
        </w:numPr>
        <w:tabs>
          <w:tab w:val="clear" w:pos="432"/>
          <w:tab w:val="left" w:pos="648"/>
        </w:tabs>
        <w:spacing w:before="220" w:after="4783" w:line="250" w:lineRule="exact"/>
        <w:ind w:left="648" w:hanging="432"/>
        <w:jc w:val="both"/>
        <w:textAlignment w:val="baseline"/>
        <w:rPr>
          <w:rFonts w:ascii="Arial" w:eastAsia="Arial" w:hAnsi="Arial"/>
          <w:color w:val="000000"/>
          <w:spacing w:val="-1"/>
          <w:sz w:val="20"/>
        </w:rPr>
      </w:pPr>
      <w:r>
        <w:rPr>
          <w:rFonts w:ascii="Arial" w:eastAsia="Arial" w:hAnsi="Arial"/>
          <w:color w:val="000000"/>
          <w:spacing w:val="-1"/>
          <w:sz w:val="20"/>
        </w:rPr>
        <w:t xml:space="preserve">Comments made in </w:t>
      </w:r>
      <w:r>
        <w:rPr>
          <w:rFonts w:ascii="Arial" w:eastAsia="Arial" w:hAnsi="Arial"/>
          <w:color w:val="000000"/>
          <w:spacing w:val="-1"/>
          <w:sz w:val="20"/>
          <w:u w:val="single"/>
        </w:rPr>
        <w:t>Section 6.1.</w:t>
      </w:r>
      <w:r>
        <w:rPr>
          <w:rFonts w:ascii="Arial" w:eastAsia="Arial" w:hAnsi="Arial"/>
          <w:color w:val="000000"/>
          <w:spacing w:val="-1"/>
          <w:sz w:val="20"/>
          <w:u w:val="single"/>
        </w:rPr>
        <w:t>2</w:t>
      </w:r>
      <w:r>
        <w:rPr>
          <w:rFonts w:ascii="Arial" w:eastAsia="Arial" w:hAnsi="Arial"/>
          <w:color w:val="000000"/>
          <w:spacing w:val="-1"/>
          <w:sz w:val="20"/>
        </w:rPr>
        <w:t xml:space="preserve"> are also applicable to SEP.</w:t>
      </w:r>
    </w:p>
    <w:p w14:paraId="6B2D2D9E" w14:textId="77777777" w:rsidR="00345DC1" w:rsidRDefault="00345DC1">
      <w:pPr>
        <w:spacing w:before="220" w:after="4783" w:line="250" w:lineRule="exact"/>
        <w:sectPr w:rsidR="00345DC1">
          <w:pgSz w:w="11909" w:h="16838"/>
          <w:pgMar w:top="560" w:right="917" w:bottom="262" w:left="912" w:header="720" w:footer="720" w:gutter="0"/>
          <w:cols w:space="720"/>
        </w:sectPr>
      </w:pPr>
    </w:p>
    <w:p w14:paraId="3F3BEC00" w14:textId="77777777" w:rsidR="00345DC1" w:rsidRDefault="00DB08CC">
      <w:pPr>
        <w:spacing w:before="1" w:line="142" w:lineRule="exact"/>
        <w:ind w:left="792"/>
        <w:textAlignment w:val="baseline"/>
        <w:rPr>
          <w:rFonts w:ascii="Arial" w:eastAsia="Arial" w:hAnsi="Arial"/>
          <w:color w:val="000000"/>
          <w:sz w:val="14"/>
        </w:rPr>
      </w:pPr>
      <w:r>
        <w:rPr>
          <w:rFonts w:ascii="Arial" w:eastAsia="Arial" w:hAnsi="Arial"/>
          <w:color w:val="000000"/>
          <w:sz w:val="14"/>
        </w:rPr>
        <w:t>GHD ADVISORY</w:t>
      </w:r>
    </w:p>
    <w:p w14:paraId="78D9A186" w14:textId="77777777" w:rsidR="00345DC1" w:rsidRDefault="00DB08CC">
      <w:pPr>
        <w:spacing w:line="124" w:lineRule="exact"/>
        <w:ind w:left="288"/>
        <w:textAlignment w:val="baseline"/>
        <w:rPr>
          <w:rFonts w:ascii="Arial" w:eastAsia="Arial" w:hAnsi="Arial"/>
          <w:color w:val="FFFFFF"/>
          <w:spacing w:val="35"/>
          <w:sz w:val="15"/>
          <w:shd w:val="solid" w:color="006391" w:fill="006391"/>
        </w:rPr>
      </w:pPr>
      <w:r>
        <w:rPr>
          <w:rFonts w:ascii="Arial" w:eastAsia="Arial" w:hAnsi="Arial"/>
          <w:color w:val="FFFFFF"/>
          <w:spacing w:val="35"/>
          <w:sz w:val="15"/>
          <w:shd w:val="solid" w:color="006391" w:fill="006391"/>
        </w:rPr>
        <w:t>14</w:t>
      </w:r>
    </w:p>
    <w:p w14:paraId="5016969A" w14:textId="77777777" w:rsidR="00345DC1" w:rsidRDefault="00DB08CC">
      <w:pPr>
        <w:spacing w:line="139" w:lineRule="exact"/>
        <w:ind w:left="792"/>
        <w:textAlignment w:val="baseline"/>
        <w:rPr>
          <w:rFonts w:ascii="Arial" w:eastAsia="Arial" w:hAnsi="Arial"/>
          <w:color w:val="000000"/>
          <w:spacing w:val="-1"/>
          <w:sz w:val="14"/>
        </w:rPr>
      </w:pPr>
      <w:r>
        <w:rPr>
          <w:rFonts w:ascii="Arial" w:eastAsia="Arial" w:hAnsi="Arial"/>
          <w:color w:val="000000"/>
          <w:spacing w:val="-1"/>
          <w:sz w:val="14"/>
        </w:rPr>
        <w:t>Review of Goulburn Murray Water (GMW) Water</w:t>
      </w:r>
    </w:p>
    <w:p w14:paraId="0D9C74C7" w14:textId="77777777" w:rsidR="00345DC1" w:rsidRDefault="00DB08CC">
      <w:pPr>
        <w:spacing w:before="3" w:line="165" w:lineRule="exact"/>
        <w:ind w:left="792"/>
        <w:textAlignment w:val="baseline"/>
        <w:rPr>
          <w:rFonts w:ascii="Arial" w:eastAsia="Arial" w:hAnsi="Arial"/>
          <w:color w:val="000000"/>
          <w:sz w:val="14"/>
        </w:rPr>
      </w:pPr>
      <w:r>
        <w:rPr>
          <w:rFonts w:ascii="Arial" w:eastAsia="Arial" w:hAnsi="Arial"/>
          <w:color w:val="000000"/>
          <w:sz w:val="14"/>
        </w:rPr>
        <w:t>Efficiency Project</w:t>
      </w:r>
    </w:p>
    <w:p w14:paraId="4638C02C" w14:textId="77777777" w:rsidR="00345DC1" w:rsidRDefault="00345DC1">
      <w:pPr>
        <w:sectPr w:rsidR="00345DC1">
          <w:type w:val="continuous"/>
          <w:pgSz w:w="11909" w:h="16838"/>
          <w:pgMar w:top="560" w:right="7136" w:bottom="262" w:left="912" w:header="720" w:footer="720" w:gutter="0"/>
          <w:cols w:space="720"/>
        </w:sectPr>
      </w:pPr>
    </w:p>
    <w:p w14:paraId="0A313593" w14:textId="77777777" w:rsidR="00345DC1" w:rsidRDefault="00DB08CC">
      <w:pPr>
        <w:tabs>
          <w:tab w:val="left" w:pos="1224"/>
        </w:tabs>
        <w:spacing w:before="14" w:line="230" w:lineRule="exact"/>
        <w:ind w:left="216"/>
        <w:textAlignment w:val="baseline"/>
        <w:rPr>
          <w:rFonts w:ascii="Arial" w:eastAsia="Arial" w:hAnsi="Arial"/>
          <w:b/>
          <w:color w:val="C00000"/>
          <w:sz w:val="20"/>
        </w:rPr>
      </w:pPr>
      <w:r>
        <w:rPr>
          <w:rFonts w:ascii="Arial" w:eastAsia="Arial" w:hAnsi="Arial"/>
          <w:b/>
          <w:color w:val="C00000"/>
          <w:sz w:val="20"/>
        </w:rPr>
        <w:lastRenderedPageBreak/>
        <w:t>6.2.2</w:t>
      </w:r>
      <w:r>
        <w:rPr>
          <w:rFonts w:ascii="Arial" w:eastAsia="Arial" w:hAnsi="Arial"/>
          <w:b/>
          <w:color w:val="C00000"/>
          <w:sz w:val="20"/>
        </w:rPr>
        <w:tab/>
      </w:r>
      <w:r>
        <w:rPr>
          <w:rFonts w:ascii="Arial" w:eastAsia="Arial" w:hAnsi="Arial"/>
          <w:b/>
          <w:color w:val="C00000"/>
          <w:sz w:val="20"/>
        </w:rPr>
        <w:t>Enquiry 2: Are the costs consistent with the nature of the works</w:t>
      </w:r>
    </w:p>
    <w:p w14:paraId="1CE0F6DC" w14:textId="77777777" w:rsidR="00345DC1" w:rsidRDefault="00DB08CC">
      <w:pPr>
        <w:tabs>
          <w:tab w:val="left" w:pos="1224"/>
        </w:tabs>
        <w:spacing w:before="355" w:line="230" w:lineRule="exact"/>
        <w:ind w:left="216"/>
        <w:textAlignment w:val="baseline"/>
        <w:rPr>
          <w:rFonts w:ascii="Arial" w:eastAsia="Arial" w:hAnsi="Arial"/>
          <w:b/>
          <w:color w:val="000000"/>
          <w:sz w:val="20"/>
        </w:rPr>
      </w:pPr>
      <w:r>
        <w:rPr>
          <w:rFonts w:ascii="Arial" w:eastAsia="Arial" w:hAnsi="Arial"/>
          <w:b/>
          <w:color w:val="000000"/>
          <w:sz w:val="20"/>
        </w:rPr>
        <w:t>6.2.2.1</w:t>
      </w:r>
      <w:r>
        <w:rPr>
          <w:rFonts w:ascii="Arial" w:eastAsia="Arial" w:hAnsi="Arial"/>
          <w:b/>
          <w:color w:val="000000"/>
          <w:sz w:val="20"/>
        </w:rPr>
        <w:tab/>
        <w:t>Business Case Information</w:t>
      </w:r>
    </w:p>
    <w:p w14:paraId="7D6B2112" w14:textId="77777777" w:rsidR="00345DC1" w:rsidRDefault="00DB08CC">
      <w:pPr>
        <w:numPr>
          <w:ilvl w:val="0"/>
          <w:numId w:val="6"/>
        </w:numPr>
        <w:tabs>
          <w:tab w:val="clear" w:pos="432"/>
          <w:tab w:val="left" w:pos="648"/>
        </w:tabs>
        <w:spacing w:before="58" w:line="345" w:lineRule="exact"/>
        <w:ind w:left="648" w:right="216" w:hanging="432"/>
        <w:textAlignment w:val="baseline"/>
        <w:rPr>
          <w:rFonts w:ascii="Arial" w:eastAsia="Arial" w:hAnsi="Arial"/>
          <w:color w:val="000000"/>
          <w:sz w:val="20"/>
        </w:rPr>
      </w:pPr>
      <w:r>
        <w:rPr>
          <w:rFonts w:ascii="Arial" w:eastAsia="Arial" w:hAnsi="Arial"/>
          <w:color w:val="000000"/>
          <w:sz w:val="20"/>
        </w:rPr>
        <w:t>The base cost for the proposed SEP works has been estimated using the same scoping process and unit rates applied for the Connections Project (</w:t>
      </w:r>
      <w:proofErr w:type="gramStart"/>
      <w:r>
        <w:rPr>
          <w:rFonts w:ascii="Arial" w:eastAsia="Arial" w:hAnsi="Arial"/>
          <w:color w:val="000000"/>
          <w:sz w:val="20"/>
        </w:rPr>
        <w:t>and also</w:t>
      </w:r>
      <w:proofErr w:type="gramEnd"/>
      <w:r>
        <w:rPr>
          <w:rFonts w:ascii="Arial" w:eastAsia="Arial" w:hAnsi="Arial"/>
          <w:color w:val="000000"/>
          <w:sz w:val="20"/>
        </w:rPr>
        <w:t xml:space="preserve"> used for the BTP Business Case).</w:t>
      </w:r>
    </w:p>
    <w:p w14:paraId="11E0B6DD" w14:textId="77777777" w:rsidR="00345DC1" w:rsidRDefault="00DB08CC">
      <w:pPr>
        <w:numPr>
          <w:ilvl w:val="0"/>
          <w:numId w:val="6"/>
        </w:numPr>
        <w:tabs>
          <w:tab w:val="clear" w:pos="432"/>
          <w:tab w:val="left" w:pos="648"/>
        </w:tabs>
        <w:spacing w:before="217" w:line="249" w:lineRule="exact"/>
        <w:ind w:left="648" w:hanging="432"/>
        <w:textAlignment w:val="baseline"/>
        <w:rPr>
          <w:rFonts w:ascii="Arial" w:eastAsia="Arial" w:hAnsi="Arial"/>
          <w:color w:val="000000"/>
          <w:sz w:val="20"/>
        </w:rPr>
      </w:pPr>
      <w:r>
        <w:rPr>
          <w:rFonts w:ascii="Arial" w:eastAsia="Arial" w:hAnsi="Arial"/>
          <w:color w:val="000000"/>
          <w:sz w:val="20"/>
        </w:rPr>
        <w:t>The base cost estimate comprises a build up from scope definition, quan</w:t>
      </w:r>
      <w:r>
        <w:rPr>
          <w:rFonts w:ascii="Arial" w:eastAsia="Arial" w:hAnsi="Arial"/>
          <w:color w:val="000000"/>
          <w:sz w:val="20"/>
        </w:rPr>
        <w:t xml:space="preserve">tity of works and </w:t>
      </w:r>
      <w:proofErr w:type="gramStart"/>
      <w:r>
        <w:rPr>
          <w:rFonts w:ascii="Arial" w:eastAsia="Arial" w:hAnsi="Arial"/>
          <w:color w:val="000000"/>
          <w:sz w:val="20"/>
        </w:rPr>
        <w:t>units</w:t>
      </w:r>
      <w:proofErr w:type="gramEnd"/>
      <w:r>
        <w:rPr>
          <w:rFonts w:ascii="Arial" w:eastAsia="Arial" w:hAnsi="Arial"/>
          <w:color w:val="000000"/>
          <w:sz w:val="20"/>
        </w:rPr>
        <w:t xml:space="preserve"> rates.</w:t>
      </w:r>
    </w:p>
    <w:p w14:paraId="74D3F18E" w14:textId="77777777" w:rsidR="00345DC1" w:rsidRDefault="00DB08CC">
      <w:pPr>
        <w:numPr>
          <w:ilvl w:val="0"/>
          <w:numId w:val="12"/>
        </w:numPr>
        <w:tabs>
          <w:tab w:val="clear" w:pos="432"/>
          <w:tab w:val="left" w:pos="648"/>
        </w:tabs>
        <w:spacing w:before="121" w:line="345" w:lineRule="exact"/>
        <w:ind w:left="648" w:right="216" w:hanging="432"/>
        <w:textAlignment w:val="baseline"/>
        <w:rPr>
          <w:rFonts w:ascii="Arial" w:eastAsia="Arial" w:hAnsi="Arial"/>
          <w:color w:val="000000"/>
          <w:sz w:val="21"/>
          <w:u w:val="single"/>
        </w:rPr>
      </w:pPr>
      <w:r>
        <w:rPr>
          <w:rFonts w:ascii="Arial" w:eastAsia="Arial" w:hAnsi="Arial"/>
          <w:color w:val="000000"/>
          <w:sz w:val="21"/>
          <w:u w:val="single"/>
        </w:rPr>
        <w:t>Table 7</w:t>
      </w:r>
      <w:r>
        <w:rPr>
          <w:rFonts w:ascii="Arial" w:eastAsia="Arial" w:hAnsi="Arial"/>
          <w:color w:val="000000"/>
          <w:sz w:val="20"/>
        </w:rPr>
        <w:t xml:space="preserve"> details the forecast base cost of the SEP. The base cost comprises detailed design, regulatory approvals, land dealings, and direct construction costs (material, </w:t>
      </w:r>
      <w:proofErr w:type="spellStart"/>
      <w:r>
        <w:rPr>
          <w:rFonts w:ascii="Arial" w:eastAsia="Arial" w:hAnsi="Arial"/>
          <w:color w:val="000000"/>
          <w:sz w:val="20"/>
        </w:rPr>
        <w:t>labour</w:t>
      </w:r>
      <w:proofErr w:type="spellEnd"/>
      <w:r>
        <w:rPr>
          <w:rFonts w:ascii="Arial" w:eastAsia="Arial" w:hAnsi="Arial"/>
          <w:color w:val="000000"/>
          <w:sz w:val="20"/>
        </w:rPr>
        <w:t>, plant, contractor overhead, risk margin and pro</w:t>
      </w:r>
      <w:r>
        <w:rPr>
          <w:rFonts w:ascii="Arial" w:eastAsia="Arial" w:hAnsi="Arial"/>
          <w:color w:val="000000"/>
          <w:sz w:val="20"/>
        </w:rPr>
        <w:t>fit margin).</w:t>
      </w:r>
    </w:p>
    <w:p w14:paraId="01E6DA69" w14:textId="77777777" w:rsidR="00345DC1" w:rsidRDefault="00DB08CC">
      <w:pPr>
        <w:spacing w:before="421" w:after="200" w:line="242" w:lineRule="exact"/>
        <w:ind w:right="144"/>
        <w:jc w:val="right"/>
        <w:textAlignment w:val="baseline"/>
        <w:rPr>
          <w:rFonts w:ascii="Calibri" w:eastAsia="Calibri" w:hAnsi="Calibri"/>
          <w:b/>
          <w:color w:val="000000"/>
        </w:rPr>
      </w:pPr>
      <w:r>
        <w:rPr>
          <w:rFonts w:ascii="Calibri" w:eastAsia="Calibri" w:hAnsi="Calibri"/>
          <w:b/>
          <w:color w:val="000000"/>
        </w:rPr>
        <w:t>Table 7: SEP forecast base costs</w:t>
      </w:r>
    </w:p>
    <w:p w14:paraId="1055B182" w14:textId="77777777" w:rsidR="00345DC1" w:rsidRDefault="00DB08CC">
      <w:pPr>
        <w:spacing w:after="649"/>
        <w:ind w:left="336" w:right="336"/>
        <w:textAlignment w:val="baseline"/>
      </w:pPr>
      <w:r>
        <w:rPr>
          <w:noProof/>
        </w:rPr>
        <w:drawing>
          <wp:inline distT="0" distB="0" distL="0" distR="0" wp14:anchorId="7510580D" wp14:editId="0F0EE934">
            <wp:extent cx="5974080" cy="16764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5974080" cy="1676400"/>
                    </a:xfrm>
                    <a:prstGeom prst="rect">
                      <a:avLst/>
                    </a:prstGeom>
                  </pic:spPr>
                </pic:pic>
              </a:graphicData>
            </a:graphic>
          </wp:inline>
        </w:drawing>
      </w:r>
    </w:p>
    <w:p w14:paraId="42878705" w14:textId="77777777" w:rsidR="00345DC1" w:rsidRDefault="00DB08CC">
      <w:pPr>
        <w:tabs>
          <w:tab w:val="left" w:pos="1224"/>
        </w:tabs>
        <w:spacing w:before="1" w:line="230" w:lineRule="exact"/>
        <w:ind w:left="216"/>
        <w:textAlignment w:val="baseline"/>
        <w:rPr>
          <w:rFonts w:ascii="Arial" w:eastAsia="Arial" w:hAnsi="Arial"/>
          <w:b/>
          <w:color w:val="000000"/>
          <w:sz w:val="20"/>
        </w:rPr>
      </w:pPr>
      <w:r>
        <w:rPr>
          <w:rFonts w:ascii="Arial" w:eastAsia="Arial" w:hAnsi="Arial"/>
          <w:b/>
          <w:color w:val="000000"/>
          <w:sz w:val="20"/>
        </w:rPr>
        <w:t>6.2.2.2</w:t>
      </w:r>
      <w:r>
        <w:rPr>
          <w:rFonts w:ascii="Arial" w:eastAsia="Arial" w:hAnsi="Arial"/>
          <w:b/>
          <w:color w:val="000000"/>
          <w:sz w:val="20"/>
        </w:rPr>
        <w:tab/>
        <w:t>Analysis and Assessment</w:t>
      </w:r>
    </w:p>
    <w:p w14:paraId="64539D89" w14:textId="77777777" w:rsidR="00345DC1" w:rsidRDefault="00DB08CC">
      <w:pPr>
        <w:spacing w:before="222" w:line="230" w:lineRule="exact"/>
        <w:ind w:left="216"/>
        <w:textAlignment w:val="baseline"/>
        <w:rPr>
          <w:rFonts w:ascii="Arial" w:eastAsia="Arial" w:hAnsi="Arial"/>
          <w:b/>
          <w:color w:val="0064A3"/>
          <w:spacing w:val="-1"/>
          <w:sz w:val="20"/>
        </w:rPr>
      </w:pPr>
      <w:r>
        <w:rPr>
          <w:rFonts w:ascii="Arial" w:eastAsia="Arial" w:hAnsi="Arial"/>
          <w:b/>
          <w:color w:val="0064A3"/>
          <w:spacing w:val="-1"/>
          <w:sz w:val="20"/>
        </w:rPr>
        <w:t>Base Cost</w:t>
      </w:r>
    </w:p>
    <w:p w14:paraId="76CF7EFC" w14:textId="77777777" w:rsidR="00345DC1" w:rsidRDefault="00DB08CC">
      <w:pPr>
        <w:numPr>
          <w:ilvl w:val="0"/>
          <w:numId w:val="6"/>
        </w:numPr>
        <w:tabs>
          <w:tab w:val="clear" w:pos="432"/>
          <w:tab w:val="left" w:pos="648"/>
        </w:tabs>
        <w:spacing w:before="6" w:line="345" w:lineRule="exact"/>
        <w:ind w:left="648" w:right="216" w:hanging="432"/>
        <w:jc w:val="both"/>
        <w:textAlignment w:val="baseline"/>
        <w:rPr>
          <w:rFonts w:ascii="Arial" w:eastAsia="Arial" w:hAnsi="Arial"/>
          <w:color w:val="000000"/>
          <w:sz w:val="20"/>
        </w:rPr>
      </w:pPr>
      <w:r>
        <w:rPr>
          <w:rFonts w:ascii="Arial" w:eastAsia="Arial" w:hAnsi="Arial"/>
          <w:color w:val="000000"/>
          <w:sz w:val="20"/>
        </w:rPr>
        <w:t>The base costs for the project have been developed from a scope determined from desktop concept development work combined with unit cost rates derived from the Connec</w:t>
      </w:r>
      <w:r>
        <w:rPr>
          <w:rFonts w:ascii="Arial" w:eastAsia="Arial" w:hAnsi="Arial"/>
          <w:color w:val="000000"/>
          <w:sz w:val="20"/>
        </w:rPr>
        <w:t>tions Project. It is worth noting that previous attempts have been made by the proponent to implement fully piped schemes within this irrigation however these have not succeeded due to issues relating to flow rates and the potential cost impact on customer</w:t>
      </w:r>
      <w:r>
        <w:rPr>
          <w:rFonts w:ascii="Arial" w:eastAsia="Arial" w:hAnsi="Arial"/>
          <w:color w:val="000000"/>
          <w:sz w:val="20"/>
        </w:rPr>
        <w:t>s.</w:t>
      </w:r>
    </w:p>
    <w:p w14:paraId="1147912C" w14:textId="77777777" w:rsidR="00345DC1" w:rsidRDefault="00DB08CC">
      <w:pPr>
        <w:spacing w:before="285" w:line="230" w:lineRule="exact"/>
        <w:ind w:left="216"/>
        <w:textAlignment w:val="baseline"/>
        <w:rPr>
          <w:rFonts w:ascii="Arial" w:eastAsia="Arial" w:hAnsi="Arial"/>
          <w:b/>
          <w:color w:val="0064A3"/>
          <w:spacing w:val="-2"/>
          <w:sz w:val="20"/>
        </w:rPr>
      </w:pPr>
      <w:r>
        <w:rPr>
          <w:rFonts w:ascii="Arial" w:eastAsia="Arial" w:hAnsi="Arial"/>
          <w:b/>
          <w:color w:val="0064A3"/>
          <w:spacing w:val="-2"/>
          <w:sz w:val="20"/>
        </w:rPr>
        <w:t>General</w:t>
      </w:r>
    </w:p>
    <w:p w14:paraId="0198EFC6" w14:textId="77777777" w:rsidR="00345DC1" w:rsidRDefault="00DB08CC">
      <w:pPr>
        <w:numPr>
          <w:ilvl w:val="0"/>
          <w:numId w:val="6"/>
        </w:numPr>
        <w:tabs>
          <w:tab w:val="clear" w:pos="432"/>
          <w:tab w:val="left" w:pos="648"/>
        </w:tabs>
        <w:spacing w:before="7" w:line="345" w:lineRule="exact"/>
        <w:ind w:left="648" w:right="216" w:hanging="432"/>
        <w:jc w:val="both"/>
        <w:textAlignment w:val="baseline"/>
        <w:rPr>
          <w:rFonts w:ascii="Arial" w:eastAsia="Arial" w:hAnsi="Arial"/>
          <w:color w:val="000000"/>
          <w:sz w:val="20"/>
        </w:rPr>
      </w:pPr>
      <w:r>
        <w:rPr>
          <w:rFonts w:ascii="Arial" w:eastAsia="Arial" w:hAnsi="Arial"/>
          <w:color w:val="000000"/>
          <w:sz w:val="20"/>
        </w:rPr>
        <w:t xml:space="preserve">It does not appear that the Business Case was informed by any form of community consultation, however it is </w:t>
      </w:r>
      <w:proofErr w:type="spellStart"/>
      <w:r>
        <w:rPr>
          <w:rFonts w:ascii="Arial" w:eastAsia="Arial" w:hAnsi="Arial"/>
          <w:color w:val="000000"/>
          <w:sz w:val="20"/>
        </w:rPr>
        <w:t>recognised</w:t>
      </w:r>
      <w:proofErr w:type="spellEnd"/>
      <w:r>
        <w:rPr>
          <w:rFonts w:ascii="Arial" w:eastAsia="Arial" w:hAnsi="Arial"/>
          <w:color w:val="000000"/>
          <w:sz w:val="20"/>
        </w:rPr>
        <w:t xml:space="preserve"> that this process started in August 2020 (reference). There is potential that aspects of the project may not be well received from custom</w:t>
      </w:r>
      <w:r>
        <w:rPr>
          <w:rFonts w:ascii="Arial" w:eastAsia="Arial" w:hAnsi="Arial"/>
          <w:color w:val="000000"/>
          <w:sz w:val="20"/>
        </w:rPr>
        <w:t xml:space="preserve">ers or the community however as the works are largely associate with </w:t>
      </w:r>
      <w:proofErr w:type="spellStart"/>
      <w:r>
        <w:rPr>
          <w:rFonts w:ascii="Arial" w:eastAsia="Arial" w:hAnsi="Arial"/>
          <w:color w:val="000000"/>
          <w:sz w:val="20"/>
        </w:rPr>
        <w:t>modernisation</w:t>
      </w:r>
      <w:proofErr w:type="spellEnd"/>
      <w:r>
        <w:rPr>
          <w:rFonts w:ascii="Arial" w:eastAsia="Arial" w:hAnsi="Arial"/>
          <w:color w:val="000000"/>
          <w:sz w:val="20"/>
        </w:rPr>
        <w:t xml:space="preserve"> of existing assets (regulators and meters), the impact on the project is expected to be low.</w:t>
      </w:r>
    </w:p>
    <w:p w14:paraId="6333278A" w14:textId="77777777" w:rsidR="00345DC1" w:rsidRDefault="00DB08CC">
      <w:pPr>
        <w:numPr>
          <w:ilvl w:val="0"/>
          <w:numId w:val="6"/>
        </w:numPr>
        <w:tabs>
          <w:tab w:val="clear" w:pos="432"/>
          <w:tab w:val="left" w:pos="648"/>
        </w:tabs>
        <w:spacing w:before="122" w:line="345" w:lineRule="exact"/>
        <w:ind w:left="648" w:right="216" w:hanging="432"/>
        <w:jc w:val="both"/>
        <w:textAlignment w:val="baseline"/>
        <w:rPr>
          <w:rFonts w:ascii="Arial" w:eastAsia="Arial" w:hAnsi="Arial"/>
          <w:color w:val="000000"/>
          <w:sz w:val="20"/>
        </w:rPr>
      </w:pPr>
      <w:r>
        <w:rPr>
          <w:rFonts w:ascii="Arial" w:eastAsia="Arial" w:hAnsi="Arial"/>
          <w:color w:val="000000"/>
          <w:sz w:val="20"/>
        </w:rPr>
        <w:t xml:space="preserve">The current project defines a range of water saving initiatives which are being </w:t>
      </w:r>
      <w:r>
        <w:rPr>
          <w:rFonts w:ascii="Arial" w:eastAsia="Arial" w:hAnsi="Arial"/>
          <w:color w:val="000000"/>
          <w:sz w:val="20"/>
        </w:rPr>
        <w:t>implement elsewhere across the GMID. Furthermore, the project acknowledges the potential impact of urban encroachment on the irrigation area and has elected not to undertake works in areas where this risk is greatest.</w:t>
      </w:r>
    </w:p>
    <w:p w14:paraId="3C80C435" w14:textId="77777777" w:rsidR="00345DC1" w:rsidRDefault="00DB08CC">
      <w:pPr>
        <w:numPr>
          <w:ilvl w:val="0"/>
          <w:numId w:val="6"/>
        </w:numPr>
        <w:tabs>
          <w:tab w:val="clear" w:pos="432"/>
          <w:tab w:val="left" w:pos="648"/>
        </w:tabs>
        <w:spacing w:before="121" w:line="345" w:lineRule="exact"/>
        <w:ind w:left="648" w:right="216" w:hanging="432"/>
        <w:jc w:val="both"/>
        <w:textAlignment w:val="baseline"/>
        <w:rPr>
          <w:rFonts w:ascii="Arial" w:eastAsia="Arial" w:hAnsi="Arial"/>
          <w:color w:val="000000"/>
          <w:sz w:val="20"/>
        </w:rPr>
      </w:pPr>
      <w:r>
        <w:rPr>
          <w:rFonts w:ascii="Arial" w:eastAsia="Arial" w:hAnsi="Arial"/>
          <w:color w:val="000000"/>
          <w:sz w:val="20"/>
        </w:rPr>
        <w:t xml:space="preserve">As the methods used to scope and cost </w:t>
      </w:r>
      <w:r>
        <w:rPr>
          <w:rFonts w:ascii="Arial" w:eastAsia="Arial" w:hAnsi="Arial"/>
          <w:color w:val="000000"/>
          <w:sz w:val="20"/>
        </w:rPr>
        <w:t xml:space="preserve">the SEP has applied the same approach as the BTP, the assessment comments made in </w:t>
      </w:r>
      <w:r>
        <w:rPr>
          <w:rFonts w:ascii="Arial" w:eastAsia="Arial" w:hAnsi="Arial"/>
          <w:color w:val="000000"/>
          <w:sz w:val="21"/>
          <w:u w:val="single"/>
        </w:rPr>
        <w:t>Section 6.1.2</w:t>
      </w:r>
      <w:r>
        <w:rPr>
          <w:rFonts w:ascii="Arial" w:eastAsia="Arial" w:hAnsi="Arial"/>
          <w:color w:val="000000"/>
          <w:sz w:val="20"/>
        </w:rPr>
        <w:t xml:space="preserve"> will also be applicable to the SEP. The following provides an analysis of additional issues by exception.</w:t>
      </w:r>
    </w:p>
    <w:p w14:paraId="32F3F9D9" w14:textId="77777777" w:rsidR="00345DC1" w:rsidRDefault="00DB08CC">
      <w:pPr>
        <w:spacing w:before="694" w:line="165" w:lineRule="exact"/>
        <w:ind w:left="792"/>
        <w:textAlignment w:val="baseline"/>
        <w:rPr>
          <w:rFonts w:ascii="Arial" w:eastAsia="Arial" w:hAnsi="Arial"/>
          <w:color w:val="000000"/>
          <w:sz w:val="14"/>
        </w:rPr>
      </w:pPr>
      <w:r>
        <w:rPr>
          <w:rFonts w:ascii="Arial" w:eastAsia="Arial" w:hAnsi="Arial"/>
          <w:color w:val="000000"/>
          <w:sz w:val="14"/>
        </w:rPr>
        <w:t>GHD ADVISORY</w:t>
      </w:r>
    </w:p>
    <w:p w14:paraId="54C4D671" w14:textId="77777777" w:rsidR="00345DC1" w:rsidRDefault="00DB08CC">
      <w:pPr>
        <w:tabs>
          <w:tab w:val="left" w:pos="792"/>
        </w:tabs>
        <w:spacing w:before="52" w:line="178" w:lineRule="exact"/>
        <w:ind w:left="792" w:hanging="576"/>
        <w:textAlignment w:val="baseline"/>
        <w:rPr>
          <w:rFonts w:ascii="Arial" w:eastAsia="Arial" w:hAnsi="Arial"/>
          <w:color w:val="FFFFFF"/>
          <w:sz w:val="15"/>
          <w:shd w:val="solid" w:color="006295" w:fill="006295"/>
        </w:rPr>
      </w:pPr>
      <w:r>
        <w:rPr>
          <w:rFonts w:ascii="Arial" w:eastAsia="Arial" w:hAnsi="Arial"/>
          <w:color w:val="FFFFFF"/>
          <w:sz w:val="15"/>
          <w:shd w:val="solid" w:color="006295" w:fill="006295"/>
        </w:rPr>
        <w:t>15</w:t>
      </w:r>
      <w:r>
        <w:rPr>
          <w:rFonts w:ascii="Arial" w:eastAsia="Arial" w:hAnsi="Arial"/>
          <w:color w:val="FFFFFF"/>
          <w:sz w:val="15"/>
          <w:shd w:val="solid" w:color="006295" w:fill="006295"/>
        </w:rPr>
        <w:tab/>
      </w:r>
      <w:r>
        <w:rPr>
          <w:rFonts w:ascii="Arial" w:eastAsia="Arial" w:hAnsi="Arial"/>
          <w:color w:val="000000"/>
          <w:sz w:val="14"/>
        </w:rPr>
        <w:t xml:space="preserve">Review of Goulburn Murray Water (GMW) </w:t>
      </w:r>
      <w:r>
        <w:rPr>
          <w:rFonts w:ascii="Arial" w:eastAsia="Arial" w:hAnsi="Arial"/>
          <w:color w:val="000000"/>
          <w:sz w:val="14"/>
        </w:rPr>
        <w:t xml:space="preserve">Water </w:t>
      </w:r>
      <w:r>
        <w:rPr>
          <w:rFonts w:ascii="Arial" w:eastAsia="Arial" w:hAnsi="Arial"/>
          <w:color w:val="000000"/>
          <w:sz w:val="14"/>
        </w:rPr>
        <w:br/>
        <w:t>Efficiency Project</w:t>
      </w:r>
    </w:p>
    <w:p w14:paraId="1E639A60" w14:textId="77777777" w:rsidR="00345DC1" w:rsidRDefault="00345DC1">
      <w:pPr>
        <w:sectPr w:rsidR="00345DC1">
          <w:pgSz w:w="11909" w:h="16838"/>
          <w:pgMar w:top="560" w:right="912" w:bottom="262" w:left="917" w:header="720" w:footer="720" w:gutter="0"/>
          <w:cols w:space="720"/>
        </w:sectPr>
      </w:pPr>
    </w:p>
    <w:p w14:paraId="6E2608DF" w14:textId="77777777" w:rsidR="00345DC1" w:rsidRDefault="00DB08CC">
      <w:pPr>
        <w:spacing w:before="14" w:line="230" w:lineRule="exact"/>
        <w:ind w:left="288"/>
        <w:textAlignment w:val="baseline"/>
        <w:rPr>
          <w:rFonts w:ascii="Arial" w:eastAsia="Arial" w:hAnsi="Arial"/>
          <w:b/>
          <w:color w:val="0064A3"/>
          <w:spacing w:val="-3"/>
          <w:sz w:val="20"/>
        </w:rPr>
      </w:pPr>
      <w:r>
        <w:rPr>
          <w:rFonts w:ascii="Arial" w:eastAsia="Arial" w:hAnsi="Arial"/>
          <w:b/>
          <w:color w:val="0064A3"/>
          <w:spacing w:val="-3"/>
          <w:sz w:val="20"/>
        </w:rPr>
        <w:lastRenderedPageBreak/>
        <w:t>Project identification</w:t>
      </w:r>
    </w:p>
    <w:p w14:paraId="442F5576" w14:textId="77777777" w:rsidR="00345DC1" w:rsidRDefault="00DB08CC">
      <w:pPr>
        <w:numPr>
          <w:ilvl w:val="0"/>
          <w:numId w:val="2"/>
        </w:numPr>
        <w:tabs>
          <w:tab w:val="clear" w:pos="360"/>
          <w:tab w:val="left" w:pos="648"/>
        </w:tabs>
        <w:spacing w:before="120"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The project identification and scoping </w:t>
      </w:r>
      <w:proofErr w:type="gramStart"/>
      <w:r>
        <w:rPr>
          <w:rFonts w:ascii="Arial" w:eastAsia="Arial" w:hAnsi="Arial"/>
          <w:color w:val="000000"/>
          <w:sz w:val="20"/>
        </w:rPr>
        <w:t>appears</w:t>
      </w:r>
      <w:proofErr w:type="gramEnd"/>
      <w:r>
        <w:rPr>
          <w:rFonts w:ascii="Arial" w:eastAsia="Arial" w:hAnsi="Arial"/>
          <w:color w:val="000000"/>
          <w:sz w:val="20"/>
        </w:rPr>
        <w:t xml:space="preserve"> to have been developed over a considerable period of time as evidenced by previous unsuccessful iterations of the project. The current scope adopts a range of water saving initiatives which are being implement</w:t>
      </w:r>
      <w:r>
        <w:rPr>
          <w:rFonts w:ascii="Arial" w:eastAsia="Arial" w:hAnsi="Arial"/>
          <w:color w:val="000000"/>
          <w:sz w:val="20"/>
        </w:rPr>
        <w:t xml:space="preserve">ed elsewhere across the GMID and delivery model, and therefore assumes that these processes will also be successful in the </w:t>
      </w:r>
      <w:proofErr w:type="spellStart"/>
      <w:r>
        <w:rPr>
          <w:rFonts w:ascii="Arial" w:eastAsia="Arial" w:hAnsi="Arial"/>
          <w:color w:val="000000"/>
          <w:sz w:val="20"/>
        </w:rPr>
        <w:t>Shepparton</w:t>
      </w:r>
      <w:proofErr w:type="spellEnd"/>
      <w:r>
        <w:rPr>
          <w:rFonts w:ascii="Arial" w:eastAsia="Arial" w:hAnsi="Arial"/>
          <w:color w:val="000000"/>
          <w:sz w:val="20"/>
        </w:rPr>
        <w:t xml:space="preserve"> Area.</w:t>
      </w:r>
    </w:p>
    <w:p w14:paraId="66EE72D8" w14:textId="77777777" w:rsidR="00345DC1" w:rsidRDefault="00DB08CC">
      <w:pPr>
        <w:numPr>
          <w:ilvl w:val="0"/>
          <w:numId w:val="2"/>
        </w:numPr>
        <w:tabs>
          <w:tab w:val="clear" w:pos="360"/>
          <w:tab w:val="left" w:pos="648"/>
        </w:tabs>
        <w:spacing w:before="125"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It is unclear whether the SEP is be delivered as one large single package or is to be implemented at separate smalle</w:t>
      </w:r>
      <w:r>
        <w:rPr>
          <w:rFonts w:ascii="Arial" w:eastAsia="Arial" w:hAnsi="Arial"/>
          <w:color w:val="000000"/>
          <w:sz w:val="20"/>
        </w:rPr>
        <w:t>r sub-project, similar in size and complexity to the BTP packages. Delivery of the SEP as a separate package significantly increases the risk of time and cost impacts, should they arise.</w:t>
      </w:r>
    </w:p>
    <w:p w14:paraId="64B8C6A5" w14:textId="77777777" w:rsidR="00345DC1" w:rsidRDefault="00DB08CC">
      <w:pPr>
        <w:spacing w:before="232" w:line="230" w:lineRule="exact"/>
        <w:ind w:left="288"/>
        <w:textAlignment w:val="baseline"/>
        <w:rPr>
          <w:rFonts w:ascii="Arial" w:eastAsia="Arial" w:hAnsi="Arial"/>
          <w:b/>
          <w:color w:val="0064A3"/>
          <w:spacing w:val="-2"/>
          <w:sz w:val="20"/>
        </w:rPr>
      </w:pPr>
      <w:r>
        <w:rPr>
          <w:rFonts w:ascii="Arial" w:eastAsia="Arial" w:hAnsi="Arial"/>
          <w:b/>
          <w:color w:val="0064A3"/>
          <w:spacing w:val="-2"/>
          <w:sz w:val="20"/>
        </w:rPr>
        <w:t>Scoping of works and sub-projects</w:t>
      </w:r>
    </w:p>
    <w:p w14:paraId="1FA9A3A6" w14:textId="77777777" w:rsidR="00345DC1" w:rsidRDefault="00DB08CC">
      <w:pPr>
        <w:numPr>
          <w:ilvl w:val="0"/>
          <w:numId w:val="2"/>
        </w:numPr>
        <w:tabs>
          <w:tab w:val="clear" w:pos="360"/>
          <w:tab w:val="left" w:pos="648"/>
        </w:tabs>
        <w:spacing w:before="124" w:line="344" w:lineRule="exact"/>
        <w:ind w:left="648" w:right="216" w:hanging="360"/>
        <w:jc w:val="both"/>
        <w:textAlignment w:val="baseline"/>
        <w:rPr>
          <w:rFonts w:ascii="Arial" w:eastAsia="Arial" w:hAnsi="Arial"/>
          <w:color w:val="000000"/>
          <w:sz w:val="20"/>
        </w:rPr>
      </w:pPr>
      <w:proofErr w:type="gramStart"/>
      <w:r>
        <w:rPr>
          <w:rFonts w:ascii="Arial" w:eastAsia="Arial" w:hAnsi="Arial"/>
          <w:color w:val="000000"/>
          <w:sz w:val="20"/>
        </w:rPr>
        <w:t>It would appear that there</w:t>
      </w:r>
      <w:proofErr w:type="gramEnd"/>
      <w:r>
        <w:rPr>
          <w:rFonts w:ascii="Arial" w:eastAsia="Arial" w:hAnsi="Arial"/>
          <w:color w:val="000000"/>
          <w:sz w:val="20"/>
        </w:rPr>
        <w:t xml:space="preserve"> has been</w:t>
      </w:r>
      <w:r>
        <w:rPr>
          <w:rFonts w:ascii="Arial" w:eastAsia="Arial" w:hAnsi="Arial"/>
          <w:color w:val="000000"/>
          <w:sz w:val="20"/>
        </w:rPr>
        <w:t xml:space="preserve"> little consideration given to the scoping of on-farm works as evidenced by the adoption of a standard cost per property of $30,000 per property and there is no corresponding increase in contingency to represent scope uncertainty.</w:t>
      </w:r>
    </w:p>
    <w:p w14:paraId="49F7ECDF" w14:textId="77777777" w:rsidR="00345DC1" w:rsidRDefault="00DB08CC">
      <w:pPr>
        <w:numPr>
          <w:ilvl w:val="0"/>
          <w:numId w:val="2"/>
        </w:numPr>
        <w:tabs>
          <w:tab w:val="clear" w:pos="360"/>
          <w:tab w:val="left" w:pos="648"/>
        </w:tabs>
        <w:spacing w:before="123"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Similarly, costs for the </w:t>
      </w:r>
      <w:r>
        <w:rPr>
          <w:rFonts w:ascii="Arial" w:eastAsia="Arial" w:hAnsi="Arial"/>
          <w:color w:val="000000"/>
          <w:sz w:val="20"/>
        </w:rPr>
        <w:t>D&amp;S pipelines appear to be based on a unit rate rather than developed from concept design as per the BTP works.</w:t>
      </w:r>
    </w:p>
    <w:p w14:paraId="4747117C" w14:textId="77777777" w:rsidR="00345DC1" w:rsidRDefault="00DB08CC">
      <w:pPr>
        <w:numPr>
          <w:ilvl w:val="0"/>
          <w:numId w:val="2"/>
        </w:numPr>
        <w:tabs>
          <w:tab w:val="clear" w:pos="360"/>
          <w:tab w:val="left" w:pos="648"/>
        </w:tabs>
        <w:spacing w:before="15" w:line="456" w:lineRule="exact"/>
        <w:ind w:left="648" w:hanging="360"/>
        <w:textAlignment w:val="baseline"/>
        <w:rPr>
          <w:rFonts w:ascii="Arial" w:eastAsia="Arial" w:hAnsi="Arial"/>
          <w:color w:val="000000"/>
          <w:sz w:val="20"/>
        </w:rPr>
      </w:pPr>
      <w:r>
        <w:rPr>
          <w:rFonts w:ascii="Arial" w:eastAsia="Arial" w:hAnsi="Arial"/>
          <w:color w:val="000000"/>
          <w:sz w:val="20"/>
        </w:rPr>
        <w:t xml:space="preserve">Refer to </w:t>
      </w:r>
      <w:r>
        <w:rPr>
          <w:rFonts w:ascii="Arial" w:eastAsia="Arial" w:hAnsi="Arial"/>
          <w:color w:val="000000"/>
          <w:sz w:val="21"/>
          <w:u w:val="single"/>
        </w:rPr>
        <w:t>Section 6.1.2</w:t>
      </w:r>
      <w:r>
        <w:rPr>
          <w:rFonts w:ascii="Arial" w:eastAsia="Arial" w:hAnsi="Arial"/>
          <w:color w:val="0064A3"/>
          <w:sz w:val="21"/>
          <w:u w:val="single"/>
        </w:rPr>
        <w:t xml:space="preserve">  </w:t>
      </w:r>
      <w:r>
        <w:rPr>
          <w:rFonts w:ascii="Arial" w:eastAsia="Arial" w:hAnsi="Arial"/>
          <w:color w:val="0064A3"/>
          <w:sz w:val="21"/>
          <w:u w:val="single"/>
        </w:rPr>
        <w:br/>
      </w:r>
      <w:r>
        <w:rPr>
          <w:rFonts w:ascii="Arial" w:eastAsia="Arial" w:hAnsi="Arial"/>
          <w:b/>
          <w:color w:val="0064A3"/>
          <w:sz w:val="20"/>
        </w:rPr>
        <w:t>Unit Rates</w:t>
      </w:r>
    </w:p>
    <w:p w14:paraId="0C76A029" w14:textId="77777777" w:rsidR="00345DC1" w:rsidRDefault="00DB08CC">
      <w:pPr>
        <w:numPr>
          <w:ilvl w:val="0"/>
          <w:numId w:val="2"/>
        </w:numPr>
        <w:tabs>
          <w:tab w:val="clear" w:pos="360"/>
          <w:tab w:val="left" w:pos="648"/>
        </w:tabs>
        <w:spacing w:before="127"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It is confirmed that the unit rates for regulator, meters and asset decommissioning have been applied consistently for the BTP and the SEP</w:t>
      </w:r>
    </w:p>
    <w:p w14:paraId="3DEAFDC4" w14:textId="77777777" w:rsidR="00345DC1" w:rsidRDefault="00DB08CC">
      <w:pPr>
        <w:numPr>
          <w:ilvl w:val="0"/>
          <w:numId w:val="2"/>
        </w:numPr>
        <w:tabs>
          <w:tab w:val="clear" w:pos="360"/>
          <w:tab w:val="left" w:pos="648"/>
        </w:tabs>
        <w:spacing w:before="214" w:after="7483" w:line="255" w:lineRule="exact"/>
        <w:ind w:left="648" w:hanging="360"/>
        <w:jc w:val="both"/>
        <w:textAlignment w:val="baseline"/>
        <w:rPr>
          <w:rFonts w:ascii="Arial" w:eastAsia="Arial" w:hAnsi="Arial"/>
          <w:color w:val="000000"/>
          <w:spacing w:val="-2"/>
          <w:sz w:val="20"/>
        </w:rPr>
      </w:pPr>
      <w:r>
        <w:rPr>
          <w:rFonts w:ascii="Arial" w:eastAsia="Arial" w:hAnsi="Arial"/>
          <w:color w:val="000000"/>
          <w:spacing w:val="-2"/>
          <w:sz w:val="20"/>
        </w:rPr>
        <w:t xml:space="preserve">Refer to </w:t>
      </w:r>
      <w:r>
        <w:rPr>
          <w:rFonts w:ascii="Arial" w:eastAsia="Arial" w:hAnsi="Arial"/>
          <w:color w:val="000000"/>
          <w:spacing w:val="-2"/>
          <w:sz w:val="21"/>
          <w:u w:val="single"/>
        </w:rPr>
        <w:t>Section 6.1.2</w:t>
      </w:r>
      <w:r>
        <w:rPr>
          <w:rFonts w:ascii="Arial" w:eastAsia="Arial" w:hAnsi="Arial"/>
          <w:color w:val="FFFFFF"/>
          <w:spacing w:val="-2"/>
          <w:sz w:val="21"/>
          <w:u w:val="single"/>
          <w:shd w:val="solid" w:color="006391" w:fill="006391"/>
        </w:rPr>
        <w:t xml:space="preserve"> </w:t>
      </w:r>
    </w:p>
    <w:p w14:paraId="7B161CDE" w14:textId="77777777" w:rsidR="00345DC1" w:rsidRDefault="00345DC1">
      <w:pPr>
        <w:spacing w:before="214" w:after="7483" w:line="255" w:lineRule="exact"/>
        <w:sectPr w:rsidR="00345DC1">
          <w:pgSz w:w="11909" w:h="16838"/>
          <w:pgMar w:top="560" w:right="909" w:bottom="262" w:left="920" w:header="720" w:footer="720" w:gutter="0"/>
          <w:cols w:space="720"/>
        </w:sectPr>
      </w:pPr>
    </w:p>
    <w:p w14:paraId="1A5E7A98" w14:textId="77777777" w:rsidR="00345DC1" w:rsidRDefault="00DB08CC">
      <w:pPr>
        <w:spacing w:before="1" w:line="155" w:lineRule="exact"/>
        <w:ind w:left="792"/>
        <w:textAlignment w:val="baseline"/>
        <w:rPr>
          <w:rFonts w:ascii="Arial" w:eastAsia="Arial" w:hAnsi="Arial"/>
          <w:color w:val="000000"/>
          <w:sz w:val="14"/>
        </w:rPr>
      </w:pPr>
      <w:r>
        <w:rPr>
          <w:rFonts w:ascii="Arial" w:eastAsia="Arial" w:hAnsi="Arial"/>
          <w:color w:val="000000"/>
          <w:sz w:val="14"/>
        </w:rPr>
        <w:t>GHD ADVISORY</w:t>
      </w:r>
    </w:p>
    <w:p w14:paraId="3591DC21" w14:textId="77777777" w:rsidR="00345DC1" w:rsidRDefault="00DB08CC">
      <w:pPr>
        <w:tabs>
          <w:tab w:val="right" w:pos="3888"/>
        </w:tabs>
        <w:spacing w:line="245" w:lineRule="exact"/>
        <w:ind w:left="288"/>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16</w:t>
      </w:r>
      <w:r>
        <w:rPr>
          <w:rFonts w:ascii="Arial" w:eastAsia="Arial" w:hAnsi="Arial"/>
          <w:color w:val="FFFFFF"/>
          <w:sz w:val="15"/>
          <w:shd w:val="solid" w:color="006391" w:fill="006391"/>
        </w:rPr>
        <w:tab/>
      </w:r>
      <w:r>
        <w:rPr>
          <w:rFonts w:ascii="Arial" w:eastAsia="Arial" w:hAnsi="Arial"/>
          <w:color w:val="000000"/>
          <w:sz w:val="14"/>
        </w:rPr>
        <w:t>Review of Goulburn Murray Water (GMW) Water</w:t>
      </w:r>
    </w:p>
    <w:p w14:paraId="37B6BFB2" w14:textId="77777777" w:rsidR="00345DC1" w:rsidRDefault="00DB08CC">
      <w:pPr>
        <w:spacing w:before="8" w:line="165" w:lineRule="exact"/>
        <w:ind w:left="792"/>
        <w:textAlignment w:val="baseline"/>
        <w:rPr>
          <w:rFonts w:ascii="Arial" w:eastAsia="Arial" w:hAnsi="Arial"/>
          <w:color w:val="000000"/>
          <w:sz w:val="14"/>
        </w:rPr>
      </w:pPr>
      <w:r>
        <w:rPr>
          <w:rFonts w:ascii="Arial" w:eastAsia="Arial" w:hAnsi="Arial"/>
          <w:color w:val="000000"/>
          <w:sz w:val="14"/>
        </w:rPr>
        <w:t>Efficiency Project</w:t>
      </w:r>
    </w:p>
    <w:p w14:paraId="78E4E41B" w14:textId="77777777" w:rsidR="00345DC1" w:rsidRDefault="00345DC1">
      <w:pPr>
        <w:sectPr w:rsidR="00345DC1">
          <w:type w:val="continuous"/>
          <w:pgSz w:w="11909" w:h="16838"/>
          <w:pgMar w:top="560" w:right="7116" w:bottom="262" w:left="920" w:header="720" w:footer="720" w:gutter="0"/>
          <w:cols w:space="720"/>
        </w:sectPr>
      </w:pPr>
    </w:p>
    <w:p w14:paraId="000FD4DA" w14:textId="77777777" w:rsidR="00345DC1" w:rsidRDefault="00DB08CC">
      <w:pPr>
        <w:tabs>
          <w:tab w:val="left" w:pos="1224"/>
        </w:tabs>
        <w:spacing w:line="264" w:lineRule="exact"/>
        <w:ind w:left="1224" w:right="576" w:hanging="936"/>
        <w:textAlignment w:val="baseline"/>
        <w:rPr>
          <w:rFonts w:ascii="Arial" w:eastAsia="Arial" w:hAnsi="Arial"/>
          <w:b/>
          <w:color w:val="C00000"/>
          <w:sz w:val="20"/>
        </w:rPr>
      </w:pPr>
      <w:r>
        <w:rPr>
          <w:rFonts w:ascii="Arial" w:eastAsia="Arial" w:hAnsi="Arial"/>
          <w:b/>
          <w:color w:val="C00000"/>
          <w:sz w:val="20"/>
        </w:rPr>
        <w:lastRenderedPageBreak/>
        <w:t>6.2.3</w:t>
      </w:r>
      <w:r>
        <w:rPr>
          <w:rFonts w:ascii="Arial" w:eastAsia="Arial" w:hAnsi="Arial"/>
          <w:b/>
          <w:color w:val="C00000"/>
          <w:sz w:val="20"/>
        </w:rPr>
        <w:tab/>
        <w:t>Enquiry 3: What extent does the detailed budget demonstrate appropriate costings that reflect market realities – including the appropriateness of any contingency costs and</w:t>
      </w:r>
      <w:r>
        <w:rPr>
          <w:rFonts w:ascii="Arial" w:eastAsia="Arial" w:hAnsi="Arial"/>
          <w:b/>
          <w:color w:val="C00000"/>
          <w:sz w:val="20"/>
        </w:rPr>
        <w:t xml:space="preserve"> escalations</w:t>
      </w:r>
    </w:p>
    <w:p w14:paraId="7A65582E" w14:textId="77777777" w:rsidR="00345DC1" w:rsidRDefault="00DB08CC">
      <w:pPr>
        <w:tabs>
          <w:tab w:val="left" w:pos="1224"/>
        </w:tabs>
        <w:spacing w:before="241" w:line="230" w:lineRule="exact"/>
        <w:ind w:left="288"/>
        <w:textAlignment w:val="baseline"/>
        <w:rPr>
          <w:rFonts w:ascii="Arial" w:eastAsia="Arial" w:hAnsi="Arial"/>
          <w:b/>
          <w:color w:val="000000"/>
          <w:sz w:val="20"/>
        </w:rPr>
      </w:pPr>
      <w:r>
        <w:rPr>
          <w:rFonts w:ascii="Arial" w:eastAsia="Arial" w:hAnsi="Arial"/>
          <w:b/>
          <w:color w:val="000000"/>
          <w:sz w:val="20"/>
        </w:rPr>
        <w:t>6.2.3.1</w:t>
      </w:r>
      <w:r>
        <w:rPr>
          <w:rFonts w:ascii="Arial" w:eastAsia="Arial" w:hAnsi="Arial"/>
          <w:b/>
          <w:color w:val="000000"/>
          <w:sz w:val="20"/>
        </w:rPr>
        <w:tab/>
        <w:t>Business Case Information</w:t>
      </w:r>
    </w:p>
    <w:p w14:paraId="1CF4C444" w14:textId="77777777" w:rsidR="00345DC1" w:rsidRDefault="00DB08CC">
      <w:pPr>
        <w:numPr>
          <w:ilvl w:val="0"/>
          <w:numId w:val="7"/>
        </w:numPr>
        <w:tabs>
          <w:tab w:val="clear" w:pos="288"/>
          <w:tab w:val="left" w:pos="576"/>
        </w:tabs>
        <w:spacing w:before="508" w:line="249" w:lineRule="exact"/>
        <w:ind w:left="576" w:hanging="288"/>
        <w:textAlignment w:val="baseline"/>
        <w:rPr>
          <w:rFonts w:ascii="Arial" w:eastAsia="Arial" w:hAnsi="Arial"/>
          <w:color w:val="000000"/>
          <w:sz w:val="20"/>
        </w:rPr>
      </w:pPr>
      <w:r>
        <w:rPr>
          <w:rFonts w:ascii="Arial" w:eastAsia="Arial" w:hAnsi="Arial"/>
          <w:color w:val="000000"/>
          <w:sz w:val="20"/>
        </w:rPr>
        <w:t xml:space="preserve">The estimated cost of the project is $13.035M, as </w:t>
      </w:r>
      <w:proofErr w:type="spellStart"/>
      <w:r>
        <w:rPr>
          <w:rFonts w:ascii="Arial" w:eastAsia="Arial" w:hAnsi="Arial"/>
          <w:color w:val="000000"/>
          <w:sz w:val="20"/>
        </w:rPr>
        <w:t>summarised</w:t>
      </w:r>
      <w:proofErr w:type="spellEnd"/>
      <w:r>
        <w:rPr>
          <w:rFonts w:ascii="Arial" w:eastAsia="Arial" w:hAnsi="Arial"/>
          <w:color w:val="000000"/>
          <w:sz w:val="20"/>
        </w:rPr>
        <w:t xml:space="preserve"> in Table 8.</w:t>
      </w:r>
    </w:p>
    <w:p w14:paraId="751A2703" w14:textId="77777777" w:rsidR="00345DC1" w:rsidRDefault="00DB08CC">
      <w:pPr>
        <w:spacing w:before="421" w:after="168" w:line="226" w:lineRule="exact"/>
        <w:ind w:right="144"/>
        <w:jc w:val="right"/>
        <w:textAlignment w:val="baseline"/>
        <w:rPr>
          <w:rFonts w:ascii="Calibri" w:eastAsia="Calibri" w:hAnsi="Calibri"/>
          <w:b/>
          <w:color w:val="000000"/>
        </w:rPr>
      </w:pPr>
      <w:r>
        <w:rPr>
          <w:rFonts w:ascii="Calibri" w:eastAsia="Calibri" w:hAnsi="Calibri"/>
          <w:b/>
          <w:color w:val="000000"/>
        </w:rPr>
        <w:t>Table 8: SEP summary of costs</w:t>
      </w:r>
    </w:p>
    <w:p w14:paraId="075794C8" w14:textId="77777777" w:rsidR="00345DC1" w:rsidRDefault="00DB08CC">
      <w:pPr>
        <w:spacing w:after="192"/>
        <w:ind w:left="797" w:right="898"/>
        <w:textAlignment w:val="baseline"/>
      </w:pPr>
      <w:r>
        <w:rPr>
          <w:noProof/>
        </w:rPr>
        <w:drawing>
          <wp:inline distT="0" distB="0" distL="0" distR="0" wp14:anchorId="4A153ABE" wp14:editId="2B7B7679">
            <wp:extent cx="5324475" cy="238379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5324475" cy="238379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7267"/>
        <w:gridCol w:w="2813"/>
      </w:tblGrid>
      <w:tr w:rsidR="00345DC1" w14:paraId="47832150" w14:textId="77777777">
        <w:tblPrEx>
          <w:tblCellMar>
            <w:top w:w="0" w:type="dxa"/>
            <w:bottom w:w="0" w:type="dxa"/>
          </w:tblCellMar>
        </w:tblPrEx>
        <w:trPr>
          <w:trHeight w:hRule="exact" w:val="422"/>
        </w:trPr>
        <w:tc>
          <w:tcPr>
            <w:tcW w:w="7267" w:type="dxa"/>
            <w:tcBorders>
              <w:top w:val="none" w:sz="0" w:space="0" w:color="020000"/>
              <w:left w:val="none" w:sz="0" w:space="0" w:color="020000"/>
              <w:bottom w:val="none" w:sz="0" w:space="0" w:color="020000"/>
              <w:right w:val="none" w:sz="0" w:space="0" w:color="020000"/>
            </w:tcBorders>
            <w:vAlign w:val="center"/>
          </w:tcPr>
          <w:p w14:paraId="45F36558" w14:textId="77777777" w:rsidR="00345DC1" w:rsidRDefault="00DB08CC">
            <w:pPr>
              <w:spacing w:before="177" w:after="38" w:line="202" w:lineRule="exact"/>
              <w:ind w:left="1502"/>
              <w:textAlignment w:val="baseline"/>
              <w:rPr>
                <w:rFonts w:ascii="Calibri" w:eastAsia="Calibri" w:hAnsi="Calibri"/>
                <w:color w:val="000000"/>
                <w:sz w:val="20"/>
              </w:rPr>
            </w:pPr>
            <w:r>
              <w:rPr>
                <w:rFonts w:ascii="Calibri" w:eastAsia="Calibri" w:hAnsi="Calibri"/>
                <w:color w:val="000000"/>
                <w:sz w:val="20"/>
              </w:rPr>
              <w:t>Meter Outlet Upgrades</w:t>
            </w:r>
          </w:p>
        </w:tc>
        <w:tc>
          <w:tcPr>
            <w:tcW w:w="2813" w:type="dxa"/>
            <w:tcBorders>
              <w:top w:val="none" w:sz="0" w:space="0" w:color="020000"/>
              <w:left w:val="none" w:sz="0" w:space="0" w:color="020000"/>
              <w:bottom w:val="none" w:sz="0" w:space="0" w:color="020000"/>
              <w:right w:val="none" w:sz="0" w:space="0" w:color="020000"/>
            </w:tcBorders>
            <w:vAlign w:val="center"/>
          </w:tcPr>
          <w:p w14:paraId="2583ACA6" w14:textId="77777777" w:rsidR="00345DC1" w:rsidRDefault="00DB08CC">
            <w:pPr>
              <w:spacing w:before="148" w:after="27" w:line="242" w:lineRule="exact"/>
              <w:ind w:right="1502"/>
              <w:jc w:val="right"/>
              <w:textAlignment w:val="baseline"/>
              <w:rPr>
                <w:rFonts w:ascii="Calibri" w:eastAsia="Calibri" w:hAnsi="Calibri"/>
                <w:color w:val="000000"/>
              </w:rPr>
            </w:pPr>
            <w:r>
              <w:rPr>
                <w:rFonts w:ascii="Calibri" w:eastAsia="Calibri" w:hAnsi="Calibri"/>
                <w:color w:val="000000"/>
              </w:rPr>
              <w:t>39%</w:t>
            </w:r>
          </w:p>
        </w:tc>
      </w:tr>
      <w:tr w:rsidR="00345DC1" w14:paraId="05AA19F5" w14:textId="77777777">
        <w:tblPrEx>
          <w:tblCellMar>
            <w:top w:w="0" w:type="dxa"/>
            <w:bottom w:w="0" w:type="dxa"/>
          </w:tblCellMar>
        </w:tblPrEx>
        <w:trPr>
          <w:trHeight w:hRule="exact" w:val="303"/>
        </w:trPr>
        <w:tc>
          <w:tcPr>
            <w:tcW w:w="7267" w:type="dxa"/>
            <w:tcBorders>
              <w:top w:val="none" w:sz="0" w:space="0" w:color="020000"/>
              <w:left w:val="none" w:sz="0" w:space="0" w:color="020000"/>
              <w:bottom w:val="none" w:sz="0" w:space="0" w:color="020000"/>
              <w:right w:val="none" w:sz="0" w:space="0" w:color="020000"/>
            </w:tcBorders>
            <w:vAlign w:val="center"/>
          </w:tcPr>
          <w:p w14:paraId="0CA1DF12" w14:textId="77777777" w:rsidR="00345DC1" w:rsidRDefault="00DB08CC">
            <w:pPr>
              <w:spacing w:before="52" w:after="43" w:line="203" w:lineRule="exact"/>
              <w:ind w:left="1502"/>
              <w:textAlignment w:val="baseline"/>
              <w:rPr>
                <w:rFonts w:ascii="Calibri" w:eastAsia="Calibri" w:hAnsi="Calibri"/>
                <w:color w:val="000000"/>
                <w:sz w:val="20"/>
              </w:rPr>
            </w:pPr>
            <w:r>
              <w:rPr>
                <w:rFonts w:ascii="Calibri" w:eastAsia="Calibri" w:hAnsi="Calibri"/>
                <w:color w:val="000000"/>
                <w:sz w:val="20"/>
              </w:rPr>
              <w:t>Regulator Automation</w:t>
            </w:r>
          </w:p>
        </w:tc>
        <w:tc>
          <w:tcPr>
            <w:tcW w:w="2813" w:type="dxa"/>
            <w:tcBorders>
              <w:top w:val="none" w:sz="0" w:space="0" w:color="020000"/>
              <w:left w:val="none" w:sz="0" w:space="0" w:color="020000"/>
              <w:bottom w:val="none" w:sz="0" w:space="0" w:color="020000"/>
              <w:right w:val="none" w:sz="0" w:space="0" w:color="020000"/>
            </w:tcBorders>
            <w:vAlign w:val="center"/>
          </w:tcPr>
          <w:p w14:paraId="38F76352" w14:textId="77777777" w:rsidR="00345DC1" w:rsidRDefault="00DB08CC">
            <w:pPr>
              <w:spacing w:after="27" w:line="242" w:lineRule="exact"/>
              <w:ind w:right="1502"/>
              <w:jc w:val="right"/>
              <w:textAlignment w:val="baseline"/>
              <w:rPr>
                <w:rFonts w:ascii="Calibri" w:eastAsia="Calibri" w:hAnsi="Calibri"/>
                <w:color w:val="000000"/>
              </w:rPr>
            </w:pPr>
            <w:r>
              <w:rPr>
                <w:rFonts w:ascii="Calibri" w:eastAsia="Calibri" w:hAnsi="Calibri"/>
                <w:color w:val="000000"/>
              </w:rPr>
              <w:t>30%</w:t>
            </w:r>
          </w:p>
        </w:tc>
      </w:tr>
      <w:tr w:rsidR="00345DC1" w14:paraId="3851B6EC" w14:textId="77777777">
        <w:tblPrEx>
          <w:tblCellMar>
            <w:top w:w="0" w:type="dxa"/>
            <w:bottom w:w="0" w:type="dxa"/>
          </w:tblCellMar>
        </w:tblPrEx>
        <w:trPr>
          <w:trHeight w:hRule="exact" w:val="297"/>
        </w:trPr>
        <w:tc>
          <w:tcPr>
            <w:tcW w:w="7267" w:type="dxa"/>
            <w:tcBorders>
              <w:top w:val="none" w:sz="0" w:space="0" w:color="020000"/>
              <w:left w:val="none" w:sz="0" w:space="0" w:color="020000"/>
              <w:bottom w:val="none" w:sz="0" w:space="0" w:color="020000"/>
              <w:right w:val="none" w:sz="0" w:space="0" w:color="020000"/>
            </w:tcBorders>
            <w:vAlign w:val="center"/>
          </w:tcPr>
          <w:p w14:paraId="69B28552" w14:textId="77777777" w:rsidR="00345DC1" w:rsidRDefault="00DB08CC">
            <w:pPr>
              <w:spacing w:before="52" w:after="29" w:line="202" w:lineRule="exact"/>
              <w:ind w:left="1502"/>
              <w:textAlignment w:val="baseline"/>
              <w:rPr>
                <w:rFonts w:ascii="Calibri" w:eastAsia="Calibri" w:hAnsi="Calibri"/>
                <w:color w:val="000000"/>
                <w:sz w:val="20"/>
              </w:rPr>
            </w:pPr>
            <w:r>
              <w:rPr>
                <w:rFonts w:ascii="Calibri" w:eastAsia="Calibri" w:hAnsi="Calibri"/>
                <w:color w:val="000000"/>
                <w:sz w:val="20"/>
              </w:rPr>
              <w:t>GMW Pipelines</w:t>
            </w:r>
          </w:p>
        </w:tc>
        <w:tc>
          <w:tcPr>
            <w:tcW w:w="2813" w:type="dxa"/>
            <w:tcBorders>
              <w:top w:val="none" w:sz="0" w:space="0" w:color="020000"/>
              <w:left w:val="none" w:sz="0" w:space="0" w:color="020000"/>
              <w:bottom w:val="none" w:sz="0" w:space="0" w:color="020000"/>
              <w:right w:val="none" w:sz="0" w:space="0" w:color="020000"/>
            </w:tcBorders>
            <w:vAlign w:val="center"/>
          </w:tcPr>
          <w:p w14:paraId="00B19946" w14:textId="77777777" w:rsidR="00345DC1" w:rsidRDefault="00DB08CC">
            <w:pPr>
              <w:spacing w:after="18" w:line="242" w:lineRule="exact"/>
              <w:ind w:right="1502"/>
              <w:jc w:val="right"/>
              <w:textAlignment w:val="baseline"/>
              <w:rPr>
                <w:rFonts w:ascii="Calibri" w:eastAsia="Calibri" w:hAnsi="Calibri"/>
                <w:color w:val="000000"/>
              </w:rPr>
            </w:pPr>
            <w:r>
              <w:rPr>
                <w:rFonts w:ascii="Calibri" w:eastAsia="Calibri" w:hAnsi="Calibri"/>
                <w:color w:val="000000"/>
              </w:rPr>
              <w:t>4%</w:t>
            </w:r>
          </w:p>
        </w:tc>
      </w:tr>
      <w:tr w:rsidR="00345DC1" w14:paraId="3EB47CCB" w14:textId="77777777">
        <w:tblPrEx>
          <w:tblCellMar>
            <w:top w:w="0" w:type="dxa"/>
            <w:bottom w:w="0" w:type="dxa"/>
          </w:tblCellMar>
        </w:tblPrEx>
        <w:trPr>
          <w:trHeight w:hRule="exact" w:val="303"/>
        </w:trPr>
        <w:tc>
          <w:tcPr>
            <w:tcW w:w="7267" w:type="dxa"/>
            <w:tcBorders>
              <w:top w:val="none" w:sz="0" w:space="0" w:color="020000"/>
              <w:left w:val="none" w:sz="0" w:space="0" w:color="020000"/>
              <w:bottom w:val="none" w:sz="0" w:space="0" w:color="020000"/>
              <w:right w:val="none" w:sz="0" w:space="0" w:color="020000"/>
            </w:tcBorders>
            <w:vAlign w:val="center"/>
          </w:tcPr>
          <w:p w14:paraId="31E340D2" w14:textId="77777777" w:rsidR="00345DC1" w:rsidRDefault="00DB08CC">
            <w:pPr>
              <w:spacing w:before="52" w:after="48" w:line="202" w:lineRule="exact"/>
              <w:ind w:left="1502"/>
              <w:textAlignment w:val="baseline"/>
              <w:rPr>
                <w:rFonts w:ascii="Calibri" w:eastAsia="Calibri" w:hAnsi="Calibri"/>
                <w:color w:val="000000"/>
                <w:sz w:val="20"/>
              </w:rPr>
            </w:pPr>
            <w:r>
              <w:rPr>
                <w:rFonts w:ascii="Calibri" w:eastAsia="Calibri" w:hAnsi="Calibri"/>
                <w:color w:val="000000"/>
                <w:sz w:val="20"/>
              </w:rPr>
              <w:t>On-farm Works</w:t>
            </w:r>
          </w:p>
        </w:tc>
        <w:tc>
          <w:tcPr>
            <w:tcW w:w="2813" w:type="dxa"/>
            <w:tcBorders>
              <w:top w:val="none" w:sz="0" w:space="0" w:color="020000"/>
              <w:left w:val="none" w:sz="0" w:space="0" w:color="020000"/>
              <w:bottom w:val="none" w:sz="0" w:space="0" w:color="020000"/>
              <w:right w:val="none" w:sz="0" w:space="0" w:color="020000"/>
            </w:tcBorders>
            <w:vAlign w:val="center"/>
          </w:tcPr>
          <w:p w14:paraId="763A895C" w14:textId="77777777" w:rsidR="00345DC1" w:rsidRDefault="00DB08CC">
            <w:pPr>
              <w:spacing w:after="31" w:line="242" w:lineRule="exact"/>
              <w:ind w:right="1502"/>
              <w:jc w:val="right"/>
              <w:textAlignment w:val="baseline"/>
              <w:rPr>
                <w:rFonts w:ascii="Calibri" w:eastAsia="Calibri" w:hAnsi="Calibri"/>
                <w:color w:val="000000"/>
              </w:rPr>
            </w:pPr>
            <w:r>
              <w:rPr>
                <w:rFonts w:ascii="Calibri" w:eastAsia="Calibri" w:hAnsi="Calibri"/>
                <w:color w:val="000000"/>
              </w:rPr>
              <w:t>3%</w:t>
            </w:r>
          </w:p>
        </w:tc>
      </w:tr>
      <w:tr w:rsidR="00345DC1" w14:paraId="0A54DE5C" w14:textId="77777777">
        <w:tblPrEx>
          <w:tblCellMar>
            <w:top w:w="0" w:type="dxa"/>
            <w:bottom w:w="0" w:type="dxa"/>
          </w:tblCellMar>
        </w:tblPrEx>
        <w:trPr>
          <w:trHeight w:hRule="exact" w:val="297"/>
        </w:trPr>
        <w:tc>
          <w:tcPr>
            <w:tcW w:w="7267" w:type="dxa"/>
            <w:tcBorders>
              <w:top w:val="none" w:sz="0" w:space="0" w:color="020000"/>
              <w:left w:val="none" w:sz="0" w:space="0" w:color="020000"/>
              <w:bottom w:val="none" w:sz="0" w:space="0" w:color="020000"/>
              <w:right w:val="none" w:sz="0" w:space="0" w:color="020000"/>
            </w:tcBorders>
            <w:vAlign w:val="center"/>
          </w:tcPr>
          <w:p w14:paraId="2D2440A7" w14:textId="77777777" w:rsidR="00345DC1" w:rsidRDefault="00DB08CC">
            <w:pPr>
              <w:spacing w:before="52" w:after="33" w:line="202" w:lineRule="exact"/>
              <w:ind w:left="1502"/>
              <w:textAlignment w:val="baseline"/>
              <w:rPr>
                <w:rFonts w:ascii="Calibri" w:eastAsia="Calibri" w:hAnsi="Calibri"/>
                <w:color w:val="000000"/>
                <w:sz w:val="20"/>
              </w:rPr>
            </w:pPr>
            <w:r>
              <w:rPr>
                <w:rFonts w:ascii="Calibri" w:eastAsia="Calibri" w:hAnsi="Calibri"/>
                <w:color w:val="000000"/>
                <w:sz w:val="20"/>
              </w:rPr>
              <w:t>Asset Decommissioning</w:t>
            </w:r>
          </w:p>
        </w:tc>
        <w:tc>
          <w:tcPr>
            <w:tcW w:w="2813" w:type="dxa"/>
            <w:tcBorders>
              <w:top w:val="none" w:sz="0" w:space="0" w:color="020000"/>
              <w:left w:val="none" w:sz="0" w:space="0" w:color="020000"/>
              <w:bottom w:val="none" w:sz="0" w:space="0" w:color="020000"/>
              <w:right w:val="none" w:sz="0" w:space="0" w:color="020000"/>
            </w:tcBorders>
            <w:vAlign w:val="center"/>
          </w:tcPr>
          <w:p w14:paraId="62D11664" w14:textId="77777777" w:rsidR="00345DC1" w:rsidRDefault="00DB08CC">
            <w:pPr>
              <w:spacing w:after="22" w:line="242" w:lineRule="exact"/>
              <w:ind w:right="1502"/>
              <w:jc w:val="right"/>
              <w:textAlignment w:val="baseline"/>
              <w:rPr>
                <w:rFonts w:ascii="Calibri" w:eastAsia="Calibri" w:hAnsi="Calibri"/>
                <w:color w:val="000000"/>
              </w:rPr>
            </w:pPr>
            <w:r>
              <w:rPr>
                <w:rFonts w:ascii="Calibri" w:eastAsia="Calibri" w:hAnsi="Calibri"/>
                <w:color w:val="000000"/>
              </w:rPr>
              <w:t>1%</w:t>
            </w:r>
          </w:p>
        </w:tc>
      </w:tr>
      <w:tr w:rsidR="00345DC1" w14:paraId="73929417" w14:textId="77777777">
        <w:tblPrEx>
          <w:tblCellMar>
            <w:top w:w="0" w:type="dxa"/>
            <w:bottom w:w="0" w:type="dxa"/>
          </w:tblCellMar>
        </w:tblPrEx>
        <w:trPr>
          <w:trHeight w:hRule="exact" w:val="298"/>
        </w:trPr>
        <w:tc>
          <w:tcPr>
            <w:tcW w:w="7267" w:type="dxa"/>
            <w:tcBorders>
              <w:top w:val="none" w:sz="0" w:space="0" w:color="020000"/>
              <w:left w:val="none" w:sz="0" w:space="0" w:color="020000"/>
              <w:bottom w:val="none" w:sz="0" w:space="0" w:color="020000"/>
              <w:right w:val="none" w:sz="0" w:space="0" w:color="020000"/>
            </w:tcBorders>
            <w:vAlign w:val="center"/>
          </w:tcPr>
          <w:p w14:paraId="74E335B4" w14:textId="77777777" w:rsidR="00345DC1" w:rsidRDefault="00DB08CC">
            <w:pPr>
              <w:spacing w:before="52" w:after="38" w:line="203" w:lineRule="exact"/>
              <w:ind w:left="1502"/>
              <w:textAlignment w:val="baseline"/>
              <w:rPr>
                <w:rFonts w:ascii="Calibri" w:eastAsia="Calibri" w:hAnsi="Calibri"/>
                <w:color w:val="000000"/>
                <w:sz w:val="20"/>
              </w:rPr>
            </w:pPr>
            <w:r>
              <w:rPr>
                <w:rFonts w:ascii="Calibri" w:eastAsia="Calibri" w:hAnsi="Calibri"/>
                <w:color w:val="000000"/>
                <w:sz w:val="20"/>
              </w:rPr>
              <w:t>Contingency</w:t>
            </w:r>
          </w:p>
        </w:tc>
        <w:tc>
          <w:tcPr>
            <w:tcW w:w="2813" w:type="dxa"/>
            <w:tcBorders>
              <w:top w:val="none" w:sz="0" w:space="0" w:color="020000"/>
              <w:left w:val="none" w:sz="0" w:space="0" w:color="020000"/>
              <w:bottom w:val="none" w:sz="0" w:space="0" w:color="020000"/>
              <w:right w:val="none" w:sz="0" w:space="0" w:color="020000"/>
            </w:tcBorders>
            <w:vAlign w:val="center"/>
          </w:tcPr>
          <w:p w14:paraId="4B9022C4" w14:textId="77777777" w:rsidR="00345DC1" w:rsidRDefault="00DB08CC">
            <w:pPr>
              <w:spacing w:after="22" w:line="242" w:lineRule="exact"/>
              <w:ind w:right="1502"/>
              <w:jc w:val="right"/>
              <w:textAlignment w:val="baseline"/>
              <w:rPr>
                <w:rFonts w:ascii="Calibri" w:eastAsia="Calibri" w:hAnsi="Calibri"/>
                <w:color w:val="000000"/>
              </w:rPr>
            </w:pPr>
            <w:r>
              <w:rPr>
                <w:rFonts w:ascii="Calibri" w:eastAsia="Calibri" w:hAnsi="Calibri"/>
                <w:color w:val="000000"/>
              </w:rPr>
              <w:t>8%</w:t>
            </w:r>
          </w:p>
        </w:tc>
      </w:tr>
      <w:tr w:rsidR="00345DC1" w14:paraId="7F2815A6" w14:textId="77777777">
        <w:tblPrEx>
          <w:tblCellMar>
            <w:top w:w="0" w:type="dxa"/>
            <w:bottom w:w="0" w:type="dxa"/>
          </w:tblCellMar>
        </w:tblPrEx>
        <w:trPr>
          <w:trHeight w:hRule="exact" w:val="302"/>
        </w:trPr>
        <w:tc>
          <w:tcPr>
            <w:tcW w:w="7267" w:type="dxa"/>
            <w:tcBorders>
              <w:top w:val="none" w:sz="0" w:space="0" w:color="020000"/>
              <w:left w:val="none" w:sz="0" w:space="0" w:color="020000"/>
              <w:bottom w:val="none" w:sz="0" w:space="0" w:color="020000"/>
              <w:right w:val="none" w:sz="0" w:space="0" w:color="020000"/>
            </w:tcBorders>
            <w:vAlign w:val="center"/>
          </w:tcPr>
          <w:p w14:paraId="59481CDB" w14:textId="77777777" w:rsidR="00345DC1" w:rsidRDefault="00DB08CC">
            <w:pPr>
              <w:spacing w:before="57" w:after="38" w:line="202" w:lineRule="exact"/>
              <w:ind w:left="1502"/>
              <w:textAlignment w:val="baseline"/>
              <w:rPr>
                <w:rFonts w:ascii="Calibri" w:eastAsia="Calibri" w:hAnsi="Calibri"/>
                <w:color w:val="000000"/>
                <w:sz w:val="20"/>
              </w:rPr>
            </w:pPr>
            <w:r>
              <w:rPr>
                <w:rFonts w:ascii="Calibri" w:eastAsia="Calibri" w:hAnsi="Calibri"/>
                <w:color w:val="000000"/>
                <w:sz w:val="20"/>
              </w:rPr>
              <w:t>Project management and landowner engagement overheads</w:t>
            </w:r>
          </w:p>
        </w:tc>
        <w:tc>
          <w:tcPr>
            <w:tcW w:w="2813" w:type="dxa"/>
            <w:tcBorders>
              <w:top w:val="none" w:sz="0" w:space="0" w:color="020000"/>
              <w:left w:val="none" w:sz="0" w:space="0" w:color="020000"/>
              <w:bottom w:val="none" w:sz="0" w:space="0" w:color="020000"/>
              <w:right w:val="none" w:sz="0" w:space="0" w:color="020000"/>
            </w:tcBorders>
            <w:vAlign w:val="center"/>
          </w:tcPr>
          <w:p w14:paraId="3E87E9FB" w14:textId="77777777" w:rsidR="00345DC1" w:rsidRDefault="00DB08CC">
            <w:pPr>
              <w:spacing w:after="27" w:line="242" w:lineRule="exact"/>
              <w:ind w:right="1502"/>
              <w:jc w:val="right"/>
              <w:textAlignment w:val="baseline"/>
              <w:rPr>
                <w:rFonts w:ascii="Calibri" w:eastAsia="Calibri" w:hAnsi="Calibri"/>
                <w:color w:val="000000"/>
              </w:rPr>
            </w:pPr>
            <w:r>
              <w:rPr>
                <w:rFonts w:ascii="Calibri" w:eastAsia="Calibri" w:hAnsi="Calibri"/>
                <w:color w:val="000000"/>
              </w:rPr>
              <w:t>11%</w:t>
            </w:r>
          </w:p>
        </w:tc>
      </w:tr>
      <w:tr w:rsidR="00345DC1" w14:paraId="7078B65A" w14:textId="77777777">
        <w:tblPrEx>
          <w:tblCellMar>
            <w:top w:w="0" w:type="dxa"/>
            <w:bottom w:w="0" w:type="dxa"/>
          </w:tblCellMar>
        </w:tblPrEx>
        <w:trPr>
          <w:trHeight w:hRule="exact" w:val="269"/>
        </w:trPr>
        <w:tc>
          <w:tcPr>
            <w:tcW w:w="7267" w:type="dxa"/>
            <w:tcBorders>
              <w:top w:val="none" w:sz="0" w:space="0" w:color="020000"/>
              <w:left w:val="none" w:sz="0" w:space="0" w:color="020000"/>
              <w:bottom w:val="none" w:sz="0" w:space="0" w:color="020000"/>
              <w:right w:val="none" w:sz="0" w:space="0" w:color="020000"/>
            </w:tcBorders>
            <w:vAlign w:val="center"/>
          </w:tcPr>
          <w:p w14:paraId="3FD38ED8" w14:textId="77777777" w:rsidR="00345DC1" w:rsidRDefault="00DB08CC">
            <w:pPr>
              <w:spacing w:before="52" w:line="202" w:lineRule="exact"/>
              <w:ind w:left="1502"/>
              <w:textAlignment w:val="baseline"/>
              <w:rPr>
                <w:rFonts w:ascii="Calibri" w:eastAsia="Calibri" w:hAnsi="Calibri"/>
                <w:color w:val="000000"/>
                <w:sz w:val="20"/>
              </w:rPr>
            </w:pPr>
            <w:r>
              <w:rPr>
                <w:rFonts w:ascii="Calibri" w:eastAsia="Calibri" w:hAnsi="Calibri"/>
                <w:color w:val="000000"/>
                <w:sz w:val="20"/>
              </w:rPr>
              <w:t>Escalation</w:t>
            </w:r>
          </w:p>
        </w:tc>
        <w:tc>
          <w:tcPr>
            <w:tcW w:w="2813" w:type="dxa"/>
            <w:tcBorders>
              <w:top w:val="none" w:sz="0" w:space="0" w:color="020000"/>
              <w:left w:val="none" w:sz="0" w:space="0" w:color="020000"/>
              <w:bottom w:val="none" w:sz="0" w:space="0" w:color="020000"/>
              <w:right w:val="none" w:sz="0" w:space="0" w:color="020000"/>
            </w:tcBorders>
            <w:vAlign w:val="center"/>
          </w:tcPr>
          <w:p w14:paraId="321BD2F4" w14:textId="77777777" w:rsidR="00345DC1" w:rsidRDefault="00DB08CC">
            <w:pPr>
              <w:spacing w:line="225" w:lineRule="exact"/>
              <w:ind w:right="1502"/>
              <w:jc w:val="right"/>
              <w:textAlignment w:val="baseline"/>
              <w:rPr>
                <w:rFonts w:ascii="Calibri" w:eastAsia="Calibri" w:hAnsi="Calibri"/>
                <w:color w:val="000000"/>
              </w:rPr>
            </w:pPr>
            <w:r>
              <w:rPr>
                <w:rFonts w:ascii="Calibri" w:eastAsia="Calibri" w:hAnsi="Calibri"/>
                <w:color w:val="000000"/>
              </w:rPr>
              <w:t>3%</w:t>
            </w:r>
          </w:p>
        </w:tc>
      </w:tr>
      <w:tr w:rsidR="00345DC1" w14:paraId="2D608EF2" w14:textId="77777777">
        <w:tblPrEx>
          <w:tblCellMar>
            <w:top w:w="0" w:type="dxa"/>
            <w:bottom w:w="0" w:type="dxa"/>
          </w:tblCellMar>
        </w:tblPrEx>
        <w:trPr>
          <w:trHeight w:hRule="exact" w:val="303"/>
        </w:trPr>
        <w:tc>
          <w:tcPr>
            <w:tcW w:w="7267" w:type="dxa"/>
            <w:tcBorders>
              <w:top w:val="none" w:sz="0" w:space="0" w:color="020000"/>
              <w:left w:val="none" w:sz="0" w:space="0" w:color="020000"/>
              <w:bottom w:val="none" w:sz="0" w:space="0" w:color="020000"/>
              <w:right w:val="none" w:sz="0" w:space="0" w:color="020000"/>
            </w:tcBorders>
            <w:shd w:val="clear" w:color="EAEAEA" w:fill="EAEAEA"/>
            <w:vAlign w:val="center"/>
          </w:tcPr>
          <w:p w14:paraId="61F8811F" w14:textId="77777777" w:rsidR="00345DC1" w:rsidRDefault="00DB08CC">
            <w:pPr>
              <w:spacing w:before="46" w:after="51" w:line="205" w:lineRule="exact"/>
              <w:ind w:left="1502"/>
              <w:textAlignment w:val="baseline"/>
              <w:rPr>
                <w:rFonts w:ascii="Arial" w:eastAsia="Arial" w:hAnsi="Arial"/>
                <w:b/>
                <w:color w:val="000000"/>
                <w:sz w:val="18"/>
              </w:rPr>
            </w:pPr>
            <w:r>
              <w:rPr>
                <w:rFonts w:ascii="Arial" w:eastAsia="Arial" w:hAnsi="Arial"/>
                <w:b/>
                <w:color w:val="000000"/>
                <w:sz w:val="18"/>
              </w:rPr>
              <w:t>Total Estimated Cost</w:t>
            </w:r>
          </w:p>
        </w:tc>
        <w:tc>
          <w:tcPr>
            <w:tcW w:w="2813" w:type="dxa"/>
            <w:tcBorders>
              <w:top w:val="none" w:sz="0" w:space="0" w:color="020000"/>
              <w:left w:val="none" w:sz="0" w:space="0" w:color="020000"/>
              <w:bottom w:val="none" w:sz="0" w:space="0" w:color="020000"/>
              <w:right w:val="none" w:sz="0" w:space="0" w:color="020000"/>
            </w:tcBorders>
            <w:vAlign w:val="center"/>
          </w:tcPr>
          <w:p w14:paraId="157E67CB" w14:textId="77777777" w:rsidR="00345DC1" w:rsidRDefault="00DB08CC">
            <w:pPr>
              <w:spacing w:before="57" w:after="3" w:line="242" w:lineRule="exact"/>
              <w:ind w:right="1502"/>
              <w:jc w:val="right"/>
              <w:textAlignment w:val="baseline"/>
              <w:rPr>
                <w:rFonts w:ascii="Calibri" w:eastAsia="Calibri" w:hAnsi="Calibri"/>
                <w:color w:val="000000"/>
              </w:rPr>
            </w:pPr>
            <w:r>
              <w:rPr>
                <w:rFonts w:ascii="Calibri" w:eastAsia="Calibri" w:hAnsi="Calibri"/>
                <w:color w:val="000000"/>
              </w:rPr>
              <w:t>100%</w:t>
            </w:r>
          </w:p>
        </w:tc>
      </w:tr>
    </w:tbl>
    <w:p w14:paraId="6C58963B" w14:textId="77777777" w:rsidR="00345DC1" w:rsidRDefault="00345DC1">
      <w:pPr>
        <w:spacing w:after="562" w:line="20" w:lineRule="exact"/>
      </w:pPr>
    </w:p>
    <w:p w14:paraId="1D8837BE" w14:textId="77777777" w:rsidR="00345DC1" w:rsidRDefault="00DB08CC">
      <w:pPr>
        <w:tabs>
          <w:tab w:val="left" w:pos="1224"/>
        </w:tabs>
        <w:spacing w:before="1" w:line="230" w:lineRule="exact"/>
        <w:ind w:left="288"/>
        <w:textAlignment w:val="baseline"/>
        <w:rPr>
          <w:rFonts w:ascii="Arial" w:eastAsia="Arial" w:hAnsi="Arial"/>
          <w:b/>
          <w:color w:val="000000"/>
          <w:spacing w:val="1"/>
          <w:sz w:val="20"/>
        </w:rPr>
      </w:pPr>
      <w:r>
        <w:rPr>
          <w:rFonts w:ascii="Arial" w:eastAsia="Arial" w:hAnsi="Arial"/>
          <w:b/>
          <w:color w:val="000000"/>
          <w:spacing w:val="1"/>
          <w:sz w:val="20"/>
        </w:rPr>
        <w:t>6.2.3.2</w:t>
      </w:r>
      <w:r>
        <w:rPr>
          <w:rFonts w:ascii="Arial" w:eastAsia="Arial" w:hAnsi="Arial"/>
          <w:b/>
          <w:color w:val="000000"/>
          <w:spacing w:val="1"/>
          <w:sz w:val="20"/>
        </w:rPr>
        <w:tab/>
        <w:t>Analysis and Assessment</w:t>
      </w:r>
    </w:p>
    <w:p w14:paraId="0DCF337E" w14:textId="77777777" w:rsidR="00345DC1" w:rsidRDefault="00DB08CC">
      <w:pPr>
        <w:numPr>
          <w:ilvl w:val="0"/>
          <w:numId w:val="7"/>
        </w:numPr>
        <w:tabs>
          <w:tab w:val="clear" w:pos="288"/>
          <w:tab w:val="left" w:pos="576"/>
        </w:tabs>
        <w:spacing w:before="57" w:line="283" w:lineRule="exact"/>
        <w:ind w:left="576" w:right="360" w:hanging="288"/>
        <w:textAlignment w:val="baseline"/>
        <w:rPr>
          <w:rFonts w:ascii="Arial" w:eastAsia="Arial" w:hAnsi="Arial"/>
          <w:color w:val="000000"/>
          <w:sz w:val="20"/>
        </w:rPr>
      </w:pPr>
      <w:r>
        <w:rPr>
          <w:rFonts w:ascii="Arial" w:eastAsia="Arial" w:hAnsi="Arial"/>
          <w:color w:val="000000"/>
          <w:sz w:val="20"/>
        </w:rPr>
        <w:t>The following provides an analysis of the methods and assumptions used to estimate the overall project cost.</w:t>
      </w:r>
    </w:p>
    <w:p w14:paraId="60F7167A" w14:textId="77777777" w:rsidR="00345DC1" w:rsidRDefault="00DB08CC">
      <w:pPr>
        <w:spacing w:before="169" w:line="230" w:lineRule="exact"/>
        <w:ind w:left="288"/>
        <w:textAlignment w:val="baseline"/>
        <w:rPr>
          <w:rFonts w:ascii="Arial" w:eastAsia="Arial" w:hAnsi="Arial"/>
          <w:b/>
          <w:color w:val="00639B"/>
          <w:spacing w:val="-7"/>
          <w:sz w:val="20"/>
        </w:rPr>
      </w:pPr>
      <w:r>
        <w:rPr>
          <w:rFonts w:ascii="Arial" w:eastAsia="Arial" w:hAnsi="Arial"/>
          <w:b/>
          <w:color w:val="00639B"/>
          <w:spacing w:val="-7"/>
          <w:sz w:val="20"/>
        </w:rPr>
        <w:t>Base Cost</w:t>
      </w:r>
    </w:p>
    <w:p w14:paraId="02263EE2" w14:textId="77777777" w:rsidR="00345DC1" w:rsidRDefault="00DB08CC">
      <w:pPr>
        <w:numPr>
          <w:ilvl w:val="0"/>
          <w:numId w:val="7"/>
        </w:numPr>
        <w:tabs>
          <w:tab w:val="clear" w:pos="288"/>
          <w:tab w:val="left" w:pos="576"/>
        </w:tabs>
        <w:spacing w:before="6" w:line="345" w:lineRule="exact"/>
        <w:ind w:left="576" w:right="432" w:hanging="288"/>
        <w:textAlignment w:val="baseline"/>
        <w:rPr>
          <w:rFonts w:ascii="Arial" w:eastAsia="Arial" w:hAnsi="Arial"/>
          <w:color w:val="000000"/>
          <w:sz w:val="20"/>
        </w:rPr>
      </w:pPr>
      <w:r>
        <w:rPr>
          <w:rFonts w:ascii="Arial" w:eastAsia="Arial" w:hAnsi="Arial"/>
          <w:color w:val="000000"/>
          <w:sz w:val="20"/>
        </w:rPr>
        <w:t xml:space="preserve">More than 90% of the cost is associated with meter and regulator upgrade works. These works are inherently lower risk compared to other works elements such as on-farm works, </w:t>
      </w:r>
      <w:proofErr w:type="gramStart"/>
      <w:r>
        <w:rPr>
          <w:rFonts w:ascii="Arial" w:eastAsia="Arial" w:hAnsi="Arial"/>
          <w:color w:val="000000"/>
          <w:sz w:val="20"/>
        </w:rPr>
        <w:t>pipelines</w:t>
      </w:r>
      <w:proofErr w:type="gramEnd"/>
      <w:r>
        <w:rPr>
          <w:rFonts w:ascii="Arial" w:eastAsia="Arial" w:hAnsi="Arial"/>
          <w:color w:val="000000"/>
          <w:sz w:val="20"/>
        </w:rPr>
        <w:t xml:space="preserve"> and channel remediation.</w:t>
      </w:r>
    </w:p>
    <w:p w14:paraId="1047218C" w14:textId="77777777" w:rsidR="00345DC1" w:rsidRDefault="00DB08CC">
      <w:pPr>
        <w:numPr>
          <w:ilvl w:val="0"/>
          <w:numId w:val="7"/>
        </w:numPr>
        <w:tabs>
          <w:tab w:val="clear" w:pos="288"/>
          <w:tab w:val="left" w:pos="576"/>
        </w:tabs>
        <w:spacing w:before="213" w:line="255" w:lineRule="exact"/>
        <w:ind w:left="576" w:hanging="288"/>
        <w:textAlignment w:val="baseline"/>
        <w:rPr>
          <w:rFonts w:ascii="Arial" w:eastAsia="Arial" w:hAnsi="Arial"/>
          <w:color w:val="000000"/>
          <w:sz w:val="20"/>
        </w:rPr>
      </w:pPr>
      <w:r>
        <w:rPr>
          <w:rFonts w:ascii="Arial" w:eastAsia="Arial" w:hAnsi="Arial"/>
          <w:color w:val="000000"/>
          <w:sz w:val="20"/>
        </w:rPr>
        <w:t>Comments on base cost estimates are provided in</w:t>
      </w:r>
      <w:r>
        <w:rPr>
          <w:rFonts w:ascii="Arial" w:eastAsia="Arial" w:hAnsi="Arial"/>
          <w:color w:val="000000"/>
          <w:sz w:val="20"/>
        </w:rPr>
        <w:t xml:space="preserve"> </w:t>
      </w:r>
      <w:r>
        <w:rPr>
          <w:rFonts w:ascii="Arial" w:eastAsia="Arial" w:hAnsi="Arial"/>
          <w:color w:val="000000"/>
          <w:sz w:val="21"/>
          <w:u w:val="single"/>
        </w:rPr>
        <w:t>Section 6.1.2</w:t>
      </w:r>
      <w:r>
        <w:rPr>
          <w:rFonts w:ascii="Arial" w:eastAsia="Arial" w:hAnsi="Arial"/>
          <w:color w:val="000000"/>
          <w:sz w:val="20"/>
        </w:rPr>
        <w:t xml:space="preserve"> above.</w:t>
      </w:r>
    </w:p>
    <w:p w14:paraId="13DEA93E" w14:textId="77777777" w:rsidR="00345DC1" w:rsidRDefault="00DB08CC">
      <w:pPr>
        <w:spacing w:before="277" w:line="230" w:lineRule="exact"/>
        <w:ind w:left="288"/>
        <w:textAlignment w:val="baseline"/>
        <w:rPr>
          <w:rFonts w:ascii="Arial" w:eastAsia="Arial" w:hAnsi="Arial"/>
          <w:b/>
          <w:color w:val="00639B"/>
          <w:spacing w:val="-7"/>
          <w:sz w:val="20"/>
        </w:rPr>
      </w:pPr>
      <w:r>
        <w:rPr>
          <w:rFonts w:ascii="Arial" w:eastAsia="Arial" w:hAnsi="Arial"/>
          <w:b/>
          <w:color w:val="00639B"/>
          <w:spacing w:val="-7"/>
          <w:sz w:val="20"/>
        </w:rPr>
        <w:t>Escalation</w:t>
      </w:r>
    </w:p>
    <w:p w14:paraId="600F6E89" w14:textId="77777777" w:rsidR="00345DC1" w:rsidRDefault="00DB08CC">
      <w:pPr>
        <w:numPr>
          <w:ilvl w:val="0"/>
          <w:numId w:val="7"/>
        </w:numPr>
        <w:tabs>
          <w:tab w:val="clear" w:pos="288"/>
          <w:tab w:val="left" w:pos="576"/>
        </w:tabs>
        <w:spacing w:before="150" w:line="255" w:lineRule="exact"/>
        <w:ind w:left="576" w:hanging="288"/>
        <w:textAlignment w:val="baseline"/>
        <w:rPr>
          <w:rFonts w:ascii="Arial" w:eastAsia="Arial" w:hAnsi="Arial"/>
          <w:color w:val="000000"/>
          <w:spacing w:val="-2"/>
          <w:sz w:val="20"/>
        </w:rPr>
      </w:pPr>
      <w:r>
        <w:rPr>
          <w:rFonts w:ascii="Arial" w:eastAsia="Arial" w:hAnsi="Arial"/>
          <w:color w:val="000000"/>
          <w:spacing w:val="-2"/>
          <w:sz w:val="20"/>
        </w:rPr>
        <w:t xml:space="preserve">Refer to </w:t>
      </w:r>
      <w:r>
        <w:rPr>
          <w:rFonts w:ascii="Arial" w:eastAsia="Arial" w:hAnsi="Arial"/>
          <w:color w:val="000000"/>
          <w:spacing w:val="-2"/>
          <w:sz w:val="21"/>
          <w:u w:val="single"/>
        </w:rPr>
        <w:t>Section 6.1.2</w:t>
      </w:r>
      <w:r>
        <w:rPr>
          <w:rFonts w:ascii="Arial" w:eastAsia="Arial" w:hAnsi="Arial"/>
          <w:color w:val="FFFFFF"/>
          <w:spacing w:val="-2"/>
          <w:sz w:val="21"/>
          <w:u w:val="single"/>
          <w:shd w:val="solid" w:color="00639B" w:fill="00639B"/>
        </w:rPr>
        <w:t xml:space="preserve"> </w:t>
      </w:r>
    </w:p>
    <w:p w14:paraId="4B1074C1" w14:textId="77777777" w:rsidR="00345DC1" w:rsidRDefault="00DB08CC">
      <w:pPr>
        <w:spacing w:before="1123" w:line="142" w:lineRule="exact"/>
        <w:ind w:left="792"/>
        <w:textAlignment w:val="baseline"/>
        <w:rPr>
          <w:rFonts w:ascii="Arial" w:eastAsia="Arial" w:hAnsi="Arial"/>
          <w:color w:val="000000"/>
          <w:sz w:val="14"/>
        </w:rPr>
      </w:pPr>
      <w:r>
        <w:rPr>
          <w:rFonts w:ascii="Arial" w:eastAsia="Arial" w:hAnsi="Arial"/>
          <w:color w:val="000000"/>
          <w:sz w:val="14"/>
        </w:rPr>
        <w:t>GHD ADVISORY</w:t>
      </w:r>
    </w:p>
    <w:p w14:paraId="515BFB09" w14:textId="77777777" w:rsidR="00345DC1" w:rsidRDefault="00DB08CC">
      <w:pPr>
        <w:spacing w:line="124" w:lineRule="exact"/>
        <w:ind w:left="288"/>
        <w:textAlignment w:val="baseline"/>
        <w:rPr>
          <w:rFonts w:ascii="Arial" w:eastAsia="Arial" w:hAnsi="Arial"/>
          <w:color w:val="FFFFFF"/>
          <w:spacing w:val="36"/>
          <w:sz w:val="15"/>
          <w:shd w:val="solid" w:color="00639B" w:fill="00639B"/>
        </w:rPr>
      </w:pPr>
      <w:r>
        <w:rPr>
          <w:rFonts w:ascii="Arial" w:eastAsia="Arial" w:hAnsi="Arial"/>
          <w:color w:val="FFFFFF"/>
          <w:spacing w:val="36"/>
          <w:sz w:val="15"/>
          <w:shd w:val="solid" w:color="00639B" w:fill="00639B"/>
        </w:rPr>
        <w:t>17</w:t>
      </w:r>
    </w:p>
    <w:p w14:paraId="50BA69D3" w14:textId="77777777" w:rsidR="00345DC1" w:rsidRDefault="00DB08CC">
      <w:pPr>
        <w:spacing w:line="139" w:lineRule="exact"/>
        <w:ind w:left="792"/>
        <w:textAlignment w:val="baseline"/>
        <w:rPr>
          <w:rFonts w:ascii="Arial" w:eastAsia="Arial" w:hAnsi="Arial"/>
          <w:color w:val="000000"/>
          <w:sz w:val="14"/>
        </w:rPr>
      </w:pPr>
      <w:r>
        <w:rPr>
          <w:rFonts w:ascii="Arial" w:eastAsia="Arial" w:hAnsi="Arial"/>
          <w:color w:val="000000"/>
          <w:sz w:val="14"/>
        </w:rPr>
        <w:t>Review of Goulburn Murray Water (GMW) Water</w:t>
      </w:r>
    </w:p>
    <w:p w14:paraId="1A7AB087" w14:textId="77777777" w:rsidR="00345DC1" w:rsidRDefault="00DB08CC">
      <w:pPr>
        <w:spacing w:before="3" w:line="165" w:lineRule="exact"/>
        <w:ind w:left="792"/>
        <w:textAlignment w:val="baseline"/>
        <w:rPr>
          <w:rFonts w:ascii="Arial" w:eastAsia="Arial" w:hAnsi="Arial"/>
          <w:color w:val="000000"/>
          <w:sz w:val="14"/>
        </w:rPr>
      </w:pPr>
      <w:r>
        <w:rPr>
          <w:rFonts w:ascii="Arial" w:eastAsia="Arial" w:hAnsi="Arial"/>
          <w:color w:val="000000"/>
          <w:sz w:val="14"/>
        </w:rPr>
        <w:t>Efficiency Project</w:t>
      </w:r>
    </w:p>
    <w:p w14:paraId="6FD2DB98" w14:textId="77777777" w:rsidR="00345DC1" w:rsidRDefault="00345DC1">
      <w:pPr>
        <w:sectPr w:rsidR="00345DC1">
          <w:pgSz w:w="11909" w:h="16838"/>
          <w:pgMar w:top="620" w:right="917" w:bottom="262" w:left="912" w:header="720" w:footer="720" w:gutter="0"/>
          <w:cols w:space="720"/>
        </w:sectPr>
      </w:pPr>
    </w:p>
    <w:p w14:paraId="073F4B09" w14:textId="77777777" w:rsidR="00345DC1" w:rsidRDefault="00DB08CC">
      <w:pPr>
        <w:spacing w:before="2" w:line="230" w:lineRule="exact"/>
        <w:ind w:left="216"/>
        <w:textAlignment w:val="baseline"/>
        <w:rPr>
          <w:rFonts w:ascii="Arial" w:eastAsia="Arial" w:hAnsi="Arial"/>
          <w:b/>
          <w:color w:val="0064A3"/>
          <w:spacing w:val="-2"/>
          <w:sz w:val="20"/>
        </w:rPr>
      </w:pPr>
      <w:r>
        <w:rPr>
          <w:rFonts w:ascii="Arial" w:eastAsia="Arial" w:hAnsi="Arial"/>
          <w:b/>
          <w:color w:val="0064A3"/>
          <w:spacing w:val="-2"/>
          <w:sz w:val="20"/>
        </w:rPr>
        <w:lastRenderedPageBreak/>
        <w:t>Resourcing</w:t>
      </w:r>
    </w:p>
    <w:p w14:paraId="222E52A4" w14:textId="77777777" w:rsidR="00345DC1" w:rsidRDefault="00DB08CC">
      <w:pPr>
        <w:numPr>
          <w:ilvl w:val="0"/>
          <w:numId w:val="6"/>
        </w:numPr>
        <w:tabs>
          <w:tab w:val="clear" w:pos="432"/>
          <w:tab w:val="left" w:pos="648"/>
        </w:tabs>
        <w:spacing w:before="150" w:line="255" w:lineRule="exact"/>
        <w:ind w:left="216"/>
        <w:textAlignment w:val="baseline"/>
        <w:rPr>
          <w:rFonts w:ascii="Arial" w:eastAsia="Arial" w:hAnsi="Arial"/>
          <w:color w:val="000000"/>
          <w:spacing w:val="-4"/>
          <w:sz w:val="20"/>
        </w:rPr>
      </w:pPr>
      <w:r>
        <w:rPr>
          <w:rFonts w:ascii="Arial" w:eastAsia="Arial" w:hAnsi="Arial"/>
          <w:color w:val="000000"/>
          <w:spacing w:val="-4"/>
          <w:sz w:val="20"/>
        </w:rPr>
        <w:t xml:space="preserve">Refer to </w:t>
      </w:r>
      <w:r>
        <w:rPr>
          <w:rFonts w:ascii="Arial" w:eastAsia="Arial" w:hAnsi="Arial"/>
          <w:color w:val="000000"/>
          <w:spacing w:val="-4"/>
          <w:sz w:val="21"/>
          <w:u w:val="single"/>
        </w:rPr>
        <w:t>Section 6.1.2</w:t>
      </w:r>
      <w:r>
        <w:rPr>
          <w:rFonts w:ascii="Arial" w:eastAsia="Arial" w:hAnsi="Arial"/>
          <w:color w:val="0064A3"/>
          <w:spacing w:val="-4"/>
          <w:sz w:val="21"/>
          <w:u w:val="single"/>
        </w:rPr>
        <w:t xml:space="preserve"> </w:t>
      </w:r>
    </w:p>
    <w:p w14:paraId="66252429" w14:textId="77777777" w:rsidR="00345DC1" w:rsidRDefault="00DB08CC">
      <w:pPr>
        <w:spacing w:before="166" w:line="230" w:lineRule="exact"/>
        <w:ind w:left="216"/>
        <w:textAlignment w:val="baseline"/>
        <w:rPr>
          <w:rFonts w:ascii="Arial" w:eastAsia="Arial" w:hAnsi="Arial"/>
          <w:b/>
          <w:color w:val="0064A3"/>
          <w:spacing w:val="-3"/>
          <w:sz w:val="20"/>
        </w:rPr>
      </w:pPr>
      <w:r>
        <w:rPr>
          <w:rFonts w:ascii="Arial" w:eastAsia="Arial" w:hAnsi="Arial"/>
          <w:b/>
          <w:color w:val="0064A3"/>
          <w:spacing w:val="-3"/>
          <w:sz w:val="20"/>
        </w:rPr>
        <w:t>Program</w:t>
      </w:r>
    </w:p>
    <w:p w14:paraId="39E916C8" w14:textId="77777777" w:rsidR="00345DC1" w:rsidRDefault="00DB08CC">
      <w:pPr>
        <w:numPr>
          <w:ilvl w:val="0"/>
          <w:numId w:val="2"/>
        </w:numPr>
        <w:tabs>
          <w:tab w:val="clear" w:pos="360"/>
          <w:tab w:val="left" w:pos="648"/>
        </w:tabs>
        <w:spacing w:before="5" w:line="345" w:lineRule="exact"/>
        <w:ind w:left="648" w:right="216" w:hanging="360"/>
        <w:textAlignment w:val="baseline"/>
        <w:rPr>
          <w:rFonts w:ascii="Arial" w:eastAsia="Arial" w:hAnsi="Arial"/>
          <w:color w:val="000000"/>
          <w:sz w:val="20"/>
        </w:rPr>
      </w:pPr>
      <w:r>
        <w:rPr>
          <w:rFonts w:ascii="Arial" w:eastAsia="Arial" w:hAnsi="Arial"/>
          <w:color w:val="000000"/>
          <w:sz w:val="20"/>
        </w:rPr>
        <w:t xml:space="preserve">Further to the comments made in </w:t>
      </w:r>
      <w:r>
        <w:rPr>
          <w:rFonts w:ascii="Arial" w:eastAsia="Arial" w:hAnsi="Arial"/>
          <w:color w:val="000000"/>
          <w:sz w:val="21"/>
          <w:u w:val="single"/>
        </w:rPr>
        <w:t>Section 6.1.2</w:t>
      </w:r>
      <w:r>
        <w:rPr>
          <w:rFonts w:ascii="Arial" w:eastAsia="Arial" w:hAnsi="Arial"/>
          <w:color w:val="000000"/>
          <w:sz w:val="20"/>
        </w:rPr>
        <w:t xml:space="preserve">, previous </w:t>
      </w:r>
      <w:proofErr w:type="spellStart"/>
      <w:r>
        <w:rPr>
          <w:rFonts w:ascii="Arial" w:eastAsia="Arial" w:hAnsi="Arial"/>
          <w:color w:val="000000"/>
          <w:sz w:val="20"/>
        </w:rPr>
        <w:t>modernisation</w:t>
      </w:r>
      <w:proofErr w:type="spellEnd"/>
      <w:r>
        <w:rPr>
          <w:rFonts w:ascii="Arial" w:eastAsia="Arial" w:hAnsi="Arial"/>
          <w:color w:val="000000"/>
          <w:sz w:val="20"/>
        </w:rPr>
        <w:t xml:space="preserve"> proposals within the </w:t>
      </w:r>
      <w:proofErr w:type="spellStart"/>
      <w:r>
        <w:rPr>
          <w:rFonts w:ascii="Arial" w:eastAsia="Arial" w:hAnsi="Arial"/>
          <w:color w:val="000000"/>
          <w:sz w:val="20"/>
        </w:rPr>
        <w:t>Shepparton</w:t>
      </w:r>
      <w:proofErr w:type="spellEnd"/>
      <w:r>
        <w:rPr>
          <w:rFonts w:ascii="Arial" w:eastAsia="Arial" w:hAnsi="Arial"/>
          <w:color w:val="000000"/>
          <w:sz w:val="20"/>
        </w:rPr>
        <w:t xml:space="preserve"> East have encountered difficulties with landowners’ acceptance.</w:t>
      </w:r>
    </w:p>
    <w:p w14:paraId="3E1BC0FC" w14:textId="77777777" w:rsidR="00345DC1" w:rsidRDefault="00DB08CC">
      <w:pPr>
        <w:numPr>
          <w:ilvl w:val="0"/>
          <w:numId w:val="2"/>
        </w:numPr>
        <w:tabs>
          <w:tab w:val="clear" w:pos="360"/>
          <w:tab w:val="left" w:pos="648"/>
        </w:tabs>
        <w:spacing w:before="217" w:line="249" w:lineRule="exact"/>
        <w:ind w:left="648" w:hanging="360"/>
        <w:textAlignment w:val="baseline"/>
        <w:rPr>
          <w:rFonts w:ascii="Arial" w:eastAsia="Arial" w:hAnsi="Arial"/>
          <w:color w:val="000000"/>
          <w:sz w:val="20"/>
        </w:rPr>
      </w:pPr>
      <w:r>
        <w:rPr>
          <w:rFonts w:ascii="Arial" w:eastAsia="Arial" w:hAnsi="Arial"/>
          <w:color w:val="000000"/>
          <w:sz w:val="20"/>
        </w:rPr>
        <w:t>There does not appear to have been any considerable customer consultation completed to dat</w:t>
      </w:r>
      <w:r>
        <w:rPr>
          <w:rFonts w:ascii="Arial" w:eastAsia="Arial" w:hAnsi="Arial"/>
          <w:color w:val="000000"/>
          <w:sz w:val="20"/>
        </w:rPr>
        <w:t>e.</w:t>
      </w:r>
    </w:p>
    <w:p w14:paraId="49C76494" w14:textId="77777777" w:rsidR="00345DC1" w:rsidRDefault="00DB08CC">
      <w:pPr>
        <w:numPr>
          <w:ilvl w:val="0"/>
          <w:numId w:val="2"/>
        </w:numPr>
        <w:tabs>
          <w:tab w:val="clear" w:pos="360"/>
          <w:tab w:val="left" w:pos="648"/>
        </w:tabs>
        <w:spacing w:before="212" w:line="249" w:lineRule="exact"/>
        <w:ind w:left="648" w:hanging="360"/>
        <w:textAlignment w:val="baseline"/>
        <w:rPr>
          <w:rFonts w:ascii="Arial" w:eastAsia="Arial" w:hAnsi="Arial"/>
          <w:color w:val="000000"/>
          <w:sz w:val="20"/>
        </w:rPr>
      </w:pPr>
      <w:r>
        <w:rPr>
          <w:rFonts w:ascii="Arial" w:eastAsia="Arial" w:hAnsi="Arial"/>
          <w:color w:val="000000"/>
          <w:sz w:val="20"/>
        </w:rPr>
        <w:t>There may be some resistance to the project which could impact time and cost.</w:t>
      </w:r>
    </w:p>
    <w:p w14:paraId="016A643A" w14:textId="77777777" w:rsidR="00345DC1" w:rsidRDefault="00DB08CC">
      <w:pPr>
        <w:spacing w:before="284" w:line="230" w:lineRule="exact"/>
        <w:ind w:left="216"/>
        <w:textAlignment w:val="baseline"/>
        <w:rPr>
          <w:rFonts w:ascii="Arial" w:eastAsia="Arial" w:hAnsi="Arial"/>
          <w:b/>
          <w:color w:val="0064A3"/>
          <w:sz w:val="20"/>
        </w:rPr>
      </w:pPr>
      <w:r>
        <w:rPr>
          <w:rFonts w:ascii="Arial" w:eastAsia="Arial" w:hAnsi="Arial"/>
          <w:b/>
          <w:color w:val="0064A3"/>
          <w:sz w:val="20"/>
        </w:rPr>
        <w:t>Other</w:t>
      </w:r>
    </w:p>
    <w:p w14:paraId="6993AC1B" w14:textId="77777777" w:rsidR="00345DC1" w:rsidRDefault="00DB08CC">
      <w:pPr>
        <w:numPr>
          <w:ilvl w:val="0"/>
          <w:numId w:val="2"/>
        </w:numPr>
        <w:tabs>
          <w:tab w:val="clear" w:pos="360"/>
          <w:tab w:val="left" w:pos="648"/>
        </w:tabs>
        <w:spacing w:before="155" w:after="11381" w:line="255" w:lineRule="exact"/>
        <w:ind w:left="648" w:hanging="360"/>
        <w:textAlignment w:val="baseline"/>
        <w:rPr>
          <w:rFonts w:ascii="Arial" w:eastAsia="Arial" w:hAnsi="Arial"/>
          <w:color w:val="000000"/>
          <w:spacing w:val="-2"/>
          <w:sz w:val="20"/>
        </w:rPr>
      </w:pPr>
      <w:r>
        <w:rPr>
          <w:rFonts w:ascii="Arial" w:eastAsia="Arial" w:hAnsi="Arial"/>
          <w:color w:val="000000"/>
          <w:spacing w:val="-2"/>
          <w:sz w:val="20"/>
        </w:rPr>
        <w:t xml:space="preserve">Refer to </w:t>
      </w:r>
      <w:r>
        <w:rPr>
          <w:rFonts w:ascii="Arial" w:eastAsia="Arial" w:hAnsi="Arial"/>
          <w:color w:val="000000"/>
          <w:spacing w:val="-2"/>
          <w:sz w:val="21"/>
          <w:u w:val="single"/>
        </w:rPr>
        <w:t>Section 6.1.2</w:t>
      </w:r>
      <w:r>
        <w:rPr>
          <w:rFonts w:ascii="Arial" w:eastAsia="Arial" w:hAnsi="Arial"/>
          <w:color w:val="FFFFFF"/>
          <w:spacing w:val="-2"/>
          <w:sz w:val="21"/>
          <w:u w:val="single"/>
          <w:shd w:val="solid" w:color="006391" w:fill="006391"/>
        </w:rPr>
        <w:t xml:space="preserve"> </w:t>
      </w:r>
    </w:p>
    <w:p w14:paraId="613E7A00" w14:textId="77777777" w:rsidR="00345DC1" w:rsidRDefault="00345DC1">
      <w:pPr>
        <w:spacing w:before="155" w:after="11381" w:line="255" w:lineRule="exact"/>
        <w:sectPr w:rsidR="00345DC1">
          <w:pgSz w:w="11909" w:h="16838"/>
          <w:pgMar w:top="620" w:right="917" w:bottom="262" w:left="912" w:header="720" w:footer="720" w:gutter="0"/>
          <w:cols w:space="720"/>
        </w:sectPr>
      </w:pPr>
    </w:p>
    <w:p w14:paraId="34DB3069" w14:textId="77777777" w:rsidR="00345DC1" w:rsidRDefault="00DB08CC">
      <w:pPr>
        <w:spacing w:before="1" w:line="155" w:lineRule="exact"/>
        <w:ind w:left="792"/>
        <w:textAlignment w:val="baseline"/>
        <w:rPr>
          <w:rFonts w:ascii="Arial" w:eastAsia="Arial" w:hAnsi="Arial"/>
          <w:color w:val="000000"/>
          <w:sz w:val="14"/>
        </w:rPr>
      </w:pPr>
      <w:r>
        <w:rPr>
          <w:rFonts w:ascii="Arial" w:eastAsia="Arial" w:hAnsi="Arial"/>
          <w:color w:val="000000"/>
          <w:sz w:val="14"/>
        </w:rPr>
        <w:t>GHD ADVISORY</w:t>
      </w:r>
    </w:p>
    <w:p w14:paraId="57DD00E3" w14:textId="77777777" w:rsidR="00345DC1" w:rsidRDefault="00DB08CC">
      <w:pPr>
        <w:tabs>
          <w:tab w:val="right" w:pos="3888"/>
        </w:tabs>
        <w:spacing w:line="245" w:lineRule="exact"/>
        <w:ind w:left="288"/>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18</w:t>
      </w:r>
      <w:r>
        <w:rPr>
          <w:rFonts w:ascii="Arial" w:eastAsia="Arial" w:hAnsi="Arial"/>
          <w:color w:val="FFFFFF"/>
          <w:sz w:val="15"/>
          <w:shd w:val="solid" w:color="006391" w:fill="006391"/>
        </w:rPr>
        <w:tab/>
      </w:r>
      <w:r>
        <w:rPr>
          <w:rFonts w:ascii="Arial" w:eastAsia="Arial" w:hAnsi="Arial"/>
          <w:color w:val="000000"/>
          <w:sz w:val="14"/>
        </w:rPr>
        <w:t>Review of Goulburn Murray Water (GMW) Water</w:t>
      </w:r>
    </w:p>
    <w:p w14:paraId="5477EF03" w14:textId="77777777" w:rsidR="00345DC1" w:rsidRDefault="00DB08CC">
      <w:pPr>
        <w:spacing w:before="8" w:line="165" w:lineRule="exact"/>
        <w:ind w:left="792"/>
        <w:textAlignment w:val="baseline"/>
        <w:rPr>
          <w:rFonts w:ascii="Arial" w:eastAsia="Arial" w:hAnsi="Arial"/>
          <w:color w:val="000000"/>
          <w:sz w:val="14"/>
        </w:rPr>
      </w:pPr>
      <w:r>
        <w:rPr>
          <w:rFonts w:ascii="Arial" w:eastAsia="Arial" w:hAnsi="Arial"/>
          <w:color w:val="000000"/>
          <w:sz w:val="14"/>
        </w:rPr>
        <w:t>Efficiency Project</w:t>
      </w:r>
    </w:p>
    <w:p w14:paraId="18192B2C" w14:textId="77777777" w:rsidR="00345DC1" w:rsidRDefault="00345DC1">
      <w:pPr>
        <w:sectPr w:rsidR="00345DC1">
          <w:type w:val="continuous"/>
          <w:pgSz w:w="11909" w:h="16838"/>
          <w:pgMar w:top="620" w:right="7116" w:bottom="262" w:left="912" w:header="720" w:footer="720" w:gutter="0"/>
          <w:cols w:space="720"/>
        </w:sectPr>
      </w:pPr>
    </w:p>
    <w:p w14:paraId="1899EBBD" w14:textId="77777777" w:rsidR="00345DC1" w:rsidRDefault="00DB08CC">
      <w:pPr>
        <w:spacing w:before="7" w:after="116" w:line="549" w:lineRule="exact"/>
        <w:ind w:left="216"/>
        <w:textAlignment w:val="baseline"/>
        <w:rPr>
          <w:rFonts w:ascii="Arial" w:eastAsia="Arial" w:hAnsi="Arial"/>
          <w:b/>
          <w:color w:val="006CA2"/>
          <w:spacing w:val="40"/>
          <w:w w:val="95"/>
          <w:sz w:val="48"/>
        </w:rPr>
      </w:pPr>
      <w:r>
        <w:rPr>
          <w:rFonts w:ascii="Arial" w:eastAsia="Arial" w:hAnsi="Arial"/>
          <w:b/>
          <w:color w:val="006CA2"/>
          <w:spacing w:val="40"/>
          <w:w w:val="95"/>
          <w:sz w:val="48"/>
        </w:rPr>
        <w:lastRenderedPageBreak/>
        <w:t>7. Conclusions</w:t>
      </w:r>
    </w:p>
    <w:p w14:paraId="63F56057" w14:textId="77777777" w:rsidR="00345DC1" w:rsidRDefault="00DB08CC">
      <w:pPr>
        <w:spacing w:before="5" w:line="343" w:lineRule="exact"/>
        <w:ind w:left="216" w:right="216"/>
        <w:jc w:val="both"/>
        <w:textAlignment w:val="baseline"/>
        <w:rPr>
          <w:rFonts w:ascii="Arial" w:eastAsia="Arial" w:hAnsi="Arial"/>
          <w:color w:val="000000"/>
          <w:sz w:val="20"/>
        </w:rPr>
      </w:pPr>
      <w:r>
        <w:rPr>
          <w:rFonts w:ascii="Arial" w:eastAsia="Arial" w:hAnsi="Arial"/>
          <w:color w:val="000000"/>
          <w:sz w:val="20"/>
        </w:rPr>
        <w:t xml:space="preserve">The following conclusions are made in relation to GHD’s assessment of the business cases and supporting documentation for the Backbone Transformation Project (BTP) and the </w:t>
      </w:r>
      <w:proofErr w:type="spellStart"/>
      <w:r>
        <w:rPr>
          <w:rFonts w:ascii="Arial" w:eastAsia="Arial" w:hAnsi="Arial"/>
          <w:color w:val="000000"/>
          <w:sz w:val="20"/>
        </w:rPr>
        <w:t>Shepparton</w:t>
      </w:r>
      <w:proofErr w:type="spellEnd"/>
      <w:r>
        <w:rPr>
          <w:rFonts w:ascii="Arial" w:eastAsia="Arial" w:hAnsi="Arial"/>
          <w:color w:val="000000"/>
          <w:sz w:val="20"/>
        </w:rPr>
        <w:t xml:space="preserve"> East Project (SEP) against the Department requested areas of assessment:</w:t>
      </w:r>
    </w:p>
    <w:p w14:paraId="577DC9AA" w14:textId="77777777" w:rsidR="00345DC1" w:rsidRDefault="00DB08CC">
      <w:pPr>
        <w:spacing w:before="351" w:line="230" w:lineRule="exact"/>
        <w:ind w:left="216"/>
        <w:textAlignment w:val="baseline"/>
        <w:rPr>
          <w:rFonts w:ascii="Arial" w:eastAsia="Arial" w:hAnsi="Arial"/>
          <w:b/>
          <w:color w:val="0064A3"/>
          <w:spacing w:val="-2"/>
          <w:sz w:val="20"/>
        </w:rPr>
      </w:pPr>
      <w:r>
        <w:rPr>
          <w:rFonts w:ascii="Arial" w:eastAsia="Arial" w:hAnsi="Arial"/>
          <w:b/>
          <w:color w:val="0064A3"/>
          <w:spacing w:val="-2"/>
          <w:sz w:val="20"/>
        </w:rPr>
        <w:t>General</w:t>
      </w:r>
    </w:p>
    <w:p w14:paraId="0FAE535B" w14:textId="77777777" w:rsidR="00345DC1" w:rsidRDefault="00DB08CC">
      <w:pPr>
        <w:tabs>
          <w:tab w:val="left" w:pos="648"/>
        </w:tabs>
        <w:spacing w:before="68"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 xml:space="preserve">The project proposal requests funding under a single agreement however it is unclear whether the BTP and the SEP is to be delivered by the same entity. There would be considerable cost and time risk for the SEP if it were not delivered using the </w:t>
      </w:r>
      <w:r>
        <w:rPr>
          <w:rFonts w:ascii="Arial" w:eastAsia="Arial" w:hAnsi="Arial"/>
          <w:color w:val="000000"/>
          <w:sz w:val="20"/>
        </w:rPr>
        <w:t>same governance arrangements, management team, delivery team and associated systems (IT, QA, procurement) developed for the BTP.</w:t>
      </w:r>
    </w:p>
    <w:p w14:paraId="2DC0804F" w14:textId="77777777" w:rsidR="00345DC1" w:rsidRDefault="00DB08CC">
      <w:pPr>
        <w:tabs>
          <w:tab w:val="left" w:pos="648"/>
        </w:tabs>
        <w:spacing w:before="111" w:line="343" w:lineRule="exact"/>
        <w:ind w:left="648" w:right="216" w:hanging="432"/>
        <w:jc w:val="both"/>
        <w:textAlignment w:val="baseline"/>
        <w:rPr>
          <w:rFonts w:ascii="Wingdings" w:eastAsia="Wingdings" w:hAnsi="Wingdings"/>
          <w:color w:val="000000"/>
          <w:spacing w:val="1"/>
          <w:sz w:val="20"/>
        </w:rPr>
      </w:pPr>
      <w:r>
        <w:rPr>
          <w:rFonts w:ascii="Wingdings" w:eastAsia="Wingdings" w:hAnsi="Wingdings"/>
          <w:color w:val="000000"/>
          <w:spacing w:val="1"/>
          <w:sz w:val="20"/>
        </w:rPr>
        <w:t></w:t>
      </w:r>
      <w:r>
        <w:rPr>
          <w:rFonts w:ascii="Arial" w:eastAsia="Arial" w:hAnsi="Arial"/>
          <w:color w:val="000000"/>
          <w:spacing w:val="1"/>
          <w:sz w:val="20"/>
        </w:rPr>
        <w:tab/>
        <w:t>The primary reason for the low value for money assessment for these projects is due to the lower rate of water savings genera</w:t>
      </w:r>
      <w:r>
        <w:rPr>
          <w:rFonts w:ascii="Arial" w:eastAsia="Arial" w:hAnsi="Arial"/>
          <w:color w:val="000000"/>
          <w:spacing w:val="1"/>
          <w:sz w:val="20"/>
        </w:rPr>
        <w:t>ted from completing similar works. This reduction in value for money is expected as both projects are targeting parts of the irrigation network which are more efficient than previous projects.</w:t>
      </w:r>
    </w:p>
    <w:p w14:paraId="4D071DA8" w14:textId="77777777" w:rsidR="00345DC1" w:rsidRDefault="00DB08CC">
      <w:pPr>
        <w:tabs>
          <w:tab w:val="left" w:pos="648"/>
        </w:tabs>
        <w:spacing w:before="101"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The ability to substitute sub-projects within the BTP and SEP</w:t>
      </w:r>
      <w:r>
        <w:rPr>
          <w:rFonts w:ascii="Arial" w:eastAsia="Arial" w:hAnsi="Arial"/>
          <w:color w:val="000000"/>
          <w:sz w:val="20"/>
        </w:rPr>
        <w:t xml:space="preserve"> with alternative sub-projects of equivalent value for money is a risk for the project. This risk is higher for the SEP.</w:t>
      </w:r>
    </w:p>
    <w:p w14:paraId="25099066" w14:textId="77777777" w:rsidR="00345DC1" w:rsidRDefault="00DB08CC">
      <w:pPr>
        <w:tabs>
          <w:tab w:val="left" w:pos="648"/>
        </w:tabs>
        <w:spacing w:before="106" w:line="343" w:lineRule="exact"/>
        <w:ind w:left="648" w:right="216" w:hanging="432"/>
        <w:jc w:val="both"/>
        <w:textAlignment w:val="baseline"/>
        <w:rPr>
          <w:rFonts w:ascii="Wingdings" w:eastAsia="Wingdings" w:hAnsi="Wingdings"/>
          <w:color w:val="000000"/>
          <w:spacing w:val="-2"/>
          <w:sz w:val="20"/>
        </w:rPr>
      </w:pPr>
      <w:r>
        <w:rPr>
          <w:rFonts w:ascii="Wingdings" w:eastAsia="Wingdings" w:hAnsi="Wingdings"/>
          <w:color w:val="000000"/>
          <w:spacing w:val="-2"/>
          <w:sz w:val="20"/>
        </w:rPr>
        <w:t></w:t>
      </w:r>
      <w:r>
        <w:rPr>
          <w:rFonts w:ascii="Arial" w:eastAsia="Arial" w:hAnsi="Arial"/>
          <w:color w:val="000000"/>
          <w:spacing w:val="-2"/>
          <w:sz w:val="20"/>
        </w:rPr>
        <w:tab/>
      </w:r>
      <w:r>
        <w:rPr>
          <w:rFonts w:ascii="Arial" w:eastAsia="Arial" w:hAnsi="Arial"/>
          <w:color w:val="000000"/>
          <w:spacing w:val="-2"/>
          <w:sz w:val="20"/>
        </w:rPr>
        <w:t xml:space="preserve">The Business Case lacks information relating to the potential impacts associated with COVID-19. The current pandemic has the potential to significantly impact </w:t>
      </w:r>
      <w:proofErr w:type="spellStart"/>
      <w:r>
        <w:rPr>
          <w:rFonts w:ascii="Arial" w:eastAsia="Arial" w:hAnsi="Arial"/>
          <w:color w:val="000000"/>
          <w:spacing w:val="-2"/>
          <w:sz w:val="20"/>
        </w:rPr>
        <w:t>mobilisation</w:t>
      </w:r>
      <w:proofErr w:type="spellEnd"/>
      <w:r>
        <w:rPr>
          <w:rFonts w:ascii="Arial" w:eastAsia="Arial" w:hAnsi="Arial"/>
          <w:color w:val="000000"/>
          <w:spacing w:val="-2"/>
          <w:sz w:val="20"/>
        </w:rPr>
        <w:t xml:space="preserve">, production rates </w:t>
      </w:r>
      <w:proofErr w:type="gramStart"/>
      <w:r>
        <w:rPr>
          <w:rFonts w:ascii="Arial" w:eastAsia="Arial" w:hAnsi="Arial"/>
          <w:color w:val="000000"/>
          <w:spacing w:val="-2"/>
          <w:sz w:val="20"/>
        </w:rPr>
        <w:t>and also</w:t>
      </w:r>
      <w:proofErr w:type="gramEnd"/>
      <w:r>
        <w:rPr>
          <w:rFonts w:ascii="Arial" w:eastAsia="Arial" w:hAnsi="Arial"/>
          <w:color w:val="000000"/>
          <w:spacing w:val="-2"/>
          <w:sz w:val="20"/>
        </w:rPr>
        <w:t xml:space="preserve"> requires</w:t>
      </w:r>
    </w:p>
    <w:p w14:paraId="7AF54EC6" w14:textId="77777777" w:rsidR="00345DC1" w:rsidRDefault="00DB08CC">
      <w:pPr>
        <w:spacing w:before="116" w:line="230" w:lineRule="exact"/>
        <w:jc w:val="center"/>
        <w:textAlignment w:val="baseline"/>
        <w:rPr>
          <w:rFonts w:ascii="Arial" w:eastAsia="Arial" w:hAnsi="Arial"/>
          <w:color w:val="000000"/>
          <w:sz w:val="20"/>
        </w:rPr>
      </w:pPr>
      <w:r>
        <w:rPr>
          <w:rFonts w:ascii="Arial" w:eastAsia="Arial" w:hAnsi="Arial"/>
          <w:color w:val="000000"/>
          <w:sz w:val="20"/>
        </w:rPr>
        <w:t>additional OH&amp;S resources to administer and implement safe work practices across the workplace.</w:t>
      </w:r>
    </w:p>
    <w:p w14:paraId="2FDC0B33" w14:textId="77777777" w:rsidR="00345DC1" w:rsidRDefault="00DB08CC">
      <w:pPr>
        <w:tabs>
          <w:tab w:val="left" w:pos="648"/>
        </w:tabs>
        <w:spacing w:before="101"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 xml:space="preserve">The program is considered ambitious </w:t>
      </w:r>
      <w:proofErr w:type="gramStart"/>
      <w:r>
        <w:rPr>
          <w:rFonts w:ascii="Arial" w:eastAsia="Arial" w:hAnsi="Arial"/>
          <w:color w:val="000000"/>
          <w:sz w:val="20"/>
        </w:rPr>
        <w:t>and also</w:t>
      </w:r>
      <w:proofErr w:type="gramEnd"/>
      <w:r>
        <w:rPr>
          <w:rFonts w:ascii="Arial" w:eastAsia="Arial" w:hAnsi="Arial"/>
          <w:color w:val="000000"/>
          <w:sz w:val="20"/>
        </w:rPr>
        <w:t xml:space="preserve"> appears to be based on production rates achieved at the peak of the Connections Project.</w:t>
      </w:r>
    </w:p>
    <w:p w14:paraId="27A67460" w14:textId="77777777" w:rsidR="00345DC1" w:rsidRDefault="00DB08CC">
      <w:pPr>
        <w:tabs>
          <w:tab w:val="left" w:pos="648"/>
        </w:tabs>
        <w:spacing w:before="108"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The program is reliant</w:t>
      </w:r>
      <w:r>
        <w:rPr>
          <w:rFonts w:ascii="Arial" w:eastAsia="Arial" w:hAnsi="Arial"/>
          <w:color w:val="000000"/>
          <w:sz w:val="20"/>
        </w:rPr>
        <w:t xml:space="preserve"> on </w:t>
      </w:r>
      <w:proofErr w:type="spellStart"/>
      <w:r>
        <w:rPr>
          <w:rFonts w:ascii="Arial" w:eastAsia="Arial" w:hAnsi="Arial"/>
          <w:color w:val="000000"/>
          <w:sz w:val="20"/>
        </w:rPr>
        <w:t>remobilising</w:t>
      </w:r>
      <w:proofErr w:type="spellEnd"/>
      <w:r>
        <w:rPr>
          <w:rFonts w:ascii="Arial" w:eastAsia="Arial" w:hAnsi="Arial"/>
          <w:color w:val="000000"/>
          <w:sz w:val="20"/>
        </w:rPr>
        <w:t xml:space="preserve"> a large workforce with adequate experience. This was previously achieved via a Tier 1 contractor who </w:t>
      </w:r>
      <w:proofErr w:type="spellStart"/>
      <w:r>
        <w:rPr>
          <w:rFonts w:ascii="Arial" w:eastAsia="Arial" w:hAnsi="Arial"/>
          <w:color w:val="000000"/>
          <w:sz w:val="20"/>
        </w:rPr>
        <w:t>specialises</w:t>
      </w:r>
      <w:proofErr w:type="spellEnd"/>
      <w:r>
        <w:rPr>
          <w:rFonts w:ascii="Arial" w:eastAsia="Arial" w:hAnsi="Arial"/>
          <w:color w:val="000000"/>
          <w:sz w:val="20"/>
        </w:rPr>
        <w:t xml:space="preserve"> in logistics and management of large projects. The current project does not propose to use a Tier 1 contractor.</w:t>
      </w:r>
    </w:p>
    <w:p w14:paraId="37CB6057" w14:textId="77777777" w:rsidR="00345DC1" w:rsidRDefault="00DB08CC">
      <w:pPr>
        <w:spacing w:before="168" w:line="413" w:lineRule="exact"/>
        <w:ind w:left="216" w:right="2160"/>
        <w:textAlignment w:val="baseline"/>
        <w:rPr>
          <w:rFonts w:ascii="Arial" w:eastAsia="Arial" w:hAnsi="Arial"/>
          <w:b/>
          <w:color w:val="0064A3"/>
          <w:sz w:val="20"/>
        </w:rPr>
      </w:pPr>
      <w:r>
        <w:rPr>
          <w:rFonts w:ascii="Arial" w:eastAsia="Arial" w:hAnsi="Arial"/>
          <w:b/>
          <w:color w:val="0064A3"/>
          <w:sz w:val="20"/>
        </w:rPr>
        <w:t>Enquiry 1: Are</w:t>
      </w:r>
      <w:r>
        <w:rPr>
          <w:rFonts w:ascii="Arial" w:eastAsia="Arial" w:hAnsi="Arial"/>
          <w:b/>
          <w:color w:val="0064A3"/>
          <w:sz w:val="20"/>
        </w:rPr>
        <w:t xml:space="preserve"> the proposed works likely to generate the proposed water savings </w:t>
      </w:r>
      <w:r>
        <w:rPr>
          <w:rFonts w:ascii="Arial" w:eastAsia="Arial" w:hAnsi="Arial"/>
          <w:color w:val="000000"/>
          <w:sz w:val="20"/>
          <w:u w:val="single"/>
        </w:rPr>
        <w:t>BTP</w:t>
      </w:r>
      <w:r>
        <w:rPr>
          <w:rFonts w:ascii="Arial" w:eastAsia="Arial" w:hAnsi="Arial"/>
          <w:color w:val="000000"/>
          <w:sz w:val="20"/>
        </w:rPr>
        <w:t xml:space="preserve"> </w:t>
      </w:r>
    </w:p>
    <w:p w14:paraId="103BBECD" w14:textId="77777777" w:rsidR="00345DC1" w:rsidRDefault="00DB08CC">
      <w:pPr>
        <w:spacing w:before="120"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 xml:space="preserve"> GHD confirms that the water savings for the BTP have been estimated for a defined scope and in accordance with the Victorian Government’s Water Savings Protocol.</w:t>
      </w:r>
    </w:p>
    <w:p w14:paraId="5F13861A" w14:textId="77777777" w:rsidR="00345DC1" w:rsidRDefault="00DB08CC">
      <w:pPr>
        <w:tabs>
          <w:tab w:val="left" w:pos="648"/>
        </w:tabs>
        <w:spacing w:before="121"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The BTP water savin</w:t>
      </w:r>
      <w:r>
        <w:rPr>
          <w:rFonts w:ascii="Arial" w:eastAsia="Arial" w:hAnsi="Arial"/>
          <w:color w:val="000000"/>
          <w:sz w:val="20"/>
        </w:rPr>
        <w:t>gs estimate has been subject to peer review from HARC and supporting calculations have been provided to allow for verification.</w:t>
      </w:r>
    </w:p>
    <w:p w14:paraId="0B0C862A" w14:textId="77777777" w:rsidR="00345DC1" w:rsidRDefault="00DB08CC">
      <w:pPr>
        <w:tabs>
          <w:tab w:val="left" w:pos="648"/>
        </w:tabs>
        <w:spacing w:before="128" w:line="343" w:lineRule="exact"/>
        <w:ind w:left="648" w:right="216" w:hanging="432"/>
        <w:jc w:val="both"/>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r>
      <w:r>
        <w:rPr>
          <w:rFonts w:ascii="Arial" w:eastAsia="Arial" w:hAnsi="Arial"/>
          <w:color w:val="000000"/>
          <w:sz w:val="20"/>
        </w:rPr>
        <w:t xml:space="preserve">The BTP water savings </w:t>
      </w:r>
      <w:proofErr w:type="gramStart"/>
      <w:r>
        <w:rPr>
          <w:rFonts w:ascii="Arial" w:eastAsia="Arial" w:hAnsi="Arial"/>
          <w:color w:val="000000"/>
          <w:sz w:val="20"/>
        </w:rPr>
        <w:t>are considered to be</w:t>
      </w:r>
      <w:proofErr w:type="gramEnd"/>
      <w:r>
        <w:rPr>
          <w:rFonts w:ascii="Arial" w:eastAsia="Arial" w:hAnsi="Arial"/>
          <w:color w:val="000000"/>
          <w:sz w:val="20"/>
        </w:rPr>
        <w:t xml:space="preserve"> achievable for the scope and type of water efficiency works proposed on the basis that the method used to estimate water savings has been previously applied, validated and accepted by the Victorian Government and </w:t>
      </w:r>
      <w:r>
        <w:rPr>
          <w:rFonts w:ascii="Arial" w:eastAsia="Arial" w:hAnsi="Arial"/>
          <w:color w:val="000000"/>
          <w:sz w:val="20"/>
        </w:rPr>
        <w:t>Commonwealth Government.</w:t>
      </w:r>
    </w:p>
    <w:p w14:paraId="7A83B040" w14:textId="77777777" w:rsidR="00345DC1" w:rsidRDefault="00DB08CC">
      <w:pPr>
        <w:spacing w:before="2185" w:line="165" w:lineRule="exact"/>
        <w:ind w:left="792"/>
        <w:textAlignment w:val="baseline"/>
        <w:rPr>
          <w:rFonts w:ascii="Arial" w:eastAsia="Arial" w:hAnsi="Arial"/>
          <w:color w:val="000000"/>
          <w:sz w:val="14"/>
        </w:rPr>
      </w:pPr>
      <w:r>
        <w:rPr>
          <w:rFonts w:ascii="Arial" w:eastAsia="Arial" w:hAnsi="Arial"/>
          <w:color w:val="000000"/>
          <w:sz w:val="14"/>
        </w:rPr>
        <w:t>GHD ADVISORY</w:t>
      </w:r>
    </w:p>
    <w:p w14:paraId="290D93E4" w14:textId="77777777" w:rsidR="00345DC1" w:rsidRDefault="00DB08CC">
      <w:pPr>
        <w:tabs>
          <w:tab w:val="left" w:pos="792"/>
        </w:tabs>
        <w:spacing w:before="52" w:line="178" w:lineRule="exact"/>
        <w:ind w:left="792" w:hanging="576"/>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19</w:t>
      </w:r>
      <w:r>
        <w:rPr>
          <w:rFonts w:ascii="Arial" w:eastAsia="Arial" w:hAnsi="Arial"/>
          <w:color w:val="FFFFFF"/>
          <w:sz w:val="15"/>
          <w:shd w:val="solid" w:color="006391" w:fill="006391"/>
        </w:rPr>
        <w:tab/>
      </w:r>
      <w:r>
        <w:rPr>
          <w:rFonts w:ascii="Arial" w:eastAsia="Arial" w:hAnsi="Arial"/>
          <w:color w:val="000000"/>
          <w:sz w:val="14"/>
        </w:rPr>
        <w:t xml:space="preserve">Review of Goulburn Murray Water (GMW) Water </w:t>
      </w:r>
      <w:r>
        <w:rPr>
          <w:rFonts w:ascii="Arial" w:eastAsia="Arial" w:hAnsi="Arial"/>
          <w:color w:val="000000"/>
          <w:sz w:val="14"/>
        </w:rPr>
        <w:br/>
        <w:t>Efficiency Project</w:t>
      </w:r>
    </w:p>
    <w:p w14:paraId="08EF696C" w14:textId="77777777" w:rsidR="00345DC1" w:rsidRDefault="00345DC1">
      <w:pPr>
        <w:sectPr w:rsidR="00345DC1">
          <w:pgSz w:w="11909" w:h="16838"/>
          <w:pgMar w:top="580" w:right="912" w:bottom="262" w:left="917" w:header="720" w:footer="720" w:gutter="0"/>
          <w:cols w:space="720"/>
        </w:sectPr>
      </w:pPr>
    </w:p>
    <w:p w14:paraId="63AC14AC" w14:textId="77777777" w:rsidR="00345DC1" w:rsidRDefault="00DB08CC">
      <w:pPr>
        <w:spacing w:before="14" w:line="229" w:lineRule="exact"/>
        <w:ind w:left="216"/>
        <w:textAlignment w:val="baseline"/>
        <w:rPr>
          <w:rFonts w:ascii="Arial" w:eastAsia="Arial" w:hAnsi="Arial"/>
          <w:color w:val="000000"/>
          <w:spacing w:val="14"/>
          <w:sz w:val="20"/>
          <w:u w:val="single"/>
        </w:rPr>
      </w:pPr>
      <w:r>
        <w:rPr>
          <w:rFonts w:ascii="Arial" w:eastAsia="Arial" w:hAnsi="Arial"/>
          <w:color w:val="000000"/>
          <w:spacing w:val="14"/>
          <w:sz w:val="20"/>
          <w:u w:val="single"/>
        </w:rPr>
        <w:lastRenderedPageBreak/>
        <w:t>SEP</w:t>
      </w:r>
      <w:r>
        <w:rPr>
          <w:rFonts w:ascii="Arial" w:eastAsia="Arial" w:hAnsi="Arial"/>
          <w:color w:val="000000"/>
          <w:spacing w:val="14"/>
          <w:sz w:val="20"/>
        </w:rPr>
        <w:t xml:space="preserve"> </w:t>
      </w:r>
    </w:p>
    <w:p w14:paraId="5BA1EC6A" w14:textId="77777777" w:rsidR="00345DC1" w:rsidRDefault="00DB08CC">
      <w:pPr>
        <w:numPr>
          <w:ilvl w:val="0"/>
          <w:numId w:val="2"/>
        </w:numPr>
        <w:tabs>
          <w:tab w:val="clear" w:pos="360"/>
          <w:tab w:val="left" w:pos="648"/>
        </w:tabs>
        <w:spacing w:before="123"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For the SEP, water savings have been estimated in accordance with the Victorian Government’s Water Savings Protocol.</w:t>
      </w:r>
    </w:p>
    <w:p w14:paraId="6DF787DB" w14:textId="77777777" w:rsidR="00345DC1" w:rsidRDefault="00DB08CC">
      <w:pPr>
        <w:numPr>
          <w:ilvl w:val="0"/>
          <w:numId w:val="2"/>
        </w:numPr>
        <w:tabs>
          <w:tab w:val="clear" w:pos="360"/>
          <w:tab w:val="left" w:pos="648"/>
        </w:tabs>
        <w:spacing w:before="118"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The proposal states that the water savings estimate has been subject to peer review from HARC however no supporting calculations or evidenc</w:t>
      </w:r>
      <w:r>
        <w:rPr>
          <w:rFonts w:ascii="Arial" w:eastAsia="Arial" w:hAnsi="Arial"/>
          <w:color w:val="000000"/>
          <w:sz w:val="20"/>
        </w:rPr>
        <w:t>e of audit to enable this statement to be verified.</w:t>
      </w:r>
    </w:p>
    <w:p w14:paraId="4C23C53C" w14:textId="77777777" w:rsidR="00345DC1" w:rsidRDefault="00DB08CC">
      <w:pPr>
        <w:spacing w:before="357" w:line="230" w:lineRule="exact"/>
        <w:ind w:left="288"/>
        <w:textAlignment w:val="baseline"/>
        <w:rPr>
          <w:rFonts w:ascii="Arial" w:eastAsia="Arial" w:hAnsi="Arial"/>
          <w:b/>
          <w:color w:val="0064A3"/>
          <w:sz w:val="20"/>
        </w:rPr>
      </w:pPr>
      <w:r>
        <w:rPr>
          <w:rFonts w:ascii="Arial" w:eastAsia="Arial" w:hAnsi="Arial"/>
          <w:b/>
          <w:color w:val="0064A3"/>
          <w:sz w:val="20"/>
        </w:rPr>
        <w:t>Enquiry 2: Are the costs consistent with the nature of the works</w:t>
      </w:r>
    </w:p>
    <w:p w14:paraId="13525F33" w14:textId="77777777" w:rsidR="00345DC1" w:rsidRDefault="00DB08CC">
      <w:pPr>
        <w:spacing w:before="60" w:line="344" w:lineRule="exact"/>
        <w:ind w:left="288" w:right="216"/>
        <w:jc w:val="both"/>
        <w:textAlignment w:val="baseline"/>
        <w:rPr>
          <w:rFonts w:ascii="Arial" w:eastAsia="Arial" w:hAnsi="Arial"/>
          <w:color w:val="000000"/>
          <w:sz w:val="20"/>
        </w:rPr>
      </w:pPr>
      <w:r>
        <w:rPr>
          <w:rFonts w:ascii="Arial" w:eastAsia="Arial" w:hAnsi="Arial"/>
          <w:color w:val="000000"/>
          <w:sz w:val="20"/>
        </w:rPr>
        <w:t xml:space="preserve">GHD's level of confidence in the estimated Construction Costs for both </w:t>
      </w:r>
      <w:r>
        <w:rPr>
          <w:rFonts w:ascii="Arial" w:eastAsia="Arial" w:hAnsi="Arial"/>
          <w:color w:val="000000"/>
          <w:sz w:val="20"/>
          <w:u w:val="single"/>
        </w:rPr>
        <w:t>BTP and SEP</w:t>
      </w:r>
      <w:r>
        <w:rPr>
          <w:rFonts w:ascii="Arial" w:eastAsia="Arial" w:hAnsi="Arial"/>
          <w:color w:val="000000"/>
          <w:sz w:val="20"/>
        </w:rPr>
        <w:t xml:space="preserve"> is low to moderate, due to the following:</w:t>
      </w:r>
    </w:p>
    <w:p w14:paraId="5A1AD72E" w14:textId="77777777" w:rsidR="00345DC1" w:rsidRDefault="00DB08CC">
      <w:pPr>
        <w:numPr>
          <w:ilvl w:val="0"/>
          <w:numId w:val="2"/>
        </w:numPr>
        <w:tabs>
          <w:tab w:val="clear" w:pos="360"/>
          <w:tab w:val="left" w:pos="648"/>
        </w:tabs>
        <w:spacing w:before="216" w:line="249" w:lineRule="exact"/>
        <w:ind w:left="648" w:hanging="360"/>
        <w:textAlignment w:val="baseline"/>
        <w:rPr>
          <w:rFonts w:ascii="Arial" w:eastAsia="Arial" w:hAnsi="Arial"/>
          <w:color w:val="000000"/>
          <w:sz w:val="20"/>
        </w:rPr>
      </w:pPr>
      <w:r>
        <w:rPr>
          <w:rFonts w:ascii="Arial" w:eastAsia="Arial" w:hAnsi="Arial"/>
          <w:color w:val="000000"/>
          <w:sz w:val="20"/>
        </w:rPr>
        <w:t xml:space="preserve">There </w:t>
      </w:r>
      <w:proofErr w:type="gramStart"/>
      <w:r>
        <w:rPr>
          <w:rFonts w:ascii="Arial" w:eastAsia="Arial" w:hAnsi="Arial"/>
          <w:color w:val="000000"/>
          <w:sz w:val="20"/>
        </w:rPr>
        <w:t>has</w:t>
      </w:r>
      <w:proofErr w:type="gramEnd"/>
      <w:r>
        <w:rPr>
          <w:rFonts w:ascii="Arial" w:eastAsia="Arial" w:hAnsi="Arial"/>
          <w:color w:val="000000"/>
          <w:sz w:val="20"/>
        </w:rPr>
        <w:t xml:space="preserve"> been no validation of 2016 unit rates undertaken against recent quotes and works</w:t>
      </w:r>
    </w:p>
    <w:p w14:paraId="52BDEDA1" w14:textId="77777777" w:rsidR="00345DC1" w:rsidRDefault="00DB08CC">
      <w:pPr>
        <w:numPr>
          <w:ilvl w:val="0"/>
          <w:numId w:val="2"/>
        </w:numPr>
        <w:tabs>
          <w:tab w:val="clear" w:pos="360"/>
          <w:tab w:val="left" w:pos="648"/>
        </w:tabs>
        <w:spacing w:before="107"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The escalation rate used for past escalations lacks substantiation. We see a 2% escalation rate as being low. Indices should consider changes in construction materials (HDPE, concrete, steel, pumps), local content and imported products, machinery and equip</w:t>
      </w:r>
      <w:r>
        <w:rPr>
          <w:rFonts w:ascii="Arial" w:eastAsia="Arial" w:hAnsi="Arial"/>
          <w:color w:val="000000"/>
          <w:sz w:val="20"/>
        </w:rPr>
        <w:t xml:space="preserve">ment, fuel costs, disbursements (accommodation, consumables, hardware), </w:t>
      </w:r>
      <w:proofErr w:type="spellStart"/>
      <w:r>
        <w:rPr>
          <w:rFonts w:ascii="Arial" w:eastAsia="Arial" w:hAnsi="Arial"/>
          <w:color w:val="000000"/>
          <w:sz w:val="20"/>
        </w:rPr>
        <w:t>labour</w:t>
      </w:r>
      <w:proofErr w:type="spellEnd"/>
    </w:p>
    <w:p w14:paraId="5B52253C" w14:textId="77777777" w:rsidR="00345DC1" w:rsidRDefault="00DB08CC">
      <w:pPr>
        <w:numPr>
          <w:ilvl w:val="0"/>
          <w:numId w:val="2"/>
        </w:numPr>
        <w:tabs>
          <w:tab w:val="clear" w:pos="360"/>
          <w:tab w:val="left" w:pos="648"/>
        </w:tabs>
        <w:spacing w:before="101"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There is no Base Date specified for the estimate which makes it difficult to assess the period over which cost escalations which have been applied. There appears to be an error </w:t>
      </w:r>
      <w:r>
        <w:rPr>
          <w:rFonts w:ascii="Arial" w:eastAsia="Arial" w:hAnsi="Arial"/>
          <w:color w:val="000000"/>
          <w:sz w:val="20"/>
        </w:rPr>
        <w:t>in the past cost escalation calculation attributable to lack of clarity around the Base Date.</w:t>
      </w:r>
    </w:p>
    <w:p w14:paraId="796B5047" w14:textId="77777777" w:rsidR="00345DC1" w:rsidRDefault="00DB08CC">
      <w:pPr>
        <w:numPr>
          <w:ilvl w:val="0"/>
          <w:numId w:val="2"/>
        </w:numPr>
        <w:tabs>
          <w:tab w:val="clear" w:pos="360"/>
          <w:tab w:val="left" w:pos="648"/>
        </w:tabs>
        <w:spacing w:before="198" w:line="249" w:lineRule="exact"/>
        <w:ind w:left="648" w:hanging="360"/>
        <w:jc w:val="both"/>
        <w:textAlignment w:val="baseline"/>
        <w:rPr>
          <w:rFonts w:ascii="Arial" w:eastAsia="Arial" w:hAnsi="Arial"/>
          <w:color w:val="000000"/>
          <w:sz w:val="20"/>
        </w:rPr>
      </w:pPr>
      <w:r>
        <w:rPr>
          <w:rFonts w:ascii="Arial" w:eastAsia="Arial" w:hAnsi="Arial"/>
          <w:color w:val="000000"/>
          <w:sz w:val="20"/>
        </w:rPr>
        <w:t>Further justification of the cost allowances made for pipelines is required.</w:t>
      </w:r>
    </w:p>
    <w:p w14:paraId="24F399B3" w14:textId="77777777" w:rsidR="00345DC1" w:rsidRDefault="00DB08CC">
      <w:pPr>
        <w:numPr>
          <w:ilvl w:val="0"/>
          <w:numId w:val="2"/>
        </w:numPr>
        <w:tabs>
          <w:tab w:val="clear" w:pos="360"/>
          <w:tab w:val="left" w:pos="648"/>
        </w:tabs>
        <w:spacing w:before="192" w:line="249" w:lineRule="exact"/>
        <w:ind w:left="648" w:hanging="360"/>
        <w:jc w:val="both"/>
        <w:textAlignment w:val="baseline"/>
        <w:rPr>
          <w:rFonts w:ascii="Arial" w:eastAsia="Arial" w:hAnsi="Arial"/>
          <w:color w:val="000000"/>
          <w:sz w:val="20"/>
        </w:rPr>
      </w:pPr>
      <w:r>
        <w:rPr>
          <w:rFonts w:ascii="Arial" w:eastAsia="Arial" w:hAnsi="Arial"/>
          <w:color w:val="000000"/>
          <w:sz w:val="20"/>
        </w:rPr>
        <w:t>Further justification of the cost allowances made for on-farm works in the SEP is req</w:t>
      </w:r>
      <w:r>
        <w:rPr>
          <w:rFonts w:ascii="Arial" w:eastAsia="Arial" w:hAnsi="Arial"/>
          <w:color w:val="000000"/>
          <w:sz w:val="20"/>
        </w:rPr>
        <w:t>uired.</w:t>
      </w:r>
    </w:p>
    <w:p w14:paraId="305C1CB4" w14:textId="77777777" w:rsidR="00345DC1" w:rsidRDefault="00DB08CC">
      <w:pPr>
        <w:spacing w:before="109" w:line="344" w:lineRule="exact"/>
        <w:ind w:left="288" w:right="216"/>
        <w:jc w:val="both"/>
        <w:textAlignment w:val="baseline"/>
        <w:rPr>
          <w:rFonts w:ascii="Arial" w:eastAsia="Arial" w:hAnsi="Arial"/>
          <w:color w:val="000000"/>
          <w:sz w:val="20"/>
        </w:rPr>
      </w:pPr>
      <w:r>
        <w:rPr>
          <w:rFonts w:ascii="Arial" w:eastAsia="Arial" w:hAnsi="Arial"/>
          <w:color w:val="000000"/>
          <w:sz w:val="20"/>
        </w:rPr>
        <w:t>The following elements of the Construction Cost estimate appear adequate for current level of project development and costing:</w:t>
      </w:r>
    </w:p>
    <w:p w14:paraId="58C5F377" w14:textId="77777777" w:rsidR="00345DC1" w:rsidRDefault="00DB08CC">
      <w:pPr>
        <w:numPr>
          <w:ilvl w:val="0"/>
          <w:numId w:val="2"/>
        </w:numPr>
        <w:tabs>
          <w:tab w:val="clear" w:pos="360"/>
          <w:tab w:val="left" w:pos="648"/>
        </w:tabs>
        <w:spacing w:before="212" w:line="249" w:lineRule="exact"/>
        <w:ind w:left="648" w:hanging="360"/>
        <w:textAlignment w:val="baseline"/>
        <w:rPr>
          <w:rFonts w:ascii="Arial" w:eastAsia="Arial" w:hAnsi="Arial"/>
          <w:color w:val="000000"/>
          <w:sz w:val="20"/>
        </w:rPr>
      </w:pPr>
      <w:r>
        <w:rPr>
          <w:rFonts w:ascii="Arial" w:eastAsia="Arial" w:hAnsi="Arial"/>
          <w:color w:val="000000"/>
          <w:sz w:val="20"/>
        </w:rPr>
        <w:t>The scope of works is clearly defined and developed from concept design work</w:t>
      </w:r>
    </w:p>
    <w:p w14:paraId="3D1A0069" w14:textId="77777777" w:rsidR="00345DC1" w:rsidRDefault="00DB08CC">
      <w:pPr>
        <w:numPr>
          <w:ilvl w:val="0"/>
          <w:numId w:val="2"/>
        </w:numPr>
        <w:tabs>
          <w:tab w:val="clear" w:pos="360"/>
          <w:tab w:val="left" w:pos="648"/>
        </w:tabs>
        <w:spacing w:before="99"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Adequate cost contingency has been applied to pipeline works and on-farm works which appropriately reflects the uncertainty in these costs as this stage</w:t>
      </w:r>
    </w:p>
    <w:p w14:paraId="298E905E" w14:textId="77777777" w:rsidR="00345DC1" w:rsidRDefault="00DB08CC">
      <w:pPr>
        <w:numPr>
          <w:ilvl w:val="0"/>
          <w:numId w:val="2"/>
        </w:numPr>
        <w:tabs>
          <w:tab w:val="clear" w:pos="360"/>
          <w:tab w:val="left" w:pos="648"/>
        </w:tabs>
        <w:spacing w:before="104"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Adequate cost allowances have been made for project development works including design, </w:t>
      </w:r>
      <w:proofErr w:type="gramStart"/>
      <w:r>
        <w:rPr>
          <w:rFonts w:ascii="Arial" w:eastAsia="Arial" w:hAnsi="Arial"/>
          <w:color w:val="000000"/>
          <w:sz w:val="20"/>
        </w:rPr>
        <w:t>survey</w:t>
      </w:r>
      <w:proofErr w:type="gramEnd"/>
      <w:r>
        <w:rPr>
          <w:rFonts w:ascii="Arial" w:eastAsia="Arial" w:hAnsi="Arial"/>
          <w:color w:val="000000"/>
          <w:sz w:val="20"/>
        </w:rPr>
        <w:t xml:space="preserve"> and appr</w:t>
      </w:r>
      <w:r>
        <w:rPr>
          <w:rFonts w:ascii="Arial" w:eastAsia="Arial" w:hAnsi="Arial"/>
          <w:color w:val="000000"/>
          <w:sz w:val="20"/>
        </w:rPr>
        <w:t>ovals</w:t>
      </w:r>
    </w:p>
    <w:p w14:paraId="5D451FEB" w14:textId="77777777" w:rsidR="00345DC1" w:rsidRDefault="00DB08CC">
      <w:pPr>
        <w:spacing w:before="242" w:line="345" w:lineRule="exact"/>
        <w:ind w:left="1224" w:right="216" w:hanging="936"/>
        <w:textAlignment w:val="baseline"/>
        <w:rPr>
          <w:rFonts w:ascii="Arial" w:eastAsia="Arial" w:hAnsi="Arial"/>
          <w:b/>
          <w:color w:val="0064A3"/>
          <w:sz w:val="20"/>
        </w:rPr>
      </w:pPr>
      <w:r>
        <w:rPr>
          <w:rFonts w:ascii="Arial" w:eastAsia="Arial" w:hAnsi="Arial"/>
          <w:b/>
          <w:color w:val="0064A3"/>
          <w:sz w:val="20"/>
        </w:rPr>
        <w:t>Enquiry 3: What extent does the detailed budget demonstrate appropriate costings that reflect market realities – including the appropriateness of any contingency costs and escalations</w:t>
      </w:r>
    </w:p>
    <w:p w14:paraId="3FE655EF" w14:textId="77777777" w:rsidR="00345DC1" w:rsidRDefault="00DB08CC">
      <w:pPr>
        <w:numPr>
          <w:ilvl w:val="0"/>
          <w:numId w:val="2"/>
        </w:numPr>
        <w:tabs>
          <w:tab w:val="clear" w:pos="360"/>
          <w:tab w:val="left" w:pos="648"/>
        </w:tabs>
        <w:spacing w:before="62"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The Business Case does not state the level of confidence associate</w:t>
      </w:r>
      <w:r>
        <w:rPr>
          <w:rFonts w:ascii="Arial" w:eastAsia="Arial" w:hAnsi="Arial"/>
          <w:color w:val="000000"/>
          <w:sz w:val="20"/>
        </w:rPr>
        <w:t>d with the cost estimates. It is assumed that the Business Case provides a P90 (equivalent) Project Cost estimate. This means that the Commonwealth understands that there is a 10% likelihood that the cost will be exceeded.</w:t>
      </w:r>
    </w:p>
    <w:p w14:paraId="027B8A52" w14:textId="77777777" w:rsidR="00345DC1" w:rsidRDefault="00DB08CC">
      <w:pPr>
        <w:numPr>
          <w:ilvl w:val="0"/>
          <w:numId w:val="2"/>
        </w:numPr>
        <w:tabs>
          <w:tab w:val="clear" w:pos="360"/>
          <w:tab w:val="left" w:pos="648"/>
        </w:tabs>
        <w:spacing w:before="123" w:line="344" w:lineRule="exact"/>
        <w:ind w:left="648" w:right="216" w:hanging="360"/>
        <w:jc w:val="both"/>
        <w:textAlignment w:val="baseline"/>
        <w:rPr>
          <w:rFonts w:ascii="Arial" w:eastAsia="Arial" w:hAnsi="Arial"/>
          <w:color w:val="000000"/>
          <w:sz w:val="20"/>
        </w:rPr>
      </w:pPr>
      <w:r>
        <w:rPr>
          <w:rFonts w:ascii="Arial" w:eastAsia="Arial" w:hAnsi="Arial"/>
          <w:color w:val="000000"/>
          <w:sz w:val="20"/>
        </w:rPr>
        <w:t xml:space="preserve">GHD's level of confidence in the </w:t>
      </w:r>
      <w:r>
        <w:rPr>
          <w:rFonts w:ascii="Arial" w:eastAsia="Arial" w:hAnsi="Arial"/>
          <w:color w:val="000000"/>
          <w:sz w:val="20"/>
        </w:rPr>
        <w:t xml:space="preserve">assumed P90 Project Cost estimates for both </w:t>
      </w:r>
      <w:r>
        <w:rPr>
          <w:rFonts w:ascii="Arial" w:eastAsia="Arial" w:hAnsi="Arial"/>
          <w:color w:val="000000"/>
          <w:sz w:val="20"/>
          <w:u w:val="single"/>
        </w:rPr>
        <w:t>BTP and SEP</w:t>
      </w:r>
      <w:r>
        <w:rPr>
          <w:rFonts w:ascii="Arial" w:eastAsia="Arial" w:hAnsi="Arial"/>
          <w:color w:val="000000"/>
          <w:sz w:val="20"/>
        </w:rPr>
        <w:t xml:space="preserve"> is </w:t>
      </w:r>
      <w:proofErr w:type="gramStart"/>
      <w:r>
        <w:rPr>
          <w:rFonts w:ascii="Arial" w:eastAsia="Arial" w:hAnsi="Arial"/>
          <w:color w:val="000000"/>
          <w:sz w:val="20"/>
        </w:rPr>
        <w:t>low</w:t>
      </w:r>
      <w:proofErr w:type="gramEnd"/>
      <w:r>
        <w:rPr>
          <w:rFonts w:ascii="Arial" w:eastAsia="Arial" w:hAnsi="Arial"/>
          <w:color w:val="000000"/>
          <w:sz w:val="20"/>
        </w:rPr>
        <w:t xml:space="preserve"> and the resultant P90 Project Cost estimate is also considered low, due to the following:</w:t>
      </w:r>
    </w:p>
    <w:p w14:paraId="58760CC2" w14:textId="77777777" w:rsidR="00345DC1" w:rsidRDefault="00DB08CC">
      <w:pPr>
        <w:numPr>
          <w:ilvl w:val="0"/>
          <w:numId w:val="13"/>
        </w:numPr>
        <w:tabs>
          <w:tab w:val="clear" w:pos="288"/>
          <w:tab w:val="left" w:pos="936"/>
        </w:tabs>
        <w:spacing w:before="123" w:line="344" w:lineRule="exact"/>
        <w:ind w:left="936" w:right="216" w:hanging="288"/>
        <w:jc w:val="both"/>
        <w:textAlignment w:val="baseline"/>
        <w:rPr>
          <w:rFonts w:ascii="Arial" w:eastAsia="Arial" w:hAnsi="Arial"/>
          <w:color w:val="000000"/>
          <w:sz w:val="20"/>
        </w:rPr>
      </w:pPr>
      <w:r>
        <w:rPr>
          <w:rFonts w:ascii="Arial" w:eastAsia="Arial" w:hAnsi="Arial"/>
          <w:color w:val="000000"/>
          <w:sz w:val="20"/>
        </w:rPr>
        <w:t>There are inconsistencies between the structure of the cost estimate and anticipated activities based o</w:t>
      </w:r>
      <w:r>
        <w:rPr>
          <w:rFonts w:ascii="Arial" w:eastAsia="Arial" w:hAnsi="Arial"/>
          <w:color w:val="000000"/>
          <w:sz w:val="20"/>
        </w:rPr>
        <w:t>n the stated project delivery method. This makes it difficult to validate cost items.</w:t>
      </w:r>
    </w:p>
    <w:p w14:paraId="43D44552" w14:textId="77777777" w:rsidR="00345DC1" w:rsidRDefault="00DB08CC">
      <w:pPr>
        <w:numPr>
          <w:ilvl w:val="0"/>
          <w:numId w:val="13"/>
        </w:numPr>
        <w:tabs>
          <w:tab w:val="clear" w:pos="288"/>
          <w:tab w:val="left" w:pos="936"/>
        </w:tabs>
        <w:spacing w:before="61" w:line="344" w:lineRule="exact"/>
        <w:ind w:left="936" w:right="216" w:hanging="288"/>
        <w:jc w:val="both"/>
        <w:textAlignment w:val="baseline"/>
        <w:rPr>
          <w:rFonts w:ascii="Arial" w:eastAsia="Arial" w:hAnsi="Arial"/>
          <w:color w:val="000000"/>
          <w:sz w:val="20"/>
        </w:rPr>
      </w:pPr>
      <w:r>
        <w:rPr>
          <w:rFonts w:ascii="Arial" w:eastAsia="Arial" w:hAnsi="Arial"/>
          <w:color w:val="000000"/>
          <w:sz w:val="20"/>
        </w:rPr>
        <w:t>A simplistic deterministic method has been used for estimating contingency allowances</w:t>
      </w:r>
      <w:proofErr w:type="gramStart"/>
      <w:r>
        <w:rPr>
          <w:rFonts w:ascii="Arial" w:eastAsia="Arial" w:hAnsi="Arial"/>
          <w:color w:val="000000"/>
          <w:sz w:val="20"/>
        </w:rPr>
        <w:t>. .</w:t>
      </w:r>
      <w:proofErr w:type="gramEnd"/>
      <w:r>
        <w:rPr>
          <w:rFonts w:ascii="Arial" w:eastAsia="Arial" w:hAnsi="Arial"/>
          <w:color w:val="000000"/>
          <w:sz w:val="20"/>
        </w:rPr>
        <w:t xml:space="preserve"> It is expected that probabilistic method/s would have been applied for a project of this monetary value.</w:t>
      </w:r>
    </w:p>
    <w:p w14:paraId="41743946" w14:textId="77777777" w:rsidR="00345DC1" w:rsidRDefault="00DB08CC">
      <w:pPr>
        <w:spacing w:before="631" w:line="165" w:lineRule="exact"/>
        <w:ind w:left="792"/>
        <w:textAlignment w:val="baseline"/>
        <w:rPr>
          <w:rFonts w:ascii="Arial" w:eastAsia="Arial" w:hAnsi="Arial"/>
          <w:color w:val="000000"/>
          <w:sz w:val="14"/>
        </w:rPr>
      </w:pPr>
      <w:r>
        <w:rPr>
          <w:rFonts w:ascii="Arial" w:eastAsia="Arial" w:hAnsi="Arial"/>
          <w:color w:val="000000"/>
          <w:sz w:val="14"/>
        </w:rPr>
        <w:t>GHD ADVISORY</w:t>
      </w:r>
    </w:p>
    <w:p w14:paraId="22C60E25" w14:textId="77777777" w:rsidR="00345DC1" w:rsidRDefault="00DB08CC">
      <w:pPr>
        <w:tabs>
          <w:tab w:val="left" w:pos="792"/>
        </w:tabs>
        <w:spacing w:before="52" w:line="178" w:lineRule="exact"/>
        <w:ind w:left="792" w:hanging="504"/>
        <w:textAlignment w:val="baseline"/>
        <w:rPr>
          <w:rFonts w:ascii="Arial" w:eastAsia="Arial" w:hAnsi="Arial"/>
          <w:color w:val="FFFFFF"/>
          <w:sz w:val="15"/>
          <w:shd w:val="solid" w:color="006391" w:fill="006391"/>
        </w:rPr>
      </w:pPr>
      <w:r>
        <w:rPr>
          <w:rFonts w:ascii="Arial" w:eastAsia="Arial" w:hAnsi="Arial"/>
          <w:color w:val="FFFFFF"/>
          <w:sz w:val="15"/>
          <w:shd w:val="solid" w:color="006391" w:fill="006391"/>
        </w:rPr>
        <w:t>20</w:t>
      </w:r>
      <w:r>
        <w:rPr>
          <w:rFonts w:ascii="Arial" w:eastAsia="Arial" w:hAnsi="Arial"/>
          <w:color w:val="FFFFFF"/>
          <w:sz w:val="15"/>
          <w:shd w:val="solid" w:color="006391" w:fill="006391"/>
        </w:rPr>
        <w:tab/>
      </w:r>
      <w:r>
        <w:rPr>
          <w:rFonts w:ascii="Arial" w:eastAsia="Arial" w:hAnsi="Arial"/>
          <w:color w:val="000000"/>
          <w:sz w:val="14"/>
        </w:rPr>
        <w:t xml:space="preserve">Review of Goulburn Murray Water (GMW) Water </w:t>
      </w:r>
      <w:r>
        <w:rPr>
          <w:rFonts w:ascii="Arial" w:eastAsia="Arial" w:hAnsi="Arial"/>
          <w:color w:val="000000"/>
          <w:sz w:val="14"/>
        </w:rPr>
        <w:br/>
      </w:r>
      <w:r>
        <w:rPr>
          <w:rFonts w:ascii="Arial" w:eastAsia="Arial" w:hAnsi="Arial"/>
          <w:color w:val="000000"/>
          <w:sz w:val="14"/>
        </w:rPr>
        <w:t>Efficiency Project</w:t>
      </w:r>
    </w:p>
    <w:p w14:paraId="23196182" w14:textId="77777777" w:rsidR="00345DC1" w:rsidRDefault="00345DC1">
      <w:pPr>
        <w:sectPr w:rsidR="00345DC1">
          <w:pgSz w:w="11909" w:h="16838"/>
          <w:pgMar w:top="560" w:right="912" w:bottom="262" w:left="917" w:header="720" w:footer="720" w:gutter="0"/>
          <w:cols w:space="720"/>
        </w:sectPr>
      </w:pPr>
    </w:p>
    <w:p w14:paraId="1FBE7752" w14:textId="77777777" w:rsidR="00345DC1" w:rsidRDefault="00DB08CC">
      <w:pPr>
        <w:spacing w:line="319" w:lineRule="exact"/>
        <w:ind w:left="864" w:right="216" w:hanging="288"/>
        <w:jc w:val="both"/>
        <w:textAlignment w:val="baseline"/>
        <w:rPr>
          <w:rFonts w:ascii="Arial" w:eastAsia="Arial" w:hAnsi="Arial"/>
          <w:color w:val="000000"/>
          <w:sz w:val="20"/>
        </w:rPr>
      </w:pPr>
      <w:r>
        <w:rPr>
          <w:rFonts w:ascii="Arial" w:eastAsia="Arial" w:hAnsi="Arial"/>
          <w:color w:val="000000"/>
          <w:sz w:val="20"/>
        </w:rPr>
        <w:lastRenderedPageBreak/>
        <w:t>c. There is no Base Date specified for the estimate which makes it difficult to assess the period over which cost escalations have been applied. There appears to be an error in the past cost escalation calculation attributa</w:t>
      </w:r>
      <w:r>
        <w:rPr>
          <w:rFonts w:ascii="Arial" w:eastAsia="Arial" w:hAnsi="Arial"/>
          <w:color w:val="000000"/>
          <w:sz w:val="20"/>
        </w:rPr>
        <w:t>ble to lack of clarity around the Base Date, which results in an underestimation of the past cost escalation.</w:t>
      </w:r>
    </w:p>
    <w:p w14:paraId="68F43604" w14:textId="77777777" w:rsidR="00345DC1" w:rsidRDefault="00DB08CC">
      <w:pPr>
        <w:spacing w:before="175" w:line="229" w:lineRule="exact"/>
        <w:jc w:val="center"/>
        <w:textAlignment w:val="baseline"/>
        <w:rPr>
          <w:rFonts w:ascii="Arial" w:eastAsia="Arial" w:hAnsi="Arial"/>
          <w:color w:val="000000"/>
          <w:sz w:val="20"/>
        </w:rPr>
      </w:pPr>
      <w:r>
        <w:rPr>
          <w:rFonts w:ascii="Arial" w:eastAsia="Arial" w:hAnsi="Arial"/>
          <w:color w:val="000000"/>
          <w:sz w:val="20"/>
        </w:rPr>
        <w:t>d. The escalation rate used for past escalation lacks substantiation. We see 2% as being low.</w:t>
      </w:r>
    </w:p>
    <w:p w14:paraId="7BC91E40" w14:textId="77777777" w:rsidR="00345DC1" w:rsidRDefault="00DB08CC">
      <w:pPr>
        <w:spacing w:before="59" w:line="345" w:lineRule="exact"/>
        <w:ind w:left="864" w:right="216" w:hanging="288"/>
        <w:jc w:val="both"/>
        <w:textAlignment w:val="baseline"/>
        <w:rPr>
          <w:rFonts w:ascii="Arial" w:eastAsia="Arial" w:hAnsi="Arial"/>
          <w:color w:val="000000"/>
          <w:sz w:val="20"/>
        </w:rPr>
      </w:pPr>
      <w:r>
        <w:rPr>
          <w:rFonts w:ascii="Arial" w:eastAsia="Arial" w:hAnsi="Arial"/>
          <w:color w:val="000000"/>
          <w:sz w:val="20"/>
        </w:rPr>
        <w:t xml:space="preserve">e. It is expected that the escalation rate used for </w:t>
      </w:r>
      <w:r>
        <w:rPr>
          <w:rFonts w:ascii="Arial" w:eastAsia="Arial" w:hAnsi="Arial"/>
          <w:color w:val="000000"/>
          <w:sz w:val="20"/>
        </w:rPr>
        <w:t xml:space="preserve">past escalations for the </w:t>
      </w:r>
      <w:proofErr w:type="gramStart"/>
      <w:r>
        <w:rPr>
          <w:rFonts w:ascii="Arial" w:eastAsia="Arial" w:hAnsi="Arial"/>
          <w:color w:val="000000"/>
          <w:sz w:val="20"/>
        </w:rPr>
        <w:t>BTP</w:t>
      </w:r>
      <w:proofErr w:type="gramEnd"/>
      <w:r>
        <w:rPr>
          <w:rFonts w:ascii="Arial" w:eastAsia="Arial" w:hAnsi="Arial"/>
          <w:color w:val="000000"/>
          <w:sz w:val="20"/>
        </w:rPr>
        <w:t xml:space="preserve"> and the SEP should be different due to the large difference in mark-up of project infrastructure (i.e. pipeline cost proportion significantly lower for SEP).</w:t>
      </w:r>
    </w:p>
    <w:p w14:paraId="6D9A858B" w14:textId="77777777" w:rsidR="00345DC1" w:rsidRDefault="00DB08CC">
      <w:pPr>
        <w:tabs>
          <w:tab w:val="left" w:pos="576"/>
        </w:tabs>
        <w:spacing w:before="52" w:line="351" w:lineRule="exact"/>
        <w:ind w:left="576" w:right="216" w:hanging="360"/>
        <w:textAlignment w:val="baseline"/>
        <w:rPr>
          <w:rFonts w:ascii="Wingdings" w:eastAsia="Wingdings" w:hAnsi="Wingdings"/>
          <w:color w:val="000000"/>
          <w:sz w:val="20"/>
        </w:rPr>
      </w:pPr>
      <w:r>
        <w:rPr>
          <w:rFonts w:ascii="Wingdings" w:eastAsia="Wingdings" w:hAnsi="Wingdings"/>
          <w:color w:val="000000"/>
          <w:sz w:val="20"/>
        </w:rPr>
        <w:t></w:t>
      </w:r>
      <w:r>
        <w:rPr>
          <w:rFonts w:ascii="Arial" w:eastAsia="Arial" w:hAnsi="Arial"/>
          <w:color w:val="000000"/>
          <w:sz w:val="20"/>
        </w:rPr>
        <w:tab/>
        <w:t>We consider the 10% contingency allowance to be on the low end of t</w:t>
      </w:r>
      <w:r>
        <w:rPr>
          <w:rFonts w:ascii="Arial" w:eastAsia="Arial" w:hAnsi="Arial"/>
          <w:color w:val="000000"/>
          <w:sz w:val="20"/>
        </w:rPr>
        <w:t>ypical contingency for projects of this nature, for the following reasons:</w:t>
      </w:r>
    </w:p>
    <w:p w14:paraId="5C020EEB" w14:textId="77777777" w:rsidR="00345DC1" w:rsidRDefault="00DB08CC">
      <w:pPr>
        <w:spacing w:before="62" w:line="341" w:lineRule="exact"/>
        <w:ind w:left="864" w:right="216" w:hanging="288"/>
        <w:jc w:val="both"/>
        <w:textAlignment w:val="baseline"/>
        <w:rPr>
          <w:rFonts w:ascii="Arial" w:eastAsia="Arial" w:hAnsi="Arial"/>
          <w:color w:val="000000"/>
          <w:sz w:val="20"/>
        </w:rPr>
      </w:pPr>
      <w:r>
        <w:rPr>
          <w:rFonts w:ascii="Arial" w:eastAsia="Arial" w:hAnsi="Arial"/>
          <w:color w:val="000000"/>
          <w:sz w:val="20"/>
        </w:rPr>
        <w:t>f. the current 10% is only applicable to the base costs which means there is no contingency on the Operating Expenditure (Owner’s Costs)</w:t>
      </w:r>
    </w:p>
    <w:p w14:paraId="56033D17" w14:textId="77777777" w:rsidR="00345DC1" w:rsidRDefault="00DB08CC">
      <w:pPr>
        <w:spacing w:before="64" w:line="345" w:lineRule="exact"/>
        <w:ind w:left="864" w:right="216" w:hanging="288"/>
        <w:jc w:val="both"/>
        <w:textAlignment w:val="baseline"/>
        <w:rPr>
          <w:rFonts w:ascii="Arial" w:eastAsia="Arial" w:hAnsi="Arial"/>
          <w:color w:val="000000"/>
          <w:sz w:val="20"/>
        </w:rPr>
      </w:pPr>
      <w:r>
        <w:rPr>
          <w:rFonts w:ascii="Arial" w:eastAsia="Arial" w:hAnsi="Arial"/>
          <w:color w:val="000000"/>
          <w:sz w:val="20"/>
        </w:rPr>
        <w:t xml:space="preserve">g. The </w:t>
      </w:r>
      <w:proofErr w:type="gramStart"/>
      <w:r>
        <w:rPr>
          <w:rFonts w:ascii="Arial" w:eastAsia="Arial" w:hAnsi="Arial"/>
          <w:color w:val="000000"/>
          <w:sz w:val="20"/>
        </w:rPr>
        <w:t>proponents</w:t>
      </w:r>
      <w:proofErr w:type="gramEnd"/>
      <w:r>
        <w:rPr>
          <w:rFonts w:ascii="Arial" w:eastAsia="Arial" w:hAnsi="Arial"/>
          <w:color w:val="000000"/>
          <w:sz w:val="20"/>
        </w:rPr>
        <w:t xml:space="preserve"> justification "the Connections Project has extensive experience in delivering </w:t>
      </w:r>
      <w:proofErr w:type="spellStart"/>
      <w:r>
        <w:rPr>
          <w:rFonts w:ascii="Arial" w:eastAsia="Arial" w:hAnsi="Arial"/>
          <w:color w:val="000000"/>
          <w:sz w:val="20"/>
        </w:rPr>
        <w:t>modernisation</w:t>
      </w:r>
      <w:proofErr w:type="spellEnd"/>
      <w:r>
        <w:rPr>
          <w:rFonts w:ascii="Arial" w:eastAsia="Arial" w:hAnsi="Arial"/>
          <w:color w:val="000000"/>
          <w:sz w:val="20"/>
        </w:rPr>
        <w:t xml:space="preserve"> works and therefore a higher than normal level of confidence in the cost estimates”, is based on an optimistic view that all previous assumptions </w:t>
      </w:r>
      <w:r>
        <w:rPr>
          <w:rFonts w:ascii="Arial" w:eastAsia="Arial" w:hAnsi="Arial"/>
          <w:color w:val="000000"/>
          <w:sz w:val="20"/>
        </w:rPr>
        <w:t>will be applicable in the future. Examples where this may not apply include:</w:t>
      </w:r>
    </w:p>
    <w:p w14:paraId="554B6E86" w14:textId="77777777" w:rsidR="00345DC1" w:rsidRDefault="00DB08CC">
      <w:pPr>
        <w:numPr>
          <w:ilvl w:val="0"/>
          <w:numId w:val="14"/>
        </w:numPr>
        <w:tabs>
          <w:tab w:val="clear" w:pos="360"/>
          <w:tab w:val="left" w:pos="2232"/>
        </w:tabs>
        <w:spacing w:before="175" w:line="229" w:lineRule="exact"/>
        <w:ind w:left="1872"/>
        <w:textAlignment w:val="baseline"/>
        <w:rPr>
          <w:rFonts w:ascii="Arial" w:eastAsia="Arial" w:hAnsi="Arial"/>
          <w:color w:val="000000"/>
          <w:sz w:val="20"/>
        </w:rPr>
      </w:pPr>
      <w:r>
        <w:rPr>
          <w:rFonts w:ascii="Arial" w:eastAsia="Arial" w:hAnsi="Arial"/>
          <w:color w:val="000000"/>
          <w:sz w:val="20"/>
        </w:rPr>
        <w:t>Changes to delivery method: self-delivery vs D&amp;C style contract</w:t>
      </w:r>
    </w:p>
    <w:p w14:paraId="49DBFC58" w14:textId="77777777" w:rsidR="00345DC1" w:rsidRDefault="00DB08CC">
      <w:pPr>
        <w:numPr>
          <w:ilvl w:val="0"/>
          <w:numId w:val="14"/>
        </w:numPr>
        <w:tabs>
          <w:tab w:val="clear" w:pos="360"/>
          <w:tab w:val="left" w:pos="2232"/>
        </w:tabs>
        <w:spacing w:before="174" w:line="229" w:lineRule="exact"/>
        <w:ind w:left="1872"/>
        <w:textAlignment w:val="baseline"/>
        <w:rPr>
          <w:rFonts w:ascii="Arial" w:eastAsia="Arial" w:hAnsi="Arial"/>
          <w:color w:val="000000"/>
          <w:spacing w:val="-1"/>
          <w:sz w:val="20"/>
        </w:rPr>
      </w:pPr>
      <w:r>
        <w:rPr>
          <w:rFonts w:ascii="Arial" w:eastAsia="Arial" w:hAnsi="Arial"/>
          <w:color w:val="000000"/>
          <w:spacing w:val="-1"/>
          <w:sz w:val="20"/>
        </w:rPr>
        <w:t>Loss of experienced resources</w:t>
      </w:r>
    </w:p>
    <w:p w14:paraId="176CAADE" w14:textId="77777777" w:rsidR="00345DC1" w:rsidRDefault="00DB08CC">
      <w:pPr>
        <w:numPr>
          <w:ilvl w:val="0"/>
          <w:numId w:val="14"/>
        </w:numPr>
        <w:tabs>
          <w:tab w:val="clear" w:pos="360"/>
          <w:tab w:val="left" w:pos="2232"/>
        </w:tabs>
        <w:spacing w:before="179" w:line="229" w:lineRule="exact"/>
        <w:ind w:left="1872"/>
        <w:textAlignment w:val="baseline"/>
        <w:rPr>
          <w:rFonts w:ascii="Arial" w:eastAsia="Arial" w:hAnsi="Arial"/>
          <w:color w:val="000000"/>
          <w:spacing w:val="-1"/>
          <w:sz w:val="20"/>
        </w:rPr>
      </w:pPr>
      <w:r>
        <w:rPr>
          <w:rFonts w:ascii="Arial" w:eastAsia="Arial" w:hAnsi="Arial"/>
          <w:color w:val="000000"/>
          <w:spacing w:val="-1"/>
          <w:sz w:val="20"/>
        </w:rPr>
        <w:t>Changes to procurement contracts</w:t>
      </w:r>
    </w:p>
    <w:p w14:paraId="3EE3B388" w14:textId="77777777" w:rsidR="00345DC1" w:rsidRDefault="00DB08CC">
      <w:pPr>
        <w:numPr>
          <w:ilvl w:val="0"/>
          <w:numId w:val="14"/>
        </w:numPr>
        <w:tabs>
          <w:tab w:val="clear" w:pos="360"/>
          <w:tab w:val="left" w:pos="2232"/>
        </w:tabs>
        <w:spacing w:before="174" w:line="229" w:lineRule="exact"/>
        <w:ind w:left="1872"/>
        <w:textAlignment w:val="baseline"/>
        <w:rPr>
          <w:rFonts w:ascii="Arial" w:eastAsia="Arial" w:hAnsi="Arial"/>
          <w:color w:val="000000"/>
          <w:sz w:val="20"/>
        </w:rPr>
      </w:pPr>
      <w:r>
        <w:rPr>
          <w:rFonts w:ascii="Arial" w:eastAsia="Arial" w:hAnsi="Arial"/>
          <w:color w:val="000000"/>
          <w:sz w:val="20"/>
        </w:rPr>
        <w:t>Environmental factors (</w:t>
      </w:r>
      <w:proofErr w:type="gramStart"/>
      <w:r>
        <w:rPr>
          <w:rFonts w:ascii="Arial" w:eastAsia="Arial" w:hAnsi="Arial"/>
          <w:color w:val="000000"/>
          <w:sz w:val="20"/>
        </w:rPr>
        <w:t>i.e.</w:t>
      </w:r>
      <w:proofErr w:type="gramEnd"/>
      <w:r>
        <w:rPr>
          <w:rFonts w:ascii="Arial" w:eastAsia="Arial" w:hAnsi="Arial"/>
          <w:color w:val="000000"/>
          <w:sz w:val="20"/>
        </w:rPr>
        <w:t xml:space="preserve"> climate, pandemics)</w:t>
      </w:r>
    </w:p>
    <w:p w14:paraId="406B3AAE" w14:textId="77777777" w:rsidR="00345DC1" w:rsidRDefault="00DB08CC">
      <w:pPr>
        <w:spacing w:before="59" w:line="345" w:lineRule="exact"/>
        <w:ind w:left="864" w:right="216" w:hanging="288"/>
        <w:jc w:val="both"/>
        <w:textAlignment w:val="baseline"/>
        <w:rPr>
          <w:rFonts w:ascii="Arial" w:eastAsia="Arial" w:hAnsi="Arial"/>
          <w:color w:val="000000"/>
          <w:spacing w:val="-2"/>
          <w:sz w:val="20"/>
        </w:rPr>
      </w:pPr>
      <w:r>
        <w:rPr>
          <w:rFonts w:ascii="Arial" w:eastAsia="Arial" w:hAnsi="Arial"/>
          <w:color w:val="000000"/>
          <w:spacing w:val="-2"/>
          <w:sz w:val="20"/>
        </w:rPr>
        <w:t>h. C</w:t>
      </w:r>
      <w:r>
        <w:rPr>
          <w:rFonts w:ascii="Arial" w:eastAsia="Arial" w:hAnsi="Arial"/>
          <w:color w:val="000000"/>
          <w:spacing w:val="-2"/>
          <w:sz w:val="20"/>
        </w:rPr>
        <w:t>lient costs are not related to a specific project duration (a percentage has been applied) and therefore there is no validation of cost allowance versus required levels of resourcing. There is no contingency allowance for Client costs which reflects a lack</w:t>
      </w:r>
      <w:r>
        <w:rPr>
          <w:rFonts w:ascii="Arial" w:eastAsia="Arial" w:hAnsi="Arial"/>
          <w:color w:val="000000"/>
          <w:spacing w:val="-2"/>
          <w:sz w:val="20"/>
        </w:rPr>
        <w:t xml:space="preserve"> of consideration to potential </w:t>
      </w:r>
      <w:proofErr w:type="gramStart"/>
      <w:r>
        <w:rPr>
          <w:rFonts w:ascii="Arial" w:eastAsia="Arial" w:hAnsi="Arial"/>
          <w:color w:val="000000"/>
          <w:spacing w:val="-2"/>
          <w:sz w:val="20"/>
        </w:rPr>
        <w:t>client side</w:t>
      </w:r>
      <w:proofErr w:type="gramEnd"/>
      <w:r>
        <w:rPr>
          <w:rFonts w:ascii="Arial" w:eastAsia="Arial" w:hAnsi="Arial"/>
          <w:color w:val="000000"/>
          <w:spacing w:val="-2"/>
          <w:sz w:val="20"/>
        </w:rPr>
        <w:t xml:space="preserve"> cost risks.</w:t>
      </w:r>
    </w:p>
    <w:p w14:paraId="6CB6E99E" w14:textId="77777777" w:rsidR="00345DC1" w:rsidRDefault="00DB08CC">
      <w:pPr>
        <w:spacing w:before="59" w:line="345" w:lineRule="exact"/>
        <w:ind w:left="864" w:right="216" w:hanging="288"/>
        <w:jc w:val="both"/>
        <w:textAlignment w:val="baseline"/>
        <w:rPr>
          <w:rFonts w:ascii="Arial" w:eastAsia="Arial" w:hAnsi="Arial"/>
          <w:color w:val="000000"/>
          <w:sz w:val="20"/>
        </w:rPr>
      </w:pPr>
      <w:proofErr w:type="spellStart"/>
      <w:r>
        <w:rPr>
          <w:rFonts w:ascii="Arial" w:eastAsia="Arial" w:hAnsi="Arial"/>
          <w:color w:val="000000"/>
          <w:sz w:val="20"/>
        </w:rPr>
        <w:t>i</w:t>
      </w:r>
      <w:proofErr w:type="spellEnd"/>
      <w:r>
        <w:rPr>
          <w:rFonts w:ascii="Arial" w:eastAsia="Arial" w:hAnsi="Arial"/>
          <w:color w:val="000000"/>
          <w:sz w:val="20"/>
        </w:rPr>
        <w:t>. There are inconsistencies between the project dates shown in the business case, which may impact upon Client Costs.</w:t>
      </w:r>
    </w:p>
    <w:p w14:paraId="402D4C62" w14:textId="77777777" w:rsidR="00345DC1" w:rsidRDefault="00DB08CC">
      <w:pPr>
        <w:spacing w:before="67" w:after="3709" w:line="344" w:lineRule="exact"/>
        <w:ind w:left="864" w:right="216" w:hanging="288"/>
        <w:jc w:val="both"/>
        <w:textAlignment w:val="baseline"/>
        <w:rPr>
          <w:rFonts w:ascii="Arial" w:eastAsia="Arial" w:hAnsi="Arial"/>
          <w:color w:val="000000"/>
          <w:sz w:val="20"/>
        </w:rPr>
      </w:pPr>
      <w:r>
        <w:rPr>
          <w:rFonts w:ascii="Arial" w:eastAsia="Arial" w:hAnsi="Arial"/>
          <w:color w:val="000000"/>
          <w:sz w:val="20"/>
        </w:rPr>
        <w:t>j. The future escalation costs are based on a cashflow sequence and assumed escalation rate. Whilst there is lack of detail regarding the</w:t>
      </w:r>
      <w:r>
        <w:rPr>
          <w:rFonts w:ascii="Arial" w:eastAsia="Arial" w:hAnsi="Arial"/>
          <w:color w:val="000000"/>
          <w:sz w:val="20"/>
        </w:rPr>
        <w:t xml:space="preserve"> cashflow sequence, the logic and application is appropriate. However, the escalation rate lacks substantiation and would appear to be high particularly </w:t>
      </w:r>
      <w:proofErr w:type="gramStart"/>
      <w:r>
        <w:rPr>
          <w:rFonts w:ascii="Arial" w:eastAsia="Arial" w:hAnsi="Arial"/>
          <w:color w:val="000000"/>
          <w:sz w:val="20"/>
        </w:rPr>
        <w:t>in light of</w:t>
      </w:r>
      <w:proofErr w:type="gramEnd"/>
      <w:r>
        <w:rPr>
          <w:rFonts w:ascii="Arial" w:eastAsia="Arial" w:hAnsi="Arial"/>
          <w:color w:val="000000"/>
          <w:sz w:val="20"/>
        </w:rPr>
        <w:t xml:space="preserve"> the current considerable uncertainty of the domestic economy. [This cost uncertainty may be</w:t>
      </w:r>
      <w:r>
        <w:rPr>
          <w:rFonts w:ascii="Arial" w:eastAsia="Arial" w:hAnsi="Arial"/>
          <w:color w:val="000000"/>
          <w:sz w:val="20"/>
        </w:rPr>
        <w:t xml:space="preserve"> best managed via mechanisms in the funding agreement and sensible risk allocation, rather speculation of forecast].</w:t>
      </w:r>
    </w:p>
    <w:p w14:paraId="24D81A5A" w14:textId="77777777" w:rsidR="00345DC1" w:rsidRDefault="00345DC1">
      <w:pPr>
        <w:spacing w:before="67" w:after="3709" w:line="344" w:lineRule="exact"/>
        <w:sectPr w:rsidR="00345DC1">
          <w:pgSz w:w="11909" w:h="16838"/>
          <w:pgMar w:top="560" w:right="905" w:bottom="262" w:left="924" w:header="720" w:footer="720" w:gutter="0"/>
          <w:cols w:space="720"/>
        </w:sectPr>
      </w:pPr>
    </w:p>
    <w:p w14:paraId="1177C4DE" w14:textId="77777777" w:rsidR="00345DC1" w:rsidRDefault="00DB08CC">
      <w:pPr>
        <w:spacing w:before="1" w:line="142" w:lineRule="exact"/>
        <w:ind w:left="792"/>
        <w:textAlignment w:val="baseline"/>
        <w:rPr>
          <w:rFonts w:ascii="Arial" w:eastAsia="Arial" w:hAnsi="Arial"/>
          <w:color w:val="000000"/>
          <w:sz w:val="14"/>
        </w:rPr>
      </w:pPr>
      <w:r>
        <w:rPr>
          <w:rFonts w:ascii="Arial" w:eastAsia="Arial" w:hAnsi="Arial"/>
          <w:color w:val="000000"/>
          <w:sz w:val="14"/>
        </w:rPr>
        <w:t>GHD ADVISORY</w:t>
      </w:r>
    </w:p>
    <w:p w14:paraId="3AC827C7" w14:textId="77777777" w:rsidR="00345DC1" w:rsidRDefault="00DB08CC">
      <w:pPr>
        <w:spacing w:line="124" w:lineRule="exact"/>
        <w:ind w:left="216"/>
        <w:textAlignment w:val="baseline"/>
        <w:rPr>
          <w:rFonts w:ascii="Arial" w:eastAsia="Arial" w:hAnsi="Arial"/>
          <w:color w:val="FFFFFF"/>
          <w:spacing w:val="36"/>
          <w:sz w:val="15"/>
          <w:shd w:val="solid" w:color="006391" w:fill="006391"/>
        </w:rPr>
      </w:pPr>
      <w:r>
        <w:rPr>
          <w:rFonts w:ascii="Arial" w:eastAsia="Arial" w:hAnsi="Arial"/>
          <w:color w:val="FFFFFF"/>
          <w:spacing w:val="36"/>
          <w:sz w:val="15"/>
          <w:shd w:val="solid" w:color="006391" w:fill="006391"/>
        </w:rPr>
        <w:t>21</w:t>
      </w:r>
    </w:p>
    <w:p w14:paraId="2BAAE0CD" w14:textId="77777777" w:rsidR="00345DC1" w:rsidRDefault="00DB08CC">
      <w:pPr>
        <w:spacing w:line="139" w:lineRule="exact"/>
        <w:ind w:left="792"/>
        <w:textAlignment w:val="baseline"/>
        <w:rPr>
          <w:rFonts w:ascii="Arial" w:eastAsia="Arial" w:hAnsi="Arial"/>
          <w:color w:val="000000"/>
          <w:spacing w:val="-2"/>
          <w:sz w:val="14"/>
        </w:rPr>
      </w:pPr>
      <w:r>
        <w:rPr>
          <w:rFonts w:ascii="Arial" w:eastAsia="Arial" w:hAnsi="Arial"/>
          <w:color w:val="000000"/>
          <w:spacing w:val="-2"/>
          <w:sz w:val="14"/>
        </w:rPr>
        <w:t>Review of Goulburn Murray Water (GMW) Water</w:t>
      </w:r>
    </w:p>
    <w:p w14:paraId="557ED457" w14:textId="77777777" w:rsidR="00345DC1" w:rsidRDefault="00DB08CC">
      <w:pPr>
        <w:spacing w:before="3" w:line="165" w:lineRule="exact"/>
        <w:ind w:left="792"/>
        <w:textAlignment w:val="baseline"/>
        <w:rPr>
          <w:rFonts w:ascii="Arial" w:eastAsia="Arial" w:hAnsi="Arial"/>
          <w:color w:val="000000"/>
          <w:sz w:val="14"/>
        </w:rPr>
      </w:pPr>
      <w:r>
        <w:rPr>
          <w:rFonts w:ascii="Arial" w:eastAsia="Arial" w:hAnsi="Arial"/>
          <w:color w:val="000000"/>
          <w:sz w:val="14"/>
        </w:rPr>
        <w:t>Efficiency Project</w:t>
      </w:r>
    </w:p>
    <w:p w14:paraId="7DA4EC76" w14:textId="77777777" w:rsidR="00345DC1" w:rsidRDefault="00345DC1">
      <w:pPr>
        <w:sectPr w:rsidR="00345DC1">
          <w:type w:val="continuous"/>
          <w:pgSz w:w="11909" w:h="16838"/>
          <w:pgMar w:top="560" w:right="7136" w:bottom="262" w:left="924" w:header="720" w:footer="720" w:gutter="0"/>
          <w:cols w:space="720"/>
        </w:sectPr>
      </w:pPr>
    </w:p>
    <w:p w14:paraId="3B10696C" w14:textId="77777777" w:rsidR="00345DC1" w:rsidRDefault="00DB08CC">
      <w:pPr>
        <w:spacing w:before="7" w:after="217" w:line="549" w:lineRule="exact"/>
        <w:ind w:left="216"/>
        <w:textAlignment w:val="baseline"/>
        <w:rPr>
          <w:rFonts w:ascii="Arial" w:eastAsia="Arial" w:hAnsi="Arial"/>
          <w:b/>
          <w:color w:val="006CA2"/>
          <w:spacing w:val="35"/>
          <w:w w:val="95"/>
          <w:sz w:val="48"/>
        </w:rPr>
      </w:pPr>
      <w:r>
        <w:rPr>
          <w:rFonts w:ascii="Arial" w:eastAsia="Arial" w:hAnsi="Arial"/>
          <w:b/>
          <w:color w:val="006CA2"/>
          <w:spacing w:val="35"/>
          <w:w w:val="95"/>
          <w:sz w:val="48"/>
        </w:rPr>
        <w:lastRenderedPageBreak/>
        <w:t>8. Recommendations</w:t>
      </w:r>
    </w:p>
    <w:p w14:paraId="7FA92621" w14:textId="77777777" w:rsidR="00345DC1" w:rsidRDefault="00DB08CC">
      <w:pPr>
        <w:spacing w:before="1" w:line="230" w:lineRule="exact"/>
        <w:ind w:left="216"/>
        <w:textAlignment w:val="baseline"/>
        <w:rPr>
          <w:rFonts w:ascii="Arial" w:eastAsia="Arial" w:hAnsi="Arial"/>
          <w:color w:val="000000"/>
          <w:spacing w:val="-1"/>
          <w:sz w:val="20"/>
        </w:rPr>
      </w:pPr>
      <w:r>
        <w:rPr>
          <w:rFonts w:ascii="Arial" w:eastAsia="Arial" w:hAnsi="Arial"/>
          <w:color w:val="000000"/>
          <w:spacing w:val="-1"/>
          <w:sz w:val="20"/>
        </w:rPr>
        <w:t>It is recommended that:</w:t>
      </w:r>
    </w:p>
    <w:p w14:paraId="1728AE49" w14:textId="77777777" w:rsidR="00345DC1" w:rsidRDefault="00DB08CC">
      <w:pPr>
        <w:spacing w:before="119" w:line="346" w:lineRule="exact"/>
        <w:ind w:left="576" w:right="216" w:hanging="360"/>
        <w:textAlignment w:val="baseline"/>
        <w:rPr>
          <w:rFonts w:ascii="Arial" w:eastAsia="Arial" w:hAnsi="Arial"/>
          <w:color w:val="000000"/>
          <w:sz w:val="20"/>
        </w:rPr>
      </w:pPr>
      <w:r>
        <w:rPr>
          <w:rFonts w:ascii="Arial" w:eastAsia="Arial" w:hAnsi="Arial"/>
          <w:color w:val="000000"/>
          <w:sz w:val="20"/>
        </w:rPr>
        <w:t>1. The Department consider obtaining additional information from the Victorian Government to reduce uncertainty in GHD’s assessment of the following cost risks:</w:t>
      </w:r>
    </w:p>
    <w:p w14:paraId="0EB2E863" w14:textId="77777777" w:rsidR="00345DC1" w:rsidRDefault="00DB08CC">
      <w:pPr>
        <w:numPr>
          <w:ilvl w:val="0"/>
          <w:numId w:val="2"/>
        </w:numPr>
        <w:tabs>
          <w:tab w:val="clear" w:pos="360"/>
          <w:tab w:val="left" w:pos="936"/>
        </w:tabs>
        <w:spacing w:before="211" w:line="250" w:lineRule="exact"/>
        <w:ind w:left="576"/>
        <w:textAlignment w:val="baseline"/>
        <w:rPr>
          <w:rFonts w:ascii="Arial" w:eastAsia="Arial" w:hAnsi="Arial"/>
          <w:color w:val="000000"/>
          <w:sz w:val="20"/>
        </w:rPr>
      </w:pPr>
      <w:r>
        <w:rPr>
          <w:rFonts w:ascii="Arial" w:eastAsia="Arial" w:hAnsi="Arial"/>
          <w:color w:val="000000"/>
          <w:sz w:val="20"/>
        </w:rPr>
        <w:t>Justification of pipeline cost estimates for all projects within BTP &amp; SEP</w:t>
      </w:r>
    </w:p>
    <w:p w14:paraId="0089C47B" w14:textId="77777777" w:rsidR="00345DC1" w:rsidRDefault="00DB08CC">
      <w:pPr>
        <w:numPr>
          <w:ilvl w:val="0"/>
          <w:numId w:val="2"/>
        </w:numPr>
        <w:tabs>
          <w:tab w:val="clear" w:pos="360"/>
          <w:tab w:val="left" w:pos="936"/>
        </w:tabs>
        <w:spacing w:before="215" w:line="250" w:lineRule="exact"/>
        <w:ind w:left="576"/>
        <w:textAlignment w:val="baseline"/>
        <w:rPr>
          <w:rFonts w:ascii="Arial" w:eastAsia="Arial" w:hAnsi="Arial"/>
          <w:color w:val="000000"/>
          <w:sz w:val="20"/>
        </w:rPr>
      </w:pPr>
      <w:r>
        <w:rPr>
          <w:rFonts w:ascii="Arial" w:eastAsia="Arial" w:hAnsi="Arial"/>
          <w:color w:val="000000"/>
          <w:sz w:val="20"/>
        </w:rPr>
        <w:t xml:space="preserve">Justification of on </w:t>
      </w:r>
      <w:r>
        <w:rPr>
          <w:rFonts w:ascii="Arial" w:eastAsia="Arial" w:hAnsi="Arial"/>
          <w:color w:val="000000"/>
          <w:sz w:val="20"/>
        </w:rPr>
        <w:t>farm cost estimates within SEP</w:t>
      </w:r>
    </w:p>
    <w:p w14:paraId="40436419" w14:textId="77777777" w:rsidR="00345DC1" w:rsidRDefault="00DB08CC">
      <w:pPr>
        <w:numPr>
          <w:ilvl w:val="0"/>
          <w:numId w:val="2"/>
        </w:numPr>
        <w:tabs>
          <w:tab w:val="clear" w:pos="360"/>
          <w:tab w:val="left" w:pos="936"/>
        </w:tabs>
        <w:spacing w:before="216" w:line="250" w:lineRule="exact"/>
        <w:ind w:left="576"/>
        <w:textAlignment w:val="baseline"/>
        <w:rPr>
          <w:rFonts w:ascii="Arial" w:eastAsia="Arial" w:hAnsi="Arial"/>
          <w:color w:val="000000"/>
          <w:sz w:val="20"/>
        </w:rPr>
      </w:pPr>
      <w:r>
        <w:rPr>
          <w:rFonts w:ascii="Arial" w:eastAsia="Arial" w:hAnsi="Arial"/>
          <w:color w:val="000000"/>
          <w:sz w:val="20"/>
        </w:rPr>
        <w:t xml:space="preserve">Validation of the </w:t>
      </w:r>
      <w:proofErr w:type="gramStart"/>
      <w:r>
        <w:rPr>
          <w:rFonts w:ascii="Arial" w:eastAsia="Arial" w:hAnsi="Arial"/>
          <w:color w:val="000000"/>
          <w:sz w:val="20"/>
        </w:rPr>
        <w:t>units</w:t>
      </w:r>
      <w:proofErr w:type="gramEnd"/>
      <w:r>
        <w:rPr>
          <w:rFonts w:ascii="Arial" w:eastAsia="Arial" w:hAnsi="Arial"/>
          <w:color w:val="000000"/>
          <w:sz w:val="20"/>
        </w:rPr>
        <w:t xml:space="preserve"> rates and 2% escalation using to estimate the Construction Cost</w:t>
      </w:r>
    </w:p>
    <w:p w14:paraId="7463DC83" w14:textId="77777777" w:rsidR="00345DC1" w:rsidRDefault="00DB08CC">
      <w:pPr>
        <w:numPr>
          <w:ilvl w:val="0"/>
          <w:numId w:val="2"/>
        </w:numPr>
        <w:tabs>
          <w:tab w:val="clear" w:pos="360"/>
          <w:tab w:val="left" w:pos="936"/>
        </w:tabs>
        <w:spacing w:before="215" w:line="250" w:lineRule="exact"/>
        <w:ind w:left="576"/>
        <w:textAlignment w:val="baseline"/>
        <w:rPr>
          <w:rFonts w:ascii="Arial" w:eastAsia="Arial" w:hAnsi="Arial"/>
          <w:color w:val="000000"/>
          <w:sz w:val="20"/>
        </w:rPr>
      </w:pPr>
      <w:r>
        <w:rPr>
          <w:rFonts w:ascii="Arial" w:eastAsia="Arial" w:hAnsi="Arial"/>
          <w:color w:val="000000"/>
          <w:sz w:val="20"/>
        </w:rPr>
        <w:t>Confirmation that the post escalation allowance has been applied for the correct period</w:t>
      </w:r>
    </w:p>
    <w:p w14:paraId="360F7332" w14:textId="77777777" w:rsidR="00345DC1" w:rsidRDefault="00DB08CC">
      <w:pPr>
        <w:numPr>
          <w:ilvl w:val="0"/>
          <w:numId w:val="2"/>
        </w:numPr>
        <w:tabs>
          <w:tab w:val="clear" w:pos="360"/>
          <w:tab w:val="left" w:pos="936"/>
        </w:tabs>
        <w:spacing w:before="216" w:line="250" w:lineRule="exact"/>
        <w:ind w:left="576"/>
        <w:textAlignment w:val="baseline"/>
        <w:rPr>
          <w:rFonts w:ascii="Arial" w:eastAsia="Arial" w:hAnsi="Arial"/>
          <w:color w:val="000000"/>
          <w:sz w:val="20"/>
        </w:rPr>
      </w:pPr>
      <w:r>
        <w:rPr>
          <w:rFonts w:ascii="Arial" w:eastAsia="Arial" w:hAnsi="Arial"/>
          <w:color w:val="000000"/>
          <w:sz w:val="20"/>
        </w:rPr>
        <w:t>Validation of client costs across the correct pro</w:t>
      </w:r>
      <w:r>
        <w:rPr>
          <w:rFonts w:ascii="Arial" w:eastAsia="Arial" w:hAnsi="Arial"/>
          <w:color w:val="000000"/>
          <w:sz w:val="20"/>
        </w:rPr>
        <w:t>ject period</w:t>
      </w:r>
    </w:p>
    <w:p w14:paraId="09C30455" w14:textId="77777777" w:rsidR="00345DC1" w:rsidRDefault="00DB08CC">
      <w:pPr>
        <w:numPr>
          <w:ilvl w:val="0"/>
          <w:numId w:val="2"/>
        </w:numPr>
        <w:tabs>
          <w:tab w:val="clear" w:pos="360"/>
          <w:tab w:val="left" w:pos="936"/>
        </w:tabs>
        <w:spacing w:before="216" w:line="250" w:lineRule="exact"/>
        <w:ind w:left="576"/>
        <w:textAlignment w:val="baseline"/>
        <w:rPr>
          <w:rFonts w:ascii="Arial" w:eastAsia="Arial" w:hAnsi="Arial"/>
          <w:color w:val="000000"/>
          <w:sz w:val="20"/>
        </w:rPr>
      </w:pPr>
      <w:r>
        <w:rPr>
          <w:rFonts w:ascii="Arial" w:eastAsia="Arial" w:hAnsi="Arial"/>
          <w:color w:val="000000"/>
          <w:sz w:val="20"/>
        </w:rPr>
        <w:t>Validation of the 3% future escalation rate</w:t>
      </w:r>
    </w:p>
    <w:p w14:paraId="1989E914" w14:textId="77777777" w:rsidR="00345DC1" w:rsidRDefault="00DB08CC">
      <w:pPr>
        <w:numPr>
          <w:ilvl w:val="0"/>
          <w:numId w:val="2"/>
        </w:numPr>
        <w:tabs>
          <w:tab w:val="clear" w:pos="360"/>
          <w:tab w:val="left" w:pos="936"/>
        </w:tabs>
        <w:spacing w:line="465" w:lineRule="exact"/>
        <w:ind w:left="216" w:right="1872" w:firstLine="360"/>
        <w:textAlignment w:val="baseline"/>
        <w:rPr>
          <w:rFonts w:ascii="Arial" w:eastAsia="Arial" w:hAnsi="Arial"/>
          <w:color w:val="000000"/>
          <w:sz w:val="20"/>
        </w:rPr>
      </w:pPr>
      <w:r>
        <w:rPr>
          <w:rFonts w:ascii="Arial" w:eastAsia="Arial" w:hAnsi="Arial"/>
          <w:color w:val="000000"/>
          <w:sz w:val="20"/>
        </w:rPr>
        <w:t>Confirmation of potential COVID-19 related impacts on project costs and timelines and/or</w:t>
      </w:r>
    </w:p>
    <w:p w14:paraId="5ABF6095" w14:textId="77777777" w:rsidR="00345DC1" w:rsidRDefault="00DB08CC">
      <w:pPr>
        <w:spacing w:before="231" w:line="230" w:lineRule="exact"/>
        <w:ind w:left="216"/>
        <w:textAlignment w:val="baseline"/>
        <w:rPr>
          <w:rFonts w:ascii="Arial" w:eastAsia="Arial" w:hAnsi="Arial"/>
          <w:color w:val="000000"/>
          <w:spacing w:val="1"/>
          <w:sz w:val="20"/>
        </w:rPr>
      </w:pPr>
      <w:r>
        <w:rPr>
          <w:rFonts w:ascii="Arial" w:eastAsia="Arial" w:hAnsi="Arial"/>
          <w:color w:val="000000"/>
          <w:spacing w:val="1"/>
          <w:sz w:val="20"/>
        </w:rPr>
        <w:t>2. The Department consider mechanisms to manage cost and water savings risk, such as:</w:t>
      </w:r>
    </w:p>
    <w:p w14:paraId="7AE9166E" w14:textId="77777777" w:rsidR="00345DC1" w:rsidRDefault="00DB08CC">
      <w:pPr>
        <w:numPr>
          <w:ilvl w:val="0"/>
          <w:numId w:val="2"/>
        </w:numPr>
        <w:tabs>
          <w:tab w:val="clear" w:pos="360"/>
          <w:tab w:val="left" w:pos="936"/>
        </w:tabs>
        <w:spacing w:before="119" w:line="346" w:lineRule="exact"/>
        <w:ind w:left="936" w:right="216" w:hanging="360"/>
        <w:textAlignment w:val="baseline"/>
        <w:rPr>
          <w:rFonts w:ascii="Arial" w:eastAsia="Arial" w:hAnsi="Arial"/>
          <w:color w:val="000000"/>
          <w:sz w:val="20"/>
        </w:rPr>
      </w:pPr>
      <w:r>
        <w:rPr>
          <w:rFonts w:ascii="Arial" w:eastAsia="Arial" w:hAnsi="Arial"/>
          <w:color w:val="000000"/>
          <w:sz w:val="20"/>
        </w:rPr>
        <w:t>Allowing flexibility with regards to which sub-projects are delivered across BTP and SEP based on highest value for money and customer acceptance.</w:t>
      </w:r>
    </w:p>
    <w:p w14:paraId="5B0E8627" w14:textId="77777777" w:rsidR="00345DC1" w:rsidRDefault="00DB08CC">
      <w:pPr>
        <w:numPr>
          <w:ilvl w:val="0"/>
          <w:numId w:val="2"/>
        </w:numPr>
        <w:tabs>
          <w:tab w:val="clear" w:pos="360"/>
          <w:tab w:val="left" w:pos="936"/>
        </w:tabs>
        <w:spacing w:before="129" w:after="7370" w:line="341" w:lineRule="exact"/>
        <w:ind w:left="936" w:right="216" w:hanging="360"/>
        <w:textAlignment w:val="baseline"/>
        <w:rPr>
          <w:rFonts w:ascii="Arial" w:eastAsia="Arial" w:hAnsi="Arial"/>
          <w:color w:val="000000"/>
          <w:sz w:val="20"/>
        </w:rPr>
      </w:pPr>
      <w:r>
        <w:rPr>
          <w:rFonts w:ascii="Arial" w:eastAsia="Arial" w:hAnsi="Arial"/>
          <w:color w:val="000000"/>
          <w:sz w:val="20"/>
        </w:rPr>
        <w:t>The provision of an add</w:t>
      </w:r>
      <w:r>
        <w:rPr>
          <w:rFonts w:ascii="Arial" w:eastAsia="Arial" w:hAnsi="Arial"/>
          <w:color w:val="000000"/>
          <w:sz w:val="20"/>
        </w:rPr>
        <w:t xml:space="preserve">itional risk allowance which covers the areas of uncertainty identified in </w:t>
      </w:r>
      <w:r>
        <w:rPr>
          <w:rFonts w:ascii="Arial" w:eastAsia="Arial" w:hAnsi="Arial"/>
          <w:color w:val="000000"/>
          <w:sz w:val="20"/>
          <w:u w:val="single"/>
        </w:rPr>
        <w:t>Recommendation 1</w:t>
      </w:r>
      <w:r>
        <w:rPr>
          <w:rFonts w:ascii="Arial" w:eastAsia="Arial" w:hAnsi="Arial"/>
          <w:color w:val="000000"/>
          <w:sz w:val="20"/>
        </w:rPr>
        <w:t>.</w:t>
      </w:r>
      <w:r>
        <w:rPr>
          <w:rFonts w:ascii="Arial" w:eastAsia="Arial" w:hAnsi="Arial"/>
          <w:color w:val="000000"/>
          <w:sz w:val="20"/>
          <w:u w:val="single"/>
        </w:rPr>
        <w:t xml:space="preserve"> </w:t>
      </w:r>
    </w:p>
    <w:p w14:paraId="573D5A50" w14:textId="77777777" w:rsidR="00345DC1" w:rsidRDefault="00345DC1">
      <w:pPr>
        <w:spacing w:before="129" w:after="7370" w:line="341" w:lineRule="exact"/>
        <w:sectPr w:rsidR="00345DC1">
          <w:pgSz w:w="11909" w:h="16838"/>
          <w:pgMar w:top="580" w:right="917" w:bottom="262" w:left="912" w:header="720" w:footer="720" w:gutter="0"/>
          <w:cols w:space="720"/>
        </w:sectPr>
      </w:pPr>
    </w:p>
    <w:p w14:paraId="67BE883A" w14:textId="77777777" w:rsidR="00345DC1" w:rsidRDefault="00DB08CC">
      <w:pPr>
        <w:spacing w:before="1" w:line="142" w:lineRule="exact"/>
        <w:ind w:left="648"/>
        <w:textAlignment w:val="baseline"/>
        <w:rPr>
          <w:rFonts w:ascii="Arial" w:eastAsia="Arial" w:hAnsi="Arial"/>
          <w:color w:val="000000"/>
          <w:sz w:val="14"/>
        </w:rPr>
      </w:pPr>
      <w:r>
        <w:rPr>
          <w:rFonts w:ascii="Arial" w:eastAsia="Arial" w:hAnsi="Arial"/>
          <w:color w:val="000000"/>
          <w:sz w:val="14"/>
        </w:rPr>
        <w:t>GHD ADVISORY</w:t>
      </w:r>
    </w:p>
    <w:p w14:paraId="137CF8C2" w14:textId="77777777" w:rsidR="00345DC1" w:rsidRDefault="00DB08CC">
      <w:pPr>
        <w:spacing w:line="124" w:lineRule="exact"/>
        <w:ind w:left="144"/>
        <w:textAlignment w:val="baseline"/>
        <w:rPr>
          <w:rFonts w:ascii="Arial" w:eastAsia="Arial" w:hAnsi="Arial"/>
          <w:color w:val="FFFFFF"/>
          <w:spacing w:val="42"/>
          <w:sz w:val="15"/>
          <w:shd w:val="solid" w:color="006391" w:fill="006391"/>
        </w:rPr>
      </w:pPr>
      <w:r>
        <w:rPr>
          <w:rFonts w:ascii="Arial" w:eastAsia="Arial" w:hAnsi="Arial"/>
          <w:color w:val="FFFFFF"/>
          <w:spacing w:val="42"/>
          <w:sz w:val="15"/>
          <w:shd w:val="solid" w:color="006391" w:fill="006391"/>
        </w:rPr>
        <w:t>22</w:t>
      </w:r>
    </w:p>
    <w:p w14:paraId="3C5FDC3B" w14:textId="77777777" w:rsidR="00345DC1" w:rsidRDefault="00DB08CC">
      <w:pPr>
        <w:spacing w:line="139" w:lineRule="exact"/>
        <w:ind w:left="648"/>
        <w:textAlignment w:val="baseline"/>
        <w:rPr>
          <w:rFonts w:ascii="Arial" w:eastAsia="Arial" w:hAnsi="Arial"/>
          <w:color w:val="000000"/>
          <w:sz w:val="14"/>
        </w:rPr>
      </w:pPr>
      <w:r>
        <w:rPr>
          <w:rFonts w:ascii="Arial" w:eastAsia="Arial" w:hAnsi="Arial"/>
          <w:color w:val="000000"/>
          <w:sz w:val="14"/>
        </w:rPr>
        <w:t>Review of Goulburn Murray Water (GMW) Water</w:t>
      </w:r>
    </w:p>
    <w:p w14:paraId="44908E49" w14:textId="77777777" w:rsidR="00345DC1" w:rsidRDefault="00DB08CC">
      <w:pPr>
        <w:spacing w:before="3" w:line="165" w:lineRule="exact"/>
        <w:ind w:left="648"/>
        <w:textAlignment w:val="baseline"/>
        <w:rPr>
          <w:rFonts w:ascii="Arial" w:eastAsia="Arial" w:hAnsi="Arial"/>
          <w:color w:val="000000"/>
          <w:sz w:val="14"/>
        </w:rPr>
      </w:pPr>
      <w:r>
        <w:rPr>
          <w:rFonts w:ascii="Arial" w:eastAsia="Arial" w:hAnsi="Arial"/>
          <w:color w:val="000000"/>
          <w:sz w:val="14"/>
        </w:rPr>
        <w:t>Efficiency Project</w:t>
      </w:r>
    </w:p>
    <w:p w14:paraId="78AF71F7" w14:textId="77777777" w:rsidR="00345DC1" w:rsidRDefault="00345DC1">
      <w:pPr>
        <w:sectPr w:rsidR="00345DC1">
          <w:type w:val="continuous"/>
          <w:pgSz w:w="11909" w:h="16838"/>
          <w:pgMar w:top="580" w:right="7039" w:bottom="262" w:left="1021" w:header="720" w:footer="720" w:gutter="0"/>
          <w:cols w:space="720"/>
        </w:sectPr>
      </w:pPr>
    </w:p>
    <w:p w14:paraId="7DB3FCB3" w14:textId="77777777" w:rsidR="00345DC1" w:rsidRDefault="00DB08CC">
      <w:pPr>
        <w:spacing w:before="1" w:line="424" w:lineRule="exact"/>
        <w:ind w:left="144"/>
        <w:textAlignment w:val="baseline"/>
        <w:rPr>
          <w:rFonts w:ascii="Arial" w:eastAsia="Arial" w:hAnsi="Arial"/>
          <w:b/>
          <w:color w:val="04669A"/>
          <w:spacing w:val="10"/>
          <w:w w:val="90"/>
          <w:sz w:val="38"/>
        </w:rPr>
      </w:pPr>
      <w:r>
        <w:rPr>
          <w:rFonts w:ascii="Arial" w:eastAsia="Arial" w:hAnsi="Arial"/>
          <w:b/>
          <w:color w:val="04669A"/>
          <w:spacing w:val="10"/>
          <w:w w:val="90"/>
          <w:sz w:val="38"/>
        </w:rPr>
        <w:lastRenderedPageBreak/>
        <w:t>GHD</w:t>
      </w:r>
    </w:p>
    <w:p w14:paraId="7CF2557C" w14:textId="77777777" w:rsidR="00345DC1" w:rsidRDefault="00DB08CC">
      <w:pPr>
        <w:spacing w:after="2896" w:line="415" w:lineRule="exact"/>
        <w:ind w:left="144"/>
        <w:textAlignment w:val="baseline"/>
        <w:rPr>
          <w:rFonts w:ascii="Arial" w:eastAsia="Arial" w:hAnsi="Arial"/>
          <w:color w:val="04669A"/>
          <w:spacing w:val="4"/>
          <w:w w:val="90"/>
          <w:sz w:val="38"/>
        </w:rPr>
      </w:pPr>
      <w:r>
        <w:rPr>
          <w:rFonts w:ascii="Arial" w:eastAsia="Arial" w:hAnsi="Arial"/>
          <w:color w:val="04669A"/>
          <w:spacing w:val="4"/>
          <w:w w:val="90"/>
          <w:sz w:val="38"/>
        </w:rPr>
        <w:t>Advisory</w:t>
      </w:r>
    </w:p>
    <w:p w14:paraId="77C67CFD" w14:textId="77777777" w:rsidR="00345DC1" w:rsidRDefault="00DB08CC">
      <w:pPr>
        <w:spacing w:after="5861"/>
        <w:ind w:left="7" w:right="1347"/>
        <w:textAlignment w:val="baseline"/>
      </w:pPr>
      <w:r>
        <w:rPr>
          <w:noProof/>
        </w:rPr>
        <w:drawing>
          <wp:inline distT="0" distB="0" distL="0" distR="0" wp14:anchorId="3A7CC591" wp14:editId="5FB41BB3">
            <wp:extent cx="5541010" cy="269430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6"/>
                    <a:stretch>
                      <a:fillRect/>
                    </a:stretch>
                  </pic:blipFill>
                  <pic:spPr>
                    <a:xfrm>
                      <a:off x="0" y="0"/>
                      <a:ext cx="5541010" cy="2694305"/>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698"/>
        <w:gridCol w:w="9382"/>
      </w:tblGrid>
      <w:tr w:rsidR="00345DC1" w14:paraId="474D06DC" w14:textId="77777777">
        <w:tblPrEx>
          <w:tblCellMar>
            <w:top w:w="0" w:type="dxa"/>
            <w:bottom w:w="0" w:type="dxa"/>
          </w:tblCellMar>
        </w:tblPrEx>
        <w:trPr>
          <w:trHeight w:hRule="exact" w:val="700"/>
        </w:trPr>
        <w:tc>
          <w:tcPr>
            <w:tcW w:w="698" w:type="dxa"/>
            <w:tcBorders>
              <w:top w:val="none" w:sz="0" w:space="0" w:color="000000"/>
              <w:left w:val="none" w:sz="0" w:space="0" w:color="000000"/>
              <w:bottom w:val="none" w:sz="0" w:space="0" w:color="000000"/>
              <w:right w:val="none" w:sz="0" w:space="0" w:color="000000"/>
            </w:tcBorders>
          </w:tcPr>
          <w:p w14:paraId="14B5FB5C" w14:textId="77777777" w:rsidR="00345DC1" w:rsidRDefault="00DB08CC">
            <w:pPr>
              <w:spacing w:after="9"/>
              <w:ind w:left="7"/>
              <w:jc w:val="center"/>
              <w:textAlignment w:val="baseline"/>
            </w:pPr>
            <w:r>
              <w:rPr>
                <w:noProof/>
              </w:rPr>
              <w:drawing>
                <wp:inline distT="0" distB="0" distL="0" distR="0" wp14:anchorId="1B977B92" wp14:editId="1D6C45D7">
                  <wp:extent cx="438785" cy="43878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7"/>
                          <a:stretch>
                            <a:fillRect/>
                          </a:stretch>
                        </pic:blipFill>
                        <pic:spPr>
                          <a:xfrm>
                            <a:off x="0" y="0"/>
                            <a:ext cx="438785" cy="438785"/>
                          </a:xfrm>
                          <a:prstGeom prst="rect">
                            <a:avLst/>
                          </a:prstGeom>
                        </pic:spPr>
                      </pic:pic>
                    </a:graphicData>
                  </a:graphic>
                </wp:inline>
              </w:drawing>
            </w:r>
          </w:p>
        </w:tc>
        <w:tc>
          <w:tcPr>
            <w:tcW w:w="9382" w:type="dxa"/>
            <w:tcBorders>
              <w:top w:val="none" w:sz="0" w:space="0" w:color="000000"/>
              <w:left w:val="none" w:sz="0" w:space="0" w:color="000000"/>
              <w:bottom w:val="none" w:sz="0" w:space="0" w:color="000000"/>
              <w:right w:val="none" w:sz="0" w:space="0" w:color="000000"/>
            </w:tcBorders>
          </w:tcPr>
          <w:p w14:paraId="2478BF3B" w14:textId="77777777" w:rsidR="00345DC1" w:rsidRDefault="00DB08CC">
            <w:pPr>
              <w:spacing w:before="335" w:line="361" w:lineRule="exact"/>
              <w:ind w:right="13"/>
              <w:jc w:val="right"/>
              <w:textAlignment w:val="baseline"/>
              <w:rPr>
                <w:rFonts w:ascii="Arial" w:eastAsia="Arial" w:hAnsi="Arial"/>
                <w:b/>
                <w:color w:val="026AA3"/>
                <w:sz w:val="30"/>
              </w:rPr>
            </w:pPr>
            <w:hyperlink r:id="rId18">
              <w:r>
                <w:rPr>
                  <w:rFonts w:ascii="Arial" w:eastAsia="Arial" w:hAnsi="Arial"/>
                  <w:b/>
                  <w:color w:val="0000FF"/>
                  <w:sz w:val="30"/>
                  <w:u w:val="single"/>
                </w:rPr>
                <w:t>ghd.com/advisory</w:t>
              </w:r>
            </w:hyperlink>
            <w:r>
              <w:rPr>
                <w:rFonts w:ascii="Arial" w:eastAsia="Arial" w:hAnsi="Arial"/>
                <w:b/>
                <w:color w:val="026AA3"/>
                <w:sz w:val="30"/>
              </w:rPr>
              <w:t xml:space="preserve"> </w:t>
            </w:r>
          </w:p>
        </w:tc>
      </w:tr>
    </w:tbl>
    <w:p w14:paraId="710D0A40" w14:textId="77777777" w:rsidR="00345DC1" w:rsidRDefault="00345DC1">
      <w:pPr>
        <w:sectPr w:rsidR="00345DC1">
          <w:pgSz w:w="11909" w:h="16838"/>
          <w:pgMar w:top="1520" w:right="1106" w:bottom="382" w:left="723" w:header="720" w:footer="720" w:gutter="0"/>
          <w:cols w:space="720"/>
        </w:sectPr>
      </w:pPr>
    </w:p>
    <w:p w14:paraId="1C4F1B69" w14:textId="77777777" w:rsidR="00345DC1" w:rsidRDefault="00DB08CC">
      <w:pPr>
        <w:spacing w:before="2" w:after="669"/>
        <w:ind w:left="303" w:right="7963"/>
        <w:textAlignment w:val="baseline"/>
      </w:pPr>
      <w:r>
        <w:rPr>
          <w:noProof/>
        </w:rPr>
        <w:lastRenderedPageBreak/>
        <w:drawing>
          <wp:inline distT="0" distB="0" distL="0" distR="0" wp14:anchorId="5DC00C9D" wp14:editId="2BB0D620">
            <wp:extent cx="1151890" cy="11518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9"/>
                    <a:stretch>
                      <a:fillRect/>
                    </a:stretch>
                  </pic:blipFill>
                  <pic:spPr>
                    <a:xfrm>
                      <a:off x="0" y="0"/>
                      <a:ext cx="1151890" cy="1151890"/>
                    </a:xfrm>
                    <a:prstGeom prst="rect">
                      <a:avLst/>
                    </a:prstGeom>
                  </pic:spPr>
                </pic:pic>
              </a:graphicData>
            </a:graphic>
          </wp:inline>
        </w:drawing>
      </w:r>
    </w:p>
    <w:p w14:paraId="21DB3CD3" w14:textId="77777777" w:rsidR="00345DC1" w:rsidRDefault="00DB08CC">
      <w:pPr>
        <w:spacing w:before="1" w:line="230" w:lineRule="exact"/>
        <w:ind w:left="360"/>
        <w:textAlignment w:val="baseline"/>
        <w:rPr>
          <w:rFonts w:ascii="Arial" w:eastAsia="Arial" w:hAnsi="Arial"/>
          <w:color w:val="000000"/>
          <w:sz w:val="20"/>
        </w:rPr>
      </w:pPr>
      <w:r>
        <w:rPr>
          <w:rFonts w:ascii="Arial" w:eastAsia="Arial" w:hAnsi="Arial"/>
          <w:color w:val="000000"/>
          <w:sz w:val="20"/>
        </w:rPr>
        <w:t>Level 7 16 Marcus Clarke Street Canberra ACT 2601 Australia</w:t>
      </w:r>
    </w:p>
    <w:p w14:paraId="72B92E89" w14:textId="77777777" w:rsidR="00345DC1" w:rsidRDefault="00DB08CC">
      <w:pPr>
        <w:spacing w:before="264" w:line="264" w:lineRule="exact"/>
        <w:ind w:left="360"/>
        <w:textAlignment w:val="baseline"/>
        <w:rPr>
          <w:rFonts w:ascii="Arial" w:eastAsia="Arial" w:hAnsi="Arial"/>
          <w:color w:val="000000"/>
          <w:sz w:val="20"/>
        </w:rPr>
      </w:pPr>
      <w:r>
        <w:rPr>
          <w:rFonts w:ascii="Arial" w:eastAsia="Arial" w:hAnsi="Arial"/>
          <w:color w:val="000000"/>
          <w:sz w:val="20"/>
        </w:rPr>
        <w:t xml:space="preserve">61 2 6113 3332 </w:t>
      </w:r>
      <w:r>
        <w:rPr>
          <w:rFonts w:ascii="Arial" w:eastAsia="Arial" w:hAnsi="Arial"/>
          <w:color w:val="000000"/>
          <w:sz w:val="20"/>
        </w:rPr>
        <w:br/>
      </w:r>
      <w:hyperlink r:id="rId20">
        <w:r>
          <w:rPr>
            <w:rFonts w:ascii="Arial" w:eastAsia="Arial" w:hAnsi="Arial"/>
            <w:color w:val="0000FF"/>
            <w:sz w:val="20"/>
            <w:u w:val="single"/>
          </w:rPr>
          <w:t>advisory@ghd.com</w:t>
        </w:r>
      </w:hyperlink>
      <w:r>
        <w:rPr>
          <w:rFonts w:ascii="Arial" w:eastAsia="Arial" w:hAnsi="Arial"/>
          <w:color w:val="000000"/>
          <w:sz w:val="20"/>
        </w:rPr>
        <w:t xml:space="preserve"> </w:t>
      </w:r>
    </w:p>
    <w:p w14:paraId="453B2D56" w14:textId="77777777" w:rsidR="00345DC1" w:rsidRDefault="00DB08CC">
      <w:pPr>
        <w:spacing w:before="264" w:line="264" w:lineRule="exact"/>
        <w:ind w:left="360" w:right="216"/>
        <w:textAlignment w:val="baseline"/>
        <w:rPr>
          <w:rFonts w:ascii="Arial" w:eastAsia="Arial" w:hAnsi="Arial"/>
          <w:color w:val="000000"/>
          <w:sz w:val="20"/>
        </w:rPr>
      </w:pPr>
      <w:r>
        <w:rPr>
          <w:rFonts w:ascii="Arial" w:eastAsia="Arial" w:hAnsi="Arial"/>
          <w:color w:val="000000"/>
          <w:sz w:val="20"/>
        </w:rPr>
        <w:t>© GHD 2020.</w:t>
      </w:r>
      <w:r>
        <w:rPr>
          <w:rFonts w:ascii="Arial" w:eastAsia="Arial" w:hAnsi="Arial"/>
          <w:color w:val="1A1A1A"/>
          <w:sz w:val="20"/>
        </w:rPr>
        <w:t xml:space="preserve"> This document is and shall remain the property of GHD Advisory. The document may only be used for the purpose for which it was commissioned and in accordance with the Terms of Engagement for the commission. </w:t>
      </w:r>
      <w:proofErr w:type="spellStart"/>
      <w:r>
        <w:rPr>
          <w:rFonts w:ascii="Arial" w:eastAsia="Arial" w:hAnsi="Arial"/>
          <w:color w:val="1A1A1A"/>
          <w:sz w:val="20"/>
        </w:rPr>
        <w:t>Unauthorised</w:t>
      </w:r>
      <w:proofErr w:type="spellEnd"/>
      <w:r>
        <w:rPr>
          <w:rFonts w:ascii="Arial" w:eastAsia="Arial" w:hAnsi="Arial"/>
          <w:color w:val="1A1A1A"/>
          <w:sz w:val="20"/>
        </w:rPr>
        <w:t xml:space="preserve"> use of this document in any form wh</w:t>
      </w:r>
      <w:r>
        <w:rPr>
          <w:rFonts w:ascii="Arial" w:eastAsia="Arial" w:hAnsi="Arial"/>
          <w:color w:val="1A1A1A"/>
          <w:sz w:val="20"/>
        </w:rPr>
        <w:t>atsoever is prohibited.</w:t>
      </w:r>
    </w:p>
    <w:p w14:paraId="0A4727EB" w14:textId="77777777" w:rsidR="00345DC1" w:rsidRDefault="00DB08CC">
      <w:pPr>
        <w:spacing w:before="96" w:after="118" w:line="230" w:lineRule="exact"/>
        <w:ind w:left="360"/>
        <w:textAlignment w:val="baseline"/>
        <w:rPr>
          <w:rFonts w:ascii="Arial" w:eastAsia="Arial" w:hAnsi="Arial"/>
          <w:color w:val="000000"/>
          <w:spacing w:val="-1"/>
          <w:sz w:val="20"/>
        </w:rPr>
      </w:pPr>
      <w:r>
        <w:rPr>
          <w:rFonts w:ascii="Arial" w:eastAsia="Arial" w:hAnsi="Arial"/>
          <w:color w:val="000000"/>
          <w:spacing w:val="-1"/>
          <w:sz w:val="20"/>
        </w:rPr>
        <w:t>Document4</w:t>
      </w:r>
    </w:p>
    <w:tbl>
      <w:tblPr>
        <w:tblW w:w="0" w:type="auto"/>
        <w:tblLayout w:type="fixed"/>
        <w:tblCellMar>
          <w:left w:w="0" w:type="dxa"/>
          <w:right w:w="0" w:type="dxa"/>
        </w:tblCellMar>
        <w:tblLook w:val="04A0" w:firstRow="1" w:lastRow="0" w:firstColumn="1" w:lastColumn="0" w:noHBand="0" w:noVBand="1"/>
      </w:tblPr>
      <w:tblGrid>
        <w:gridCol w:w="1291"/>
        <w:gridCol w:w="1368"/>
        <w:gridCol w:w="1699"/>
        <w:gridCol w:w="1291"/>
        <w:gridCol w:w="1690"/>
        <w:gridCol w:w="1277"/>
        <w:gridCol w:w="1464"/>
      </w:tblGrid>
      <w:tr w:rsidR="00345DC1" w14:paraId="51A83BD4" w14:textId="77777777">
        <w:tblPrEx>
          <w:tblCellMar>
            <w:top w:w="0" w:type="dxa"/>
            <w:bottom w:w="0" w:type="dxa"/>
          </w:tblCellMar>
        </w:tblPrEx>
        <w:trPr>
          <w:trHeight w:hRule="exact" w:val="701"/>
        </w:trPr>
        <w:tc>
          <w:tcPr>
            <w:tcW w:w="1291" w:type="dxa"/>
            <w:tcBorders>
              <w:top w:val="none" w:sz="0" w:space="0" w:color="020000"/>
              <w:left w:val="none" w:sz="0" w:space="0" w:color="020000"/>
              <w:bottom w:val="none" w:sz="0" w:space="0" w:color="020000"/>
              <w:right w:val="none" w:sz="0" w:space="0" w:color="020000"/>
            </w:tcBorders>
            <w:shd w:val="clear" w:color="009BAC" w:fill="009BAC"/>
            <w:vAlign w:val="center"/>
          </w:tcPr>
          <w:p w14:paraId="66D31685" w14:textId="77777777" w:rsidR="00345DC1" w:rsidRDefault="00DB08CC">
            <w:pPr>
              <w:spacing w:before="237" w:after="233" w:line="230" w:lineRule="exact"/>
              <w:ind w:left="499"/>
              <w:textAlignment w:val="baseline"/>
              <w:rPr>
                <w:rFonts w:ascii="Arial" w:eastAsia="Arial" w:hAnsi="Arial"/>
                <w:color w:val="FFFFFF"/>
                <w:sz w:val="20"/>
              </w:rPr>
            </w:pPr>
            <w:proofErr w:type="spellStart"/>
            <w:r>
              <w:rPr>
                <w:rFonts w:ascii="Arial" w:eastAsia="Arial" w:hAnsi="Arial"/>
                <w:color w:val="FFFFFF"/>
                <w:sz w:val="20"/>
              </w:rPr>
              <w:t>Rev.No</w:t>
            </w:r>
            <w:proofErr w:type="spellEnd"/>
            <w:r>
              <w:rPr>
                <w:rFonts w:ascii="Arial" w:eastAsia="Arial" w:hAnsi="Arial"/>
                <w:color w:val="FFFFFF"/>
                <w:sz w:val="20"/>
              </w:rPr>
              <w:t>.</w:t>
            </w:r>
          </w:p>
        </w:tc>
        <w:tc>
          <w:tcPr>
            <w:tcW w:w="1368" w:type="dxa"/>
            <w:tcBorders>
              <w:top w:val="none" w:sz="0" w:space="0" w:color="020000"/>
              <w:left w:val="none" w:sz="0" w:space="0" w:color="020000"/>
              <w:bottom w:val="none" w:sz="0" w:space="0" w:color="020000"/>
              <w:right w:val="none" w:sz="0" w:space="0" w:color="020000"/>
            </w:tcBorders>
            <w:shd w:val="clear" w:color="009BAC" w:fill="009BAC"/>
            <w:vAlign w:val="center"/>
          </w:tcPr>
          <w:p w14:paraId="4B13D657" w14:textId="77777777" w:rsidR="00345DC1" w:rsidRDefault="00DB08CC">
            <w:pPr>
              <w:spacing w:before="237" w:after="233" w:line="230" w:lineRule="exact"/>
              <w:ind w:left="82"/>
              <w:textAlignment w:val="baseline"/>
              <w:rPr>
                <w:rFonts w:ascii="Arial" w:eastAsia="Arial" w:hAnsi="Arial"/>
                <w:color w:val="FFFFFF"/>
                <w:sz w:val="20"/>
              </w:rPr>
            </w:pPr>
            <w:r>
              <w:rPr>
                <w:rFonts w:ascii="Arial" w:eastAsia="Arial" w:hAnsi="Arial"/>
                <w:color w:val="FFFFFF"/>
                <w:sz w:val="20"/>
              </w:rPr>
              <w:t>Author</w:t>
            </w:r>
          </w:p>
        </w:tc>
        <w:tc>
          <w:tcPr>
            <w:tcW w:w="2990" w:type="dxa"/>
            <w:gridSpan w:val="2"/>
            <w:tcBorders>
              <w:top w:val="none" w:sz="0" w:space="0" w:color="020000"/>
              <w:left w:val="none" w:sz="0" w:space="0" w:color="020000"/>
              <w:bottom w:val="none" w:sz="0" w:space="0" w:color="020000"/>
              <w:right w:val="none" w:sz="0" w:space="0" w:color="020000"/>
            </w:tcBorders>
            <w:shd w:val="clear" w:color="009BAC" w:fill="009BAC"/>
          </w:tcPr>
          <w:p w14:paraId="5312A245" w14:textId="77777777" w:rsidR="00345DC1" w:rsidRDefault="00DB08CC">
            <w:pPr>
              <w:spacing w:before="98" w:line="230" w:lineRule="exact"/>
              <w:ind w:left="72"/>
              <w:textAlignment w:val="baseline"/>
              <w:rPr>
                <w:rFonts w:ascii="Arial" w:eastAsia="Arial" w:hAnsi="Arial"/>
                <w:color w:val="FFFFFF"/>
                <w:sz w:val="20"/>
              </w:rPr>
            </w:pPr>
            <w:r>
              <w:rPr>
                <w:rFonts w:ascii="Arial" w:eastAsia="Arial" w:hAnsi="Arial"/>
                <w:color w:val="FFFFFF"/>
                <w:sz w:val="20"/>
              </w:rPr>
              <w:t>Reviewer</w:t>
            </w:r>
          </w:p>
          <w:p w14:paraId="0CE802AB" w14:textId="77777777" w:rsidR="00345DC1" w:rsidRDefault="00DB08CC">
            <w:pPr>
              <w:tabs>
                <w:tab w:val="left" w:pos="1800"/>
              </w:tabs>
              <w:spacing w:before="58" w:after="84" w:line="230" w:lineRule="exact"/>
              <w:ind w:left="72"/>
              <w:textAlignment w:val="baseline"/>
              <w:rPr>
                <w:rFonts w:ascii="Arial" w:eastAsia="Arial" w:hAnsi="Arial"/>
                <w:color w:val="FFFFFF"/>
                <w:sz w:val="20"/>
              </w:rPr>
            </w:pPr>
            <w:r>
              <w:rPr>
                <w:rFonts w:ascii="Arial" w:eastAsia="Arial" w:hAnsi="Arial"/>
                <w:color w:val="FFFFFF"/>
                <w:sz w:val="20"/>
              </w:rPr>
              <w:t>Name</w:t>
            </w:r>
            <w:r>
              <w:rPr>
                <w:rFonts w:ascii="Arial" w:eastAsia="Arial" w:hAnsi="Arial"/>
                <w:color w:val="FFFFFF"/>
                <w:sz w:val="20"/>
              </w:rPr>
              <w:tab/>
              <w:t>Signature</w:t>
            </w:r>
          </w:p>
        </w:tc>
        <w:tc>
          <w:tcPr>
            <w:tcW w:w="4431" w:type="dxa"/>
            <w:gridSpan w:val="3"/>
            <w:tcBorders>
              <w:top w:val="none" w:sz="0" w:space="0" w:color="020000"/>
              <w:left w:val="none" w:sz="0" w:space="0" w:color="020000"/>
              <w:bottom w:val="none" w:sz="0" w:space="0" w:color="020000"/>
              <w:right w:val="none" w:sz="0" w:space="0" w:color="020000"/>
            </w:tcBorders>
            <w:shd w:val="clear" w:color="009BAC" w:fill="009BAC"/>
          </w:tcPr>
          <w:p w14:paraId="3BBB062E" w14:textId="77777777" w:rsidR="00345DC1" w:rsidRDefault="00DB08CC">
            <w:pPr>
              <w:spacing w:before="98" w:line="230" w:lineRule="exact"/>
              <w:ind w:left="72"/>
              <w:textAlignment w:val="baseline"/>
              <w:rPr>
                <w:rFonts w:ascii="Arial" w:eastAsia="Arial" w:hAnsi="Arial"/>
                <w:color w:val="FFFFFF"/>
                <w:sz w:val="20"/>
              </w:rPr>
            </w:pPr>
            <w:r>
              <w:rPr>
                <w:rFonts w:ascii="Arial" w:eastAsia="Arial" w:hAnsi="Arial"/>
                <w:color w:val="FFFFFF"/>
                <w:sz w:val="20"/>
              </w:rPr>
              <w:t>Approved for Issue</w:t>
            </w:r>
          </w:p>
          <w:p w14:paraId="10E8E50F" w14:textId="77777777" w:rsidR="00345DC1" w:rsidRDefault="00DB08CC">
            <w:pPr>
              <w:tabs>
                <w:tab w:val="left" w:pos="1800"/>
                <w:tab w:val="left" w:pos="3024"/>
              </w:tabs>
              <w:spacing w:before="58" w:after="84" w:line="230" w:lineRule="exact"/>
              <w:ind w:left="72"/>
              <w:textAlignment w:val="baseline"/>
              <w:rPr>
                <w:rFonts w:ascii="Arial" w:eastAsia="Arial" w:hAnsi="Arial"/>
                <w:color w:val="FFFFFF"/>
                <w:sz w:val="20"/>
              </w:rPr>
            </w:pPr>
            <w:r>
              <w:rPr>
                <w:rFonts w:ascii="Arial" w:eastAsia="Arial" w:hAnsi="Arial"/>
                <w:color w:val="FFFFFF"/>
                <w:sz w:val="20"/>
              </w:rPr>
              <w:t>Name</w:t>
            </w:r>
            <w:r>
              <w:rPr>
                <w:rFonts w:ascii="Arial" w:eastAsia="Arial" w:hAnsi="Arial"/>
                <w:color w:val="FFFFFF"/>
                <w:sz w:val="20"/>
              </w:rPr>
              <w:tab/>
              <w:t>Signature</w:t>
            </w:r>
            <w:r>
              <w:rPr>
                <w:rFonts w:ascii="Arial" w:eastAsia="Arial" w:hAnsi="Arial"/>
                <w:color w:val="FFFFFF"/>
                <w:sz w:val="20"/>
              </w:rPr>
              <w:tab/>
              <w:t>Date</w:t>
            </w:r>
          </w:p>
        </w:tc>
      </w:tr>
      <w:tr w:rsidR="00345DC1" w14:paraId="39E1855A" w14:textId="77777777">
        <w:tblPrEx>
          <w:tblCellMar>
            <w:top w:w="0" w:type="dxa"/>
            <w:bottom w:w="0" w:type="dxa"/>
          </w:tblCellMar>
        </w:tblPrEx>
        <w:trPr>
          <w:trHeight w:hRule="exact" w:val="523"/>
        </w:trPr>
        <w:tc>
          <w:tcPr>
            <w:tcW w:w="1291" w:type="dxa"/>
            <w:tcBorders>
              <w:top w:val="none" w:sz="0" w:space="0" w:color="020000"/>
              <w:left w:val="none" w:sz="0" w:space="0" w:color="020000"/>
              <w:bottom w:val="none" w:sz="0" w:space="0" w:color="020000"/>
              <w:right w:val="none" w:sz="0" w:space="0" w:color="020000"/>
            </w:tcBorders>
            <w:shd w:val="clear" w:color="DBF1F3" w:fill="DBF1F3"/>
          </w:tcPr>
          <w:p w14:paraId="3E0C0384" w14:textId="77777777" w:rsidR="00345DC1" w:rsidRDefault="00DB08CC">
            <w:pPr>
              <w:spacing w:before="40" w:after="248" w:line="230" w:lineRule="exact"/>
              <w:ind w:left="499"/>
              <w:textAlignment w:val="baseline"/>
              <w:rPr>
                <w:rFonts w:ascii="Arial" w:eastAsia="Arial" w:hAnsi="Arial"/>
                <w:color w:val="000000"/>
                <w:sz w:val="20"/>
              </w:rPr>
            </w:pPr>
            <w:r>
              <w:rPr>
                <w:rFonts w:ascii="Arial" w:eastAsia="Arial" w:hAnsi="Arial"/>
                <w:color w:val="000000"/>
                <w:sz w:val="20"/>
              </w:rPr>
              <w:t>Draft A</w:t>
            </w:r>
          </w:p>
        </w:tc>
        <w:tc>
          <w:tcPr>
            <w:tcW w:w="1368" w:type="dxa"/>
            <w:tcBorders>
              <w:top w:val="none" w:sz="0" w:space="0" w:color="020000"/>
              <w:left w:val="none" w:sz="0" w:space="0" w:color="020000"/>
              <w:bottom w:val="none" w:sz="0" w:space="0" w:color="020000"/>
              <w:right w:val="none" w:sz="0" w:space="0" w:color="020000"/>
            </w:tcBorders>
            <w:shd w:val="clear" w:color="DBF1F3" w:fill="DBF1F3"/>
          </w:tcPr>
          <w:p w14:paraId="6DEFAE13" w14:textId="77777777" w:rsidR="00345DC1" w:rsidRDefault="00DB08CC">
            <w:pPr>
              <w:spacing w:before="39" w:after="17" w:line="231" w:lineRule="exact"/>
              <w:ind w:left="72" w:right="324"/>
              <w:textAlignment w:val="baseline"/>
              <w:rPr>
                <w:rFonts w:ascii="Arial" w:eastAsia="Arial" w:hAnsi="Arial"/>
                <w:color w:val="000000"/>
                <w:sz w:val="20"/>
              </w:rPr>
            </w:pPr>
            <w:r>
              <w:rPr>
                <w:rFonts w:ascii="Arial" w:eastAsia="Arial" w:hAnsi="Arial"/>
                <w:color w:val="000000"/>
                <w:sz w:val="20"/>
              </w:rPr>
              <w:t xml:space="preserve">S Roach W </w:t>
            </w:r>
            <w:proofErr w:type="gramStart"/>
            <w:r>
              <w:rPr>
                <w:rFonts w:ascii="Arial" w:eastAsia="Arial" w:hAnsi="Arial"/>
                <w:color w:val="000000"/>
                <w:sz w:val="20"/>
              </w:rPr>
              <w:t>van</w:t>
            </w:r>
            <w:proofErr w:type="gramEnd"/>
            <w:r>
              <w:rPr>
                <w:rFonts w:ascii="Arial" w:eastAsia="Arial" w:hAnsi="Arial"/>
                <w:color w:val="000000"/>
                <w:sz w:val="20"/>
              </w:rPr>
              <w:t xml:space="preserve"> Lint</w:t>
            </w:r>
          </w:p>
        </w:tc>
        <w:tc>
          <w:tcPr>
            <w:tcW w:w="1699" w:type="dxa"/>
            <w:tcBorders>
              <w:top w:val="none" w:sz="0" w:space="0" w:color="020000"/>
              <w:left w:val="none" w:sz="0" w:space="0" w:color="020000"/>
              <w:bottom w:val="none" w:sz="0" w:space="0" w:color="020000"/>
              <w:right w:val="none" w:sz="0" w:space="0" w:color="020000"/>
            </w:tcBorders>
            <w:shd w:val="clear" w:color="DBF1F3" w:fill="DBF1F3"/>
          </w:tcPr>
          <w:p w14:paraId="1EF607EA" w14:textId="77777777" w:rsidR="00345DC1" w:rsidRDefault="00DB08CC">
            <w:pPr>
              <w:textAlignment w:val="baseline"/>
              <w:rPr>
                <w:rFonts w:ascii="Arial" w:eastAsia="Arial" w:hAnsi="Arial"/>
                <w:color w:val="000000"/>
                <w:sz w:val="24"/>
              </w:rPr>
            </w:pPr>
            <w:r>
              <w:rPr>
                <w:rFonts w:ascii="Arial" w:eastAsia="Arial" w:hAnsi="Arial"/>
                <w:color w:val="000000"/>
                <w:sz w:val="24"/>
              </w:rPr>
              <w:t xml:space="preserve"> </w:t>
            </w:r>
          </w:p>
        </w:tc>
        <w:tc>
          <w:tcPr>
            <w:tcW w:w="1291" w:type="dxa"/>
            <w:tcBorders>
              <w:top w:val="none" w:sz="0" w:space="0" w:color="020000"/>
              <w:left w:val="none" w:sz="0" w:space="0" w:color="020000"/>
              <w:bottom w:val="none" w:sz="0" w:space="0" w:color="020000"/>
              <w:right w:val="none" w:sz="0" w:space="0" w:color="020000"/>
            </w:tcBorders>
            <w:shd w:val="clear" w:color="DBF1F3" w:fill="DBF1F3"/>
          </w:tcPr>
          <w:p w14:paraId="5F9A5CF8" w14:textId="77777777" w:rsidR="00345DC1" w:rsidRDefault="00DB08CC">
            <w:pPr>
              <w:spacing w:before="40" w:after="248" w:line="230" w:lineRule="exact"/>
              <w:ind w:left="97"/>
              <w:textAlignment w:val="baseline"/>
              <w:rPr>
                <w:rFonts w:ascii="Arial" w:eastAsia="Arial" w:hAnsi="Arial"/>
                <w:color w:val="000000"/>
                <w:sz w:val="20"/>
              </w:rPr>
            </w:pPr>
            <w:r>
              <w:rPr>
                <w:rFonts w:ascii="Arial" w:eastAsia="Arial" w:hAnsi="Arial"/>
                <w:color w:val="000000"/>
                <w:sz w:val="20"/>
              </w:rPr>
              <w:t>28/8/2020</w:t>
            </w:r>
          </w:p>
        </w:tc>
        <w:tc>
          <w:tcPr>
            <w:tcW w:w="1690" w:type="dxa"/>
            <w:tcBorders>
              <w:top w:val="none" w:sz="0" w:space="0" w:color="020000"/>
              <w:left w:val="none" w:sz="0" w:space="0" w:color="020000"/>
              <w:bottom w:val="none" w:sz="0" w:space="0" w:color="020000"/>
              <w:right w:val="none" w:sz="0" w:space="0" w:color="020000"/>
            </w:tcBorders>
            <w:shd w:val="clear" w:color="DBF1F3" w:fill="DBF1F3"/>
          </w:tcPr>
          <w:p w14:paraId="3FED8271" w14:textId="77777777" w:rsidR="00345DC1" w:rsidRDefault="00DB08CC">
            <w:pPr>
              <w:spacing w:before="40" w:after="248" w:line="230" w:lineRule="exact"/>
              <w:ind w:left="82"/>
              <w:textAlignment w:val="baseline"/>
              <w:rPr>
                <w:rFonts w:ascii="Arial" w:eastAsia="Arial" w:hAnsi="Arial"/>
                <w:color w:val="000000"/>
                <w:sz w:val="20"/>
              </w:rPr>
            </w:pPr>
            <w:r>
              <w:rPr>
                <w:rFonts w:ascii="Arial" w:eastAsia="Arial" w:hAnsi="Arial"/>
                <w:color w:val="000000"/>
                <w:sz w:val="20"/>
              </w:rPr>
              <w:t>L N de Masson</w:t>
            </w:r>
          </w:p>
        </w:tc>
        <w:tc>
          <w:tcPr>
            <w:tcW w:w="1277" w:type="dxa"/>
            <w:tcBorders>
              <w:top w:val="none" w:sz="0" w:space="0" w:color="020000"/>
              <w:left w:val="none" w:sz="0" w:space="0" w:color="020000"/>
              <w:bottom w:val="none" w:sz="0" w:space="0" w:color="020000"/>
              <w:right w:val="none" w:sz="0" w:space="0" w:color="020000"/>
            </w:tcBorders>
            <w:shd w:val="clear" w:color="DBF1F3" w:fill="DBF1F3"/>
          </w:tcPr>
          <w:p w14:paraId="15B1F58E" w14:textId="77777777" w:rsidR="00345DC1" w:rsidRDefault="00DB08CC">
            <w:pPr>
              <w:textAlignment w:val="baseline"/>
              <w:rPr>
                <w:rFonts w:ascii="Arial" w:eastAsia="Arial" w:hAnsi="Arial"/>
                <w:color w:val="000000"/>
                <w:sz w:val="24"/>
              </w:rPr>
            </w:pPr>
            <w:r>
              <w:rPr>
                <w:rFonts w:ascii="Arial" w:eastAsia="Arial" w:hAnsi="Arial"/>
                <w:color w:val="000000"/>
                <w:sz w:val="24"/>
              </w:rPr>
              <w:t xml:space="preserve"> </w:t>
            </w:r>
          </w:p>
        </w:tc>
        <w:tc>
          <w:tcPr>
            <w:tcW w:w="1464" w:type="dxa"/>
            <w:tcBorders>
              <w:top w:val="none" w:sz="0" w:space="0" w:color="020000"/>
              <w:left w:val="none" w:sz="0" w:space="0" w:color="020000"/>
              <w:bottom w:val="none" w:sz="0" w:space="0" w:color="020000"/>
              <w:right w:val="none" w:sz="0" w:space="0" w:color="020000"/>
            </w:tcBorders>
            <w:shd w:val="clear" w:color="DBF1F3" w:fill="DBF1F3"/>
          </w:tcPr>
          <w:p w14:paraId="67260D85" w14:textId="77777777" w:rsidR="00345DC1" w:rsidRDefault="00DB08CC">
            <w:pPr>
              <w:spacing w:before="40" w:after="248" w:line="230" w:lineRule="exact"/>
              <w:ind w:left="91"/>
              <w:textAlignment w:val="baseline"/>
              <w:rPr>
                <w:rFonts w:ascii="Arial" w:eastAsia="Arial" w:hAnsi="Arial"/>
                <w:color w:val="000000"/>
                <w:sz w:val="20"/>
              </w:rPr>
            </w:pPr>
            <w:r>
              <w:rPr>
                <w:rFonts w:ascii="Arial" w:eastAsia="Arial" w:hAnsi="Arial"/>
                <w:color w:val="000000"/>
                <w:sz w:val="20"/>
              </w:rPr>
              <w:t>28/8/2020</w:t>
            </w:r>
          </w:p>
        </w:tc>
      </w:tr>
      <w:tr w:rsidR="00345DC1" w14:paraId="2D110343" w14:textId="77777777">
        <w:tblPrEx>
          <w:tblCellMar>
            <w:top w:w="0" w:type="dxa"/>
            <w:bottom w:w="0" w:type="dxa"/>
          </w:tblCellMar>
        </w:tblPrEx>
        <w:trPr>
          <w:trHeight w:hRule="exact" w:val="528"/>
        </w:trPr>
        <w:tc>
          <w:tcPr>
            <w:tcW w:w="1291" w:type="dxa"/>
            <w:tcBorders>
              <w:top w:val="none" w:sz="0" w:space="0" w:color="020000"/>
              <w:left w:val="none" w:sz="0" w:space="0" w:color="020000"/>
              <w:bottom w:val="none" w:sz="0" w:space="0" w:color="020000"/>
              <w:right w:val="none" w:sz="0" w:space="0" w:color="020000"/>
            </w:tcBorders>
            <w:shd w:val="clear" w:color="DBF1F3" w:fill="DBF1F3"/>
          </w:tcPr>
          <w:p w14:paraId="1BC5A5F7" w14:textId="77777777" w:rsidR="00345DC1" w:rsidRDefault="00DB08CC">
            <w:pPr>
              <w:spacing w:before="41" w:after="256" w:line="230" w:lineRule="exact"/>
              <w:ind w:left="499"/>
              <w:textAlignment w:val="baseline"/>
              <w:rPr>
                <w:rFonts w:ascii="Arial" w:eastAsia="Arial" w:hAnsi="Arial"/>
                <w:color w:val="000000"/>
                <w:sz w:val="20"/>
              </w:rPr>
            </w:pPr>
            <w:r>
              <w:rPr>
                <w:rFonts w:ascii="Arial" w:eastAsia="Arial" w:hAnsi="Arial"/>
                <w:color w:val="000000"/>
                <w:sz w:val="20"/>
              </w:rPr>
              <w:t>Draft B</w:t>
            </w:r>
          </w:p>
        </w:tc>
        <w:tc>
          <w:tcPr>
            <w:tcW w:w="1368" w:type="dxa"/>
            <w:tcBorders>
              <w:top w:val="none" w:sz="0" w:space="0" w:color="020000"/>
              <w:left w:val="none" w:sz="0" w:space="0" w:color="020000"/>
              <w:bottom w:val="none" w:sz="0" w:space="0" w:color="020000"/>
              <w:right w:val="none" w:sz="0" w:space="0" w:color="020000"/>
            </w:tcBorders>
            <w:shd w:val="clear" w:color="DBF1F3" w:fill="DBF1F3"/>
          </w:tcPr>
          <w:p w14:paraId="087CA729" w14:textId="77777777" w:rsidR="00345DC1" w:rsidRDefault="00DB08CC">
            <w:pPr>
              <w:spacing w:before="36" w:after="21" w:line="235" w:lineRule="exact"/>
              <w:ind w:left="72" w:right="324"/>
              <w:textAlignment w:val="baseline"/>
              <w:rPr>
                <w:rFonts w:ascii="Arial" w:eastAsia="Arial" w:hAnsi="Arial"/>
                <w:color w:val="000000"/>
                <w:sz w:val="20"/>
              </w:rPr>
            </w:pPr>
            <w:r>
              <w:rPr>
                <w:rFonts w:ascii="Arial" w:eastAsia="Arial" w:hAnsi="Arial"/>
                <w:color w:val="000000"/>
                <w:sz w:val="20"/>
              </w:rPr>
              <w:t xml:space="preserve">S Roach W </w:t>
            </w:r>
            <w:proofErr w:type="gramStart"/>
            <w:r>
              <w:rPr>
                <w:rFonts w:ascii="Arial" w:eastAsia="Arial" w:hAnsi="Arial"/>
                <w:color w:val="000000"/>
                <w:sz w:val="20"/>
              </w:rPr>
              <w:t>van</w:t>
            </w:r>
            <w:proofErr w:type="gramEnd"/>
            <w:r>
              <w:rPr>
                <w:rFonts w:ascii="Arial" w:eastAsia="Arial" w:hAnsi="Arial"/>
                <w:color w:val="000000"/>
                <w:sz w:val="20"/>
              </w:rPr>
              <w:t xml:space="preserve"> Lint</w:t>
            </w:r>
          </w:p>
        </w:tc>
        <w:tc>
          <w:tcPr>
            <w:tcW w:w="1699" w:type="dxa"/>
            <w:tcBorders>
              <w:top w:val="none" w:sz="0" w:space="0" w:color="020000"/>
              <w:left w:val="none" w:sz="0" w:space="0" w:color="020000"/>
              <w:bottom w:val="none" w:sz="0" w:space="0" w:color="020000"/>
              <w:right w:val="none" w:sz="0" w:space="0" w:color="020000"/>
            </w:tcBorders>
            <w:shd w:val="clear" w:color="DBF1F3" w:fill="DBF1F3"/>
          </w:tcPr>
          <w:p w14:paraId="31258CBD" w14:textId="77777777" w:rsidR="00345DC1" w:rsidRDefault="00DB08CC">
            <w:pPr>
              <w:textAlignment w:val="baseline"/>
              <w:rPr>
                <w:rFonts w:ascii="Arial" w:eastAsia="Arial" w:hAnsi="Arial"/>
                <w:color w:val="000000"/>
                <w:sz w:val="24"/>
              </w:rPr>
            </w:pPr>
            <w:r>
              <w:rPr>
                <w:rFonts w:ascii="Arial" w:eastAsia="Arial" w:hAnsi="Arial"/>
                <w:color w:val="000000"/>
                <w:sz w:val="24"/>
              </w:rPr>
              <w:t xml:space="preserve"> </w:t>
            </w:r>
          </w:p>
        </w:tc>
        <w:tc>
          <w:tcPr>
            <w:tcW w:w="1291" w:type="dxa"/>
            <w:tcBorders>
              <w:top w:val="none" w:sz="0" w:space="0" w:color="020000"/>
              <w:left w:val="none" w:sz="0" w:space="0" w:color="020000"/>
              <w:bottom w:val="none" w:sz="0" w:space="0" w:color="020000"/>
              <w:right w:val="none" w:sz="0" w:space="0" w:color="020000"/>
            </w:tcBorders>
            <w:shd w:val="clear" w:color="DBF1F3" w:fill="DBF1F3"/>
          </w:tcPr>
          <w:p w14:paraId="0894F506" w14:textId="77777777" w:rsidR="00345DC1" w:rsidRDefault="00DB08CC">
            <w:pPr>
              <w:spacing w:before="41" w:after="256" w:line="230" w:lineRule="exact"/>
              <w:ind w:left="97"/>
              <w:textAlignment w:val="baseline"/>
              <w:rPr>
                <w:rFonts w:ascii="Arial" w:eastAsia="Arial" w:hAnsi="Arial"/>
                <w:color w:val="000000"/>
                <w:sz w:val="20"/>
              </w:rPr>
            </w:pPr>
            <w:r>
              <w:rPr>
                <w:rFonts w:ascii="Arial" w:eastAsia="Arial" w:hAnsi="Arial"/>
                <w:color w:val="000000"/>
                <w:sz w:val="20"/>
              </w:rPr>
              <w:t>07/09/2020</w:t>
            </w:r>
          </w:p>
        </w:tc>
        <w:tc>
          <w:tcPr>
            <w:tcW w:w="1690" w:type="dxa"/>
            <w:tcBorders>
              <w:top w:val="none" w:sz="0" w:space="0" w:color="020000"/>
              <w:left w:val="none" w:sz="0" w:space="0" w:color="020000"/>
              <w:bottom w:val="none" w:sz="0" w:space="0" w:color="020000"/>
              <w:right w:val="none" w:sz="0" w:space="0" w:color="020000"/>
            </w:tcBorders>
            <w:shd w:val="clear" w:color="DBF1F3" w:fill="DBF1F3"/>
          </w:tcPr>
          <w:p w14:paraId="558889CC" w14:textId="77777777" w:rsidR="00345DC1" w:rsidRDefault="00DB08CC">
            <w:pPr>
              <w:spacing w:before="41" w:after="256" w:line="230" w:lineRule="exact"/>
              <w:ind w:left="82"/>
              <w:textAlignment w:val="baseline"/>
              <w:rPr>
                <w:rFonts w:ascii="Arial" w:eastAsia="Arial" w:hAnsi="Arial"/>
                <w:color w:val="000000"/>
                <w:sz w:val="20"/>
              </w:rPr>
            </w:pPr>
            <w:r>
              <w:rPr>
                <w:rFonts w:ascii="Arial" w:eastAsia="Arial" w:hAnsi="Arial"/>
                <w:color w:val="000000"/>
                <w:sz w:val="20"/>
              </w:rPr>
              <w:t>L N de Masson</w:t>
            </w:r>
          </w:p>
        </w:tc>
        <w:tc>
          <w:tcPr>
            <w:tcW w:w="1277" w:type="dxa"/>
            <w:tcBorders>
              <w:top w:val="none" w:sz="0" w:space="0" w:color="020000"/>
              <w:left w:val="none" w:sz="0" w:space="0" w:color="020000"/>
              <w:bottom w:val="none" w:sz="0" w:space="0" w:color="020000"/>
              <w:right w:val="none" w:sz="0" w:space="0" w:color="020000"/>
            </w:tcBorders>
            <w:shd w:val="clear" w:color="DBF1F3" w:fill="DBF1F3"/>
          </w:tcPr>
          <w:p w14:paraId="721B2DCC" w14:textId="77777777" w:rsidR="00345DC1" w:rsidRDefault="00DB08CC">
            <w:pPr>
              <w:textAlignment w:val="baseline"/>
              <w:rPr>
                <w:rFonts w:ascii="Arial" w:eastAsia="Arial" w:hAnsi="Arial"/>
                <w:color w:val="000000"/>
                <w:sz w:val="24"/>
              </w:rPr>
            </w:pPr>
            <w:r>
              <w:rPr>
                <w:rFonts w:ascii="Arial" w:eastAsia="Arial" w:hAnsi="Arial"/>
                <w:color w:val="000000"/>
                <w:sz w:val="24"/>
              </w:rPr>
              <w:t xml:space="preserve"> </w:t>
            </w:r>
          </w:p>
        </w:tc>
        <w:tc>
          <w:tcPr>
            <w:tcW w:w="1464" w:type="dxa"/>
            <w:tcBorders>
              <w:top w:val="none" w:sz="0" w:space="0" w:color="020000"/>
              <w:left w:val="none" w:sz="0" w:space="0" w:color="020000"/>
              <w:bottom w:val="none" w:sz="0" w:space="0" w:color="020000"/>
              <w:right w:val="none" w:sz="0" w:space="0" w:color="020000"/>
            </w:tcBorders>
            <w:shd w:val="clear" w:color="DBF1F3" w:fill="DBF1F3"/>
          </w:tcPr>
          <w:p w14:paraId="17B8F162" w14:textId="77777777" w:rsidR="00345DC1" w:rsidRDefault="00DB08CC">
            <w:pPr>
              <w:spacing w:before="41" w:after="256" w:line="230" w:lineRule="exact"/>
              <w:ind w:left="91"/>
              <w:textAlignment w:val="baseline"/>
              <w:rPr>
                <w:rFonts w:ascii="Arial" w:eastAsia="Arial" w:hAnsi="Arial"/>
                <w:color w:val="000000"/>
                <w:sz w:val="20"/>
              </w:rPr>
            </w:pPr>
            <w:r>
              <w:rPr>
                <w:rFonts w:ascii="Arial" w:eastAsia="Arial" w:hAnsi="Arial"/>
                <w:color w:val="000000"/>
                <w:sz w:val="20"/>
              </w:rPr>
              <w:t>07/09/2020</w:t>
            </w:r>
          </w:p>
        </w:tc>
      </w:tr>
      <w:tr w:rsidR="00345DC1" w14:paraId="0C2C9716" w14:textId="77777777">
        <w:tblPrEx>
          <w:tblCellMar>
            <w:top w:w="0" w:type="dxa"/>
            <w:bottom w:w="0" w:type="dxa"/>
          </w:tblCellMar>
        </w:tblPrEx>
        <w:trPr>
          <w:trHeight w:hRule="exact" w:val="523"/>
        </w:trPr>
        <w:tc>
          <w:tcPr>
            <w:tcW w:w="1291" w:type="dxa"/>
            <w:tcBorders>
              <w:top w:val="none" w:sz="0" w:space="0" w:color="020000"/>
              <w:left w:val="none" w:sz="0" w:space="0" w:color="020000"/>
              <w:bottom w:val="none" w:sz="0" w:space="0" w:color="020000"/>
              <w:right w:val="none" w:sz="0" w:space="0" w:color="020000"/>
            </w:tcBorders>
            <w:shd w:val="clear" w:color="DBF1F3" w:fill="DBF1F3"/>
          </w:tcPr>
          <w:p w14:paraId="00B6DFD6" w14:textId="77777777" w:rsidR="00345DC1" w:rsidRDefault="00DB08CC">
            <w:pPr>
              <w:spacing w:before="41" w:after="247" w:line="230" w:lineRule="exact"/>
              <w:ind w:left="499"/>
              <w:textAlignment w:val="baseline"/>
              <w:rPr>
                <w:rFonts w:ascii="Arial" w:eastAsia="Arial" w:hAnsi="Arial"/>
                <w:color w:val="000000"/>
                <w:sz w:val="20"/>
              </w:rPr>
            </w:pPr>
            <w:r>
              <w:rPr>
                <w:rFonts w:ascii="Arial" w:eastAsia="Arial" w:hAnsi="Arial"/>
                <w:color w:val="000000"/>
                <w:sz w:val="20"/>
              </w:rPr>
              <w:t>Final</w:t>
            </w:r>
          </w:p>
        </w:tc>
        <w:tc>
          <w:tcPr>
            <w:tcW w:w="1368" w:type="dxa"/>
            <w:tcBorders>
              <w:top w:val="none" w:sz="0" w:space="0" w:color="020000"/>
              <w:left w:val="none" w:sz="0" w:space="0" w:color="020000"/>
              <w:bottom w:val="none" w:sz="0" w:space="0" w:color="020000"/>
              <w:right w:val="none" w:sz="0" w:space="0" w:color="020000"/>
            </w:tcBorders>
            <w:shd w:val="clear" w:color="DBF1F3" w:fill="DBF1F3"/>
          </w:tcPr>
          <w:p w14:paraId="02B5B497" w14:textId="77777777" w:rsidR="00345DC1" w:rsidRDefault="00DB08CC">
            <w:pPr>
              <w:spacing w:before="41" w:after="17" w:line="230" w:lineRule="exact"/>
              <w:ind w:left="72" w:right="324"/>
              <w:textAlignment w:val="baseline"/>
              <w:rPr>
                <w:rFonts w:ascii="Arial" w:eastAsia="Arial" w:hAnsi="Arial"/>
                <w:color w:val="000000"/>
                <w:sz w:val="20"/>
              </w:rPr>
            </w:pPr>
            <w:r>
              <w:rPr>
                <w:rFonts w:ascii="Arial" w:eastAsia="Arial" w:hAnsi="Arial"/>
                <w:color w:val="000000"/>
                <w:sz w:val="20"/>
              </w:rPr>
              <w:t xml:space="preserve">S Roach W </w:t>
            </w:r>
            <w:proofErr w:type="gramStart"/>
            <w:r>
              <w:rPr>
                <w:rFonts w:ascii="Arial" w:eastAsia="Arial" w:hAnsi="Arial"/>
                <w:color w:val="000000"/>
                <w:sz w:val="20"/>
              </w:rPr>
              <w:t>van</w:t>
            </w:r>
            <w:proofErr w:type="gramEnd"/>
            <w:r>
              <w:rPr>
                <w:rFonts w:ascii="Arial" w:eastAsia="Arial" w:hAnsi="Arial"/>
                <w:color w:val="000000"/>
                <w:sz w:val="20"/>
              </w:rPr>
              <w:t xml:space="preserve"> Lint</w:t>
            </w:r>
          </w:p>
        </w:tc>
        <w:tc>
          <w:tcPr>
            <w:tcW w:w="1699" w:type="dxa"/>
            <w:tcBorders>
              <w:top w:val="none" w:sz="0" w:space="0" w:color="020000"/>
              <w:left w:val="none" w:sz="0" w:space="0" w:color="020000"/>
              <w:bottom w:val="none" w:sz="0" w:space="0" w:color="020000"/>
              <w:right w:val="none" w:sz="0" w:space="0" w:color="020000"/>
            </w:tcBorders>
            <w:shd w:val="clear" w:color="DBF1F3" w:fill="DBF1F3"/>
          </w:tcPr>
          <w:p w14:paraId="0FDDBFE7" w14:textId="77777777" w:rsidR="00345DC1" w:rsidRDefault="00DB08CC">
            <w:pPr>
              <w:textAlignment w:val="baseline"/>
              <w:rPr>
                <w:rFonts w:ascii="Arial" w:eastAsia="Arial" w:hAnsi="Arial"/>
                <w:color w:val="000000"/>
                <w:sz w:val="24"/>
              </w:rPr>
            </w:pPr>
            <w:r>
              <w:rPr>
                <w:rFonts w:ascii="Arial" w:eastAsia="Arial" w:hAnsi="Arial"/>
                <w:color w:val="000000"/>
                <w:sz w:val="24"/>
              </w:rPr>
              <w:t xml:space="preserve"> </w:t>
            </w:r>
          </w:p>
        </w:tc>
        <w:tc>
          <w:tcPr>
            <w:tcW w:w="1291" w:type="dxa"/>
            <w:tcBorders>
              <w:top w:val="none" w:sz="0" w:space="0" w:color="020000"/>
              <w:left w:val="none" w:sz="0" w:space="0" w:color="020000"/>
              <w:bottom w:val="none" w:sz="0" w:space="0" w:color="020000"/>
              <w:right w:val="none" w:sz="0" w:space="0" w:color="020000"/>
            </w:tcBorders>
            <w:shd w:val="clear" w:color="DBF1F3" w:fill="DBF1F3"/>
          </w:tcPr>
          <w:p w14:paraId="4917C4FD" w14:textId="77777777" w:rsidR="00345DC1" w:rsidRDefault="00DB08CC">
            <w:pPr>
              <w:spacing w:before="41" w:after="247" w:line="230" w:lineRule="exact"/>
              <w:ind w:left="97"/>
              <w:textAlignment w:val="baseline"/>
              <w:rPr>
                <w:rFonts w:ascii="Arial" w:eastAsia="Arial" w:hAnsi="Arial"/>
                <w:color w:val="000000"/>
                <w:sz w:val="20"/>
              </w:rPr>
            </w:pPr>
            <w:r>
              <w:rPr>
                <w:rFonts w:ascii="Arial" w:eastAsia="Arial" w:hAnsi="Arial"/>
                <w:color w:val="000000"/>
                <w:sz w:val="20"/>
              </w:rPr>
              <w:t>13/09/2020</w:t>
            </w:r>
          </w:p>
        </w:tc>
        <w:tc>
          <w:tcPr>
            <w:tcW w:w="1690" w:type="dxa"/>
            <w:tcBorders>
              <w:top w:val="none" w:sz="0" w:space="0" w:color="020000"/>
              <w:left w:val="none" w:sz="0" w:space="0" w:color="020000"/>
              <w:bottom w:val="none" w:sz="0" w:space="0" w:color="020000"/>
              <w:right w:val="none" w:sz="0" w:space="0" w:color="020000"/>
            </w:tcBorders>
            <w:shd w:val="clear" w:color="DBF1F3" w:fill="DBF1F3"/>
          </w:tcPr>
          <w:p w14:paraId="2FECF4B7" w14:textId="77777777" w:rsidR="00345DC1" w:rsidRDefault="00DB08CC">
            <w:pPr>
              <w:spacing w:before="41" w:after="247" w:line="230" w:lineRule="exact"/>
              <w:ind w:left="82"/>
              <w:textAlignment w:val="baseline"/>
              <w:rPr>
                <w:rFonts w:ascii="Arial" w:eastAsia="Arial" w:hAnsi="Arial"/>
                <w:color w:val="000000"/>
                <w:sz w:val="20"/>
              </w:rPr>
            </w:pPr>
            <w:r>
              <w:rPr>
                <w:rFonts w:ascii="Arial" w:eastAsia="Arial" w:hAnsi="Arial"/>
                <w:color w:val="000000"/>
                <w:sz w:val="20"/>
              </w:rPr>
              <w:t>L N de Masson</w:t>
            </w:r>
          </w:p>
        </w:tc>
        <w:tc>
          <w:tcPr>
            <w:tcW w:w="1277" w:type="dxa"/>
            <w:tcBorders>
              <w:top w:val="none" w:sz="0" w:space="0" w:color="020000"/>
              <w:left w:val="none" w:sz="0" w:space="0" w:color="020000"/>
              <w:bottom w:val="none" w:sz="0" w:space="0" w:color="020000"/>
              <w:right w:val="none" w:sz="0" w:space="0" w:color="020000"/>
            </w:tcBorders>
            <w:shd w:val="clear" w:color="DBF1F3" w:fill="DBF1F3"/>
          </w:tcPr>
          <w:p w14:paraId="3074E7B3" w14:textId="77777777" w:rsidR="00345DC1" w:rsidRDefault="00DB08CC">
            <w:pPr>
              <w:textAlignment w:val="baseline"/>
              <w:rPr>
                <w:rFonts w:ascii="Arial" w:eastAsia="Arial" w:hAnsi="Arial"/>
                <w:color w:val="000000"/>
                <w:sz w:val="24"/>
              </w:rPr>
            </w:pPr>
            <w:r>
              <w:rPr>
                <w:rFonts w:ascii="Arial" w:eastAsia="Arial" w:hAnsi="Arial"/>
                <w:color w:val="000000"/>
                <w:sz w:val="24"/>
              </w:rPr>
              <w:t xml:space="preserve"> </w:t>
            </w:r>
          </w:p>
        </w:tc>
        <w:tc>
          <w:tcPr>
            <w:tcW w:w="1464" w:type="dxa"/>
            <w:tcBorders>
              <w:top w:val="none" w:sz="0" w:space="0" w:color="020000"/>
              <w:left w:val="none" w:sz="0" w:space="0" w:color="020000"/>
              <w:bottom w:val="none" w:sz="0" w:space="0" w:color="020000"/>
              <w:right w:val="none" w:sz="0" w:space="0" w:color="020000"/>
            </w:tcBorders>
            <w:shd w:val="clear" w:color="DBF1F3" w:fill="DBF1F3"/>
          </w:tcPr>
          <w:p w14:paraId="0FE981FE" w14:textId="77777777" w:rsidR="00345DC1" w:rsidRDefault="00DB08CC">
            <w:pPr>
              <w:spacing w:before="41" w:after="247" w:line="230" w:lineRule="exact"/>
              <w:ind w:left="91"/>
              <w:textAlignment w:val="baseline"/>
              <w:rPr>
                <w:rFonts w:ascii="Arial" w:eastAsia="Arial" w:hAnsi="Arial"/>
                <w:color w:val="000000"/>
                <w:sz w:val="20"/>
              </w:rPr>
            </w:pPr>
            <w:r>
              <w:rPr>
                <w:rFonts w:ascii="Arial" w:eastAsia="Arial" w:hAnsi="Arial"/>
                <w:color w:val="000000"/>
                <w:sz w:val="20"/>
              </w:rPr>
              <w:t>13/09/2020</w:t>
            </w:r>
          </w:p>
        </w:tc>
      </w:tr>
    </w:tbl>
    <w:p w14:paraId="25ACE81B" w14:textId="77777777" w:rsidR="00345DC1" w:rsidRDefault="00345DC1">
      <w:pPr>
        <w:spacing w:after="7026" w:line="20" w:lineRule="exact"/>
      </w:pPr>
    </w:p>
    <w:tbl>
      <w:tblPr>
        <w:tblW w:w="0" w:type="auto"/>
        <w:tblLayout w:type="fixed"/>
        <w:tblCellMar>
          <w:left w:w="0" w:type="dxa"/>
          <w:right w:w="0" w:type="dxa"/>
        </w:tblCellMar>
        <w:tblLook w:val="04A0" w:firstRow="1" w:lastRow="0" w:firstColumn="1" w:lastColumn="0" w:noHBand="0" w:noVBand="1"/>
      </w:tblPr>
      <w:tblGrid>
        <w:gridCol w:w="648"/>
        <w:gridCol w:w="9432"/>
      </w:tblGrid>
      <w:tr w:rsidR="00345DC1" w14:paraId="266444ED" w14:textId="77777777">
        <w:tblPrEx>
          <w:tblCellMar>
            <w:top w:w="0" w:type="dxa"/>
            <w:bottom w:w="0" w:type="dxa"/>
          </w:tblCellMar>
        </w:tblPrEx>
        <w:trPr>
          <w:trHeight w:hRule="exact" w:val="686"/>
        </w:trPr>
        <w:tc>
          <w:tcPr>
            <w:tcW w:w="648" w:type="dxa"/>
            <w:tcBorders>
              <w:top w:val="none" w:sz="0" w:space="0" w:color="000000"/>
              <w:left w:val="none" w:sz="0" w:space="0" w:color="000000"/>
              <w:bottom w:val="none" w:sz="0" w:space="0" w:color="000000"/>
              <w:right w:val="none" w:sz="0" w:space="0" w:color="000000"/>
            </w:tcBorders>
          </w:tcPr>
          <w:p w14:paraId="755127BA" w14:textId="77777777" w:rsidR="00345DC1" w:rsidRDefault="00DB08CC">
            <w:pPr>
              <w:spacing w:after="9"/>
              <w:ind w:left="24"/>
              <w:jc w:val="center"/>
              <w:textAlignment w:val="baseline"/>
            </w:pPr>
            <w:r>
              <w:rPr>
                <w:noProof/>
              </w:rPr>
              <w:drawing>
                <wp:inline distT="0" distB="0" distL="0" distR="0" wp14:anchorId="3A136377" wp14:editId="14DB9DE8">
                  <wp:extent cx="396240" cy="41148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396240" cy="411480"/>
                          </a:xfrm>
                          <a:prstGeom prst="rect">
                            <a:avLst/>
                          </a:prstGeom>
                        </pic:spPr>
                      </pic:pic>
                    </a:graphicData>
                  </a:graphic>
                </wp:inline>
              </w:drawing>
            </w:r>
          </w:p>
        </w:tc>
        <w:tc>
          <w:tcPr>
            <w:tcW w:w="9432" w:type="dxa"/>
            <w:tcBorders>
              <w:top w:val="none" w:sz="0" w:space="0" w:color="000000"/>
              <w:left w:val="none" w:sz="0" w:space="0" w:color="000000"/>
              <w:bottom w:val="none" w:sz="0" w:space="0" w:color="000000"/>
              <w:right w:val="none" w:sz="0" w:space="0" w:color="000000"/>
            </w:tcBorders>
          </w:tcPr>
          <w:p w14:paraId="456DF531" w14:textId="77777777" w:rsidR="00345DC1" w:rsidRDefault="00DB08CC">
            <w:pPr>
              <w:spacing w:before="317" w:line="365" w:lineRule="exact"/>
              <w:ind w:right="29"/>
              <w:jc w:val="right"/>
              <w:textAlignment w:val="baseline"/>
              <w:rPr>
                <w:rFonts w:ascii="Arial" w:eastAsia="Arial" w:hAnsi="Arial"/>
                <w:color w:val="016CA2"/>
                <w:sz w:val="32"/>
              </w:rPr>
            </w:pPr>
            <w:hyperlink r:id="rId22">
              <w:r>
                <w:rPr>
                  <w:rFonts w:ascii="Arial" w:eastAsia="Arial" w:hAnsi="Arial"/>
                  <w:color w:val="0000FF"/>
                  <w:sz w:val="32"/>
                  <w:u w:val="single"/>
                </w:rPr>
                <w:t>ghd.com/advisory</w:t>
              </w:r>
            </w:hyperlink>
            <w:r>
              <w:rPr>
                <w:rFonts w:ascii="Arial" w:eastAsia="Arial" w:hAnsi="Arial"/>
                <w:color w:val="016CA2"/>
                <w:sz w:val="32"/>
              </w:rPr>
              <w:t xml:space="preserve"> </w:t>
            </w:r>
          </w:p>
        </w:tc>
      </w:tr>
    </w:tbl>
    <w:p w14:paraId="6FB4EFB1" w14:textId="77777777" w:rsidR="00000000" w:rsidRDefault="00DB08CC"/>
    <w:sectPr w:rsidR="00000000">
      <w:pgSz w:w="11909" w:h="16838"/>
      <w:pgMar w:top="1040" w:right="1090" w:bottom="382" w:left="7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945"/>
    <w:multiLevelType w:val="multilevel"/>
    <w:tmpl w:val="0FAA458C"/>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42905"/>
    <w:multiLevelType w:val="multilevel"/>
    <w:tmpl w:val="9E4EC60C"/>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F0867"/>
    <w:multiLevelType w:val="multilevel"/>
    <w:tmpl w:val="2DD25CF8"/>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1159A"/>
    <w:multiLevelType w:val="multilevel"/>
    <w:tmpl w:val="ECFC2D8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63AC9"/>
    <w:multiLevelType w:val="multilevel"/>
    <w:tmpl w:val="052EFA98"/>
    <w:lvl w:ilvl="0">
      <w:start w:val="1"/>
      <w:numFmt w:val="lowerLetter"/>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55400"/>
    <w:multiLevelType w:val="multilevel"/>
    <w:tmpl w:val="7C4832D2"/>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5D2663"/>
    <w:multiLevelType w:val="multilevel"/>
    <w:tmpl w:val="B384664E"/>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B37587"/>
    <w:multiLevelType w:val="multilevel"/>
    <w:tmpl w:val="19CAD6DC"/>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86B29"/>
    <w:multiLevelType w:val="multilevel"/>
    <w:tmpl w:val="A2062804"/>
    <w:lvl w:ilvl="0">
      <w:start w:val="1"/>
      <w:numFmt w:val="decimal"/>
      <w:lvlText w:val="%1."/>
      <w:lvlJc w:val="left"/>
      <w:pPr>
        <w:tabs>
          <w:tab w:val="left" w:pos="576"/>
        </w:tabs>
      </w:pPr>
      <w:rPr>
        <w:rFonts w:ascii="Arial" w:eastAsia="Arial" w:hAnsi="Arial"/>
        <w:b/>
        <w:color w:val="009BAC"/>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96DA8"/>
    <w:multiLevelType w:val="multilevel"/>
    <w:tmpl w:val="2654BD9C"/>
    <w:lvl w:ilvl="0">
      <w:start w:val="2"/>
      <w:numFmt w:val="decimal"/>
      <w:lvlText w:val="%1."/>
      <w:lvlJc w:val="left"/>
      <w:pPr>
        <w:tabs>
          <w:tab w:val="left" w:pos="1008"/>
        </w:tabs>
      </w:pPr>
      <w:rPr>
        <w:rFonts w:ascii="Arial" w:eastAsia="Arial" w:hAnsi="Arial"/>
        <w:b/>
        <w:color w:val="006CA2"/>
        <w:spacing w:val="0"/>
        <w:w w:val="100"/>
        <w:sz w:val="4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7A6A9B"/>
    <w:multiLevelType w:val="multilevel"/>
    <w:tmpl w:val="27AA1058"/>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30836"/>
    <w:multiLevelType w:val="multilevel"/>
    <w:tmpl w:val="59B29424"/>
    <w:lvl w:ilvl="0">
      <w:numFmt w:val="bullet"/>
      <w:lvlText w:val="·"/>
      <w:lvlJc w:val="left"/>
      <w:pPr>
        <w:tabs>
          <w:tab w:val="left" w:pos="360"/>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F910E4"/>
    <w:multiLevelType w:val="multilevel"/>
    <w:tmpl w:val="3884AD8C"/>
    <w:lvl w:ilvl="0">
      <w:numFmt w:val="bullet"/>
      <w:lvlText w:val="·"/>
      <w:lvlJc w:val="left"/>
      <w:pPr>
        <w:tabs>
          <w:tab w:val="left" w:pos="432"/>
        </w:tabs>
      </w:pPr>
      <w:rPr>
        <w:rFonts w:ascii="Symbol" w:eastAsia="Symbol" w:hAnsi="Symbol"/>
        <w:color w:val="000000"/>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46CB4"/>
    <w:multiLevelType w:val="multilevel"/>
    <w:tmpl w:val="0CE6123C"/>
    <w:lvl w:ilvl="0">
      <w:start w:val="1"/>
      <w:numFmt w:val="lowerLetter"/>
      <w:lvlText w:val="%1."/>
      <w:lvlJc w:val="left"/>
      <w:pPr>
        <w:tabs>
          <w:tab w:val="left" w:pos="360"/>
        </w:tabs>
      </w:pPr>
      <w:rPr>
        <w:rFonts w:ascii="Verdana" w:eastAsia="Verdana" w:hAnsi="Verdana"/>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9"/>
  </w:num>
  <w:num w:numId="4">
    <w:abstractNumId w:val="10"/>
  </w:num>
  <w:num w:numId="5">
    <w:abstractNumId w:val="5"/>
  </w:num>
  <w:num w:numId="6">
    <w:abstractNumId w:val="2"/>
  </w:num>
  <w:num w:numId="7">
    <w:abstractNumId w:val="0"/>
  </w:num>
  <w:num w:numId="8">
    <w:abstractNumId w:val="7"/>
  </w:num>
  <w:num w:numId="9">
    <w:abstractNumId w:val="4"/>
  </w:num>
  <w:num w:numId="10">
    <w:abstractNumId w:val="3"/>
  </w:num>
  <w:num w:numId="11">
    <w:abstractNumId w:val="13"/>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345DC1"/>
    <w:rsid w:val="00345DC1"/>
    <w:rsid w:val="00DB0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5B6EDF"/>
  <w15:docId w15:val="{005C8DF4-54B9-482F-A330-625DD81A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ghd.com/advisory"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hyperlink" Target="https://www.nzta.govt.nz/planning-and-investment/learning-and-resources/business-case-approach-guidance/supporting-material/glossary/" TargetMode="External"/><Relationship Id="rId12" Type="http://schemas.openxmlformats.org/officeDocument/2006/relationships/image" Target="media/image7.jpg"/><Relationship Id="rId17" Type="http://schemas.openxmlformats.org/officeDocument/2006/relationships/image" Target="media/image12.jpg"/><Relationship Id="fId" Type="http://schemas.openxmlformats.org/wordprocessingml/2006/fontTable" Target="fontTable0.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hyperlink" Target="mailto:advisory@ghd.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yperlink" Target="http://ghd.com/advisory"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C741A3B-1A05-45A5-B066-A7920ED8716C}"/>
</file>

<file path=customXml/itemProps2.xml><?xml version="1.0" encoding="utf-8"?>
<ds:datastoreItem xmlns:ds="http://schemas.openxmlformats.org/officeDocument/2006/customXml" ds:itemID="{00217B5B-AD2C-430C-8681-D40D9CCAFE13}"/>
</file>

<file path=customXml/itemProps3.xml><?xml version="1.0" encoding="utf-8"?>
<ds:datastoreItem xmlns:ds="http://schemas.openxmlformats.org/officeDocument/2006/customXml" ds:itemID="{2B62112A-E688-453C-8911-47E1C5125F28}"/>
</file>

<file path=docProps/app.xml><?xml version="1.0" encoding="utf-8"?>
<Properties xmlns="http://schemas.openxmlformats.org/officeDocument/2006/extended-properties" xmlns:vt="http://schemas.openxmlformats.org/officeDocument/2006/docPropsVTypes">
  <Template>Normal.dotm</Template>
  <TotalTime>1</TotalTime>
  <Pages>29</Pages>
  <Words>6900</Words>
  <Characters>39335</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Review of Goulburn Murray Water (GMW) Water Efficiency Project</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Goulburn Murray Water (GMW) Water Efficiency Project</dc:title>
  <dc:creator>GHD</dc:creator>
  <cp:lastModifiedBy>Bec Durack</cp:lastModifiedBy>
  <cp:revision>2</cp:revision>
  <dcterms:created xsi:type="dcterms:W3CDTF">2021-11-24T03:02:00Z</dcterms:created>
  <dcterms:modified xsi:type="dcterms:W3CDTF">2021-11-24T03:02:00Z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