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46FD" w14:textId="11AB0E83" w:rsidR="00763BE9" w:rsidRPr="003170C3" w:rsidRDefault="00763BE9" w:rsidP="00763BE9">
      <w:pPr>
        <w:rPr>
          <w:i/>
          <w:iCs/>
        </w:rPr>
      </w:pPr>
    </w:p>
    <w:p w14:paraId="5039D8B9" w14:textId="77777777" w:rsidR="00393C4A" w:rsidRDefault="00393C4A" w:rsidP="00393C4A">
      <w:pPr>
        <w:jc w:val="center"/>
        <w:rPr>
          <w:sz w:val="48"/>
          <w:szCs w:val="48"/>
        </w:rPr>
      </w:pPr>
    </w:p>
    <w:p w14:paraId="5B691B89" w14:textId="3DA69D98" w:rsidR="00393C4A" w:rsidRPr="008F6C94" w:rsidRDefault="00763BE9" w:rsidP="00393C4A">
      <w:pPr>
        <w:jc w:val="center"/>
        <w:rPr>
          <w:b/>
          <w:bCs/>
          <w:sz w:val="56"/>
          <w:szCs w:val="56"/>
        </w:rPr>
      </w:pPr>
      <w:r w:rsidRPr="009D2D06">
        <w:rPr>
          <w:b/>
          <w:bCs/>
          <w:sz w:val="56"/>
          <w:szCs w:val="56"/>
        </w:rPr>
        <w:t>Expert Panel Review</w:t>
      </w:r>
      <w:r w:rsidR="00393C4A" w:rsidRPr="008F6C94">
        <w:rPr>
          <w:b/>
          <w:bCs/>
          <w:sz w:val="56"/>
          <w:szCs w:val="56"/>
        </w:rPr>
        <w:t xml:space="preserve"> </w:t>
      </w:r>
    </w:p>
    <w:p w14:paraId="5D19E359" w14:textId="31B88AA7" w:rsidR="00763BE9" w:rsidRPr="008F6C94" w:rsidRDefault="00763BE9" w:rsidP="00157C17">
      <w:pPr>
        <w:jc w:val="center"/>
      </w:pPr>
    </w:p>
    <w:p w14:paraId="4381D9B1" w14:textId="07E397A2" w:rsidR="00393C4A" w:rsidRPr="00393C4A" w:rsidRDefault="00393C4A" w:rsidP="008F6C94">
      <w:pPr>
        <w:pStyle w:val="Title"/>
        <w:rPr>
          <w:rFonts w:asciiTheme="minorHAnsi" w:hAnsiTheme="minorHAnsi"/>
          <w:color w:val="0070C0"/>
          <w:sz w:val="52"/>
          <w:szCs w:val="52"/>
        </w:rPr>
      </w:pPr>
      <w:bookmarkStart w:id="0" w:name="_Hlk118715203"/>
      <w:r w:rsidRPr="00157C17">
        <w:rPr>
          <w:rFonts w:asciiTheme="minorHAnsi" w:hAnsiTheme="minorHAnsi"/>
          <w:color w:val="0070C0"/>
        </w:rPr>
        <w:t>Provisional Final Report</w:t>
      </w:r>
      <w:r w:rsidRPr="00393C4A">
        <w:rPr>
          <w:rFonts w:asciiTheme="minorHAnsi" w:hAnsiTheme="minorHAnsi"/>
          <w:color w:val="0070C0"/>
          <w:sz w:val="52"/>
          <w:szCs w:val="52"/>
        </w:rPr>
        <w:t xml:space="preserve"> </w:t>
      </w:r>
      <w:bookmarkEnd w:id="0"/>
      <w:r w:rsidRPr="00393C4A">
        <w:rPr>
          <w:rFonts w:asciiTheme="minorHAnsi" w:hAnsiTheme="minorHAnsi"/>
          <w:color w:val="0070C0"/>
          <w:sz w:val="52"/>
          <w:szCs w:val="52"/>
        </w:rPr>
        <w:t>- October 2022</w:t>
      </w:r>
    </w:p>
    <w:p w14:paraId="30E43E73" w14:textId="2E77BB56" w:rsidR="00393C4A" w:rsidRPr="00393C4A" w:rsidRDefault="00393C4A" w:rsidP="00393C4A">
      <w:pPr>
        <w:jc w:val="center"/>
        <w:rPr>
          <w:color w:val="0070C0"/>
          <w:sz w:val="36"/>
          <w:szCs w:val="36"/>
        </w:rPr>
      </w:pPr>
      <w:r w:rsidRPr="00393C4A">
        <w:rPr>
          <w:color w:val="0070C0"/>
          <w:sz w:val="36"/>
          <w:szCs w:val="36"/>
        </w:rPr>
        <w:t>Department of Agriculture Fisheries and Forestry</w:t>
      </w:r>
    </w:p>
    <w:p w14:paraId="2BA9DA2D" w14:textId="77777777" w:rsidR="007212C5" w:rsidRDefault="007212C5" w:rsidP="007212C5"/>
    <w:p w14:paraId="56933AD5" w14:textId="77777777" w:rsidR="007212C5" w:rsidRPr="007212C5" w:rsidRDefault="007212C5" w:rsidP="007212C5"/>
    <w:p w14:paraId="257145A6" w14:textId="678D9232" w:rsidR="00DF261F" w:rsidRPr="00393C4A" w:rsidRDefault="00763BE9" w:rsidP="00763BE9">
      <w:pPr>
        <w:pStyle w:val="Title"/>
        <w:jc w:val="center"/>
        <w:rPr>
          <w:rFonts w:asciiTheme="minorHAnsi" w:hAnsiTheme="minorHAnsi"/>
          <w:i/>
          <w:iCs/>
          <w:color w:val="0070C0"/>
          <w:sz w:val="52"/>
          <w:szCs w:val="52"/>
        </w:rPr>
      </w:pPr>
      <w:r w:rsidRPr="00393C4A">
        <w:rPr>
          <w:rFonts w:asciiTheme="minorHAnsi" w:hAnsiTheme="minorHAnsi"/>
          <w:i/>
          <w:iCs/>
          <w:color w:val="0070C0"/>
          <w:sz w:val="52"/>
          <w:szCs w:val="52"/>
        </w:rPr>
        <w:t xml:space="preserve">Review of the biosecurity risks of prawns imported from all countries for human </w:t>
      </w:r>
      <w:r w:rsidRPr="00157C17">
        <w:rPr>
          <w:rFonts w:asciiTheme="minorHAnsi" w:hAnsiTheme="minorHAnsi"/>
          <w:i/>
          <w:iCs/>
          <w:color w:val="4472C4" w:themeColor="accent1"/>
          <w:sz w:val="52"/>
          <w:szCs w:val="52"/>
        </w:rPr>
        <w:t>consumption</w:t>
      </w:r>
      <w:r w:rsidRPr="00393C4A">
        <w:rPr>
          <w:rFonts w:asciiTheme="minorHAnsi" w:hAnsiTheme="minorHAnsi"/>
          <w:i/>
          <w:iCs/>
          <w:color w:val="0070C0"/>
          <w:sz w:val="52"/>
          <w:szCs w:val="52"/>
        </w:rPr>
        <w:t xml:space="preserve"> </w:t>
      </w:r>
    </w:p>
    <w:p w14:paraId="286D1EB8" w14:textId="7D4042DF" w:rsidR="007212C5" w:rsidRDefault="007212C5" w:rsidP="007212C5"/>
    <w:p w14:paraId="25525089" w14:textId="61E8646B" w:rsidR="007212C5" w:rsidRDefault="007212C5" w:rsidP="007212C5"/>
    <w:p w14:paraId="07962FF7" w14:textId="27BAC21E" w:rsidR="007212C5" w:rsidRDefault="007212C5" w:rsidP="007212C5"/>
    <w:p w14:paraId="42B5B2E5" w14:textId="685CD40E" w:rsidR="007212C5" w:rsidRDefault="007212C5" w:rsidP="007212C5"/>
    <w:p w14:paraId="4C4008E8" w14:textId="38B27823" w:rsidR="008F6C94" w:rsidRDefault="008F6C94" w:rsidP="007212C5"/>
    <w:p w14:paraId="31B7A52A" w14:textId="77777777" w:rsidR="008F6C94" w:rsidRPr="007212C5" w:rsidRDefault="008F6C94" w:rsidP="007212C5"/>
    <w:p w14:paraId="631344A1" w14:textId="285A08D2" w:rsidR="00763BE9" w:rsidRDefault="00763BE9" w:rsidP="00492EF8">
      <w:pPr>
        <w:jc w:val="center"/>
        <w:rPr>
          <w:rFonts w:asciiTheme="majorHAnsi" w:hAnsiTheme="majorHAnsi" w:cstheme="majorHAnsi"/>
          <w:b/>
          <w:bCs/>
          <w:sz w:val="32"/>
          <w:szCs w:val="32"/>
        </w:rPr>
      </w:pPr>
      <w:r w:rsidRPr="00157C17">
        <w:rPr>
          <w:rFonts w:asciiTheme="majorHAnsi" w:hAnsiTheme="majorHAnsi" w:cstheme="majorHAnsi"/>
          <w:b/>
          <w:bCs/>
          <w:sz w:val="32"/>
          <w:szCs w:val="32"/>
        </w:rPr>
        <w:t>Expert Panel</w:t>
      </w:r>
    </w:p>
    <w:p w14:paraId="21112381" w14:textId="77777777" w:rsidR="008F6C94" w:rsidRPr="00157C17" w:rsidRDefault="008F6C94" w:rsidP="00157C17">
      <w:pPr>
        <w:jc w:val="center"/>
        <w:rPr>
          <w:rFonts w:cstheme="majorHAnsi"/>
          <w:b/>
          <w:bCs/>
        </w:rPr>
      </w:pPr>
    </w:p>
    <w:p w14:paraId="3C5A426B" w14:textId="1AC3ECA5" w:rsidR="00763BE9" w:rsidRPr="00157C17" w:rsidRDefault="009D2D06" w:rsidP="00157C17">
      <w:pPr>
        <w:jc w:val="center"/>
        <w:rPr>
          <w:rFonts w:cstheme="majorHAnsi"/>
        </w:rPr>
      </w:pPr>
      <w:r w:rsidRPr="00157C17">
        <w:rPr>
          <w:rFonts w:asciiTheme="majorHAnsi" w:hAnsiTheme="majorHAnsi" w:cstheme="majorHAnsi"/>
          <w:b/>
          <w:bCs/>
          <w:color w:val="4472C4" w:themeColor="accent1"/>
          <w:sz w:val="32"/>
          <w:szCs w:val="32"/>
        </w:rPr>
        <w:t xml:space="preserve">Dr </w:t>
      </w:r>
      <w:r w:rsidR="00763BE9" w:rsidRPr="00157C17">
        <w:rPr>
          <w:rFonts w:asciiTheme="majorHAnsi" w:hAnsiTheme="majorHAnsi" w:cstheme="majorHAnsi"/>
          <w:b/>
          <w:bCs/>
          <w:color w:val="4472C4" w:themeColor="accent1"/>
          <w:sz w:val="32"/>
          <w:szCs w:val="32"/>
        </w:rPr>
        <w:t>Joanne Daly (Chair)</w:t>
      </w:r>
      <w:r w:rsidRPr="00157C17">
        <w:rPr>
          <w:rFonts w:asciiTheme="majorHAnsi" w:hAnsiTheme="majorHAnsi" w:cstheme="majorHAnsi"/>
          <w:color w:val="4472C4" w:themeColor="accent1"/>
          <w:sz w:val="32"/>
          <w:szCs w:val="32"/>
        </w:rPr>
        <w:t xml:space="preserve"> </w:t>
      </w:r>
      <w:r w:rsidRPr="00157C17">
        <w:rPr>
          <w:rFonts w:asciiTheme="majorHAnsi" w:hAnsiTheme="majorHAnsi" w:cstheme="majorHAnsi"/>
          <w:color w:val="4472C4" w:themeColor="accent1"/>
        </w:rPr>
        <w:t>BSc (Hons), PhD, PSM, FTSE, GAICD</w:t>
      </w:r>
      <w:r w:rsidR="00763BE9" w:rsidRPr="00157C17">
        <w:rPr>
          <w:rFonts w:asciiTheme="majorHAnsi" w:hAnsiTheme="majorHAnsi" w:cstheme="majorHAnsi"/>
          <w:color w:val="4472C4" w:themeColor="accent1"/>
          <w:sz w:val="32"/>
          <w:szCs w:val="32"/>
        </w:rPr>
        <w:br/>
      </w:r>
      <w:r w:rsidR="00763BE9" w:rsidRPr="00157C17">
        <w:rPr>
          <w:rFonts w:asciiTheme="majorHAnsi" w:hAnsiTheme="majorHAnsi" w:cstheme="majorHAnsi"/>
          <w:b/>
          <w:bCs/>
          <w:color w:val="4472C4" w:themeColor="accent1"/>
          <w:sz w:val="32"/>
          <w:szCs w:val="32"/>
        </w:rPr>
        <w:t>Stephen McCutcheon</w:t>
      </w:r>
      <w:r w:rsidRPr="00157C17">
        <w:rPr>
          <w:rFonts w:asciiTheme="majorHAnsi" w:hAnsiTheme="majorHAnsi" w:cstheme="majorHAnsi"/>
          <w:color w:val="4472C4" w:themeColor="accent1"/>
          <w:sz w:val="32"/>
          <w:szCs w:val="32"/>
        </w:rPr>
        <w:t xml:space="preserve"> </w:t>
      </w:r>
      <w:proofErr w:type="spellStart"/>
      <w:r w:rsidRPr="00157C17">
        <w:rPr>
          <w:rFonts w:asciiTheme="majorHAnsi" w:hAnsiTheme="majorHAnsi" w:cstheme="majorHAnsi"/>
          <w:color w:val="4472C4" w:themeColor="accent1"/>
        </w:rPr>
        <w:t>BEc</w:t>
      </w:r>
      <w:proofErr w:type="spellEnd"/>
      <w:r w:rsidRPr="00157C17">
        <w:rPr>
          <w:rFonts w:asciiTheme="majorHAnsi" w:hAnsiTheme="majorHAnsi" w:cstheme="majorHAnsi"/>
          <w:color w:val="4472C4" w:themeColor="accent1"/>
        </w:rPr>
        <w:t>, Grad Dip Public Law, GAICD</w:t>
      </w:r>
      <w:r w:rsidR="00763BE9" w:rsidRPr="00157C17">
        <w:rPr>
          <w:rFonts w:asciiTheme="majorHAnsi" w:hAnsiTheme="majorHAnsi" w:cstheme="majorHAnsi"/>
          <w:color w:val="4472C4" w:themeColor="accent1"/>
          <w:sz w:val="32"/>
          <w:szCs w:val="32"/>
        </w:rPr>
        <w:br/>
      </w:r>
      <w:r w:rsidR="00763BE9" w:rsidRPr="00157C17">
        <w:rPr>
          <w:rFonts w:asciiTheme="majorHAnsi" w:hAnsiTheme="majorHAnsi" w:cstheme="majorHAnsi"/>
          <w:b/>
          <w:bCs/>
          <w:color w:val="4472C4" w:themeColor="accent1"/>
          <w:sz w:val="32"/>
          <w:szCs w:val="32"/>
        </w:rPr>
        <w:t>Will Zacharin</w:t>
      </w:r>
      <w:r w:rsidRPr="00157C17">
        <w:rPr>
          <w:rFonts w:asciiTheme="majorHAnsi" w:hAnsiTheme="majorHAnsi" w:cstheme="majorHAnsi"/>
          <w:color w:val="4472C4" w:themeColor="accent1"/>
          <w:sz w:val="32"/>
          <w:szCs w:val="32"/>
        </w:rPr>
        <w:t xml:space="preserve"> </w:t>
      </w:r>
      <w:r w:rsidRPr="00157C17">
        <w:rPr>
          <w:rFonts w:asciiTheme="majorHAnsi" w:hAnsiTheme="majorHAnsi" w:cstheme="majorHAnsi"/>
          <w:color w:val="4472C4" w:themeColor="accent1"/>
        </w:rPr>
        <w:t xml:space="preserve">CF, BSc (Hons), MSc, Grad Dip Bus </w:t>
      </w:r>
      <w:proofErr w:type="spellStart"/>
      <w:r w:rsidRPr="00157C17">
        <w:rPr>
          <w:rFonts w:asciiTheme="majorHAnsi" w:hAnsiTheme="majorHAnsi" w:cstheme="majorHAnsi"/>
          <w:color w:val="4472C4" w:themeColor="accent1"/>
        </w:rPr>
        <w:t>Mangt</w:t>
      </w:r>
      <w:proofErr w:type="spellEnd"/>
      <w:r w:rsidRPr="00157C17">
        <w:rPr>
          <w:rFonts w:asciiTheme="majorHAnsi" w:hAnsiTheme="majorHAnsi" w:cstheme="majorHAnsi"/>
          <w:color w:val="4472C4" w:themeColor="accent1"/>
        </w:rPr>
        <w:t>, GAICD</w:t>
      </w:r>
    </w:p>
    <w:p w14:paraId="17620C33" w14:textId="77777777" w:rsidR="008F6C94" w:rsidRDefault="008F6C94" w:rsidP="00492EF8">
      <w:pPr>
        <w:jc w:val="center"/>
        <w:rPr>
          <w:rFonts w:asciiTheme="majorHAnsi" w:hAnsiTheme="majorHAnsi" w:cstheme="majorHAnsi"/>
          <w:sz w:val="32"/>
          <w:szCs w:val="32"/>
        </w:rPr>
      </w:pPr>
    </w:p>
    <w:p w14:paraId="7DD7AA4F" w14:textId="77777777" w:rsidR="008F6C94" w:rsidRDefault="008F6C94" w:rsidP="00492EF8">
      <w:pPr>
        <w:jc w:val="center"/>
        <w:rPr>
          <w:rFonts w:asciiTheme="majorHAnsi" w:hAnsiTheme="majorHAnsi" w:cstheme="majorHAnsi"/>
          <w:sz w:val="32"/>
          <w:szCs w:val="32"/>
        </w:rPr>
      </w:pPr>
    </w:p>
    <w:p w14:paraId="3B3C7530" w14:textId="77777777" w:rsidR="008F6C94" w:rsidRDefault="008F6C94" w:rsidP="00492EF8">
      <w:pPr>
        <w:jc w:val="center"/>
        <w:rPr>
          <w:rFonts w:asciiTheme="majorHAnsi" w:hAnsiTheme="majorHAnsi" w:cstheme="majorHAnsi"/>
          <w:sz w:val="32"/>
          <w:szCs w:val="32"/>
        </w:rPr>
      </w:pPr>
    </w:p>
    <w:p w14:paraId="59EADF55" w14:textId="3E256264" w:rsidR="00393C4A" w:rsidRPr="00157C17" w:rsidRDefault="00393C4A" w:rsidP="00157C17">
      <w:pPr>
        <w:jc w:val="center"/>
        <w:rPr>
          <w:rFonts w:cstheme="majorHAnsi"/>
        </w:rPr>
      </w:pPr>
      <w:r w:rsidRPr="00157C17">
        <w:rPr>
          <w:rFonts w:asciiTheme="majorHAnsi" w:hAnsiTheme="majorHAnsi" w:cstheme="majorHAnsi"/>
          <w:sz w:val="32"/>
          <w:szCs w:val="32"/>
        </w:rPr>
        <w:t>(November 2022)</w:t>
      </w:r>
    </w:p>
    <w:p w14:paraId="13044733" w14:textId="262C2DA5" w:rsidR="00763BE9" w:rsidRPr="00157C17" w:rsidRDefault="00763BE9" w:rsidP="00157C17">
      <w:pPr>
        <w:jc w:val="center"/>
        <w:rPr>
          <w:rFonts w:asciiTheme="majorHAnsi" w:hAnsiTheme="majorHAnsi" w:cstheme="majorHAnsi"/>
          <w:sz w:val="32"/>
          <w:szCs w:val="32"/>
        </w:rPr>
      </w:pPr>
    </w:p>
    <w:p w14:paraId="07DFE82D" w14:textId="75D2EF27" w:rsidR="00763BE9" w:rsidRPr="00157C17" w:rsidRDefault="00763BE9" w:rsidP="00157C17">
      <w:pPr>
        <w:jc w:val="center"/>
        <w:rPr>
          <w:rFonts w:asciiTheme="majorHAnsi" w:hAnsiTheme="majorHAnsi" w:cstheme="majorHAnsi"/>
          <w:sz w:val="32"/>
          <w:szCs w:val="32"/>
        </w:rPr>
      </w:pPr>
    </w:p>
    <w:p w14:paraId="382DAAD9" w14:textId="4B000E17" w:rsidR="00763BE9" w:rsidRDefault="00763BE9" w:rsidP="00763BE9"/>
    <w:p w14:paraId="5C29583A" w14:textId="392A9B09" w:rsidR="00763BE9" w:rsidRDefault="00763BE9" w:rsidP="00763BE9"/>
    <w:p w14:paraId="19AF1E9C" w14:textId="77777777" w:rsidR="009D2D06" w:rsidRDefault="009D2D06" w:rsidP="00763BE9">
      <w:pPr>
        <w:sectPr w:rsidR="009D2D06" w:rsidSect="00190AF7">
          <w:footerReference w:type="even" r:id="rId8"/>
          <w:footerReference w:type="default" r:id="rId9"/>
          <w:pgSz w:w="11900" w:h="16840"/>
          <w:pgMar w:top="1440" w:right="1440" w:bottom="1440" w:left="1440" w:header="708" w:footer="708" w:gutter="0"/>
          <w:cols w:space="708"/>
          <w:docGrid w:linePitch="360"/>
        </w:sectPr>
      </w:pPr>
    </w:p>
    <w:p w14:paraId="328A8CAD" w14:textId="20F5765D" w:rsidR="00763BE9" w:rsidRDefault="00763BE9" w:rsidP="00763BE9"/>
    <w:sdt>
      <w:sdtPr>
        <w:rPr>
          <w:rFonts w:asciiTheme="minorHAnsi" w:eastAsiaTheme="minorHAnsi" w:hAnsiTheme="minorHAnsi" w:cstheme="minorBidi"/>
          <w:color w:val="auto"/>
          <w:sz w:val="24"/>
          <w:szCs w:val="24"/>
          <w:lang w:val="en-AU"/>
        </w:rPr>
        <w:id w:val="1534689440"/>
        <w:docPartObj>
          <w:docPartGallery w:val="Table of Contents"/>
          <w:docPartUnique/>
        </w:docPartObj>
      </w:sdtPr>
      <w:sdtEndPr>
        <w:rPr>
          <w:b/>
          <w:bCs/>
          <w:noProof/>
        </w:rPr>
      </w:sdtEndPr>
      <w:sdtContent>
        <w:p w14:paraId="67BEED02" w14:textId="3A3C134A" w:rsidR="00492EF8" w:rsidRDefault="00492EF8">
          <w:pPr>
            <w:pStyle w:val="TOCHeading"/>
          </w:pPr>
          <w:r>
            <w:t>Contents</w:t>
          </w:r>
        </w:p>
        <w:p w14:paraId="67363413" w14:textId="7BE612D0" w:rsidR="00FC41BF" w:rsidRDefault="00492EF8">
          <w:pPr>
            <w:pStyle w:val="TOC2"/>
            <w:rPr>
              <w:rFonts w:eastAsiaTheme="minorEastAsia"/>
              <w:noProof/>
              <w:sz w:val="22"/>
              <w:szCs w:val="22"/>
              <w:lang w:eastAsia="en-AU"/>
            </w:rPr>
          </w:pPr>
          <w:r>
            <w:fldChar w:fldCharType="begin"/>
          </w:r>
          <w:r>
            <w:instrText xml:space="preserve"> TOC \o "1-3" \h \z \u </w:instrText>
          </w:r>
          <w:r>
            <w:fldChar w:fldCharType="separate"/>
          </w:r>
          <w:hyperlink w:anchor="_Toc119497275" w:history="1">
            <w:r w:rsidR="00FC41BF" w:rsidRPr="00440AF0">
              <w:rPr>
                <w:rStyle w:val="Hyperlink"/>
                <w:noProof/>
              </w:rPr>
              <w:t>Summary</w:t>
            </w:r>
            <w:r w:rsidR="00FC41BF">
              <w:rPr>
                <w:noProof/>
                <w:webHidden/>
              </w:rPr>
              <w:tab/>
            </w:r>
            <w:r w:rsidR="00FC41BF">
              <w:rPr>
                <w:noProof/>
                <w:webHidden/>
              </w:rPr>
              <w:fldChar w:fldCharType="begin"/>
            </w:r>
            <w:r w:rsidR="00FC41BF">
              <w:rPr>
                <w:noProof/>
                <w:webHidden/>
              </w:rPr>
              <w:instrText xml:space="preserve"> PAGEREF _Toc119497275 \h </w:instrText>
            </w:r>
            <w:r w:rsidR="00FC41BF">
              <w:rPr>
                <w:noProof/>
                <w:webHidden/>
              </w:rPr>
            </w:r>
            <w:r w:rsidR="00FC41BF">
              <w:rPr>
                <w:noProof/>
                <w:webHidden/>
              </w:rPr>
              <w:fldChar w:fldCharType="separate"/>
            </w:r>
            <w:r w:rsidR="0063321E">
              <w:rPr>
                <w:noProof/>
                <w:webHidden/>
              </w:rPr>
              <w:t>3</w:t>
            </w:r>
            <w:r w:rsidR="00FC41BF">
              <w:rPr>
                <w:noProof/>
                <w:webHidden/>
              </w:rPr>
              <w:fldChar w:fldCharType="end"/>
            </w:r>
          </w:hyperlink>
        </w:p>
        <w:p w14:paraId="2578A56E" w14:textId="320B59AC" w:rsidR="00FC41BF" w:rsidRDefault="006C5CD5">
          <w:pPr>
            <w:pStyle w:val="TOC2"/>
            <w:rPr>
              <w:rFonts w:eastAsiaTheme="minorEastAsia"/>
              <w:noProof/>
              <w:sz w:val="22"/>
              <w:szCs w:val="22"/>
              <w:lang w:eastAsia="en-AU"/>
            </w:rPr>
          </w:pPr>
          <w:hyperlink w:anchor="_Toc119497276" w:history="1">
            <w:r w:rsidR="00FC41BF" w:rsidRPr="00440AF0">
              <w:rPr>
                <w:rStyle w:val="Hyperlink"/>
                <w:noProof/>
              </w:rPr>
              <w:t>Key points</w:t>
            </w:r>
            <w:r w:rsidR="00FC41BF">
              <w:rPr>
                <w:noProof/>
                <w:webHidden/>
              </w:rPr>
              <w:tab/>
            </w:r>
            <w:r w:rsidR="00FC41BF">
              <w:rPr>
                <w:noProof/>
                <w:webHidden/>
              </w:rPr>
              <w:fldChar w:fldCharType="begin"/>
            </w:r>
            <w:r w:rsidR="00FC41BF">
              <w:rPr>
                <w:noProof/>
                <w:webHidden/>
              </w:rPr>
              <w:instrText xml:space="preserve"> PAGEREF _Toc119497276 \h </w:instrText>
            </w:r>
            <w:r w:rsidR="00FC41BF">
              <w:rPr>
                <w:noProof/>
                <w:webHidden/>
              </w:rPr>
            </w:r>
            <w:r w:rsidR="00FC41BF">
              <w:rPr>
                <w:noProof/>
                <w:webHidden/>
              </w:rPr>
              <w:fldChar w:fldCharType="separate"/>
            </w:r>
            <w:r w:rsidR="0063321E">
              <w:rPr>
                <w:noProof/>
                <w:webHidden/>
              </w:rPr>
              <w:t>4</w:t>
            </w:r>
            <w:r w:rsidR="00FC41BF">
              <w:rPr>
                <w:noProof/>
                <w:webHidden/>
              </w:rPr>
              <w:fldChar w:fldCharType="end"/>
            </w:r>
          </w:hyperlink>
        </w:p>
        <w:p w14:paraId="206F2F5A" w14:textId="43F2C02E" w:rsidR="00FC41BF" w:rsidRDefault="006C5CD5">
          <w:pPr>
            <w:pStyle w:val="TOC2"/>
            <w:rPr>
              <w:rFonts w:eastAsiaTheme="minorEastAsia"/>
              <w:noProof/>
              <w:sz w:val="22"/>
              <w:szCs w:val="22"/>
              <w:lang w:eastAsia="en-AU"/>
            </w:rPr>
          </w:pPr>
          <w:hyperlink w:anchor="_Toc119497277" w:history="1">
            <w:r w:rsidR="00FC41BF" w:rsidRPr="00440AF0">
              <w:rPr>
                <w:rStyle w:val="Hyperlink"/>
                <w:noProof/>
              </w:rPr>
              <w:t>Areas of Focus in the Final Report</w:t>
            </w:r>
            <w:r w:rsidR="00FC41BF">
              <w:rPr>
                <w:noProof/>
                <w:webHidden/>
              </w:rPr>
              <w:tab/>
            </w:r>
            <w:r w:rsidR="00FC41BF">
              <w:rPr>
                <w:noProof/>
                <w:webHidden/>
              </w:rPr>
              <w:fldChar w:fldCharType="begin"/>
            </w:r>
            <w:r w:rsidR="00FC41BF">
              <w:rPr>
                <w:noProof/>
                <w:webHidden/>
              </w:rPr>
              <w:instrText xml:space="preserve"> PAGEREF _Toc119497277 \h </w:instrText>
            </w:r>
            <w:r w:rsidR="00FC41BF">
              <w:rPr>
                <w:noProof/>
                <w:webHidden/>
              </w:rPr>
            </w:r>
            <w:r w:rsidR="00FC41BF">
              <w:rPr>
                <w:noProof/>
                <w:webHidden/>
              </w:rPr>
              <w:fldChar w:fldCharType="separate"/>
            </w:r>
            <w:r w:rsidR="0063321E">
              <w:rPr>
                <w:noProof/>
                <w:webHidden/>
              </w:rPr>
              <w:t>5</w:t>
            </w:r>
            <w:r w:rsidR="00FC41BF">
              <w:rPr>
                <w:noProof/>
                <w:webHidden/>
              </w:rPr>
              <w:fldChar w:fldCharType="end"/>
            </w:r>
          </w:hyperlink>
        </w:p>
        <w:p w14:paraId="6478409F" w14:textId="3302A011" w:rsidR="00FC41BF" w:rsidRDefault="006C5CD5">
          <w:pPr>
            <w:pStyle w:val="TOC1"/>
            <w:tabs>
              <w:tab w:val="right" w:leader="dot" w:pos="9010"/>
            </w:tabs>
            <w:rPr>
              <w:rFonts w:eastAsiaTheme="minorEastAsia"/>
              <w:noProof/>
              <w:sz w:val="22"/>
              <w:szCs w:val="22"/>
              <w:lang w:eastAsia="en-AU"/>
            </w:rPr>
          </w:pPr>
          <w:hyperlink w:anchor="_Toc119497278" w:history="1">
            <w:r w:rsidR="00FC41BF" w:rsidRPr="00440AF0">
              <w:rPr>
                <w:rStyle w:val="Hyperlink"/>
                <w:noProof/>
              </w:rPr>
              <w:t>Appendix 1.   Expert Panel’s assessment of DAFF’s response to Stakeholders and the 2021 Expert Panel Review Recommendations</w:t>
            </w:r>
            <w:r w:rsidR="00FC41BF">
              <w:rPr>
                <w:noProof/>
                <w:webHidden/>
              </w:rPr>
              <w:tab/>
            </w:r>
            <w:r w:rsidR="00FC41BF">
              <w:rPr>
                <w:noProof/>
                <w:webHidden/>
              </w:rPr>
              <w:fldChar w:fldCharType="begin"/>
            </w:r>
            <w:r w:rsidR="00FC41BF">
              <w:rPr>
                <w:noProof/>
                <w:webHidden/>
              </w:rPr>
              <w:instrText xml:space="preserve"> PAGEREF _Toc119497278 \h </w:instrText>
            </w:r>
            <w:r w:rsidR="00FC41BF">
              <w:rPr>
                <w:noProof/>
                <w:webHidden/>
              </w:rPr>
            </w:r>
            <w:r w:rsidR="00FC41BF">
              <w:rPr>
                <w:noProof/>
                <w:webHidden/>
              </w:rPr>
              <w:fldChar w:fldCharType="separate"/>
            </w:r>
            <w:r w:rsidR="0063321E">
              <w:rPr>
                <w:noProof/>
                <w:webHidden/>
              </w:rPr>
              <w:t>6</w:t>
            </w:r>
            <w:r w:rsidR="00FC41BF">
              <w:rPr>
                <w:noProof/>
                <w:webHidden/>
              </w:rPr>
              <w:fldChar w:fldCharType="end"/>
            </w:r>
          </w:hyperlink>
        </w:p>
        <w:p w14:paraId="7454050D" w14:textId="1250034A" w:rsidR="00FC41BF" w:rsidRDefault="006C5CD5">
          <w:pPr>
            <w:pStyle w:val="TOC1"/>
            <w:tabs>
              <w:tab w:val="right" w:leader="dot" w:pos="9010"/>
            </w:tabs>
            <w:rPr>
              <w:rFonts w:eastAsiaTheme="minorEastAsia"/>
              <w:noProof/>
              <w:sz w:val="22"/>
              <w:szCs w:val="22"/>
              <w:lang w:eastAsia="en-AU"/>
            </w:rPr>
          </w:pPr>
          <w:hyperlink w:anchor="_Toc119497279" w:history="1">
            <w:r w:rsidR="00FC41BF" w:rsidRPr="00440AF0">
              <w:rPr>
                <w:rStyle w:val="Hyperlink"/>
                <w:noProof/>
              </w:rPr>
              <w:t>Appendix 2: Expert panel biographies</w:t>
            </w:r>
            <w:r w:rsidR="00FC41BF">
              <w:rPr>
                <w:noProof/>
                <w:webHidden/>
              </w:rPr>
              <w:tab/>
            </w:r>
            <w:r w:rsidR="00FC41BF">
              <w:rPr>
                <w:noProof/>
                <w:webHidden/>
              </w:rPr>
              <w:fldChar w:fldCharType="begin"/>
            </w:r>
            <w:r w:rsidR="00FC41BF">
              <w:rPr>
                <w:noProof/>
                <w:webHidden/>
              </w:rPr>
              <w:instrText xml:space="preserve"> PAGEREF _Toc119497279 \h </w:instrText>
            </w:r>
            <w:r w:rsidR="00FC41BF">
              <w:rPr>
                <w:noProof/>
                <w:webHidden/>
              </w:rPr>
            </w:r>
            <w:r w:rsidR="00FC41BF">
              <w:rPr>
                <w:noProof/>
                <w:webHidden/>
              </w:rPr>
              <w:fldChar w:fldCharType="separate"/>
            </w:r>
            <w:r w:rsidR="0063321E">
              <w:rPr>
                <w:noProof/>
                <w:webHidden/>
              </w:rPr>
              <w:t>11</w:t>
            </w:r>
            <w:r w:rsidR="00FC41BF">
              <w:rPr>
                <w:noProof/>
                <w:webHidden/>
              </w:rPr>
              <w:fldChar w:fldCharType="end"/>
            </w:r>
          </w:hyperlink>
        </w:p>
        <w:p w14:paraId="229763E9" w14:textId="5652B623" w:rsidR="00492EF8" w:rsidRDefault="00492EF8">
          <w:r>
            <w:rPr>
              <w:b/>
              <w:bCs/>
              <w:noProof/>
            </w:rPr>
            <w:fldChar w:fldCharType="end"/>
          </w:r>
        </w:p>
      </w:sdtContent>
    </w:sdt>
    <w:p w14:paraId="484E486E" w14:textId="7E3D73C2" w:rsidR="00190AF7" w:rsidRDefault="00190AF7" w:rsidP="00763BE9"/>
    <w:p w14:paraId="1BB404C2" w14:textId="77777777" w:rsidR="00FC41BF" w:rsidRDefault="00FC41BF">
      <w:pPr>
        <w:rPr>
          <w:rFonts w:asciiTheme="majorHAnsi" w:eastAsiaTheme="majorEastAsia" w:hAnsiTheme="majorHAnsi" w:cstheme="majorBidi"/>
          <w:b/>
          <w:color w:val="2F5496" w:themeColor="accent1" w:themeShade="BF"/>
          <w:sz w:val="26"/>
          <w:szCs w:val="26"/>
        </w:rPr>
      </w:pPr>
      <w:r>
        <w:br w:type="page"/>
      </w:r>
    </w:p>
    <w:p w14:paraId="6D5A4B47" w14:textId="60B85C26" w:rsidR="00ED0205" w:rsidRPr="009D2D06" w:rsidRDefault="00ED0205" w:rsidP="009D2D06">
      <w:pPr>
        <w:pStyle w:val="Heading2"/>
      </w:pPr>
      <w:bookmarkStart w:id="1" w:name="_Toc119497275"/>
      <w:r w:rsidRPr="009D2D06">
        <w:lastRenderedPageBreak/>
        <w:t>Summary</w:t>
      </w:r>
      <w:bookmarkEnd w:id="1"/>
    </w:p>
    <w:p w14:paraId="30233362" w14:textId="6DB961D7" w:rsidR="00234E84" w:rsidRDefault="00763BE9" w:rsidP="00DF261F">
      <w:pPr>
        <w:rPr>
          <w:rFonts w:cstheme="minorHAnsi"/>
        </w:rPr>
      </w:pPr>
      <w:r w:rsidRPr="003E0689">
        <w:rPr>
          <w:rFonts w:cstheme="minorHAnsi"/>
        </w:rPr>
        <w:t>This Review provides advice to the Department of Agricultur</w:t>
      </w:r>
      <w:r w:rsidR="00DF261F" w:rsidRPr="003E0689">
        <w:rPr>
          <w:rFonts w:cstheme="minorHAnsi"/>
        </w:rPr>
        <w:t>e</w:t>
      </w:r>
      <w:r w:rsidRPr="003E0689">
        <w:rPr>
          <w:rFonts w:cstheme="minorHAnsi"/>
        </w:rPr>
        <w:t xml:space="preserve">, Fisheries and Forestry (DAFF) on its updated Provisional Final Report </w:t>
      </w:r>
      <w:r w:rsidR="00DF261F" w:rsidRPr="003E0689">
        <w:rPr>
          <w:rFonts w:cstheme="minorHAnsi"/>
          <w:i/>
          <w:iCs/>
        </w:rPr>
        <w:t>Review of the biosecurity risks of prawns imported from all countries for human consumption</w:t>
      </w:r>
      <w:r w:rsidR="00190AF7" w:rsidRPr="003E0689">
        <w:rPr>
          <w:rFonts w:cstheme="minorHAnsi"/>
          <w:i/>
          <w:iCs/>
        </w:rPr>
        <w:t xml:space="preserve"> (</w:t>
      </w:r>
      <w:r w:rsidR="00393C4A">
        <w:rPr>
          <w:rFonts w:cstheme="minorHAnsi"/>
          <w:i/>
          <w:iCs/>
        </w:rPr>
        <w:t>October</w:t>
      </w:r>
      <w:r w:rsidR="00190AF7" w:rsidRPr="003E0689">
        <w:rPr>
          <w:rFonts w:cstheme="minorHAnsi"/>
          <w:i/>
          <w:iCs/>
        </w:rPr>
        <w:t xml:space="preserve"> 2022)</w:t>
      </w:r>
      <w:r w:rsidR="00DF261F" w:rsidRPr="003E0689">
        <w:rPr>
          <w:rFonts w:cstheme="minorHAnsi"/>
          <w:color w:val="0070C0"/>
        </w:rPr>
        <w:t xml:space="preserve">.  </w:t>
      </w:r>
      <w:r w:rsidR="00DF261F" w:rsidRPr="003E0689">
        <w:rPr>
          <w:rFonts w:cstheme="minorHAnsi"/>
        </w:rPr>
        <w:t>The 2022 Report is an extensive update of the Draft Report released in September 2020</w:t>
      </w:r>
      <w:r w:rsidR="00393C4A">
        <w:rPr>
          <w:rFonts w:cstheme="minorHAnsi"/>
        </w:rPr>
        <w:t xml:space="preserve"> </w:t>
      </w:r>
      <w:r w:rsidR="00DF261F" w:rsidRPr="003E0689">
        <w:rPr>
          <w:rFonts w:cstheme="minorHAnsi"/>
        </w:rPr>
        <w:t>in response to input from stakeholders and other sources</w:t>
      </w:r>
      <w:r w:rsidR="00393C4A">
        <w:rPr>
          <w:rFonts w:cstheme="minorHAnsi"/>
        </w:rPr>
        <w:t xml:space="preserve"> to the 2020 draft.  </w:t>
      </w:r>
      <w:r w:rsidR="00DF261F" w:rsidRPr="003E0689">
        <w:rPr>
          <w:rFonts w:cstheme="minorHAnsi"/>
        </w:rPr>
        <w:t xml:space="preserve">  </w:t>
      </w:r>
    </w:p>
    <w:p w14:paraId="5B748220" w14:textId="77777777" w:rsidR="00234E84" w:rsidRDefault="00234E84" w:rsidP="00DF261F">
      <w:pPr>
        <w:rPr>
          <w:rFonts w:cstheme="minorHAnsi"/>
        </w:rPr>
      </w:pPr>
    </w:p>
    <w:p w14:paraId="25B082BD" w14:textId="5176F3D1" w:rsidR="00DF261F" w:rsidRPr="003E0689" w:rsidRDefault="00DF261F" w:rsidP="00DF261F">
      <w:pPr>
        <w:rPr>
          <w:rFonts w:cstheme="minorHAnsi"/>
          <w:color w:val="0070C0"/>
        </w:rPr>
      </w:pPr>
      <w:r w:rsidRPr="003E0689">
        <w:rPr>
          <w:rFonts w:cstheme="minorHAnsi"/>
        </w:rPr>
        <w:t>The Expert Panel commends the Department on it</w:t>
      </w:r>
      <w:r w:rsidR="00ED0205" w:rsidRPr="003E0689">
        <w:rPr>
          <w:rFonts w:cstheme="minorHAnsi"/>
        </w:rPr>
        <w:t>s revisions and finds that</w:t>
      </w:r>
      <w:r w:rsidR="00190AF7" w:rsidRPr="003E0689">
        <w:rPr>
          <w:rFonts w:cstheme="minorHAnsi"/>
        </w:rPr>
        <w:t xml:space="preserve"> the </w:t>
      </w:r>
      <w:r w:rsidR="003B23C1">
        <w:rPr>
          <w:rFonts w:cstheme="minorHAnsi"/>
        </w:rPr>
        <w:t>D</w:t>
      </w:r>
      <w:r w:rsidR="00190AF7" w:rsidRPr="003E0689">
        <w:rPr>
          <w:rFonts w:cstheme="minorHAnsi"/>
        </w:rPr>
        <w:t>epartment has met the requirements as set out in the Expert Panel’s Terms of Reference, namely:</w:t>
      </w:r>
      <w:r w:rsidR="00ED0205" w:rsidRPr="003E0689">
        <w:rPr>
          <w:rFonts w:cstheme="minorHAnsi"/>
        </w:rPr>
        <w:t xml:space="preserve">  </w:t>
      </w:r>
    </w:p>
    <w:p w14:paraId="580A52C2" w14:textId="7F94562A" w:rsidR="00763BE9" w:rsidRPr="003E0689" w:rsidRDefault="00763BE9" w:rsidP="00763BE9">
      <w:pPr>
        <w:rPr>
          <w:rFonts w:cstheme="minorHAnsi"/>
        </w:rPr>
      </w:pPr>
    </w:p>
    <w:p w14:paraId="5A325BE2" w14:textId="77777777" w:rsidR="00ED0205" w:rsidRPr="003E0689" w:rsidRDefault="00ED0205" w:rsidP="00ED0205">
      <w:pPr>
        <w:pStyle w:val="ListParagraph"/>
        <w:numPr>
          <w:ilvl w:val="0"/>
          <w:numId w:val="6"/>
        </w:numPr>
        <w:spacing w:after="0" w:line="240" w:lineRule="auto"/>
        <w:ind w:left="720"/>
        <w:contextualSpacing w:val="0"/>
        <w:rPr>
          <w:rFonts w:eastAsia="Times New Roman" w:cstheme="minorHAnsi"/>
          <w:sz w:val="24"/>
          <w:szCs w:val="24"/>
        </w:rPr>
      </w:pPr>
      <w:r w:rsidRPr="003E0689">
        <w:rPr>
          <w:rFonts w:eastAsia="Times New Roman" w:cstheme="minorHAnsi"/>
          <w:sz w:val="24"/>
          <w:szCs w:val="24"/>
        </w:rPr>
        <w:t xml:space="preserve">department has appropriately considered the findings on the </w:t>
      </w:r>
      <w:r w:rsidRPr="003E0689">
        <w:rPr>
          <w:rFonts w:cstheme="minorHAnsi"/>
          <w:sz w:val="24"/>
          <w:szCs w:val="24"/>
          <w:lang w:eastAsia="ja-JP"/>
        </w:rPr>
        <w:t>expert panel report</w:t>
      </w:r>
    </w:p>
    <w:p w14:paraId="58FBD8C6" w14:textId="77777777" w:rsidR="00ED0205" w:rsidRPr="003E0689" w:rsidRDefault="00ED0205" w:rsidP="00ED0205">
      <w:pPr>
        <w:pStyle w:val="ListParagraph"/>
        <w:numPr>
          <w:ilvl w:val="0"/>
          <w:numId w:val="6"/>
        </w:numPr>
        <w:spacing w:after="0" w:line="240" w:lineRule="auto"/>
        <w:ind w:left="720"/>
        <w:contextualSpacing w:val="0"/>
        <w:rPr>
          <w:rFonts w:eastAsia="Times New Roman" w:cstheme="minorHAnsi"/>
          <w:sz w:val="24"/>
          <w:szCs w:val="24"/>
        </w:rPr>
      </w:pPr>
      <w:r w:rsidRPr="003E0689">
        <w:rPr>
          <w:rFonts w:eastAsia="Times New Roman" w:cstheme="minorHAnsi"/>
          <w:sz w:val="24"/>
          <w:szCs w:val="24"/>
        </w:rPr>
        <w:t>department has appropriately considered the stakeholder submissions received in response to the draft report</w:t>
      </w:r>
    </w:p>
    <w:p w14:paraId="50B7FE71" w14:textId="77777777" w:rsidR="00ED0205" w:rsidRPr="003E0689" w:rsidRDefault="00ED0205" w:rsidP="00ED0205">
      <w:pPr>
        <w:pStyle w:val="ListParagraph"/>
        <w:numPr>
          <w:ilvl w:val="0"/>
          <w:numId w:val="6"/>
        </w:numPr>
        <w:spacing w:after="0" w:line="240" w:lineRule="auto"/>
        <w:ind w:left="720"/>
        <w:contextualSpacing w:val="0"/>
        <w:rPr>
          <w:rFonts w:eastAsia="Times New Roman" w:cstheme="minorHAnsi"/>
          <w:sz w:val="24"/>
          <w:szCs w:val="24"/>
        </w:rPr>
      </w:pPr>
      <w:r w:rsidRPr="003E0689">
        <w:rPr>
          <w:rFonts w:eastAsia="Times New Roman" w:cstheme="minorHAnsi"/>
          <w:sz w:val="24"/>
          <w:szCs w:val="24"/>
        </w:rPr>
        <w:t>department has included and properly considered all new scientific evidence received since the draft report was prepared</w:t>
      </w:r>
    </w:p>
    <w:p w14:paraId="06CFEBAF" w14:textId="1F5BB596" w:rsidR="00ED0205" w:rsidRPr="003E0689" w:rsidRDefault="00ED0205" w:rsidP="00ED0205">
      <w:pPr>
        <w:pStyle w:val="ListParagraph"/>
        <w:numPr>
          <w:ilvl w:val="0"/>
          <w:numId w:val="6"/>
        </w:numPr>
        <w:spacing w:after="0" w:line="240" w:lineRule="auto"/>
        <w:ind w:left="720"/>
        <w:contextualSpacing w:val="0"/>
        <w:rPr>
          <w:rFonts w:eastAsia="Times New Roman" w:cstheme="minorHAnsi"/>
          <w:sz w:val="24"/>
          <w:szCs w:val="24"/>
        </w:rPr>
      </w:pPr>
      <w:r w:rsidRPr="003E0689">
        <w:rPr>
          <w:rFonts w:eastAsia="Times New Roman" w:cstheme="minorHAnsi"/>
          <w:sz w:val="24"/>
          <w:szCs w:val="24"/>
        </w:rPr>
        <w:t xml:space="preserve">conclusions of the </w:t>
      </w:r>
      <w:r w:rsidR="00393C4A">
        <w:rPr>
          <w:rFonts w:eastAsia="Times New Roman" w:cstheme="minorHAnsi"/>
          <w:sz w:val="24"/>
          <w:szCs w:val="24"/>
        </w:rPr>
        <w:t>P</w:t>
      </w:r>
      <w:r w:rsidRPr="003E0689">
        <w:rPr>
          <w:rFonts w:eastAsia="Times New Roman" w:cstheme="minorHAnsi"/>
          <w:sz w:val="24"/>
          <w:szCs w:val="24"/>
        </w:rPr>
        <w:t xml:space="preserve">rovisional </w:t>
      </w:r>
      <w:r w:rsidR="00393C4A">
        <w:rPr>
          <w:rFonts w:eastAsia="Times New Roman" w:cstheme="minorHAnsi"/>
          <w:sz w:val="24"/>
          <w:szCs w:val="24"/>
        </w:rPr>
        <w:t>F</w:t>
      </w:r>
      <w:r w:rsidRPr="003E0689">
        <w:rPr>
          <w:rFonts w:eastAsia="Times New Roman" w:cstheme="minorHAnsi"/>
          <w:sz w:val="24"/>
          <w:szCs w:val="24"/>
        </w:rPr>
        <w:t xml:space="preserve">inal </w:t>
      </w:r>
      <w:r w:rsidR="00393C4A">
        <w:rPr>
          <w:rFonts w:eastAsia="Times New Roman" w:cstheme="minorHAnsi"/>
          <w:sz w:val="24"/>
          <w:szCs w:val="24"/>
        </w:rPr>
        <w:t>R</w:t>
      </w:r>
      <w:r w:rsidRPr="003E0689">
        <w:rPr>
          <w:rFonts w:eastAsia="Times New Roman" w:cstheme="minorHAnsi"/>
          <w:sz w:val="24"/>
          <w:szCs w:val="24"/>
        </w:rPr>
        <w:t>eport are scientifically reasonable and based on the material presented and available.</w:t>
      </w:r>
    </w:p>
    <w:p w14:paraId="3EAE7254" w14:textId="77777777" w:rsidR="00234E84" w:rsidRDefault="00234E84" w:rsidP="00763BE9">
      <w:pPr>
        <w:rPr>
          <w:rFonts w:cstheme="minorHAnsi"/>
        </w:rPr>
      </w:pPr>
    </w:p>
    <w:p w14:paraId="6BBB1557" w14:textId="6B8E34BB" w:rsidR="00190AF7" w:rsidRDefault="00234E84" w:rsidP="00763BE9">
      <w:pPr>
        <w:rPr>
          <w:rFonts w:cstheme="minorHAnsi"/>
        </w:rPr>
      </w:pPr>
      <w:r>
        <w:rPr>
          <w:rFonts w:cstheme="minorHAnsi"/>
        </w:rPr>
        <w:t>A few minor issues remain for the Department to consider with a view to improv</w:t>
      </w:r>
      <w:r w:rsidR="0027577C">
        <w:rPr>
          <w:rFonts w:cstheme="minorHAnsi"/>
        </w:rPr>
        <w:t>ing</w:t>
      </w:r>
      <w:r>
        <w:rPr>
          <w:rFonts w:cstheme="minorHAnsi"/>
        </w:rPr>
        <w:t xml:space="preserve"> clarity</w:t>
      </w:r>
      <w:r w:rsidR="00960D0F">
        <w:rPr>
          <w:rFonts w:cstheme="minorHAnsi"/>
        </w:rPr>
        <w:t xml:space="preserve">.  </w:t>
      </w:r>
      <w:r>
        <w:rPr>
          <w:rFonts w:cstheme="minorHAnsi"/>
        </w:rPr>
        <w:t xml:space="preserve">  </w:t>
      </w:r>
    </w:p>
    <w:p w14:paraId="7F25189E" w14:textId="122E86DD" w:rsidR="006D5934" w:rsidRDefault="006D5934">
      <w:pPr>
        <w:rPr>
          <w:rFonts w:cstheme="minorHAnsi"/>
        </w:rPr>
      </w:pPr>
      <w:r>
        <w:rPr>
          <w:rFonts w:cstheme="minorHAnsi"/>
        </w:rPr>
        <w:br w:type="page"/>
      </w:r>
    </w:p>
    <w:p w14:paraId="719367E0" w14:textId="0079FFA4" w:rsidR="00F3128C" w:rsidRPr="003E0689" w:rsidRDefault="00B36E32" w:rsidP="003E0689">
      <w:pPr>
        <w:pStyle w:val="Heading2"/>
      </w:pPr>
      <w:bookmarkStart w:id="2" w:name="_Toc119497276"/>
      <w:r w:rsidRPr="003E0689">
        <w:lastRenderedPageBreak/>
        <w:t>Key points</w:t>
      </w:r>
      <w:bookmarkEnd w:id="2"/>
    </w:p>
    <w:p w14:paraId="76F78D7B" w14:textId="77777777" w:rsidR="005D2D47" w:rsidRDefault="005D2D47" w:rsidP="00FF6837">
      <w:pPr>
        <w:rPr>
          <w:rFonts w:cstheme="minorHAnsi"/>
        </w:rPr>
      </w:pPr>
    </w:p>
    <w:p w14:paraId="3EAD2D96" w14:textId="45CC394D" w:rsidR="006D5934" w:rsidRDefault="00F3128C" w:rsidP="00FF6837">
      <w:pPr>
        <w:rPr>
          <w:rFonts w:cstheme="minorHAnsi"/>
        </w:rPr>
      </w:pPr>
      <w:r w:rsidRPr="003E0689">
        <w:rPr>
          <w:rFonts w:cstheme="minorHAnsi"/>
        </w:rPr>
        <w:t xml:space="preserve">The Department received extensive comments on </w:t>
      </w:r>
      <w:r w:rsidR="00F26DA5" w:rsidRPr="003E0689">
        <w:rPr>
          <w:rFonts w:cstheme="minorHAnsi"/>
        </w:rPr>
        <w:t>its Draft</w:t>
      </w:r>
      <w:r w:rsidRPr="003E0689">
        <w:rPr>
          <w:rFonts w:cstheme="minorHAnsi"/>
        </w:rPr>
        <w:t xml:space="preserve"> Report </w:t>
      </w:r>
      <w:r w:rsidR="00F26DA5">
        <w:rPr>
          <w:rFonts w:cstheme="minorHAnsi"/>
        </w:rPr>
        <w:t>(2020) f</w:t>
      </w:r>
      <w:r w:rsidRPr="003E0689">
        <w:rPr>
          <w:rFonts w:cstheme="minorHAnsi"/>
        </w:rPr>
        <w:t xml:space="preserve">rom industry, </w:t>
      </w:r>
      <w:r w:rsidR="000B769B" w:rsidRPr="003E0689">
        <w:rPr>
          <w:rFonts w:cstheme="minorHAnsi"/>
        </w:rPr>
        <w:t>government,</w:t>
      </w:r>
      <w:r w:rsidRPr="003E0689">
        <w:rPr>
          <w:rFonts w:cstheme="minorHAnsi"/>
        </w:rPr>
        <w:t xml:space="preserve"> and researchers. In addition, the Draft Report (2020) was reviewed by the Expert Panel (April 2021).  </w:t>
      </w:r>
    </w:p>
    <w:p w14:paraId="5AC04EB8" w14:textId="77777777" w:rsidR="006D5934" w:rsidRDefault="006D5934" w:rsidP="00FF6837">
      <w:pPr>
        <w:rPr>
          <w:rFonts w:cstheme="minorHAnsi"/>
        </w:rPr>
      </w:pPr>
    </w:p>
    <w:p w14:paraId="3C6D80D8" w14:textId="1E98D09F" w:rsidR="008C6379" w:rsidRPr="003E0689" w:rsidRDefault="00F3128C" w:rsidP="00FF6837">
      <w:pPr>
        <w:rPr>
          <w:rFonts w:cstheme="minorHAnsi"/>
        </w:rPr>
      </w:pPr>
      <w:r w:rsidRPr="003E0689">
        <w:rPr>
          <w:rFonts w:cstheme="minorHAnsi"/>
        </w:rPr>
        <w:t>In responding to these inputs, t</w:t>
      </w:r>
      <w:r w:rsidR="008C6379" w:rsidRPr="003E0689">
        <w:rPr>
          <w:rFonts w:cstheme="minorHAnsi"/>
        </w:rPr>
        <w:t xml:space="preserve">he </w:t>
      </w:r>
      <w:r w:rsidR="00ED0205" w:rsidRPr="003E0689">
        <w:rPr>
          <w:rFonts w:cstheme="minorHAnsi"/>
        </w:rPr>
        <w:t>P</w:t>
      </w:r>
      <w:r w:rsidR="008C6379" w:rsidRPr="003E0689">
        <w:rPr>
          <w:rFonts w:cstheme="minorHAnsi"/>
        </w:rPr>
        <w:t xml:space="preserve">rovisional </w:t>
      </w:r>
      <w:r w:rsidRPr="003E0689">
        <w:rPr>
          <w:rFonts w:cstheme="minorHAnsi"/>
        </w:rPr>
        <w:t>F</w:t>
      </w:r>
      <w:r w:rsidR="008C6379" w:rsidRPr="003E0689">
        <w:rPr>
          <w:rFonts w:cstheme="minorHAnsi"/>
        </w:rPr>
        <w:t xml:space="preserve">inal </w:t>
      </w:r>
      <w:r w:rsidRPr="003E0689">
        <w:rPr>
          <w:rFonts w:cstheme="minorHAnsi"/>
        </w:rPr>
        <w:t>R</w:t>
      </w:r>
      <w:r w:rsidR="008C6379" w:rsidRPr="003E0689">
        <w:rPr>
          <w:rFonts w:cstheme="minorHAnsi"/>
        </w:rPr>
        <w:t>eport</w:t>
      </w:r>
      <w:r w:rsidRPr="003E0689">
        <w:rPr>
          <w:rFonts w:cstheme="minorHAnsi"/>
        </w:rPr>
        <w:t xml:space="preserve"> </w:t>
      </w:r>
      <w:r w:rsidR="006D5934">
        <w:rPr>
          <w:rFonts w:cstheme="minorHAnsi"/>
        </w:rPr>
        <w:t>(</w:t>
      </w:r>
      <w:r w:rsidRPr="003E0689">
        <w:rPr>
          <w:rFonts w:cstheme="minorHAnsi"/>
        </w:rPr>
        <w:t xml:space="preserve">2022) was </w:t>
      </w:r>
      <w:r w:rsidR="0094165D" w:rsidRPr="003E0689">
        <w:rPr>
          <w:rFonts w:cstheme="minorHAnsi"/>
        </w:rPr>
        <w:t>informed by</w:t>
      </w:r>
      <w:r w:rsidRPr="003E0689">
        <w:rPr>
          <w:rFonts w:cstheme="minorHAnsi"/>
        </w:rPr>
        <w:t xml:space="preserve"> </w:t>
      </w:r>
      <w:r w:rsidR="0094165D" w:rsidRPr="003E0689">
        <w:rPr>
          <w:rFonts w:cstheme="minorHAnsi"/>
        </w:rPr>
        <w:t xml:space="preserve">six </w:t>
      </w:r>
      <w:r w:rsidR="008C6379" w:rsidRPr="003E0689">
        <w:rPr>
          <w:rFonts w:cstheme="minorHAnsi"/>
        </w:rPr>
        <w:t xml:space="preserve">substantial </w:t>
      </w:r>
      <w:r w:rsidR="00FF6837" w:rsidRPr="003E0689">
        <w:rPr>
          <w:rFonts w:cstheme="minorHAnsi"/>
        </w:rPr>
        <w:t xml:space="preserve">new </w:t>
      </w:r>
      <w:r w:rsidR="008C6379" w:rsidRPr="003E0689">
        <w:rPr>
          <w:rFonts w:cstheme="minorHAnsi"/>
        </w:rPr>
        <w:t>pieces of information:</w:t>
      </w:r>
    </w:p>
    <w:p w14:paraId="5ED45581" w14:textId="7E01A821" w:rsidR="008C6379" w:rsidRPr="003E0689" w:rsidRDefault="008C6379" w:rsidP="008C6379">
      <w:pPr>
        <w:pStyle w:val="ListParagraph"/>
        <w:numPr>
          <w:ilvl w:val="1"/>
          <w:numId w:val="2"/>
        </w:numPr>
        <w:rPr>
          <w:rFonts w:cstheme="minorHAnsi"/>
          <w:sz w:val="24"/>
          <w:szCs w:val="24"/>
        </w:rPr>
      </w:pPr>
      <w:r w:rsidRPr="003E0689">
        <w:rPr>
          <w:rFonts w:cstheme="minorHAnsi"/>
          <w:sz w:val="24"/>
          <w:szCs w:val="24"/>
        </w:rPr>
        <w:t xml:space="preserve">The results of the </w:t>
      </w:r>
      <w:r w:rsidR="003170C3" w:rsidRPr="003E0689">
        <w:rPr>
          <w:rFonts w:cstheme="minorHAnsi"/>
          <w:i/>
          <w:iCs/>
          <w:sz w:val="24"/>
          <w:szCs w:val="24"/>
        </w:rPr>
        <w:t>National recreational fishing survey</w:t>
      </w:r>
      <w:r w:rsidR="003170C3" w:rsidRPr="003E0689">
        <w:rPr>
          <w:rFonts w:cstheme="minorHAnsi"/>
          <w:sz w:val="24"/>
          <w:szCs w:val="24"/>
        </w:rPr>
        <w:t xml:space="preserve"> 2019-20 on the </w:t>
      </w:r>
      <w:r w:rsidRPr="003E0689">
        <w:rPr>
          <w:rFonts w:cstheme="minorHAnsi"/>
          <w:sz w:val="24"/>
          <w:szCs w:val="24"/>
        </w:rPr>
        <w:t>use of prawns as bait and berley</w:t>
      </w:r>
    </w:p>
    <w:p w14:paraId="26DE49FD" w14:textId="229515AA" w:rsidR="008C6379" w:rsidRPr="003E0689" w:rsidRDefault="008C6379" w:rsidP="008C6379">
      <w:pPr>
        <w:pStyle w:val="ListParagraph"/>
        <w:numPr>
          <w:ilvl w:val="1"/>
          <w:numId w:val="2"/>
        </w:numPr>
        <w:rPr>
          <w:rFonts w:cstheme="minorHAnsi"/>
          <w:sz w:val="24"/>
          <w:szCs w:val="24"/>
        </w:rPr>
      </w:pPr>
      <w:r w:rsidRPr="003E0689">
        <w:rPr>
          <w:rFonts w:cstheme="minorHAnsi"/>
          <w:sz w:val="24"/>
          <w:szCs w:val="24"/>
        </w:rPr>
        <w:t xml:space="preserve">The </w:t>
      </w:r>
      <w:r w:rsidR="003170C3" w:rsidRPr="003E0689">
        <w:rPr>
          <w:rFonts w:cstheme="minorHAnsi"/>
          <w:sz w:val="24"/>
          <w:szCs w:val="24"/>
        </w:rPr>
        <w:t xml:space="preserve">University of </w:t>
      </w:r>
      <w:r w:rsidRPr="003E0689">
        <w:rPr>
          <w:rFonts w:cstheme="minorHAnsi"/>
          <w:sz w:val="24"/>
          <w:szCs w:val="24"/>
        </w:rPr>
        <w:t>Arizona study</w:t>
      </w:r>
      <w:r w:rsidR="003170C3" w:rsidRPr="003E0689">
        <w:rPr>
          <w:rFonts w:cstheme="minorHAnsi"/>
          <w:sz w:val="24"/>
          <w:szCs w:val="24"/>
        </w:rPr>
        <w:t xml:space="preserve"> (2022)</w:t>
      </w:r>
      <w:r w:rsidRPr="003E0689">
        <w:rPr>
          <w:rFonts w:cstheme="minorHAnsi"/>
          <w:sz w:val="24"/>
          <w:szCs w:val="24"/>
        </w:rPr>
        <w:t xml:space="preserve"> into the impact of cooking and freezing on </w:t>
      </w:r>
      <w:r w:rsidR="000E5FF3" w:rsidRPr="003E0689">
        <w:rPr>
          <w:rFonts w:cstheme="minorHAnsi"/>
          <w:sz w:val="24"/>
          <w:szCs w:val="24"/>
        </w:rPr>
        <w:t xml:space="preserve">several </w:t>
      </w:r>
      <w:r w:rsidRPr="003E0689">
        <w:rPr>
          <w:rFonts w:cstheme="minorHAnsi"/>
          <w:sz w:val="24"/>
          <w:szCs w:val="24"/>
        </w:rPr>
        <w:t>prawn diseases</w:t>
      </w:r>
    </w:p>
    <w:p w14:paraId="054749B1" w14:textId="4C6CE443" w:rsidR="0094165D" w:rsidRPr="003E0689" w:rsidRDefault="007212C5" w:rsidP="0094165D">
      <w:pPr>
        <w:pStyle w:val="ListParagraph"/>
        <w:numPr>
          <w:ilvl w:val="1"/>
          <w:numId w:val="2"/>
        </w:numPr>
        <w:rPr>
          <w:rFonts w:cstheme="minorHAnsi"/>
          <w:sz w:val="24"/>
          <w:szCs w:val="24"/>
        </w:rPr>
      </w:pPr>
      <w:r>
        <w:rPr>
          <w:rFonts w:cstheme="minorHAnsi"/>
          <w:sz w:val="24"/>
          <w:szCs w:val="24"/>
        </w:rPr>
        <w:t>New</w:t>
      </w:r>
      <w:r w:rsidR="0094165D" w:rsidRPr="003E0689">
        <w:rPr>
          <w:rFonts w:cstheme="minorHAnsi"/>
          <w:sz w:val="24"/>
          <w:szCs w:val="24"/>
        </w:rPr>
        <w:t xml:space="preserve"> testing regimes and their justification </w:t>
      </w:r>
    </w:p>
    <w:p w14:paraId="46773F3E" w14:textId="75A77392" w:rsidR="008C6379" w:rsidRPr="003E0689" w:rsidRDefault="0094165D" w:rsidP="008C6379">
      <w:pPr>
        <w:pStyle w:val="ListParagraph"/>
        <w:numPr>
          <w:ilvl w:val="1"/>
          <w:numId w:val="2"/>
        </w:numPr>
        <w:rPr>
          <w:rFonts w:cstheme="minorHAnsi"/>
          <w:sz w:val="24"/>
          <w:szCs w:val="24"/>
        </w:rPr>
      </w:pPr>
      <w:r w:rsidRPr="003E0689">
        <w:rPr>
          <w:rFonts w:cstheme="minorHAnsi"/>
          <w:sz w:val="24"/>
          <w:szCs w:val="24"/>
        </w:rPr>
        <w:t>Test</w:t>
      </w:r>
      <w:r w:rsidR="00FF6837" w:rsidRPr="003E0689">
        <w:rPr>
          <w:rFonts w:cstheme="minorHAnsi"/>
          <w:sz w:val="24"/>
          <w:szCs w:val="24"/>
        </w:rPr>
        <w:t xml:space="preserve"> results </w:t>
      </w:r>
      <w:r w:rsidR="003170C3" w:rsidRPr="003E0689">
        <w:rPr>
          <w:rFonts w:cstheme="minorHAnsi"/>
          <w:sz w:val="24"/>
          <w:szCs w:val="24"/>
        </w:rPr>
        <w:t xml:space="preserve">from the Department’s </w:t>
      </w:r>
      <w:r w:rsidRPr="003E0689">
        <w:rPr>
          <w:rFonts w:cstheme="minorHAnsi"/>
          <w:sz w:val="24"/>
          <w:szCs w:val="24"/>
        </w:rPr>
        <w:t xml:space="preserve">recent surveillance and monitoring operations at the Australian border and from Australian retail settings  </w:t>
      </w:r>
    </w:p>
    <w:p w14:paraId="747DDEAD" w14:textId="2DC53DE1" w:rsidR="00FF6837" w:rsidRPr="003E0689" w:rsidRDefault="00FF6837" w:rsidP="008C6379">
      <w:pPr>
        <w:pStyle w:val="ListParagraph"/>
        <w:numPr>
          <w:ilvl w:val="1"/>
          <w:numId w:val="2"/>
        </w:numPr>
        <w:rPr>
          <w:rFonts w:cstheme="minorHAnsi"/>
          <w:sz w:val="24"/>
          <w:szCs w:val="24"/>
        </w:rPr>
      </w:pPr>
      <w:r w:rsidRPr="003E0689">
        <w:rPr>
          <w:rFonts w:cstheme="minorHAnsi"/>
          <w:sz w:val="24"/>
          <w:szCs w:val="24"/>
        </w:rPr>
        <w:t>Progress on the implementation of the 22 recommendations of the Inspector General of Biosecurity (2017)</w:t>
      </w:r>
    </w:p>
    <w:p w14:paraId="263B8031" w14:textId="658F3DED" w:rsidR="005D2D47" w:rsidRPr="005D2D47" w:rsidRDefault="0094165D" w:rsidP="00960D0F">
      <w:pPr>
        <w:pStyle w:val="ListParagraph"/>
        <w:numPr>
          <w:ilvl w:val="1"/>
          <w:numId w:val="2"/>
        </w:numPr>
        <w:rPr>
          <w:rFonts w:cstheme="minorHAnsi"/>
        </w:rPr>
      </w:pPr>
      <w:r w:rsidRPr="003E0689">
        <w:rPr>
          <w:rFonts w:cstheme="minorHAnsi"/>
          <w:sz w:val="24"/>
          <w:szCs w:val="24"/>
        </w:rPr>
        <w:t xml:space="preserve">New scientific findings from the literature </w:t>
      </w:r>
      <w:r w:rsidR="007212C5">
        <w:rPr>
          <w:rFonts w:cstheme="minorHAnsi"/>
          <w:sz w:val="24"/>
          <w:szCs w:val="24"/>
        </w:rPr>
        <w:t>t</w:t>
      </w:r>
      <w:r w:rsidRPr="003E0689">
        <w:rPr>
          <w:rFonts w:cstheme="minorHAnsi"/>
          <w:sz w:val="24"/>
          <w:szCs w:val="24"/>
        </w:rPr>
        <w:t xml:space="preserve">ext.  </w:t>
      </w:r>
    </w:p>
    <w:p w14:paraId="1AAAE35B" w14:textId="0776022C" w:rsidR="005D2D47" w:rsidRDefault="00FF6837" w:rsidP="00FF6837">
      <w:pPr>
        <w:rPr>
          <w:rFonts w:cstheme="minorHAnsi"/>
        </w:rPr>
      </w:pPr>
      <w:r w:rsidRPr="003E0689">
        <w:rPr>
          <w:rFonts w:cstheme="minorHAnsi"/>
        </w:rPr>
        <w:t>These additions</w:t>
      </w:r>
      <w:r w:rsidR="00C74CA1" w:rsidRPr="003E0689">
        <w:rPr>
          <w:rFonts w:cstheme="minorHAnsi"/>
        </w:rPr>
        <w:t>, the provision of new tables and figures, and</w:t>
      </w:r>
      <w:r w:rsidRPr="003E0689">
        <w:rPr>
          <w:rFonts w:cstheme="minorHAnsi"/>
        </w:rPr>
        <w:t xml:space="preserve"> the many other </w:t>
      </w:r>
      <w:r w:rsidR="006D5934">
        <w:rPr>
          <w:rFonts w:cstheme="minorHAnsi"/>
        </w:rPr>
        <w:t xml:space="preserve">editorial </w:t>
      </w:r>
      <w:r w:rsidRPr="003E0689">
        <w:rPr>
          <w:rFonts w:cstheme="minorHAnsi"/>
        </w:rPr>
        <w:t>changes through</w:t>
      </w:r>
      <w:r w:rsidR="0027577C">
        <w:rPr>
          <w:rFonts w:cstheme="minorHAnsi"/>
        </w:rPr>
        <w:t>out</w:t>
      </w:r>
      <w:r w:rsidRPr="003E0689">
        <w:rPr>
          <w:rFonts w:cstheme="minorHAnsi"/>
        </w:rPr>
        <w:t xml:space="preserve"> the report have increased </w:t>
      </w:r>
      <w:r w:rsidR="0094165D" w:rsidRPr="003E0689">
        <w:rPr>
          <w:rFonts w:cstheme="minorHAnsi"/>
        </w:rPr>
        <w:t xml:space="preserve">its </w:t>
      </w:r>
      <w:r w:rsidRPr="003E0689">
        <w:rPr>
          <w:rFonts w:cstheme="minorHAnsi"/>
        </w:rPr>
        <w:t xml:space="preserve">clarity and have addressed </w:t>
      </w:r>
      <w:r w:rsidR="00960D0F">
        <w:rPr>
          <w:rFonts w:cstheme="minorHAnsi"/>
        </w:rPr>
        <w:t xml:space="preserve">stakeholder </w:t>
      </w:r>
      <w:r w:rsidRPr="003E0689">
        <w:rPr>
          <w:rFonts w:cstheme="minorHAnsi"/>
        </w:rPr>
        <w:t xml:space="preserve">concerns. </w:t>
      </w:r>
      <w:r w:rsidR="0094165D" w:rsidRPr="003E0689">
        <w:rPr>
          <w:rFonts w:cstheme="minorHAnsi"/>
        </w:rPr>
        <w:t xml:space="preserve"> </w:t>
      </w:r>
    </w:p>
    <w:p w14:paraId="0F7B3EEE" w14:textId="77777777" w:rsidR="005D2D47" w:rsidRDefault="005D2D47" w:rsidP="00FF6837">
      <w:pPr>
        <w:rPr>
          <w:rFonts w:cstheme="minorHAnsi"/>
        </w:rPr>
      </w:pPr>
    </w:p>
    <w:p w14:paraId="78FF2F80" w14:textId="181FE542" w:rsidR="008C6379" w:rsidRPr="003E0689" w:rsidRDefault="0094165D" w:rsidP="00FF6837">
      <w:pPr>
        <w:rPr>
          <w:rFonts w:cstheme="minorHAnsi"/>
        </w:rPr>
      </w:pPr>
      <w:r w:rsidRPr="003E0689">
        <w:rPr>
          <w:rFonts w:cstheme="minorHAnsi"/>
        </w:rPr>
        <w:t>The Expert Panel notes in particular:</w:t>
      </w:r>
    </w:p>
    <w:p w14:paraId="15D30D87" w14:textId="3F963B22" w:rsidR="00E73354" w:rsidRPr="003E0689" w:rsidRDefault="00E73354" w:rsidP="00FF6837">
      <w:pPr>
        <w:pStyle w:val="ListParagraph"/>
        <w:numPr>
          <w:ilvl w:val="0"/>
          <w:numId w:val="3"/>
        </w:numPr>
        <w:rPr>
          <w:rFonts w:cstheme="minorHAnsi"/>
          <w:sz w:val="24"/>
          <w:szCs w:val="24"/>
        </w:rPr>
      </w:pPr>
      <w:r w:rsidRPr="003E0689">
        <w:rPr>
          <w:rFonts w:cstheme="minorHAnsi"/>
          <w:sz w:val="24"/>
          <w:szCs w:val="24"/>
        </w:rPr>
        <w:t>Table 1 (page</w:t>
      </w:r>
      <w:r w:rsidR="00393C4A">
        <w:rPr>
          <w:rFonts w:cstheme="minorHAnsi"/>
          <w:sz w:val="24"/>
          <w:szCs w:val="24"/>
        </w:rPr>
        <w:t xml:space="preserve"> ix</w:t>
      </w:r>
      <w:r w:rsidRPr="003E0689">
        <w:rPr>
          <w:rFonts w:cstheme="minorHAnsi"/>
          <w:sz w:val="24"/>
          <w:szCs w:val="24"/>
        </w:rPr>
        <w:t xml:space="preserve">) is an excellent overview of the impact of different biosecurity measures and their </w:t>
      </w:r>
      <w:r w:rsidR="00BC6798" w:rsidRPr="003E0689">
        <w:rPr>
          <w:rFonts w:cstheme="minorHAnsi"/>
          <w:sz w:val="24"/>
          <w:szCs w:val="24"/>
        </w:rPr>
        <w:t>effect</w:t>
      </w:r>
      <w:r w:rsidRPr="003E0689">
        <w:rPr>
          <w:rFonts w:cstheme="minorHAnsi"/>
          <w:sz w:val="24"/>
          <w:szCs w:val="24"/>
        </w:rPr>
        <w:t xml:space="preserve"> on ALOP for the </w:t>
      </w:r>
      <w:r w:rsidR="0027577C">
        <w:rPr>
          <w:rFonts w:cstheme="minorHAnsi"/>
          <w:sz w:val="24"/>
          <w:szCs w:val="24"/>
        </w:rPr>
        <w:t>10</w:t>
      </w:r>
      <w:r w:rsidR="0027577C" w:rsidRPr="003E0689">
        <w:rPr>
          <w:rFonts w:cstheme="minorHAnsi"/>
          <w:sz w:val="24"/>
          <w:szCs w:val="24"/>
        </w:rPr>
        <w:t xml:space="preserve"> </w:t>
      </w:r>
      <w:r w:rsidRPr="003E0689">
        <w:rPr>
          <w:rFonts w:cstheme="minorHAnsi"/>
          <w:sz w:val="24"/>
          <w:szCs w:val="24"/>
        </w:rPr>
        <w:t>target diseases</w:t>
      </w:r>
      <w:r w:rsidR="00C74CA1" w:rsidRPr="003E0689">
        <w:rPr>
          <w:rFonts w:cstheme="minorHAnsi"/>
          <w:sz w:val="24"/>
          <w:szCs w:val="24"/>
        </w:rPr>
        <w:t>.</w:t>
      </w:r>
      <w:r w:rsidRPr="003E0689">
        <w:rPr>
          <w:rFonts w:cstheme="minorHAnsi"/>
          <w:sz w:val="24"/>
          <w:szCs w:val="24"/>
        </w:rPr>
        <w:t xml:space="preserve"> </w:t>
      </w:r>
    </w:p>
    <w:p w14:paraId="41933345" w14:textId="77777777" w:rsidR="00393C4A" w:rsidRPr="003E0689" w:rsidRDefault="00393C4A" w:rsidP="00393C4A">
      <w:pPr>
        <w:pStyle w:val="ListParagraph"/>
        <w:numPr>
          <w:ilvl w:val="0"/>
          <w:numId w:val="3"/>
        </w:numPr>
        <w:rPr>
          <w:rFonts w:cstheme="minorHAnsi"/>
          <w:sz w:val="24"/>
          <w:szCs w:val="24"/>
        </w:rPr>
      </w:pPr>
      <w:r w:rsidRPr="003E0689">
        <w:rPr>
          <w:rFonts w:cstheme="minorHAnsi"/>
          <w:sz w:val="24"/>
          <w:szCs w:val="24"/>
        </w:rPr>
        <w:t xml:space="preserve">A comprehensive view of the source information that underpins </w:t>
      </w:r>
      <w:r>
        <w:rPr>
          <w:rFonts w:cstheme="minorHAnsi"/>
          <w:sz w:val="24"/>
          <w:szCs w:val="24"/>
        </w:rPr>
        <w:t>Table 1</w:t>
      </w:r>
      <w:r w:rsidRPr="003E0689">
        <w:rPr>
          <w:rFonts w:cstheme="minorHAnsi"/>
          <w:sz w:val="24"/>
          <w:szCs w:val="24"/>
        </w:rPr>
        <w:t xml:space="preserve">, is provided in Table 25 in Appendix F.  </w:t>
      </w:r>
    </w:p>
    <w:p w14:paraId="3F18B4A7" w14:textId="0015E498" w:rsidR="00E73354" w:rsidRPr="003E0689" w:rsidRDefault="00E73354" w:rsidP="00FF6837">
      <w:pPr>
        <w:pStyle w:val="ListParagraph"/>
        <w:numPr>
          <w:ilvl w:val="0"/>
          <w:numId w:val="3"/>
        </w:numPr>
        <w:rPr>
          <w:rFonts w:cstheme="minorHAnsi"/>
          <w:sz w:val="24"/>
          <w:szCs w:val="24"/>
        </w:rPr>
      </w:pPr>
      <w:r w:rsidRPr="003E0689">
        <w:rPr>
          <w:rFonts w:cstheme="minorHAnsi"/>
          <w:sz w:val="24"/>
          <w:szCs w:val="24"/>
        </w:rPr>
        <w:t>Chapter 1 (The Introduction)</w:t>
      </w:r>
      <w:r w:rsidR="00BC6798" w:rsidRPr="003E0689">
        <w:rPr>
          <w:rFonts w:cstheme="minorHAnsi"/>
          <w:sz w:val="24"/>
          <w:szCs w:val="24"/>
        </w:rPr>
        <w:t xml:space="preserve"> </w:t>
      </w:r>
      <w:r w:rsidRPr="003E0689">
        <w:rPr>
          <w:rFonts w:cstheme="minorHAnsi"/>
          <w:sz w:val="24"/>
          <w:szCs w:val="24"/>
        </w:rPr>
        <w:t xml:space="preserve">provides essential </w:t>
      </w:r>
      <w:r w:rsidR="00D6052B">
        <w:rPr>
          <w:rFonts w:cstheme="minorHAnsi"/>
          <w:sz w:val="24"/>
          <w:szCs w:val="24"/>
        </w:rPr>
        <w:t xml:space="preserve">new </w:t>
      </w:r>
      <w:r w:rsidRPr="003E0689">
        <w:rPr>
          <w:rFonts w:cstheme="minorHAnsi"/>
          <w:sz w:val="24"/>
          <w:szCs w:val="24"/>
        </w:rPr>
        <w:t xml:space="preserve">background information on the major issues including the </w:t>
      </w:r>
      <w:r w:rsidR="00D6052B">
        <w:rPr>
          <w:rFonts w:cstheme="minorHAnsi"/>
          <w:sz w:val="24"/>
          <w:szCs w:val="24"/>
        </w:rPr>
        <w:t xml:space="preserve">nature of the Australian prawn </w:t>
      </w:r>
      <w:r w:rsidRPr="003E0689">
        <w:rPr>
          <w:rFonts w:cstheme="minorHAnsi"/>
          <w:sz w:val="24"/>
          <w:szCs w:val="24"/>
        </w:rPr>
        <w:t xml:space="preserve">industry, the </w:t>
      </w:r>
      <w:r w:rsidR="005D2D47">
        <w:rPr>
          <w:rFonts w:cstheme="minorHAnsi"/>
          <w:sz w:val="24"/>
          <w:szCs w:val="24"/>
        </w:rPr>
        <w:t>w</w:t>
      </w:r>
      <w:r w:rsidRPr="003E0689">
        <w:rPr>
          <w:rFonts w:cstheme="minorHAnsi"/>
          <w:sz w:val="24"/>
          <w:szCs w:val="24"/>
        </w:rPr>
        <w:t xml:space="preserve">hite spot disease </w:t>
      </w:r>
      <w:r w:rsidR="00FB1B1B" w:rsidRPr="003E0689">
        <w:rPr>
          <w:rFonts w:cstheme="minorHAnsi"/>
          <w:sz w:val="24"/>
          <w:szCs w:val="24"/>
        </w:rPr>
        <w:t>outbreak,</w:t>
      </w:r>
      <w:r w:rsidRPr="003E0689">
        <w:rPr>
          <w:rFonts w:cstheme="minorHAnsi"/>
          <w:sz w:val="24"/>
          <w:szCs w:val="24"/>
        </w:rPr>
        <w:t xml:space="preserve"> </w:t>
      </w:r>
      <w:r w:rsidR="00D6052B">
        <w:rPr>
          <w:rFonts w:cstheme="minorHAnsi"/>
          <w:sz w:val="24"/>
          <w:szCs w:val="24"/>
        </w:rPr>
        <w:t xml:space="preserve">and </w:t>
      </w:r>
      <w:r w:rsidRPr="003E0689">
        <w:rPr>
          <w:rFonts w:cstheme="minorHAnsi"/>
          <w:sz w:val="24"/>
          <w:szCs w:val="24"/>
        </w:rPr>
        <w:t xml:space="preserve">the Inspector General of Biosecurity’s </w:t>
      </w:r>
      <w:r w:rsidR="00700993" w:rsidRPr="003E0689">
        <w:rPr>
          <w:rFonts w:cstheme="minorHAnsi"/>
          <w:sz w:val="24"/>
          <w:szCs w:val="24"/>
        </w:rPr>
        <w:t xml:space="preserve">(IGB) </w:t>
      </w:r>
      <w:r w:rsidRPr="003E0689">
        <w:rPr>
          <w:rFonts w:cstheme="minorHAnsi"/>
          <w:sz w:val="24"/>
          <w:szCs w:val="24"/>
        </w:rPr>
        <w:t>2017 report</w:t>
      </w:r>
      <w:r w:rsidR="00C74CA1" w:rsidRPr="003E0689">
        <w:rPr>
          <w:rFonts w:cstheme="minorHAnsi"/>
          <w:sz w:val="24"/>
          <w:szCs w:val="24"/>
        </w:rPr>
        <w:t>.</w:t>
      </w:r>
    </w:p>
    <w:p w14:paraId="5E22BC9E" w14:textId="4628237D" w:rsidR="00BC6798" w:rsidRPr="003E0689" w:rsidRDefault="00E73354" w:rsidP="00FF6837">
      <w:pPr>
        <w:pStyle w:val="ListParagraph"/>
        <w:numPr>
          <w:ilvl w:val="0"/>
          <w:numId w:val="3"/>
        </w:numPr>
        <w:rPr>
          <w:rFonts w:cstheme="minorHAnsi"/>
          <w:sz w:val="24"/>
          <w:szCs w:val="24"/>
        </w:rPr>
      </w:pPr>
      <w:r w:rsidRPr="003E0689">
        <w:rPr>
          <w:rFonts w:cstheme="minorHAnsi"/>
          <w:sz w:val="24"/>
          <w:szCs w:val="24"/>
        </w:rPr>
        <w:t>Chapter 2, Figure 2</w:t>
      </w:r>
      <w:r w:rsidR="00BC6798" w:rsidRPr="003E0689">
        <w:rPr>
          <w:rFonts w:cstheme="minorHAnsi"/>
          <w:sz w:val="24"/>
          <w:szCs w:val="24"/>
        </w:rPr>
        <w:t>,</w:t>
      </w:r>
      <w:r w:rsidRPr="003E0689">
        <w:rPr>
          <w:rFonts w:cstheme="minorHAnsi"/>
          <w:sz w:val="24"/>
          <w:szCs w:val="24"/>
        </w:rPr>
        <w:t xml:space="preserve"> is a clear statement of the components of the import risk </w:t>
      </w:r>
      <w:r w:rsidR="00247E41" w:rsidRPr="003E0689">
        <w:rPr>
          <w:rFonts w:cstheme="minorHAnsi"/>
          <w:sz w:val="24"/>
          <w:szCs w:val="24"/>
        </w:rPr>
        <w:t>analysis</w:t>
      </w:r>
      <w:r w:rsidRPr="003E0689">
        <w:rPr>
          <w:rFonts w:cstheme="minorHAnsi"/>
          <w:sz w:val="24"/>
          <w:szCs w:val="24"/>
        </w:rPr>
        <w:t xml:space="preserve"> process</w:t>
      </w:r>
      <w:r w:rsidR="000762A3" w:rsidRPr="003E0689">
        <w:rPr>
          <w:rFonts w:cstheme="minorHAnsi"/>
          <w:sz w:val="24"/>
          <w:szCs w:val="24"/>
        </w:rPr>
        <w:t xml:space="preserve">.  </w:t>
      </w:r>
    </w:p>
    <w:p w14:paraId="61F0AB06" w14:textId="005B9731" w:rsidR="00E73354" w:rsidRPr="003E0689" w:rsidRDefault="00247E41" w:rsidP="00FF6837">
      <w:pPr>
        <w:pStyle w:val="ListParagraph"/>
        <w:numPr>
          <w:ilvl w:val="0"/>
          <w:numId w:val="3"/>
        </w:numPr>
        <w:rPr>
          <w:rFonts w:cstheme="minorHAnsi"/>
          <w:sz w:val="24"/>
          <w:szCs w:val="24"/>
        </w:rPr>
      </w:pPr>
      <w:r w:rsidRPr="003E0689">
        <w:rPr>
          <w:rFonts w:cstheme="minorHAnsi"/>
          <w:sz w:val="24"/>
          <w:szCs w:val="24"/>
        </w:rPr>
        <w:t>Chapter 3, Table 5 has been updated with current literature</w:t>
      </w:r>
      <w:r w:rsidR="0027577C">
        <w:rPr>
          <w:rFonts w:cstheme="minorHAnsi"/>
          <w:sz w:val="24"/>
          <w:szCs w:val="24"/>
        </w:rPr>
        <w:t>,</w:t>
      </w:r>
      <w:r w:rsidRPr="003E0689">
        <w:rPr>
          <w:rFonts w:cstheme="minorHAnsi"/>
          <w:sz w:val="24"/>
          <w:szCs w:val="24"/>
        </w:rPr>
        <w:t xml:space="preserve"> </w:t>
      </w:r>
      <w:r w:rsidR="00BC6798" w:rsidRPr="003E0689">
        <w:rPr>
          <w:rFonts w:cstheme="minorHAnsi"/>
          <w:sz w:val="24"/>
          <w:szCs w:val="24"/>
        </w:rPr>
        <w:t>which addresses concerns of many stakeholders</w:t>
      </w:r>
      <w:r w:rsidR="00C74CA1" w:rsidRPr="003E0689">
        <w:rPr>
          <w:rFonts w:cstheme="minorHAnsi"/>
          <w:sz w:val="24"/>
          <w:szCs w:val="24"/>
        </w:rPr>
        <w:t>.</w:t>
      </w:r>
    </w:p>
    <w:p w14:paraId="4CDDE749" w14:textId="7ED8C04B" w:rsidR="00247E41" w:rsidRDefault="000E5FF3" w:rsidP="00FF6837">
      <w:pPr>
        <w:pStyle w:val="ListParagraph"/>
        <w:numPr>
          <w:ilvl w:val="0"/>
          <w:numId w:val="3"/>
        </w:numPr>
        <w:rPr>
          <w:rFonts w:cstheme="minorHAnsi"/>
          <w:sz w:val="24"/>
          <w:szCs w:val="24"/>
        </w:rPr>
      </w:pPr>
      <w:r w:rsidRPr="003E0689">
        <w:rPr>
          <w:rFonts w:cstheme="minorHAnsi"/>
          <w:sz w:val="24"/>
          <w:szCs w:val="24"/>
        </w:rPr>
        <w:t>Chapter 4</w:t>
      </w:r>
      <w:r w:rsidR="00247E41" w:rsidRPr="003E0689">
        <w:rPr>
          <w:rFonts w:cstheme="minorHAnsi"/>
          <w:sz w:val="24"/>
          <w:szCs w:val="24"/>
        </w:rPr>
        <w:t xml:space="preserve"> has </w:t>
      </w:r>
      <w:r w:rsidR="00BC6798" w:rsidRPr="003E0689">
        <w:rPr>
          <w:rFonts w:cstheme="minorHAnsi"/>
          <w:sz w:val="24"/>
          <w:szCs w:val="24"/>
        </w:rPr>
        <w:t>been shorte</w:t>
      </w:r>
      <w:r w:rsidR="00C74CA1" w:rsidRPr="003E0689">
        <w:rPr>
          <w:rFonts w:cstheme="minorHAnsi"/>
          <w:sz w:val="24"/>
          <w:szCs w:val="24"/>
        </w:rPr>
        <w:t>ned</w:t>
      </w:r>
      <w:r w:rsidR="00BC6798" w:rsidRPr="003E0689">
        <w:rPr>
          <w:rFonts w:cstheme="minorHAnsi"/>
          <w:sz w:val="24"/>
          <w:szCs w:val="24"/>
        </w:rPr>
        <w:t xml:space="preserve"> and now gives a </w:t>
      </w:r>
      <w:r w:rsidR="00247E41" w:rsidRPr="003E0689">
        <w:rPr>
          <w:rFonts w:cstheme="minorHAnsi"/>
          <w:sz w:val="24"/>
          <w:szCs w:val="24"/>
        </w:rPr>
        <w:t xml:space="preserve">clear view of the </w:t>
      </w:r>
      <w:r w:rsidR="00BC6798" w:rsidRPr="003E0689">
        <w:rPr>
          <w:rFonts w:cstheme="minorHAnsi"/>
          <w:sz w:val="24"/>
          <w:szCs w:val="24"/>
        </w:rPr>
        <w:t>components</w:t>
      </w:r>
      <w:r w:rsidR="00247E41" w:rsidRPr="003E0689">
        <w:rPr>
          <w:rFonts w:cstheme="minorHAnsi"/>
          <w:sz w:val="24"/>
          <w:szCs w:val="24"/>
        </w:rPr>
        <w:t xml:space="preserve"> of </w:t>
      </w:r>
      <w:r w:rsidR="00BC6798" w:rsidRPr="003E0689">
        <w:rPr>
          <w:rFonts w:cstheme="minorHAnsi"/>
          <w:sz w:val="24"/>
          <w:szCs w:val="24"/>
        </w:rPr>
        <w:t xml:space="preserve">the </w:t>
      </w:r>
      <w:r w:rsidR="00247E41" w:rsidRPr="003E0689">
        <w:rPr>
          <w:rFonts w:cstheme="minorHAnsi"/>
          <w:sz w:val="24"/>
          <w:szCs w:val="24"/>
        </w:rPr>
        <w:t>risk assessment process</w:t>
      </w:r>
      <w:r w:rsidR="002123C5">
        <w:rPr>
          <w:rFonts w:cstheme="minorHAnsi"/>
          <w:sz w:val="24"/>
          <w:szCs w:val="24"/>
        </w:rPr>
        <w:t>, including</w:t>
      </w:r>
      <w:r w:rsidR="00E4653B">
        <w:rPr>
          <w:rFonts w:cstheme="minorHAnsi"/>
          <w:sz w:val="24"/>
          <w:szCs w:val="24"/>
        </w:rPr>
        <w:t xml:space="preserve"> two new tables:  Table 7 summaries major and minor exposure pathways for imported prawns</w:t>
      </w:r>
      <w:r w:rsidR="0027577C">
        <w:rPr>
          <w:rFonts w:cstheme="minorHAnsi"/>
          <w:sz w:val="24"/>
          <w:szCs w:val="24"/>
        </w:rPr>
        <w:t xml:space="preserve"> </w:t>
      </w:r>
      <w:r w:rsidR="00FB1B1B">
        <w:rPr>
          <w:rFonts w:cstheme="minorHAnsi"/>
          <w:sz w:val="24"/>
          <w:szCs w:val="24"/>
        </w:rPr>
        <w:t>and Table</w:t>
      </w:r>
      <w:r w:rsidR="005D2D47">
        <w:rPr>
          <w:rFonts w:cstheme="minorHAnsi"/>
          <w:sz w:val="24"/>
          <w:szCs w:val="24"/>
        </w:rPr>
        <w:t xml:space="preserve"> 8 </w:t>
      </w:r>
      <w:r w:rsidR="002123C5">
        <w:rPr>
          <w:rFonts w:cstheme="minorHAnsi"/>
          <w:sz w:val="24"/>
          <w:szCs w:val="24"/>
        </w:rPr>
        <w:t>summar</w:t>
      </w:r>
      <w:r w:rsidR="00762D67">
        <w:rPr>
          <w:rFonts w:cstheme="minorHAnsi"/>
          <w:sz w:val="24"/>
          <w:szCs w:val="24"/>
        </w:rPr>
        <w:t>ises</w:t>
      </w:r>
      <w:r w:rsidR="002123C5">
        <w:rPr>
          <w:rFonts w:cstheme="minorHAnsi"/>
          <w:sz w:val="24"/>
          <w:szCs w:val="24"/>
        </w:rPr>
        <w:t xml:space="preserve"> the key considerations for each direct and </w:t>
      </w:r>
      <w:r w:rsidR="00411760">
        <w:rPr>
          <w:rFonts w:cstheme="minorHAnsi"/>
          <w:sz w:val="24"/>
          <w:szCs w:val="24"/>
        </w:rPr>
        <w:t xml:space="preserve">indirect </w:t>
      </w:r>
      <w:r w:rsidR="002123C5">
        <w:rPr>
          <w:rFonts w:cstheme="minorHAnsi"/>
          <w:sz w:val="24"/>
          <w:szCs w:val="24"/>
        </w:rPr>
        <w:t>impact criterion</w:t>
      </w:r>
      <w:r w:rsidR="005D2D47">
        <w:rPr>
          <w:rFonts w:cstheme="minorHAnsi"/>
          <w:sz w:val="24"/>
          <w:szCs w:val="24"/>
        </w:rPr>
        <w:t xml:space="preserve"> used in the risk assessment process. T</w:t>
      </w:r>
      <w:r w:rsidR="00247E41" w:rsidRPr="003E0689">
        <w:rPr>
          <w:rFonts w:cstheme="minorHAnsi"/>
          <w:sz w:val="24"/>
          <w:szCs w:val="24"/>
        </w:rPr>
        <w:t>h</w:t>
      </w:r>
      <w:r w:rsidR="0027577C">
        <w:rPr>
          <w:rFonts w:cstheme="minorHAnsi"/>
          <w:sz w:val="24"/>
          <w:szCs w:val="24"/>
        </w:rPr>
        <w:t>is</w:t>
      </w:r>
      <w:r w:rsidR="00247E41" w:rsidRPr="003E0689">
        <w:rPr>
          <w:rFonts w:cstheme="minorHAnsi"/>
          <w:sz w:val="24"/>
          <w:szCs w:val="24"/>
        </w:rPr>
        <w:t xml:space="preserve"> </w:t>
      </w:r>
      <w:r w:rsidR="00BC6798" w:rsidRPr="003E0689">
        <w:rPr>
          <w:rFonts w:cstheme="minorHAnsi"/>
          <w:sz w:val="24"/>
          <w:szCs w:val="24"/>
        </w:rPr>
        <w:t>chapter</w:t>
      </w:r>
      <w:r w:rsidR="00247E41" w:rsidRPr="003E0689">
        <w:rPr>
          <w:rFonts w:cstheme="minorHAnsi"/>
          <w:sz w:val="24"/>
          <w:szCs w:val="24"/>
        </w:rPr>
        <w:t xml:space="preserve"> has been greatly improved by </w:t>
      </w:r>
      <w:r w:rsidR="00D6052B">
        <w:rPr>
          <w:rFonts w:cstheme="minorHAnsi"/>
          <w:sz w:val="24"/>
          <w:szCs w:val="24"/>
        </w:rPr>
        <w:t>transferring</w:t>
      </w:r>
      <w:r w:rsidR="00247E41" w:rsidRPr="003E0689">
        <w:rPr>
          <w:rFonts w:cstheme="minorHAnsi"/>
          <w:sz w:val="24"/>
          <w:szCs w:val="24"/>
        </w:rPr>
        <w:t xml:space="preserve"> </w:t>
      </w:r>
      <w:r w:rsidR="00E4653B">
        <w:rPr>
          <w:rFonts w:cstheme="minorHAnsi"/>
          <w:sz w:val="24"/>
          <w:szCs w:val="24"/>
        </w:rPr>
        <w:t xml:space="preserve">much of </w:t>
      </w:r>
      <w:r w:rsidR="00247E41" w:rsidRPr="003E0689">
        <w:rPr>
          <w:rFonts w:cstheme="minorHAnsi"/>
          <w:sz w:val="24"/>
          <w:szCs w:val="24"/>
        </w:rPr>
        <w:t>the detailed arguments to Appendix D</w:t>
      </w:r>
      <w:r w:rsidR="00C74CA1" w:rsidRPr="003E0689">
        <w:rPr>
          <w:rFonts w:cstheme="minorHAnsi"/>
          <w:sz w:val="24"/>
          <w:szCs w:val="24"/>
        </w:rPr>
        <w:t>.</w:t>
      </w:r>
    </w:p>
    <w:p w14:paraId="1190275F" w14:textId="5C55EE89" w:rsidR="00247E41" w:rsidRPr="003E0689" w:rsidRDefault="00247E41" w:rsidP="00FF6837">
      <w:pPr>
        <w:pStyle w:val="ListParagraph"/>
        <w:numPr>
          <w:ilvl w:val="0"/>
          <w:numId w:val="3"/>
        </w:numPr>
        <w:rPr>
          <w:rFonts w:cstheme="minorHAnsi"/>
          <w:sz w:val="24"/>
          <w:szCs w:val="24"/>
        </w:rPr>
      </w:pPr>
      <w:r w:rsidRPr="003E0689">
        <w:rPr>
          <w:rFonts w:cstheme="minorHAnsi"/>
          <w:sz w:val="24"/>
          <w:szCs w:val="24"/>
        </w:rPr>
        <w:t>Chapter 5 has been updated in response to questions and concerns from stakeholders.</w:t>
      </w:r>
      <w:r w:rsidR="00CD4379">
        <w:rPr>
          <w:rFonts w:cstheme="minorHAnsi"/>
          <w:sz w:val="24"/>
          <w:szCs w:val="24"/>
        </w:rPr>
        <w:t xml:space="preserve"> It also includes a</w:t>
      </w:r>
      <w:r w:rsidR="006C37EE">
        <w:rPr>
          <w:rFonts w:cstheme="minorHAnsi"/>
          <w:sz w:val="24"/>
          <w:szCs w:val="24"/>
        </w:rPr>
        <w:t>n</w:t>
      </w:r>
      <w:r w:rsidR="00CD4379">
        <w:rPr>
          <w:rFonts w:cstheme="minorHAnsi"/>
          <w:sz w:val="24"/>
          <w:szCs w:val="24"/>
        </w:rPr>
        <w:t xml:space="preserve"> </w:t>
      </w:r>
      <w:r w:rsidR="004A788E">
        <w:rPr>
          <w:rFonts w:cstheme="minorHAnsi"/>
          <w:sz w:val="24"/>
          <w:szCs w:val="24"/>
        </w:rPr>
        <w:t xml:space="preserve">updated </w:t>
      </w:r>
      <w:r w:rsidR="00CD4379">
        <w:rPr>
          <w:rFonts w:cstheme="minorHAnsi"/>
          <w:sz w:val="24"/>
          <w:szCs w:val="24"/>
        </w:rPr>
        <w:t xml:space="preserve">section on cooking and the science </w:t>
      </w:r>
      <w:r w:rsidR="00CD4379">
        <w:rPr>
          <w:rFonts w:cstheme="minorHAnsi"/>
          <w:sz w:val="24"/>
          <w:szCs w:val="24"/>
        </w:rPr>
        <w:lastRenderedPageBreak/>
        <w:t xml:space="preserve">supporting the requirement for a particular </w:t>
      </w:r>
      <w:r w:rsidR="00DA0049">
        <w:rPr>
          <w:rFonts w:cstheme="minorHAnsi"/>
          <w:sz w:val="24"/>
          <w:szCs w:val="24"/>
        </w:rPr>
        <w:t xml:space="preserve">core </w:t>
      </w:r>
      <w:r w:rsidR="00CD4379">
        <w:rPr>
          <w:rFonts w:cstheme="minorHAnsi"/>
          <w:sz w:val="24"/>
          <w:szCs w:val="24"/>
        </w:rPr>
        <w:t xml:space="preserve">temperature </w:t>
      </w:r>
      <w:r w:rsidR="00960D0F">
        <w:rPr>
          <w:rFonts w:cstheme="minorHAnsi"/>
          <w:sz w:val="24"/>
          <w:szCs w:val="24"/>
        </w:rPr>
        <w:t>(65</w:t>
      </w:r>
      <w:r w:rsidR="00960D0F">
        <w:rPr>
          <w:rFonts w:cstheme="minorHAnsi"/>
          <w:sz w:val="24"/>
          <w:szCs w:val="24"/>
        </w:rPr>
        <w:sym w:font="Symbol" w:char="F0B0"/>
      </w:r>
      <w:r w:rsidR="00960D0F">
        <w:rPr>
          <w:rFonts w:cstheme="minorHAnsi"/>
          <w:sz w:val="24"/>
          <w:szCs w:val="24"/>
        </w:rPr>
        <w:t xml:space="preserve">C) </w:t>
      </w:r>
      <w:r w:rsidR="00CD4379">
        <w:rPr>
          <w:rFonts w:cstheme="minorHAnsi"/>
          <w:sz w:val="24"/>
          <w:szCs w:val="24"/>
        </w:rPr>
        <w:t>to be reached in the cooking process.</w:t>
      </w:r>
    </w:p>
    <w:p w14:paraId="1363A7DF" w14:textId="67ACF02F" w:rsidR="00247E41" w:rsidRPr="003E0689" w:rsidRDefault="00247E41" w:rsidP="00FF6837">
      <w:pPr>
        <w:pStyle w:val="ListParagraph"/>
        <w:numPr>
          <w:ilvl w:val="0"/>
          <w:numId w:val="3"/>
        </w:numPr>
        <w:rPr>
          <w:rFonts w:cstheme="minorHAnsi"/>
          <w:sz w:val="24"/>
          <w:szCs w:val="24"/>
        </w:rPr>
      </w:pPr>
      <w:r w:rsidRPr="003E0689">
        <w:rPr>
          <w:rFonts w:cstheme="minorHAnsi"/>
          <w:sz w:val="24"/>
          <w:szCs w:val="24"/>
        </w:rPr>
        <w:t>Chapters 6-15</w:t>
      </w:r>
      <w:r w:rsidR="00960D0F">
        <w:rPr>
          <w:rFonts w:cstheme="minorHAnsi"/>
          <w:sz w:val="24"/>
          <w:szCs w:val="24"/>
        </w:rPr>
        <w:t xml:space="preserve"> </w:t>
      </w:r>
      <w:r w:rsidR="00C74CA1" w:rsidRPr="003E0689">
        <w:rPr>
          <w:rFonts w:cstheme="minorHAnsi"/>
          <w:sz w:val="24"/>
          <w:szCs w:val="24"/>
        </w:rPr>
        <w:t>detail the risk assessments for the ten diseases of interest</w:t>
      </w:r>
      <w:r w:rsidR="00960D0F">
        <w:rPr>
          <w:rFonts w:cstheme="minorHAnsi"/>
          <w:sz w:val="24"/>
          <w:szCs w:val="24"/>
        </w:rPr>
        <w:t>. They</w:t>
      </w:r>
      <w:r w:rsidRPr="003E0689">
        <w:rPr>
          <w:rFonts w:cstheme="minorHAnsi"/>
          <w:sz w:val="24"/>
          <w:szCs w:val="24"/>
        </w:rPr>
        <w:t xml:space="preserve"> have been revised to reflect recent additions to the literature and feedback from stakeholders</w:t>
      </w:r>
      <w:r w:rsidR="00C74CA1" w:rsidRPr="003E0689">
        <w:rPr>
          <w:rFonts w:cstheme="minorHAnsi"/>
          <w:sz w:val="24"/>
          <w:szCs w:val="24"/>
        </w:rPr>
        <w:t>.</w:t>
      </w:r>
    </w:p>
    <w:p w14:paraId="582E6C50" w14:textId="0C0A9DBA" w:rsidR="00247E41" w:rsidRPr="003E0689" w:rsidRDefault="00247E41" w:rsidP="00FF6837">
      <w:pPr>
        <w:pStyle w:val="ListParagraph"/>
        <w:numPr>
          <w:ilvl w:val="0"/>
          <w:numId w:val="3"/>
        </w:numPr>
        <w:rPr>
          <w:rFonts w:cstheme="minorHAnsi"/>
          <w:sz w:val="24"/>
          <w:szCs w:val="24"/>
        </w:rPr>
      </w:pPr>
      <w:r w:rsidRPr="003E0689">
        <w:rPr>
          <w:rFonts w:cstheme="minorHAnsi"/>
          <w:sz w:val="24"/>
          <w:szCs w:val="24"/>
        </w:rPr>
        <w:t>Chapter 16</w:t>
      </w:r>
      <w:r w:rsidR="00700993" w:rsidRPr="003E0689">
        <w:rPr>
          <w:rFonts w:cstheme="minorHAnsi"/>
          <w:sz w:val="24"/>
          <w:szCs w:val="24"/>
        </w:rPr>
        <w:t xml:space="preserve"> has an expanded introduction </w:t>
      </w:r>
      <w:r w:rsidR="00B16F06">
        <w:rPr>
          <w:rFonts w:cstheme="minorHAnsi"/>
          <w:sz w:val="24"/>
          <w:szCs w:val="24"/>
        </w:rPr>
        <w:t>that</w:t>
      </w:r>
      <w:r w:rsidR="00B16F06" w:rsidRPr="003E0689">
        <w:rPr>
          <w:rFonts w:cstheme="minorHAnsi"/>
          <w:sz w:val="24"/>
          <w:szCs w:val="24"/>
        </w:rPr>
        <w:t xml:space="preserve"> </w:t>
      </w:r>
      <w:r w:rsidR="00700993" w:rsidRPr="003E0689">
        <w:rPr>
          <w:rFonts w:cstheme="minorHAnsi"/>
          <w:sz w:val="24"/>
          <w:szCs w:val="24"/>
        </w:rPr>
        <w:t>provide</w:t>
      </w:r>
      <w:r w:rsidR="00D6052B">
        <w:rPr>
          <w:rFonts w:cstheme="minorHAnsi"/>
          <w:sz w:val="24"/>
          <w:szCs w:val="24"/>
        </w:rPr>
        <w:t>s</w:t>
      </w:r>
      <w:r w:rsidR="00700993" w:rsidRPr="003E0689">
        <w:rPr>
          <w:rFonts w:cstheme="minorHAnsi"/>
          <w:sz w:val="24"/>
          <w:szCs w:val="24"/>
        </w:rPr>
        <w:t xml:space="preserve"> better context for the biosecurity requirements</w:t>
      </w:r>
      <w:r w:rsidR="00C74CA1" w:rsidRPr="003E0689">
        <w:rPr>
          <w:rFonts w:cstheme="minorHAnsi"/>
          <w:sz w:val="24"/>
          <w:szCs w:val="24"/>
        </w:rPr>
        <w:t xml:space="preserve"> given in this chapter.</w:t>
      </w:r>
    </w:p>
    <w:p w14:paraId="105335EF" w14:textId="708722EC" w:rsidR="00700993" w:rsidRPr="003E0689" w:rsidRDefault="00700993" w:rsidP="00FF6837">
      <w:pPr>
        <w:pStyle w:val="ListParagraph"/>
        <w:numPr>
          <w:ilvl w:val="0"/>
          <w:numId w:val="3"/>
        </w:numPr>
        <w:rPr>
          <w:rFonts w:cstheme="minorHAnsi"/>
          <w:sz w:val="24"/>
          <w:szCs w:val="24"/>
        </w:rPr>
      </w:pPr>
      <w:r w:rsidRPr="003E0689">
        <w:rPr>
          <w:rFonts w:cstheme="minorHAnsi"/>
          <w:sz w:val="24"/>
          <w:szCs w:val="24"/>
        </w:rPr>
        <w:t>Chapter 17 is new</w:t>
      </w:r>
      <w:r w:rsidR="00393C4A">
        <w:rPr>
          <w:rFonts w:cstheme="minorHAnsi"/>
          <w:sz w:val="24"/>
          <w:szCs w:val="24"/>
        </w:rPr>
        <w:t>,</w:t>
      </w:r>
      <w:r w:rsidRPr="003E0689">
        <w:rPr>
          <w:rFonts w:cstheme="minorHAnsi"/>
          <w:sz w:val="24"/>
          <w:szCs w:val="24"/>
        </w:rPr>
        <w:t xml:space="preserve"> and </w:t>
      </w:r>
      <w:r w:rsidR="00393C4A">
        <w:rPr>
          <w:rFonts w:cstheme="minorHAnsi"/>
          <w:sz w:val="24"/>
          <w:szCs w:val="24"/>
        </w:rPr>
        <w:t xml:space="preserve">it </w:t>
      </w:r>
      <w:r w:rsidRPr="003E0689">
        <w:rPr>
          <w:rFonts w:cstheme="minorHAnsi"/>
          <w:sz w:val="24"/>
          <w:szCs w:val="24"/>
        </w:rPr>
        <w:t xml:space="preserve">gives details of sampling procedures and results from testing </w:t>
      </w:r>
      <w:r w:rsidR="00B16F06">
        <w:rPr>
          <w:rFonts w:cstheme="minorHAnsi"/>
          <w:sz w:val="24"/>
          <w:szCs w:val="24"/>
        </w:rPr>
        <w:t>over</w:t>
      </w:r>
      <w:r w:rsidR="00B16F06" w:rsidRPr="003E0689">
        <w:rPr>
          <w:rFonts w:cstheme="minorHAnsi"/>
          <w:sz w:val="24"/>
          <w:szCs w:val="24"/>
        </w:rPr>
        <w:t xml:space="preserve"> </w:t>
      </w:r>
      <w:r w:rsidRPr="003E0689">
        <w:rPr>
          <w:rFonts w:cstheme="minorHAnsi"/>
          <w:sz w:val="24"/>
          <w:szCs w:val="24"/>
        </w:rPr>
        <w:t xml:space="preserve">recent years. This chapter addresses </w:t>
      </w:r>
      <w:r w:rsidR="00BC6798" w:rsidRPr="003E0689">
        <w:rPr>
          <w:rFonts w:cstheme="minorHAnsi"/>
          <w:sz w:val="24"/>
          <w:szCs w:val="24"/>
        </w:rPr>
        <w:t>several</w:t>
      </w:r>
      <w:r w:rsidRPr="003E0689">
        <w:rPr>
          <w:rFonts w:cstheme="minorHAnsi"/>
          <w:sz w:val="24"/>
          <w:szCs w:val="24"/>
        </w:rPr>
        <w:t xml:space="preserve"> stakeholder issues</w:t>
      </w:r>
      <w:r w:rsidR="00B16F06">
        <w:rPr>
          <w:rFonts w:cstheme="minorHAnsi"/>
          <w:sz w:val="24"/>
          <w:szCs w:val="24"/>
        </w:rPr>
        <w:t xml:space="preserve"> raised in the submissions</w:t>
      </w:r>
      <w:r w:rsidRPr="003E0689">
        <w:rPr>
          <w:rFonts w:cstheme="minorHAnsi"/>
          <w:sz w:val="24"/>
          <w:szCs w:val="24"/>
        </w:rPr>
        <w:t xml:space="preserve">.  </w:t>
      </w:r>
    </w:p>
    <w:p w14:paraId="0C86B61F" w14:textId="0B53AE80" w:rsidR="00A9364E" w:rsidRPr="003E0689" w:rsidRDefault="00A9364E" w:rsidP="00A9364E">
      <w:pPr>
        <w:pStyle w:val="ListParagraph"/>
        <w:numPr>
          <w:ilvl w:val="0"/>
          <w:numId w:val="3"/>
        </w:numPr>
        <w:rPr>
          <w:rFonts w:cstheme="minorHAnsi"/>
          <w:sz w:val="24"/>
          <w:szCs w:val="24"/>
        </w:rPr>
      </w:pPr>
      <w:r>
        <w:rPr>
          <w:rFonts w:cstheme="minorHAnsi"/>
          <w:sz w:val="24"/>
          <w:szCs w:val="24"/>
        </w:rPr>
        <w:t>Appendix A lists the</w:t>
      </w:r>
      <w:r w:rsidRPr="003E0689">
        <w:rPr>
          <w:rFonts w:cstheme="minorHAnsi"/>
          <w:sz w:val="24"/>
          <w:szCs w:val="24"/>
        </w:rPr>
        <w:t xml:space="preserve"> recommendations of the Expert Panel</w:t>
      </w:r>
      <w:r w:rsidR="006D5934">
        <w:rPr>
          <w:rFonts w:cstheme="minorHAnsi"/>
          <w:sz w:val="24"/>
          <w:szCs w:val="24"/>
        </w:rPr>
        <w:t>. These</w:t>
      </w:r>
      <w:r w:rsidRPr="003E0689">
        <w:rPr>
          <w:rFonts w:cstheme="minorHAnsi"/>
          <w:sz w:val="24"/>
          <w:szCs w:val="24"/>
        </w:rPr>
        <w:t xml:space="preserve"> </w:t>
      </w:r>
      <w:r w:rsidR="006D5934">
        <w:rPr>
          <w:rFonts w:cstheme="minorHAnsi"/>
          <w:sz w:val="24"/>
          <w:szCs w:val="24"/>
        </w:rPr>
        <w:t xml:space="preserve">recommendations </w:t>
      </w:r>
      <w:r>
        <w:rPr>
          <w:rFonts w:cstheme="minorHAnsi"/>
          <w:sz w:val="24"/>
          <w:szCs w:val="24"/>
        </w:rPr>
        <w:t>have been covered by the Department’s responses in Appendix B.</w:t>
      </w:r>
      <w:r w:rsidRPr="003E0689">
        <w:rPr>
          <w:rFonts w:cstheme="minorHAnsi"/>
          <w:sz w:val="24"/>
          <w:szCs w:val="24"/>
        </w:rPr>
        <w:t xml:space="preserve">  </w:t>
      </w:r>
    </w:p>
    <w:p w14:paraId="729CB45F" w14:textId="245A143B" w:rsidR="00A9364E" w:rsidRDefault="00700993" w:rsidP="00FF6837">
      <w:pPr>
        <w:pStyle w:val="ListParagraph"/>
        <w:numPr>
          <w:ilvl w:val="0"/>
          <w:numId w:val="3"/>
        </w:numPr>
        <w:rPr>
          <w:rFonts w:cstheme="minorHAnsi"/>
          <w:sz w:val="24"/>
          <w:szCs w:val="24"/>
        </w:rPr>
      </w:pPr>
      <w:r w:rsidRPr="003E0689">
        <w:rPr>
          <w:rFonts w:cstheme="minorHAnsi"/>
          <w:sz w:val="24"/>
          <w:szCs w:val="24"/>
        </w:rPr>
        <w:t>Appendix B provides the Department’s response to the 65 key issues raised by stakeholders. In general, the Department has given considered answers to these matters and modified the report where appropriate</w:t>
      </w:r>
      <w:r w:rsidR="000762A3" w:rsidRPr="003E0689">
        <w:rPr>
          <w:rFonts w:cstheme="minorHAnsi"/>
          <w:sz w:val="24"/>
          <w:szCs w:val="24"/>
        </w:rPr>
        <w:t xml:space="preserve">. </w:t>
      </w:r>
    </w:p>
    <w:p w14:paraId="161BB457" w14:textId="2EC6E9F6" w:rsidR="00CE5AAE" w:rsidRPr="00A011EE" w:rsidRDefault="00700993" w:rsidP="00703179">
      <w:pPr>
        <w:pStyle w:val="ListParagraph"/>
        <w:numPr>
          <w:ilvl w:val="0"/>
          <w:numId w:val="3"/>
        </w:numPr>
        <w:rPr>
          <w:rFonts w:cstheme="minorHAnsi"/>
        </w:rPr>
      </w:pPr>
      <w:r w:rsidRPr="003E0689">
        <w:rPr>
          <w:rFonts w:cstheme="minorHAnsi"/>
          <w:sz w:val="24"/>
          <w:szCs w:val="24"/>
        </w:rPr>
        <w:t>Appendix C gives the Department</w:t>
      </w:r>
      <w:r w:rsidR="00D6052B">
        <w:rPr>
          <w:rFonts w:cstheme="minorHAnsi"/>
          <w:sz w:val="24"/>
          <w:szCs w:val="24"/>
        </w:rPr>
        <w:t>’</w:t>
      </w:r>
      <w:r w:rsidRPr="003E0689">
        <w:rPr>
          <w:rFonts w:cstheme="minorHAnsi"/>
          <w:sz w:val="24"/>
          <w:szCs w:val="24"/>
        </w:rPr>
        <w:t>s response to the 22 recommendations of the IGB 2017 report. We note that 20 of the 22 recommendations have been addressed</w:t>
      </w:r>
      <w:r w:rsidR="00C74CA1" w:rsidRPr="003E0689">
        <w:rPr>
          <w:rFonts w:cstheme="minorHAnsi"/>
          <w:sz w:val="24"/>
          <w:szCs w:val="24"/>
        </w:rPr>
        <w:t xml:space="preserve"> and the other two are in progress.  </w:t>
      </w:r>
      <w:r w:rsidR="000762A3" w:rsidRPr="003E0689">
        <w:rPr>
          <w:rFonts w:cstheme="minorHAnsi"/>
          <w:sz w:val="24"/>
          <w:szCs w:val="24"/>
        </w:rPr>
        <w:t xml:space="preserve">  </w:t>
      </w:r>
    </w:p>
    <w:p w14:paraId="64EA6875" w14:textId="77777777" w:rsidR="00CE5AAE" w:rsidRPr="00DC2544" w:rsidRDefault="00CE5AAE" w:rsidP="00703179">
      <w:pPr>
        <w:rPr>
          <w:rFonts w:cstheme="minorHAnsi"/>
        </w:rPr>
      </w:pPr>
    </w:p>
    <w:p w14:paraId="7EEC7531" w14:textId="77777777" w:rsidR="00DC2544" w:rsidRDefault="00DC2544" w:rsidP="00703179">
      <w:pPr>
        <w:pStyle w:val="Heading2"/>
      </w:pPr>
      <w:bookmarkStart w:id="3" w:name="_Toc119497277"/>
      <w:r>
        <w:t>Areas of Focus in the Final Report</w:t>
      </w:r>
      <w:bookmarkEnd w:id="3"/>
    </w:p>
    <w:p w14:paraId="7D2A9A48" w14:textId="77777777" w:rsidR="00DC2544" w:rsidRDefault="00DC2544" w:rsidP="00190AF7"/>
    <w:p w14:paraId="1527AD55" w14:textId="03700204" w:rsidR="00DC2544" w:rsidRDefault="009D5149" w:rsidP="00190AF7">
      <w:pPr>
        <w:rPr>
          <w:rFonts w:cstheme="minorHAnsi"/>
        </w:rPr>
      </w:pPr>
      <w:r>
        <w:rPr>
          <w:rFonts w:cstheme="minorHAnsi"/>
        </w:rPr>
        <w:t>A small number of residual issues remain for the Department to consider</w:t>
      </w:r>
      <w:r w:rsidR="00FB1B1B">
        <w:rPr>
          <w:rFonts w:cstheme="minorHAnsi"/>
        </w:rPr>
        <w:t xml:space="preserve"> in preparation of the final report</w:t>
      </w:r>
      <w:r>
        <w:rPr>
          <w:rFonts w:cstheme="minorHAnsi"/>
        </w:rPr>
        <w:t xml:space="preserve">.  In general, these are minor and are discussed in Appendix 1 to this Review (see below). </w:t>
      </w:r>
    </w:p>
    <w:p w14:paraId="32C6E604" w14:textId="77777777" w:rsidR="00DC2544" w:rsidRDefault="00DC2544" w:rsidP="00190AF7">
      <w:pPr>
        <w:rPr>
          <w:rFonts w:cstheme="minorHAnsi"/>
        </w:rPr>
      </w:pPr>
    </w:p>
    <w:p w14:paraId="5CDFF678" w14:textId="0643AC01" w:rsidR="00F064A7" w:rsidRDefault="00F064A7" w:rsidP="00FB1B1B">
      <w:pPr>
        <w:rPr>
          <w:rFonts w:cstheme="minorHAnsi"/>
        </w:rPr>
      </w:pPr>
      <w:r>
        <w:rPr>
          <w:rFonts w:cstheme="minorHAnsi"/>
        </w:rPr>
        <w:t xml:space="preserve">One </w:t>
      </w:r>
      <w:r w:rsidR="00960495">
        <w:rPr>
          <w:rFonts w:cstheme="minorHAnsi"/>
        </w:rPr>
        <w:t>noteworthy matter concern</w:t>
      </w:r>
      <w:r>
        <w:rPr>
          <w:rFonts w:cstheme="minorHAnsi"/>
        </w:rPr>
        <w:t>s</w:t>
      </w:r>
      <w:r w:rsidR="00960495">
        <w:rPr>
          <w:rFonts w:cstheme="minorHAnsi"/>
        </w:rPr>
        <w:t xml:space="preserve"> </w:t>
      </w:r>
      <w:r>
        <w:rPr>
          <w:rFonts w:cstheme="minorHAnsi"/>
        </w:rPr>
        <w:t xml:space="preserve">Chapter 16 which describes the proposed biosecurity measures for imported prawns.  This is a pivotal chapter </w:t>
      </w:r>
      <w:r w:rsidR="00FB1B1B">
        <w:rPr>
          <w:rFonts w:cstheme="minorHAnsi"/>
        </w:rPr>
        <w:t>and while t</w:t>
      </w:r>
      <w:r w:rsidR="00C714D4">
        <w:rPr>
          <w:rFonts w:cstheme="minorHAnsi"/>
        </w:rPr>
        <w:t>he underlying methodology is not in question</w:t>
      </w:r>
      <w:r w:rsidR="00FB1B1B">
        <w:rPr>
          <w:rFonts w:cstheme="minorHAnsi"/>
        </w:rPr>
        <w:t>,</w:t>
      </w:r>
      <w:r w:rsidR="00C714D4">
        <w:rPr>
          <w:rFonts w:cstheme="minorHAnsi"/>
        </w:rPr>
        <w:t xml:space="preserve"> the logical flow was not </w:t>
      </w:r>
      <w:r w:rsidR="00960495">
        <w:rPr>
          <w:rFonts w:cstheme="minorHAnsi"/>
        </w:rPr>
        <w:t>clear</w:t>
      </w:r>
      <w:r w:rsidR="00FB1B1B">
        <w:rPr>
          <w:rFonts w:cstheme="minorHAnsi"/>
        </w:rPr>
        <w:t xml:space="preserve">.  </w:t>
      </w:r>
      <w:r w:rsidR="007212C5">
        <w:rPr>
          <w:rFonts w:cstheme="minorHAnsi"/>
        </w:rPr>
        <w:t>C</w:t>
      </w:r>
      <w:r w:rsidR="00C714D4">
        <w:rPr>
          <w:rFonts w:cstheme="minorHAnsi"/>
        </w:rPr>
        <w:t xml:space="preserve">areful revision </w:t>
      </w:r>
      <w:r w:rsidR="00FB1B1B">
        <w:rPr>
          <w:rFonts w:cstheme="minorHAnsi"/>
        </w:rPr>
        <w:t xml:space="preserve">of </w:t>
      </w:r>
      <w:r>
        <w:rPr>
          <w:rFonts w:cstheme="minorHAnsi"/>
        </w:rPr>
        <w:t xml:space="preserve">sections 16.2 and 16.3 </w:t>
      </w:r>
      <w:r w:rsidR="00FB1B1B">
        <w:rPr>
          <w:rFonts w:cstheme="minorHAnsi"/>
        </w:rPr>
        <w:t xml:space="preserve">to ensure that the </w:t>
      </w:r>
      <w:r>
        <w:rPr>
          <w:rFonts w:cstheme="minorHAnsi"/>
        </w:rPr>
        <w:t xml:space="preserve">biosecurity requirements </w:t>
      </w:r>
      <w:r w:rsidR="00FB1B1B">
        <w:rPr>
          <w:rFonts w:cstheme="minorHAnsi"/>
        </w:rPr>
        <w:t>are unambiguous</w:t>
      </w:r>
      <w:r w:rsidR="007212C5">
        <w:rPr>
          <w:rFonts w:cstheme="minorHAnsi"/>
        </w:rPr>
        <w:t xml:space="preserve"> will assist stakeholders in their understanding.  The Expert Panel has </w:t>
      </w:r>
      <w:r w:rsidR="00FB1B1B">
        <w:rPr>
          <w:rFonts w:cstheme="minorHAnsi"/>
        </w:rPr>
        <w:t xml:space="preserve">corresponded with the Department </w:t>
      </w:r>
      <w:r w:rsidR="00393C4A">
        <w:rPr>
          <w:rFonts w:cstheme="minorHAnsi"/>
        </w:rPr>
        <w:t xml:space="preserve">and provided </w:t>
      </w:r>
      <w:r w:rsidR="00FB1B1B">
        <w:rPr>
          <w:rFonts w:cstheme="minorHAnsi"/>
        </w:rPr>
        <w:t xml:space="preserve">our suggested minor changes to the text in these sections.    </w:t>
      </w:r>
    </w:p>
    <w:p w14:paraId="1361D25A" w14:textId="77777777" w:rsidR="003262E4" w:rsidRPr="00F064A7" w:rsidRDefault="003262E4" w:rsidP="00F064A7">
      <w:pPr>
        <w:rPr>
          <w:rFonts w:cstheme="minorHAnsi"/>
        </w:rPr>
      </w:pPr>
    </w:p>
    <w:p w14:paraId="4032B2F8" w14:textId="7408A0BE" w:rsidR="00190AF7" w:rsidRDefault="00190AF7" w:rsidP="00190AF7"/>
    <w:p w14:paraId="2AB39BEC" w14:textId="77777777" w:rsidR="00190AF7" w:rsidRDefault="00190AF7" w:rsidP="00190AF7">
      <w:pPr>
        <w:sectPr w:rsidR="00190AF7" w:rsidSect="00190AF7">
          <w:pgSz w:w="11900" w:h="16840"/>
          <w:pgMar w:top="1440" w:right="1440" w:bottom="1440" w:left="1440" w:header="708" w:footer="708" w:gutter="0"/>
          <w:cols w:space="708"/>
          <w:docGrid w:linePitch="360"/>
        </w:sectPr>
      </w:pPr>
      <w:r>
        <w:br w:type="page"/>
      </w:r>
    </w:p>
    <w:p w14:paraId="098523E6" w14:textId="0B078D87" w:rsidR="008E0B07" w:rsidRPr="00703179" w:rsidRDefault="006D5934" w:rsidP="00393C4A">
      <w:pPr>
        <w:pStyle w:val="Heading1"/>
      </w:pPr>
      <w:bookmarkStart w:id="4" w:name="_Toc119497278"/>
      <w:r>
        <w:lastRenderedPageBreak/>
        <w:t>Appendix 1</w:t>
      </w:r>
      <w:r w:rsidR="00393C4A">
        <w:t xml:space="preserve">.  </w:t>
      </w:r>
      <w:r>
        <w:t xml:space="preserve"> </w:t>
      </w:r>
      <w:r w:rsidR="00C365DE" w:rsidRPr="00703179">
        <w:t>Expert Panel’s assessment of DAFF’s response to Stakeholders</w:t>
      </w:r>
      <w:r w:rsidRPr="00703179">
        <w:t xml:space="preserve"> and </w:t>
      </w:r>
      <w:r w:rsidR="002528A5" w:rsidRPr="00703179">
        <w:t>the 2021 Expert Panel Review</w:t>
      </w:r>
      <w:r w:rsidR="006736F1">
        <w:t xml:space="preserve"> </w:t>
      </w:r>
      <w:r w:rsidR="00393C4A">
        <w:t>R</w:t>
      </w:r>
      <w:r w:rsidR="006736F1">
        <w:t>ecommendations</w:t>
      </w:r>
      <w:bookmarkEnd w:id="4"/>
    </w:p>
    <w:p w14:paraId="75E8F67E" w14:textId="77777777" w:rsidR="005D2D47" w:rsidRDefault="005D2D47" w:rsidP="00B36E32">
      <w:pPr>
        <w:rPr>
          <w:rFonts w:cstheme="minorHAnsi"/>
        </w:rPr>
      </w:pPr>
    </w:p>
    <w:p w14:paraId="00047EC7" w14:textId="2534CEA9" w:rsidR="00EF0657" w:rsidRPr="003E0689" w:rsidRDefault="00C365DE" w:rsidP="00B36E32">
      <w:pPr>
        <w:rPr>
          <w:rFonts w:cstheme="minorHAnsi"/>
        </w:rPr>
      </w:pPr>
      <w:r w:rsidRPr="003E0689">
        <w:rPr>
          <w:rFonts w:cstheme="minorHAnsi"/>
        </w:rPr>
        <w:t xml:space="preserve">The Expert Panel </w:t>
      </w:r>
      <w:r w:rsidR="00EF0657" w:rsidRPr="003E0689">
        <w:rPr>
          <w:rFonts w:cstheme="minorHAnsi"/>
        </w:rPr>
        <w:t>had three sources of information about Stakeholder concerns:</w:t>
      </w:r>
    </w:p>
    <w:p w14:paraId="3AF8A400" w14:textId="3D048990" w:rsidR="00EF0657" w:rsidRPr="003E0689" w:rsidRDefault="00C365DE" w:rsidP="00EF0657">
      <w:pPr>
        <w:pStyle w:val="ListParagraph"/>
        <w:numPr>
          <w:ilvl w:val="0"/>
          <w:numId w:val="4"/>
        </w:numPr>
        <w:rPr>
          <w:rFonts w:cstheme="minorHAnsi"/>
          <w:sz w:val="24"/>
          <w:szCs w:val="24"/>
        </w:rPr>
      </w:pPr>
      <w:r w:rsidRPr="003E0689">
        <w:rPr>
          <w:rFonts w:cstheme="minorHAnsi"/>
          <w:sz w:val="24"/>
          <w:szCs w:val="24"/>
        </w:rPr>
        <w:t xml:space="preserve">Appendix B </w:t>
      </w:r>
      <w:r w:rsidR="00EF0657" w:rsidRPr="003E0689">
        <w:rPr>
          <w:rFonts w:cstheme="minorHAnsi"/>
          <w:sz w:val="24"/>
          <w:szCs w:val="24"/>
        </w:rPr>
        <w:t xml:space="preserve">in the </w:t>
      </w:r>
      <w:r w:rsidR="00393C4A">
        <w:rPr>
          <w:rFonts w:cstheme="minorHAnsi"/>
          <w:sz w:val="24"/>
          <w:szCs w:val="24"/>
        </w:rPr>
        <w:t>P</w:t>
      </w:r>
      <w:r w:rsidR="00EF0657" w:rsidRPr="003E0689">
        <w:rPr>
          <w:rFonts w:cstheme="minorHAnsi"/>
          <w:sz w:val="24"/>
          <w:szCs w:val="24"/>
        </w:rPr>
        <w:t xml:space="preserve">rovisional </w:t>
      </w:r>
      <w:r w:rsidR="00393C4A">
        <w:rPr>
          <w:rFonts w:cstheme="minorHAnsi"/>
          <w:sz w:val="24"/>
          <w:szCs w:val="24"/>
        </w:rPr>
        <w:t>F</w:t>
      </w:r>
      <w:r w:rsidR="00EF0657" w:rsidRPr="003E0689">
        <w:rPr>
          <w:rFonts w:cstheme="minorHAnsi"/>
          <w:sz w:val="24"/>
          <w:szCs w:val="24"/>
        </w:rPr>
        <w:t xml:space="preserve">inal </w:t>
      </w:r>
      <w:r w:rsidR="00393C4A">
        <w:rPr>
          <w:rFonts w:cstheme="minorHAnsi"/>
          <w:sz w:val="24"/>
          <w:szCs w:val="24"/>
        </w:rPr>
        <w:t>R</w:t>
      </w:r>
      <w:r w:rsidR="00EF0657" w:rsidRPr="003E0689">
        <w:rPr>
          <w:rFonts w:cstheme="minorHAnsi"/>
          <w:sz w:val="24"/>
          <w:szCs w:val="24"/>
        </w:rPr>
        <w:t xml:space="preserve">eport – this gives </w:t>
      </w:r>
      <w:r w:rsidRPr="003E0689">
        <w:rPr>
          <w:rFonts w:cstheme="minorHAnsi"/>
          <w:sz w:val="24"/>
          <w:szCs w:val="24"/>
        </w:rPr>
        <w:t xml:space="preserve">DAFF’s </w:t>
      </w:r>
      <w:r w:rsidR="00EF0657" w:rsidRPr="003E0689">
        <w:rPr>
          <w:rFonts w:cstheme="minorHAnsi"/>
          <w:sz w:val="24"/>
          <w:szCs w:val="24"/>
        </w:rPr>
        <w:t xml:space="preserve">summary of what it considers to be the 65 issues raised by </w:t>
      </w:r>
      <w:r w:rsidRPr="003E0689">
        <w:rPr>
          <w:rFonts w:cstheme="minorHAnsi"/>
          <w:sz w:val="24"/>
          <w:szCs w:val="24"/>
        </w:rPr>
        <w:t>stakeholder</w:t>
      </w:r>
      <w:r w:rsidR="00EF0657" w:rsidRPr="003E0689">
        <w:rPr>
          <w:rFonts w:cstheme="minorHAnsi"/>
          <w:sz w:val="24"/>
          <w:szCs w:val="24"/>
        </w:rPr>
        <w:t xml:space="preserve"> plus DAFF’s response to those issues</w:t>
      </w:r>
      <w:r w:rsidRPr="003E0689">
        <w:rPr>
          <w:rFonts w:cstheme="minorHAnsi"/>
          <w:sz w:val="24"/>
          <w:szCs w:val="24"/>
        </w:rPr>
        <w:t xml:space="preserve"> </w:t>
      </w:r>
    </w:p>
    <w:p w14:paraId="5AA1F938" w14:textId="570A5D43" w:rsidR="008E0B07" w:rsidRPr="003E0689" w:rsidRDefault="00EF0657" w:rsidP="00EF0657">
      <w:pPr>
        <w:pStyle w:val="ListParagraph"/>
        <w:numPr>
          <w:ilvl w:val="0"/>
          <w:numId w:val="4"/>
        </w:numPr>
        <w:rPr>
          <w:rFonts w:cstheme="minorHAnsi"/>
          <w:sz w:val="24"/>
          <w:szCs w:val="24"/>
        </w:rPr>
      </w:pPr>
      <w:r w:rsidRPr="003E0689">
        <w:rPr>
          <w:rFonts w:cstheme="minorHAnsi"/>
          <w:sz w:val="24"/>
          <w:szCs w:val="24"/>
        </w:rPr>
        <w:t>The Expert Panel’s</w:t>
      </w:r>
      <w:r w:rsidR="00C365DE" w:rsidRPr="003E0689">
        <w:rPr>
          <w:rFonts w:cstheme="minorHAnsi"/>
          <w:sz w:val="24"/>
          <w:szCs w:val="24"/>
        </w:rPr>
        <w:t xml:space="preserve"> own, earlier </w:t>
      </w:r>
      <w:r w:rsidR="000E5FF3" w:rsidRPr="003E0689">
        <w:rPr>
          <w:rFonts w:cstheme="minorHAnsi"/>
          <w:sz w:val="24"/>
          <w:szCs w:val="24"/>
        </w:rPr>
        <w:t>assessment</w:t>
      </w:r>
      <w:r w:rsidR="00C365DE" w:rsidRPr="003E0689">
        <w:rPr>
          <w:rFonts w:cstheme="minorHAnsi"/>
          <w:sz w:val="24"/>
          <w:szCs w:val="24"/>
        </w:rPr>
        <w:t xml:space="preserve"> of stakeholder concerns</w:t>
      </w:r>
      <w:r w:rsidRPr="003E0689">
        <w:rPr>
          <w:rFonts w:cstheme="minorHAnsi"/>
          <w:sz w:val="24"/>
          <w:szCs w:val="24"/>
        </w:rPr>
        <w:t xml:space="preserve"> that </w:t>
      </w:r>
      <w:r w:rsidR="00FB3C87" w:rsidRPr="003E0689">
        <w:rPr>
          <w:rFonts w:cstheme="minorHAnsi"/>
          <w:sz w:val="24"/>
          <w:szCs w:val="24"/>
        </w:rPr>
        <w:t xml:space="preserve">formed the basis of </w:t>
      </w:r>
      <w:r w:rsidRPr="003E0689">
        <w:rPr>
          <w:rFonts w:cstheme="minorHAnsi"/>
          <w:sz w:val="24"/>
          <w:szCs w:val="24"/>
        </w:rPr>
        <w:t>Appendix 2 in its first report (</w:t>
      </w:r>
      <w:r w:rsidR="00393C4A">
        <w:rPr>
          <w:rFonts w:cstheme="minorHAnsi"/>
          <w:sz w:val="24"/>
          <w:szCs w:val="24"/>
        </w:rPr>
        <w:t xml:space="preserve">April </w:t>
      </w:r>
      <w:r w:rsidRPr="003E0689">
        <w:rPr>
          <w:rFonts w:cstheme="minorHAnsi"/>
          <w:sz w:val="24"/>
          <w:szCs w:val="24"/>
        </w:rPr>
        <w:t>2021)</w:t>
      </w:r>
    </w:p>
    <w:p w14:paraId="4FA8E648" w14:textId="1335ED2A" w:rsidR="00FB3C87" w:rsidRPr="003E0689" w:rsidRDefault="00FB3C87" w:rsidP="00EF0657">
      <w:pPr>
        <w:pStyle w:val="ListParagraph"/>
        <w:numPr>
          <w:ilvl w:val="0"/>
          <w:numId w:val="4"/>
        </w:numPr>
        <w:rPr>
          <w:rFonts w:cstheme="minorHAnsi"/>
          <w:sz w:val="24"/>
          <w:szCs w:val="24"/>
        </w:rPr>
      </w:pPr>
      <w:r w:rsidRPr="003E0689">
        <w:rPr>
          <w:rFonts w:cstheme="minorHAnsi"/>
          <w:sz w:val="24"/>
          <w:szCs w:val="24"/>
        </w:rPr>
        <w:t xml:space="preserve">The Inspector General of Biosecurity (2017) report with its 22 recommendations.  </w:t>
      </w:r>
    </w:p>
    <w:p w14:paraId="16D83149" w14:textId="1EC439B8" w:rsidR="00FB3C87" w:rsidRDefault="00FB3C87" w:rsidP="00FB3C87">
      <w:pPr>
        <w:rPr>
          <w:rFonts w:cstheme="minorHAnsi"/>
        </w:rPr>
      </w:pPr>
      <w:r w:rsidRPr="003E0689">
        <w:rPr>
          <w:rFonts w:cstheme="minorHAnsi"/>
        </w:rPr>
        <w:t xml:space="preserve">The Expert Panel found that DAFF has addressed </w:t>
      </w:r>
      <w:r w:rsidR="00B05272">
        <w:rPr>
          <w:rFonts w:cstheme="minorHAnsi"/>
        </w:rPr>
        <w:t xml:space="preserve">all the issues raised by Government stakeholders, and </w:t>
      </w:r>
      <w:r w:rsidR="002528A5">
        <w:rPr>
          <w:rFonts w:cstheme="minorHAnsi"/>
        </w:rPr>
        <w:t xml:space="preserve">almost </w:t>
      </w:r>
      <w:r w:rsidR="007D33F6" w:rsidRPr="003E0689">
        <w:rPr>
          <w:rFonts w:cstheme="minorHAnsi"/>
        </w:rPr>
        <w:t>all</w:t>
      </w:r>
      <w:r w:rsidRPr="003E0689">
        <w:rPr>
          <w:rFonts w:cstheme="minorHAnsi"/>
        </w:rPr>
        <w:t xml:space="preserve"> the issues raised </w:t>
      </w:r>
      <w:r w:rsidR="002528A5">
        <w:rPr>
          <w:rFonts w:cstheme="minorHAnsi"/>
        </w:rPr>
        <w:t xml:space="preserve">by the </w:t>
      </w:r>
      <w:r w:rsidR="00B05272">
        <w:rPr>
          <w:rFonts w:cstheme="minorHAnsi"/>
        </w:rPr>
        <w:t xml:space="preserve">science and industry stakeholder groups; </w:t>
      </w:r>
      <w:r w:rsidRPr="003E0689">
        <w:rPr>
          <w:rFonts w:cstheme="minorHAnsi"/>
        </w:rPr>
        <w:t>the</w:t>
      </w:r>
      <w:r w:rsidR="00D14A37">
        <w:rPr>
          <w:rFonts w:cstheme="minorHAnsi"/>
        </w:rPr>
        <w:t xml:space="preserve"> </w:t>
      </w:r>
      <w:r w:rsidR="005E497B" w:rsidRPr="003E0689">
        <w:rPr>
          <w:rFonts w:cstheme="minorHAnsi"/>
        </w:rPr>
        <w:t>P</w:t>
      </w:r>
      <w:r w:rsidRPr="003E0689">
        <w:rPr>
          <w:rFonts w:cstheme="minorHAnsi"/>
        </w:rPr>
        <w:t xml:space="preserve">rovisional </w:t>
      </w:r>
      <w:r w:rsidR="005E497B" w:rsidRPr="003E0689">
        <w:rPr>
          <w:rFonts w:cstheme="minorHAnsi"/>
        </w:rPr>
        <w:t>F</w:t>
      </w:r>
      <w:r w:rsidRPr="003E0689">
        <w:rPr>
          <w:rFonts w:cstheme="minorHAnsi"/>
        </w:rPr>
        <w:t xml:space="preserve">inal </w:t>
      </w:r>
      <w:r w:rsidR="005E497B" w:rsidRPr="003E0689">
        <w:rPr>
          <w:rFonts w:cstheme="minorHAnsi"/>
        </w:rPr>
        <w:t>R</w:t>
      </w:r>
      <w:r w:rsidRPr="003E0689">
        <w:rPr>
          <w:rFonts w:cstheme="minorHAnsi"/>
        </w:rPr>
        <w:t xml:space="preserve">eport </w:t>
      </w:r>
      <w:r w:rsidR="002528A5">
        <w:rPr>
          <w:rFonts w:cstheme="minorHAnsi"/>
        </w:rPr>
        <w:t>has been adjusted accordingly</w:t>
      </w:r>
      <w:r w:rsidRPr="003E0689">
        <w:rPr>
          <w:rFonts w:cstheme="minorHAnsi"/>
        </w:rPr>
        <w:t xml:space="preserve">.  </w:t>
      </w:r>
      <w:r w:rsidR="007D33F6">
        <w:rPr>
          <w:rFonts w:cstheme="minorHAnsi"/>
        </w:rPr>
        <w:t>Table 1</w:t>
      </w:r>
      <w:r w:rsidR="006736F1">
        <w:rPr>
          <w:rFonts w:cstheme="minorHAnsi"/>
        </w:rPr>
        <w:t xml:space="preserve"> below provides c</w:t>
      </w:r>
      <w:r w:rsidR="005E497B" w:rsidRPr="003E0689">
        <w:rPr>
          <w:rFonts w:cstheme="minorHAnsi"/>
        </w:rPr>
        <w:t xml:space="preserve">omments </w:t>
      </w:r>
      <w:r w:rsidR="006736F1">
        <w:rPr>
          <w:rFonts w:cstheme="minorHAnsi"/>
        </w:rPr>
        <w:t xml:space="preserve">for the Department’s consideration </w:t>
      </w:r>
      <w:r w:rsidR="005E497B" w:rsidRPr="003E0689">
        <w:rPr>
          <w:rFonts w:cstheme="minorHAnsi"/>
        </w:rPr>
        <w:t xml:space="preserve">on the remaining issues.  </w:t>
      </w:r>
    </w:p>
    <w:p w14:paraId="70C21F69" w14:textId="45AA8A9D" w:rsidR="002528A5" w:rsidRDefault="002528A5" w:rsidP="00FB3C87">
      <w:pPr>
        <w:rPr>
          <w:rFonts w:cstheme="minorHAnsi"/>
        </w:rPr>
      </w:pPr>
    </w:p>
    <w:p w14:paraId="3A9471CB" w14:textId="77777777" w:rsidR="00E3165E" w:rsidRDefault="00E3165E" w:rsidP="00FB3C87">
      <w:pPr>
        <w:rPr>
          <w:rFonts w:cstheme="minorHAnsi"/>
        </w:rPr>
      </w:pPr>
    </w:p>
    <w:p w14:paraId="72B640CD" w14:textId="73A1C441" w:rsidR="00B36E32" w:rsidRDefault="00E3165E" w:rsidP="00B36E32">
      <w:pPr>
        <w:rPr>
          <w:rFonts w:cstheme="minorHAnsi"/>
        </w:rPr>
      </w:pPr>
      <w:r w:rsidRPr="00703179">
        <w:rPr>
          <w:rFonts w:cstheme="minorHAnsi"/>
          <w:b/>
          <w:bCs/>
          <w:sz w:val="28"/>
          <w:szCs w:val="28"/>
        </w:rPr>
        <w:t>Table</w:t>
      </w:r>
      <w:r w:rsidR="006736F1" w:rsidRPr="00703179">
        <w:rPr>
          <w:rFonts w:cstheme="minorHAnsi"/>
          <w:b/>
          <w:bCs/>
          <w:sz w:val="28"/>
          <w:szCs w:val="28"/>
        </w:rPr>
        <w:t xml:space="preserve"> 1</w:t>
      </w:r>
      <w:r w:rsidRPr="00703179">
        <w:rPr>
          <w:rFonts w:cstheme="minorHAnsi"/>
          <w:b/>
          <w:bCs/>
          <w:sz w:val="28"/>
          <w:szCs w:val="28"/>
        </w:rPr>
        <w:t xml:space="preserve">. </w:t>
      </w:r>
      <w:r w:rsidR="00D47859">
        <w:rPr>
          <w:rFonts w:cstheme="minorHAnsi"/>
          <w:b/>
          <w:bCs/>
          <w:sz w:val="28"/>
          <w:szCs w:val="28"/>
        </w:rPr>
        <w:t>Expert Panels’ View of R</w:t>
      </w:r>
      <w:r w:rsidRPr="00703179">
        <w:rPr>
          <w:rFonts w:cstheme="minorHAnsi"/>
          <w:b/>
          <w:bCs/>
          <w:sz w:val="28"/>
          <w:szCs w:val="28"/>
        </w:rPr>
        <w:t>esidual Issues in the Provisional Final Report (2022)</w:t>
      </w:r>
    </w:p>
    <w:p w14:paraId="4BECF889" w14:textId="77777777" w:rsidR="000F54BF" w:rsidRPr="003E0689" w:rsidRDefault="000F54BF" w:rsidP="00B36E32">
      <w:pPr>
        <w:rPr>
          <w:rFonts w:cstheme="minorHAnsi"/>
        </w:rPr>
      </w:pPr>
    </w:p>
    <w:tbl>
      <w:tblPr>
        <w:tblStyle w:val="TableGrid"/>
        <w:tblW w:w="13887" w:type="dxa"/>
        <w:tblLook w:val="04A0" w:firstRow="1" w:lastRow="0" w:firstColumn="1" w:lastColumn="0" w:noHBand="0" w:noVBand="1"/>
      </w:tblPr>
      <w:tblGrid>
        <w:gridCol w:w="3539"/>
        <w:gridCol w:w="4961"/>
        <w:gridCol w:w="5387"/>
      </w:tblGrid>
      <w:tr w:rsidR="003E0689" w:rsidRPr="00495BF1" w14:paraId="1446EC65" w14:textId="77777777" w:rsidTr="00703179">
        <w:tc>
          <w:tcPr>
            <w:tcW w:w="3539" w:type="dxa"/>
          </w:tcPr>
          <w:p w14:paraId="7705948D" w14:textId="41B4F4C6" w:rsidR="003E0689" w:rsidRPr="00495BF1" w:rsidRDefault="003E0689" w:rsidP="003E0689">
            <w:pPr>
              <w:rPr>
                <w:rFonts w:cstheme="minorHAnsi"/>
                <w:b/>
                <w:bCs/>
              </w:rPr>
            </w:pPr>
            <w:r w:rsidRPr="00495BF1">
              <w:rPr>
                <w:rFonts w:cstheme="minorHAnsi"/>
                <w:b/>
                <w:bCs/>
              </w:rPr>
              <w:t>Origin of Issue</w:t>
            </w:r>
          </w:p>
        </w:tc>
        <w:tc>
          <w:tcPr>
            <w:tcW w:w="4961" w:type="dxa"/>
          </w:tcPr>
          <w:p w14:paraId="2C20E820" w14:textId="422E9EF9" w:rsidR="003E0689" w:rsidRPr="00495BF1" w:rsidRDefault="004F6EDB" w:rsidP="003E0689">
            <w:pPr>
              <w:rPr>
                <w:rFonts w:cstheme="minorHAnsi"/>
                <w:b/>
                <w:bCs/>
              </w:rPr>
            </w:pPr>
            <w:r w:rsidRPr="00495BF1">
              <w:rPr>
                <w:rFonts w:cstheme="minorHAnsi"/>
                <w:b/>
                <w:bCs/>
              </w:rPr>
              <w:t>Comment</w:t>
            </w:r>
          </w:p>
        </w:tc>
        <w:tc>
          <w:tcPr>
            <w:tcW w:w="5387" w:type="dxa"/>
          </w:tcPr>
          <w:p w14:paraId="0575D3B1" w14:textId="1FA66B2C" w:rsidR="003E0689" w:rsidRPr="00495BF1" w:rsidRDefault="003E0689" w:rsidP="003E0689">
            <w:pPr>
              <w:rPr>
                <w:rFonts w:cstheme="minorHAnsi"/>
                <w:b/>
                <w:bCs/>
                <w:color w:val="0070C0"/>
              </w:rPr>
            </w:pPr>
            <w:r w:rsidRPr="00495BF1">
              <w:rPr>
                <w:rFonts w:cstheme="minorHAnsi"/>
                <w:b/>
                <w:bCs/>
                <w:color w:val="0070C0"/>
              </w:rPr>
              <w:t xml:space="preserve">Expert Panel </w:t>
            </w:r>
            <w:r w:rsidR="004F6EDB" w:rsidRPr="00495BF1">
              <w:rPr>
                <w:rFonts w:cstheme="minorHAnsi"/>
                <w:b/>
                <w:bCs/>
                <w:color w:val="0070C0"/>
              </w:rPr>
              <w:t>Response</w:t>
            </w:r>
            <w:r w:rsidRPr="00495BF1">
              <w:rPr>
                <w:rFonts w:cstheme="minorHAnsi"/>
                <w:b/>
                <w:bCs/>
                <w:color w:val="0070C0"/>
              </w:rPr>
              <w:t xml:space="preserve"> </w:t>
            </w:r>
            <w:r w:rsidR="004F6EDB" w:rsidRPr="00495BF1">
              <w:rPr>
                <w:rFonts w:cstheme="minorHAnsi"/>
                <w:b/>
                <w:bCs/>
                <w:color w:val="0070C0"/>
              </w:rPr>
              <w:t>(</w:t>
            </w:r>
            <w:r w:rsidR="00393C4A" w:rsidRPr="00495BF1">
              <w:rPr>
                <w:rFonts w:cstheme="minorHAnsi"/>
                <w:b/>
                <w:bCs/>
                <w:color w:val="0070C0"/>
              </w:rPr>
              <w:t xml:space="preserve">November </w:t>
            </w:r>
            <w:r w:rsidRPr="00495BF1">
              <w:rPr>
                <w:rFonts w:cstheme="minorHAnsi"/>
                <w:b/>
                <w:bCs/>
                <w:color w:val="0070C0"/>
              </w:rPr>
              <w:t>22</w:t>
            </w:r>
            <w:r w:rsidR="004F6EDB" w:rsidRPr="00495BF1">
              <w:rPr>
                <w:rFonts w:cstheme="minorHAnsi"/>
                <w:b/>
                <w:bCs/>
                <w:color w:val="0070C0"/>
              </w:rPr>
              <w:t>)</w:t>
            </w:r>
          </w:p>
        </w:tc>
      </w:tr>
      <w:tr w:rsidR="003E0689" w:rsidRPr="00495BF1" w14:paraId="09B7CC9D" w14:textId="77777777" w:rsidTr="00703179">
        <w:tc>
          <w:tcPr>
            <w:tcW w:w="3539" w:type="dxa"/>
          </w:tcPr>
          <w:p w14:paraId="14B84FAC" w14:textId="0F88965C" w:rsidR="003E0689" w:rsidRPr="00495BF1" w:rsidRDefault="00D06C34" w:rsidP="003E0689">
            <w:pPr>
              <w:rPr>
                <w:rFonts w:cstheme="minorHAnsi"/>
                <w:b/>
                <w:bCs/>
              </w:rPr>
            </w:pPr>
            <w:r w:rsidRPr="00495BF1">
              <w:rPr>
                <w:rFonts w:cstheme="minorHAnsi"/>
                <w:b/>
                <w:bCs/>
              </w:rPr>
              <w:t xml:space="preserve">1. </w:t>
            </w:r>
            <w:r w:rsidR="003E0689" w:rsidRPr="00495BF1">
              <w:rPr>
                <w:rFonts w:cstheme="minorHAnsi"/>
                <w:b/>
                <w:bCs/>
              </w:rPr>
              <w:t xml:space="preserve">Appendix </w:t>
            </w:r>
            <w:r w:rsidR="002528A5" w:rsidRPr="00495BF1">
              <w:rPr>
                <w:rFonts w:cstheme="minorHAnsi"/>
                <w:b/>
                <w:bCs/>
              </w:rPr>
              <w:t>B, Issue</w:t>
            </w:r>
            <w:r w:rsidR="003E0689" w:rsidRPr="00495BF1">
              <w:rPr>
                <w:rFonts w:cstheme="minorHAnsi"/>
                <w:b/>
                <w:bCs/>
              </w:rPr>
              <w:t xml:space="preserve"> 65 (page 310)</w:t>
            </w:r>
          </w:p>
          <w:p w14:paraId="7B00A03F" w14:textId="62108759" w:rsidR="003E0689" w:rsidRPr="00495BF1" w:rsidRDefault="003E0689" w:rsidP="003E0689">
            <w:pPr>
              <w:rPr>
                <w:rFonts w:cstheme="minorHAnsi"/>
                <w:b/>
                <w:bCs/>
              </w:rPr>
            </w:pPr>
          </w:p>
          <w:p w14:paraId="12D3D2CA" w14:textId="66980834" w:rsidR="003E0689" w:rsidRPr="00495BF1" w:rsidRDefault="005A16A7" w:rsidP="003E0689">
            <w:pPr>
              <w:rPr>
                <w:rFonts w:cstheme="minorHAnsi"/>
                <w:b/>
                <w:bCs/>
              </w:rPr>
            </w:pPr>
            <w:r w:rsidRPr="00495BF1">
              <w:rPr>
                <w:rFonts w:cstheme="minorHAnsi"/>
                <w:bCs/>
                <w:lang w:eastAsia="ja-JP"/>
              </w:rPr>
              <w:t>Stakeholders commented that t</w:t>
            </w:r>
            <w:r w:rsidR="003E0689" w:rsidRPr="00495BF1">
              <w:rPr>
                <w:rFonts w:cstheme="minorHAnsi"/>
                <w:bCs/>
                <w:lang w:eastAsia="ja-JP"/>
              </w:rPr>
              <w:t xml:space="preserve">he review does not consider inspection confusion, system rorting, testing failure, human </w:t>
            </w:r>
            <w:r w:rsidR="007D33F6" w:rsidRPr="00495BF1">
              <w:rPr>
                <w:rFonts w:cstheme="minorHAnsi"/>
                <w:bCs/>
                <w:lang w:eastAsia="ja-JP"/>
              </w:rPr>
              <w:t>error,</w:t>
            </w:r>
            <w:r w:rsidR="003E0689" w:rsidRPr="00495BF1">
              <w:rPr>
                <w:rFonts w:cstheme="minorHAnsi"/>
                <w:bCs/>
                <w:lang w:eastAsia="ja-JP"/>
              </w:rPr>
              <w:t xml:space="preserve"> and deliberate criminal evasion.</w:t>
            </w:r>
          </w:p>
          <w:p w14:paraId="5122DD1B" w14:textId="1DA30A6E" w:rsidR="003E0689" w:rsidRPr="00495BF1" w:rsidRDefault="003E0689" w:rsidP="003E0689">
            <w:pPr>
              <w:rPr>
                <w:rFonts w:cstheme="minorHAnsi"/>
                <w:b/>
                <w:bCs/>
              </w:rPr>
            </w:pPr>
          </w:p>
        </w:tc>
        <w:tc>
          <w:tcPr>
            <w:tcW w:w="4961" w:type="dxa"/>
          </w:tcPr>
          <w:p w14:paraId="6743E33E" w14:textId="4E28BDCF" w:rsidR="003E0689" w:rsidRPr="00495BF1" w:rsidRDefault="003E0689" w:rsidP="003E0689">
            <w:pPr>
              <w:rPr>
                <w:rFonts w:cstheme="minorHAnsi"/>
              </w:rPr>
            </w:pPr>
            <w:r w:rsidRPr="00495BF1">
              <w:rPr>
                <w:rFonts w:cstheme="minorHAnsi"/>
              </w:rPr>
              <w:t xml:space="preserve">Noted by DAFF in Appendix B of Provisional </w:t>
            </w:r>
            <w:r w:rsidR="00D14A37" w:rsidRPr="00495BF1">
              <w:rPr>
                <w:rFonts w:cstheme="minorHAnsi"/>
              </w:rPr>
              <w:t>F</w:t>
            </w:r>
            <w:r w:rsidRPr="00495BF1">
              <w:rPr>
                <w:rFonts w:cstheme="minorHAnsi"/>
              </w:rPr>
              <w:t xml:space="preserve">inal </w:t>
            </w:r>
            <w:r w:rsidR="00D14A37" w:rsidRPr="00495BF1">
              <w:rPr>
                <w:rFonts w:cstheme="minorHAnsi"/>
              </w:rPr>
              <w:t>R</w:t>
            </w:r>
            <w:r w:rsidRPr="00495BF1">
              <w:rPr>
                <w:rFonts w:cstheme="minorHAnsi"/>
              </w:rPr>
              <w:t>eport (</w:t>
            </w:r>
            <w:r w:rsidR="00393C4A" w:rsidRPr="00495BF1">
              <w:rPr>
                <w:rFonts w:cstheme="minorHAnsi"/>
              </w:rPr>
              <w:t xml:space="preserve">October </w:t>
            </w:r>
            <w:r w:rsidRPr="00495BF1">
              <w:rPr>
                <w:rFonts w:cstheme="minorHAnsi"/>
              </w:rPr>
              <w:t>2022).</w:t>
            </w:r>
          </w:p>
          <w:p w14:paraId="77E94F1D" w14:textId="77777777" w:rsidR="003E0689" w:rsidRPr="00495BF1" w:rsidRDefault="003E0689" w:rsidP="003E0689">
            <w:pPr>
              <w:rPr>
                <w:rFonts w:cstheme="minorHAnsi"/>
              </w:rPr>
            </w:pPr>
          </w:p>
          <w:p w14:paraId="41893F82" w14:textId="6961D3BC" w:rsidR="003E0689" w:rsidRPr="00495BF1" w:rsidRDefault="003E0689" w:rsidP="003E0689">
            <w:pPr>
              <w:rPr>
                <w:rFonts w:cstheme="minorHAnsi"/>
              </w:rPr>
            </w:pPr>
            <w:r w:rsidRPr="00495BF1">
              <w:rPr>
                <w:rFonts w:cstheme="minorHAnsi"/>
              </w:rPr>
              <w:t xml:space="preserve">The Department has noted the comment and indicated how it has responded in the Provisional </w:t>
            </w:r>
            <w:r w:rsidR="00D14A37" w:rsidRPr="00495BF1">
              <w:rPr>
                <w:rFonts w:cstheme="minorHAnsi"/>
              </w:rPr>
              <w:t>F</w:t>
            </w:r>
            <w:r w:rsidRPr="00495BF1">
              <w:rPr>
                <w:rFonts w:cstheme="minorHAnsi"/>
              </w:rPr>
              <w:t xml:space="preserve">inal </w:t>
            </w:r>
            <w:r w:rsidR="00D14A37" w:rsidRPr="00495BF1">
              <w:rPr>
                <w:rFonts w:cstheme="minorHAnsi"/>
              </w:rPr>
              <w:t>R</w:t>
            </w:r>
            <w:r w:rsidRPr="00495BF1">
              <w:rPr>
                <w:rFonts w:cstheme="minorHAnsi"/>
              </w:rPr>
              <w:t xml:space="preserve">eport in the second column of issue 65 but in the third column </w:t>
            </w:r>
            <w:r w:rsidR="00D14A37" w:rsidRPr="00495BF1">
              <w:rPr>
                <w:rFonts w:cstheme="minorHAnsi"/>
              </w:rPr>
              <w:t>it</w:t>
            </w:r>
            <w:r w:rsidRPr="00495BF1">
              <w:rPr>
                <w:rFonts w:cstheme="minorHAnsi"/>
              </w:rPr>
              <w:t xml:space="preserve"> indicates that it has not made any change to the </w:t>
            </w:r>
            <w:r w:rsidR="00D14A37" w:rsidRPr="00495BF1">
              <w:rPr>
                <w:rFonts w:cstheme="minorHAnsi"/>
              </w:rPr>
              <w:t>P</w:t>
            </w:r>
            <w:r w:rsidRPr="00495BF1">
              <w:rPr>
                <w:rFonts w:cstheme="minorHAnsi"/>
              </w:rPr>
              <w:t xml:space="preserve">rovisional </w:t>
            </w:r>
            <w:r w:rsidR="00D14A37" w:rsidRPr="00495BF1">
              <w:rPr>
                <w:rFonts w:cstheme="minorHAnsi"/>
              </w:rPr>
              <w:t>F</w:t>
            </w:r>
            <w:r w:rsidRPr="00495BF1">
              <w:rPr>
                <w:rFonts w:cstheme="minorHAnsi"/>
              </w:rPr>
              <w:t xml:space="preserve">inal </w:t>
            </w:r>
            <w:r w:rsidR="00D14A37" w:rsidRPr="00495BF1">
              <w:rPr>
                <w:rFonts w:cstheme="minorHAnsi"/>
              </w:rPr>
              <w:t>R</w:t>
            </w:r>
            <w:r w:rsidRPr="00495BF1">
              <w:rPr>
                <w:rFonts w:cstheme="minorHAnsi"/>
              </w:rPr>
              <w:t>eport</w:t>
            </w:r>
          </w:p>
        </w:tc>
        <w:tc>
          <w:tcPr>
            <w:tcW w:w="5387" w:type="dxa"/>
          </w:tcPr>
          <w:p w14:paraId="0E9A919D" w14:textId="77777777" w:rsidR="003E0689" w:rsidRPr="00495BF1" w:rsidRDefault="003E0689" w:rsidP="003E0689">
            <w:pPr>
              <w:rPr>
                <w:rFonts w:cstheme="minorHAnsi"/>
                <w:color w:val="0070C0"/>
              </w:rPr>
            </w:pPr>
            <w:r w:rsidRPr="00495BF1">
              <w:rPr>
                <w:rFonts w:cstheme="minorHAnsi"/>
                <w:color w:val="0070C0"/>
              </w:rPr>
              <w:t>PARTIALLY ADDRESSED</w:t>
            </w:r>
          </w:p>
          <w:p w14:paraId="7B958224" w14:textId="77777777" w:rsidR="003E0689" w:rsidRPr="00495BF1" w:rsidRDefault="003E0689" w:rsidP="003E0689">
            <w:pPr>
              <w:rPr>
                <w:rFonts w:cstheme="minorHAnsi"/>
                <w:color w:val="0070C0"/>
              </w:rPr>
            </w:pPr>
          </w:p>
          <w:p w14:paraId="7335E6F0" w14:textId="77777777" w:rsidR="00393C4A" w:rsidRPr="00495BF1" w:rsidRDefault="003E0689" w:rsidP="003E0689">
            <w:pPr>
              <w:rPr>
                <w:rFonts w:cstheme="minorHAnsi"/>
                <w:color w:val="0070C0"/>
              </w:rPr>
            </w:pPr>
            <w:r w:rsidRPr="00495BF1">
              <w:rPr>
                <w:rFonts w:cstheme="minorHAnsi"/>
                <w:color w:val="0070C0"/>
              </w:rPr>
              <w:t xml:space="preserve">The Expert Panel believes that this issue has been addressed by DAFF in the new Chapter 17, and in the new Appendix C.  </w:t>
            </w:r>
          </w:p>
          <w:p w14:paraId="192830AA" w14:textId="77777777" w:rsidR="00393C4A" w:rsidRPr="00495BF1" w:rsidRDefault="00393C4A" w:rsidP="003E0689">
            <w:pPr>
              <w:rPr>
                <w:rFonts w:cstheme="minorHAnsi"/>
                <w:color w:val="0070C0"/>
              </w:rPr>
            </w:pPr>
          </w:p>
          <w:p w14:paraId="49562AE1" w14:textId="425F2819" w:rsidR="003E0689" w:rsidRPr="00495BF1" w:rsidRDefault="00393C4A" w:rsidP="003E0689">
            <w:pPr>
              <w:rPr>
                <w:rFonts w:cstheme="minorHAnsi"/>
                <w:color w:val="0070C0"/>
              </w:rPr>
            </w:pPr>
            <w:r w:rsidRPr="00495BF1">
              <w:rPr>
                <w:rFonts w:cstheme="minorHAnsi"/>
                <w:color w:val="0070C0"/>
              </w:rPr>
              <w:t>The Expert Panel recommends that t</w:t>
            </w:r>
            <w:r w:rsidR="003E0689" w:rsidRPr="00495BF1">
              <w:rPr>
                <w:rFonts w:cstheme="minorHAnsi"/>
                <w:color w:val="0070C0"/>
              </w:rPr>
              <w:t>he comment in column 3, Appendix B</w:t>
            </w:r>
            <w:r w:rsidRPr="00495BF1">
              <w:rPr>
                <w:rFonts w:cstheme="minorHAnsi"/>
                <w:color w:val="0070C0"/>
              </w:rPr>
              <w:t>,</w:t>
            </w:r>
            <w:r w:rsidR="003E0689" w:rsidRPr="00495BF1">
              <w:rPr>
                <w:rFonts w:cstheme="minorHAnsi"/>
                <w:color w:val="0070C0"/>
              </w:rPr>
              <w:t xml:space="preserve"> should be adjusted accordingly.  </w:t>
            </w:r>
          </w:p>
        </w:tc>
      </w:tr>
    </w:tbl>
    <w:p w14:paraId="11B9556F" w14:textId="77777777" w:rsidR="009E0340" w:rsidRDefault="009E0340"/>
    <w:tbl>
      <w:tblPr>
        <w:tblStyle w:val="TableGrid"/>
        <w:tblW w:w="13887" w:type="dxa"/>
        <w:tblLook w:val="04A0" w:firstRow="1" w:lastRow="0" w:firstColumn="1" w:lastColumn="0" w:noHBand="0" w:noVBand="1"/>
      </w:tblPr>
      <w:tblGrid>
        <w:gridCol w:w="3539"/>
        <w:gridCol w:w="4961"/>
        <w:gridCol w:w="5387"/>
      </w:tblGrid>
      <w:tr w:rsidR="003E0689" w:rsidRPr="000F54BF" w14:paraId="7EF7BC68" w14:textId="77777777" w:rsidTr="00703179">
        <w:trPr>
          <w:tblHeader/>
        </w:trPr>
        <w:tc>
          <w:tcPr>
            <w:tcW w:w="3539" w:type="dxa"/>
          </w:tcPr>
          <w:p w14:paraId="4F6880E0" w14:textId="46315DE3" w:rsidR="003E0689" w:rsidRPr="00495BF1" w:rsidRDefault="000F54BF" w:rsidP="003E0689">
            <w:pPr>
              <w:rPr>
                <w:rFonts w:cstheme="minorHAnsi"/>
                <w:b/>
                <w:bCs/>
                <w:i/>
                <w:iCs/>
              </w:rPr>
            </w:pPr>
            <w:r w:rsidRPr="00495BF1" w:rsidDel="000F54BF">
              <w:rPr>
                <w:rFonts w:cstheme="minorHAnsi"/>
                <w:b/>
                <w:bCs/>
              </w:rPr>
              <w:lastRenderedPageBreak/>
              <w:t xml:space="preserve"> </w:t>
            </w:r>
            <w:r w:rsidRPr="00495BF1">
              <w:rPr>
                <w:rFonts w:cstheme="minorHAnsi"/>
                <w:b/>
                <w:bCs/>
              </w:rPr>
              <w:t xml:space="preserve">Origin of Issue </w:t>
            </w:r>
          </w:p>
        </w:tc>
        <w:tc>
          <w:tcPr>
            <w:tcW w:w="4961" w:type="dxa"/>
          </w:tcPr>
          <w:p w14:paraId="7724FA0C" w14:textId="5C85F803" w:rsidR="003E0689" w:rsidRPr="00495BF1" w:rsidRDefault="004F6EDB" w:rsidP="004F6EDB">
            <w:pPr>
              <w:rPr>
                <w:rFonts w:cstheme="minorHAnsi"/>
                <w:b/>
                <w:bCs/>
              </w:rPr>
            </w:pPr>
            <w:r w:rsidRPr="00495BF1">
              <w:rPr>
                <w:rFonts w:cstheme="minorHAnsi"/>
                <w:b/>
                <w:bCs/>
              </w:rPr>
              <w:t>Comment</w:t>
            </w:r>
          </w:p>
        </w:tc>
        <w:tc>
          <w:tcPr>
            <w:tcW w:w="5387" w:type="dxa"/>
          </w:tcPr>
          <w:p w14:paraId="6099950B" w14:textId="3915DCE0" w:rsidR="003E0689" w:rsidRPr="00495BF1" w:rsidRDefault="000F54BF" w:rsidP="003E0689">
            <w:pPr>
              <w:rPr>
                <w:rFonts w:cstheme="minorHAnsi"/>
                <w:b/>
                <w:bCs/>
                <w:color w:val="0070C0"/>
              </w:rPr>
            </w:pPr>
            <w:r w:rsidRPr="00495BF1">
              <w:rPr>
                <w:rFonts w:cstheme="minorHAnsi"/>
                <w:b/>
                <w:bCs/>
                <w:color w:val="0070C0"/>
              </w:rPr>
              <w:t xml:space="preserve">Expert Panel </w:t>
            </w:r>
            <w:r w:rsidR="00C25A15" w:rsidRPr="00495BF1">
              <w:rPr>
                <w:rFonts w:cstheme="minorHAnsi"/>
                <w:b/>
                <w:bCs/>
                <w:color w:val="0070C0"/>
              </w:rPr>
              <w:t>Response (</w:t>
            </w:r>
            <w:r w:rsidR="00393C4A" w:rsidRPr="00495BF1">
              <w:rPr>
                <w:rFonts w:cstheme="minorHAnsi"/>
                <w:b/>
                <w:bCs/>
                <w:color w:val="0070C0"/>
              </w:rPr>
              <w:t xml:space="preserve">November </w:t>
            </w:r>
            <w:r w:rsidRPr="00495BF1">
              <w:rPr>
                <w:rFonts w:cstheme="minorHAnsi"/>
                <w:b/>
                <w:bCs/>
                <w:color w:val="0070C0"/>
              </w:rPr>
              <w:t>22</w:t>
            </w:r>
            <w:r w:rsidR="004F6EDB" w:rsidRPr="00495BF1">
              <w:rPr>
                <w:rFonts w:cstheme="minorHAnsi"/>
                <w:b/>
                <w:bCs/>
                <w:color w:val="0070C0"/>
              </w:rPr>
              <w:t>)</w:t>
            </w:r>
          </w:p>
        </w:tc>
      </w:tr>
      <w:tr w:rsidR="003E0689" w:rsidRPr="003E0689" w14:paraId="1CD4F5A8" w14:textId="77777777" w:rsidTr="00703179">
        <w:tc>
          <w:tcPr>
            <w:tcW w:w="3539" w:type="dxa"/>
          </w:tcPr>
          <w:p w14:paraId="38B342FD" w14:textId="09920861" w:rsidR="009E0340" w:rsidRPr="00495BF1" w:rsidRDefault="00D06C34" w:rsidP="003E0689">
            <w:pPr>
              <w:rPr>
                <w:rFonts w:cstheme="minorHAnsi"/>
                <w:b/>
                <w:bCs/>
              </w:rPr>
            </w:pPr>
            <w:r w:rsidRPr="00495BF1">
              <w:rPr>
                <w:rFonts w:cstheme="minorHAnsi"/>
                <w:b/>
                <w:bCs/>
              </w:rPr>
              <w:t xml:space="preserve">2. </w:t>
            </w:r>
            <w:r w:rsidR="009E0340" w:rsidRPr="00495BF1">
              <w:rPr>
                <w:rFonts w:cstheme="minorHAnsi"/>
                <w:b/>
                <w:bCs/>
              </w:rPr>
              <w:t xml:space="preserve">Prawn </w:t>
            </w:r>
            <w:r w:rsidR="009C618D" w:rsidRPr="00495BF1">
              <w:rPr>
                <w:rFonts w:cstheme="minorHAnsi"/>
                <w:b/>
                <w:bCs/>
              </w:rPr>
              <w:t>h</w:t>
            </w:r>
            <w:r w:rsidR="009E0340" w:rsidRPr="00495BF1">
              <w:rPr>
                <w:rFonts w:cstheme="minorHAnsi"/>
                <w:b/>
                <w:bCs/>
              </w:rPr>
              <w:t xml:space="preserve">arvest </w:t>
            </w:r>
            <w:r w:rsidR="009C618D" w:rsidRPr="00495BF1">
              <w:rPr>
                <w:rFonts w:cstheme="minorHAnsi"/>
                <w:b/>
                <w:bCs/>
              </w:rPr>
              <w:t>r</w:t>
            </w:r>
            <w:r w:rsidR="009E0340" w:rsidRPr="00495BF1">
              <w:rPr>
                <w:rFonts w:cstheme="minorHAnsi"/>
                <w:b/>
                <w:bCs/>
              </w:rPr>
              <w:t>ecovery (</w:t>
            </w:r>
            <w:r w:rsidR="00393C4A" w:rsidRPr="00495BF1">
              <w:rPr>
                <w:rFonts w:cstheme="minorHAnsi"/>
                <w:b/>
                <w:bCs/>
              </w:rPr>
              <w:t>s</w:t>
            </w:r>
            <w:r w:rsidR="009E0340" w:rsidRPr="00495BF1">
              <w:rPr>
                <w:rFonts w:cstheme="minorHAnsi"/>
                <w:b/>
                <w:bCs/>
              </w:rPr>
              <w:t xml:space="preserve">cience </w:t>
            </w:r>
            <w:r w:rsidR="009C618D" w:rsidRPr="00495BF1">
              <w:rPr>
                <w:rFonts w:cstheme="minorHAnsi"/>
                <w:b/>
                <w:bCs/>
              </w:rPr>
              <w:t>s</w:t>
            </w:r>
            <w:r w:rsidR="009E0340" w:rsidRPr="00495BF1">
              <w:rPr>
                <w:rFonts w:cstheme="minorHAnsi"/>
                <w:b/>
                <w:bCs/>
              </w:rPr>
              <w:t>takeholder</w:t>
            </w:r>
            <w:r w:rsidR="00783168" w:rsidRPr="00495BF1">
              <w:rPr>
                <w:rFonts w:cstheme="minorHAnsi"/>
                <w:b/>
                <w:bCs/>
              </w:rPr>
              <w:t xml:space="preserve"> input)</w:t>
            </w:r>
          </w:p>
          <w:p w14:paraId="19B0BE8E" w14:textId="77777777" w:rsidR="009E0340" w:rsidRPr="00495BF1" w:rsidRDefault="009E0340" w:rsidP="003E0689">
            <w:pPr>
              <w:rPr>
                <w:rFonts w:cstheme="minorHAnsi"/>
              </w:rPr>
            </w:pPr>
          </w:p>
          <w:p w14:paraId="2BBC5C2B" w14:textId="61DD08BD" w:rsidR="003E0689" w:rsidRPr="00495BF1" w:rsidRDefault="002528A5" w:rsidP="003E0689">
            <w:pPr>
              <w:rPr>
                <w:rFonts w:cstheme="minorHAnsi"/>
              </w:rPr>
            </w:pPr>
            <w:r w:rsidRPr="00495BF1">
              <w:rPr>
                <w:rFonts w:cstheme="minorHAnsi"/>
              </w:rPr>
              <w:t>One scientist cast d</w:t>
            </w:r>
            <w:r w:rsidR="003E0689" w:rsidRPr="00495BF1">
              <w:rPr>
                <w:rFonts w:cstheme="minorHAnsi"/>
              </w:rPr>
              <w:t xml:space="preserve">oubt over the assumption that prawn harvests can recover within 1.5 years of infestation in aquaculture and that mortality is not affected in wild prawns.  </w:t>
            </w:r>
          </w:p>
          <w:p w14:paraId="742894D7" w14:textId="77777777" w:rsidR="003E0689" w:rsidRPr="00495BF1" w:rsidRDefault="003E0689" w:rsidP="003E0689">
            <w:pPr>
              <w:rPr>
                <w:rFonts w:cstheme="minorHAnsi"/>
              </w:rPr>
            </w:pPr>
            <w:r w:rsidRPr="00495BF1">
              <w:rPr>
                <w:rFonts w:cstheme="minorHAnsi"/>
              </w:rPr>
              <w:t xml:space="preserve"> </w:t>
            </w:r>
          </w:p>
          <w:p w14:paraId="53E2F749" w14:textId="77777777" w:rsidR="003E0689" w:rsidRPr="00495BF1" w:rsidRDefault="003E0689" w:rsidP="003E0689">
            <w:pPr>
              <w:rPr>
                <w:rFonts w:cstheme="minorHAnsi"/>
              </w:rPr>
            </w:pPr>
          </w:p>
        </w:tc>
        <w:tc>
          <w:tcPr>
            <w:tcW w:w="4961" w:type="dxa"/>
          </w:tcPr>
          <w:p w14:paraId="62856099" w14:textId="159FA6B0" w:rsidR="004F6EDB" w:rsidRPr="00495BF1" w:rsidRDefault="004F6EDB" w:rsidP="003E0689">
            <w:pPr>
              <w:rPr>
                <w:rFonts w:cstheme="minorHAnsi"/>
              </w:rPr>
            </w:pPr>
            <w:r w:rsidRPr="00495BF1">
              <w:rPr>
                <w:rFonts w:cstheme="minorHAnsi"/>
              </w:rPr>
              <w:t xml:space="preserve">The Expert Panel </w:t>
            </w:r>
            <w:r w:rsidR="00967276" w:rsidRPr="00495BF1">
              <w:rPr>
                <w:rFonts w:cstheme="minorHAnsi"/>
              </w:rPr>
              <w:t>Review</w:t>
            </w:r>
            <w:r w:rsidRPr="00495BF1">
              <w:rPr>
                <w:rFonts w:cstheme="minorHAnsi"/>
              </w:rPr>
              <w:t xml:space="preserve"> </w:t>
            </w:r>
            <w:r w:rsidR="00967276" w:rsidRPr="00495BF1">
              <w:rPr>
                <w:rFonts w:cstheme="minorHAnsi"/>
              </w:rPr>
              <w:t>(April 2021) noted:</w:t>
            </w:r>
          </w:p>
          <w:p w14:paraId="7F0BA5C1" w14:textId="77777777" w:rsidR="003E0689" w:rsidRPr="00495BF1" w:rsidRDefault="003E0689" w:rsidP="003E0689">
            <w:pPr>
              <w:rPr>
                <w:rFonts w:cstheme="minorHAnsi"/>
              </w:rPr>
            </w:pPr>
          </w:p>
          <w:p w14:paraId="45359D09" w14:textId="28CA7499" w:rsidR="003E0689" w:rsidRPr="00495BF1" w:rsidRDefault="009E0340" w:rsidP="00703179">
            <w:pPr>
              <w:ind w:left="720"/>
              <w:rPr>
                <w:rFonts w:cstheme="minorHAnsi"/>
              </w:rPr>
            </w:pPr>
            <w:r w:rsidRPr="00495BF1">
              <w:rPr>
                <w:rFonts w:cstheme="minorHAnsi"/>
              </w:rPr>
              <w:t>“</w:t>
            </w:r>
            <w:r w:rsidR="003E0689" w:rsidRPr="00495BF1">
              <w:rPr>
                <w:rFonts w:cstheme="minorHAnsi"/>
              </w:rPr>
              <w:t>Some of the references in the Draft Report (see p 225) are quite old and or may not be relevant to Australia as overseas recoveries of harvest was through the farming of a species of prawn not native to Australia (see Diggle, 2018, p17).  We suggest adjusting information on page 231 to indicate that resistance breeding may provide a long-term solution, but Australia would need to do its own breeding</w:t>
            </w:r>
            <w:r w:rsidRPr="00495BF1">
              <w:rPr>
                <w:rFonts w:cstheme="minorHAnsi"/>
              </w:rPr>
              <w:t xml:space="preserve">.” </w:t>
            </w:r>
          </w:p>
        </w:tc>
        <w:tc>
          <w:tcPr>
            <w:tcW w:w="5387" w:type="dxa"/>
          </w:tcPr>
          <w:p w14:paraId="34D6433A" w14:textId="6E36F61F" w:rsidR="003E0689" w:rsidRPr="00495BF1" w:rsidRDefault="003E0689" w:rsidP="003E0689">
            <w:pPr>
              <w:rPr>
                <w:rFonts w:cstheme="minorHAnsi"/>
                <w:color w:val="0070C0"/>
              </w:rPr>
            </w:pPr>
            <w:r w:rsidRPr="00495BF1">
              <w:rPr>
                <w:rFonts w:cstheme="minorHAnsi"/>
                <w:color w:val="0070C0"/>
              </w:rPr>
              <w:t>PARTIALLY ADDRESSED</w:t>
            </w:r>
          </w:p>
          <w:p w14:paraId="1ADDE38F" w14:textId="77777777" w:rsidR="003E0689" w:rsidRPr="00495BF1" w:rsidRDefault="003E0689" w:rsidP="003E0689">
            <w:pPr>
              <w:rPr>
                <w:rFonts w:cstheme="minorHAnsi"/>
                <w:color w:val="0070C0"/>
              </w:rPr>
            </w:pPr>
          </w:p>
          <w:p w14:paraId="4D6FB679" w14:textId="4239E064" w:rsidR="003E0689" w:rsidRPr="00495BF1" w:rsidRDefault="003E0689" w:rsidP="003E0689">
            <w:pPr>
              <w:rPr>
                <w:rFonts w:cstheme="minorHAnsi"/>
                <w:color w:val="0070C0"/>
              </w:rPr>
            </w:pPr>
            <w:r w:rsidRPr="00495BF1">
              <w:rPr>
                <w:rFonts w:cstheme="minorHAnsi"/>
                <w:color w:val="0070C0"/>
              </w:rPr>
              <w:t xml:space="preserve">The original </w:t>
            </w:r>
            <w:r w:rsidR="00C25A15" w:rsidRPr="00495BF1">
              <w:rPr>
                <w:rFonts w:cstheme="minorHAnsi"/>
                <w:color w:val="0070C0"/>
              </w:rPr>
              <w:t xml:space="preserve">assumption </w:t>
            </w:r>
            <w:r w:rsidRPr="00495BF1">
              <w:rPr>
                <w:rFonts w:cstheme="minorHAnsi"/>
                <w:color w:val="0070C0"/>
              </w:rPr>
              <w:t xml:space="preserve">appears in </w:t>
            </w:r>
            <w:r w:rsidR="00C2607C" w:rsidRPr="00495BF1">
              <w:rPr>
                <w:rFonts w:cstheme="minorHAnsi"/>
                <w:color w:val="0070C0"/>
              </w:rPr>
              <w:t xml:space="preserve">Chapter 14 of the </w:t>
            </w:r>
            <w:r w:rsidR="007212C5" w:rsidRPr="00495BF1">
              <w:rPr>
                <w:rFonts w:cstheme="minorHAnsi"/>
                <w:color w:val="0070C0"/>
              </w:rPr>
              <w:t>Draft Report (2020)</w:t>
            </w:r>
            <w:r w:rsidR="00C2607C" w:rsidRPr="00495BF1">
              <w:rPr>
                <w:rFonts w:cstheme="minorHAnsi"/>
                <w:color w:val="0070C0"/>
              </w:rPr>
              <w:t xml:space="preserve"> </w:t>
            </w:r>
            <w:r w:rsidRPr="00495BF1">
              <w:rPr>
                <w:rFonts w:cstheme="minorHAnsi"/>
                <w:color w:val="0070C0"/>
              </w:rPr>
              <w:t xml:space="preserve">and the comment remains </w:t>
            </w:r>
            <w:r w:rsidR="00C2607C" w:rsidRPr="00495BF1">
              <w:rPr>
                <w:rFonts w:cstheme="minorHAnsi"/>
                <w:color w:val="0070C0"/>
              </w:rPr>
              <w:t xml:space="preserve">unchanged </w:t>
            </w:r>
            <w:r w:rsidRPr="00495BF1">
              <w:rPr>
                <w:rFonts w:cstheme="minorHAnsi"/>
                <w:color w:val="0070C0"/>
              </w:rPr>
              <w:t xml:space="preserve">in the </w:t>
            </w:r>
            <w:r w:rsidR="00C2607C" w:rsidRPr="00495BF1">
              <w:rPr>
                <w:rFonts w:cstheme="minorHAnsi"/>
                <w:color w:val="0070C0"/>
              </w:rPr>
              <w:t xml:space="preserve">Provisional Final Report </w:t>
            </w:r>
            <w:r w:rsidRPr="00495BF1">
              <w:rPr>
                <w:rFonts w:cstheme="minorHAnsi"/>
                <w:color w:val="0070C0"/>
              </w:rPr>
              <w:t>(see page 22</w:t>
            </w:r>
            <w:r w:rsidR="00C2607C" w:rsidRPr="00495BF1">
              <w:rPr>
                <w:rFonts w:cstheme="minorHAnsi"/>
                <w:color w:val="0070C0"/>
              </w:rPr>
              <w:t>9</w:t>
            </w:r>
            <w:r w:rsidRPr="00495BF1">
              <w:rPr>
                <w:rFonts w:cstheme="minorHAnsi"/>
                <w:color w:val="0070C0"/>
              </w:rPr>
              <w:t xml:space="preserve">).  </w:t>
            </w:r>
          </w:p>
          <w:p w14:paraId="51B80B69" w14:textId="77777777" w:rsidR="003E0689" w:rsidRPr="00495BF1" w:rsidRDefault="003E0689" w:rsidP="003E0689">
            <w:pPr>
              <w:rPr>
                <w:rFonts w:cstheme="minorHAnsi"/>
                <w:color w:val="0070C0"/>
              </w:rPr>
            </w:pPr>
          </w:p>
          <w:p w14:paraId="4AD091F8" w14:textId="3A4D829F" w:rsidR="003E0689" w:rsidRPr="00495BF1" w:rsidRDefault="00C2607C" w:rsidP="003E0689">
            <w:pPr>
              <w:rPr>
                <w:rFonts w:cstheme="minorHAnsi"/>
                <w:color w:val="0070C0"/>
              </w:rPr>
            </w:pPr>
            <w:r w:rsidRPr="00495BF1">
              <w:rPr>
                <w:rFonts w:cstheme="minorHAnsi"/>
                <w:color w:val="0070C0"/>
              </w:rPr>
              <w:t>The Expert Panel believes that</w:t>
            </w:r>
            <w:r w:rsidR="003E0689" w:rsidRPr="00495BF1">
              <w:rPr>
                <w:rFonts w:cstheme="minorHAnsi"/>
                <w:color w:val="0070C0"/>
              </w:rPr>
              <w:t xml:space="preserve"> the matter has been addressed, in part, in Chapter 1.5. where it is noted that five of the farms affected in </w:t>
            </w:r>
            <w:r w:rsidR="00D14A37" w:rsidRPr="00495BF1">
              <w:rPr>
                <w:rFonts w:cstheme="minorHAnsi"/>
                <w:color w:val="0070C0"/>
              </w:rPr>
              <w:t xml:space="preserve">the </w:t>
            </w:r>
            <w:r w:rsidR="003E0689" w:rsidRPr="00495BF1">
              <w:rPr>
                <w:rFonts w:cstheme="minorHAnsi"/>
                <w:color w:val="0070C0"/>
              </w:rPr>
              <w:t xml:space="preserve">2015/17 detection of white spot disease began production in 2020 with no white spot disease detected.  The other two originally affected farms did detect White spot disease in 2020.  </w:t>
            </w:r>
          </w:p>
          <w:p w14:paraId="4EE1E669" w14:textId="77777777" w:rsidR="003E0689" w:rsidRPr="00495BF1" w:rsidRDefault="003E0689" w:rsidP="003E0689">
            <w:pPr>
              <w:rPr>
                <w:rFonts w:cstheme="minorHAnsi"/>
                <w:color w:val="0070C0"/>
                <w:highlight w:val="yellow"/>
              </w:rPr>
            </w:pPr>
          </w:p>
          <w:p w14:paraId="1C9A919D" w14:textId="55BEABEA" w:rsidR="003E0689" w:rsidRPr="00495BF1" w:rsidRDefault="003E0689" w:rsidP="003E0689">
            <w:pPr>
              <w:rPr>
                <w:rFonts w:cstheme="minorHAnsi"/>
                <w:color w:val="0070C0"/>
              </w:rPr>
            </w:pPr>
            <w:r w:rsidRPr="00495BF1">
              <w:rPr>
                <w:rFonts w:cstheme="minorHAnsi"/>
                <w:color w:val="0070C0"/>
              </w:rPr>
              <w:t xml:space="preserve">The Expert Panel recommends Chapter 14 be updated considering the information provided in Chapter 1.5, or the comment deleted in Chapter 14 to avoid confusion.  </w:t>
            </w:r>
          </w:p>
          <w:p w14:paraId="70D0FF09" w14:textId="77777777" w:rsidR="003E0689" w:rsidRPr="00495BF1" w:rsidRDefault="003E0689" w:rsidP="003E0689">
            <w:pPr>
              <w:rPr>
                <w:rFonts w:cstheme="minorHAnsi"/>
                <w:color w:val="0070C0"/>
              </w:rPr>
            </w:pPr>
          </w:p>
        </w:tc>
      </w:tr>
      <w:tr w:rsidR="00673340" w:rsidRPr="003E0689" w14:paraId="2593558E" w14:textId="77777777" w:rsidTr="00703179">
        <w:tc>
          <w:tcPr>
            <w:tcW w:w="3539" w:type="dxa"/>
          </w:tcPr>
          <w:p w14:paraId="7D0EAD77" w14:textId="3EE87375" w:rsidR="00673340" w:rsidRPr="00495BF1" w:rsidRDefault="00C2607C" w:rsidP="00673340">
            <w:pPr>
              <w:rPr>
                <w:rFonts w:cstheme="minorHAnsi"/>
                <w:b/>
                <w:bCs/>
              </w:rPr>
            </w:pPr>
            <w:r w:rsidRPr="00495BF1">
              <w:rPr>
                <w:rFonts w:cstheme="minorHAnsi"/>
                <w:b/>
                <w:bCs/>
              </w:rPr>
              <w:t>3</w:t>
            </w:r>
            <w:r w:rsidR="00673340" w:rsidRPr="00495BF1">
              <w:rPr>
                <w:rFonts w:cstheme="minorHAnsi"/>
                <w:b/>
                <w:bCs/>
              </w:rPr>
              <w:t>. Bait and berley pathway (</w:t>
            </w:r>
            <w:r w:rsidR="00393C4A" w:rsidRPr="00495BF1">
              <w:rPr>
                <w:rFonts w:cstheme="minorHAnsi"/>
                <w:b/>
                <w:bCs/>
              </w:rPr>
              <w:t>i</w:t>
            </w:r>
            <w:r w:rsidR="00673340" w:rsidRPr="00495BF1">
              <w:rPr>
                <w:rFonts w:cstheme="minorHAnsi"/>
                <w:b/>
                <w:bCs/>
              </w:rPr>
              <w:t>ndustry stakeholder input)</w:t>
            </w:r>
          </w:p>
          <w:p w14:paraId="2286C624" w14:textId="77777777" w:rsidR="00673340" w:rsidRPr="00495BF1" w:rsidRDefault="00673340" w:rsidP="00673340">
            <w:pPr>
              <w:rPr>
                <w:rFonts w:cstheme="minorHAnsi"/>
              </w:rPr>
            </w:pPr>
          </w:p>
          <w:p w14:paraId="0727E71F" w14:textId="3721B0C2" w:rsidR="00673340" w:rsidRPr="00495BF1" w:rsidRDefault="00673340" w:rsidP="00673340">
            <w:pPr>
              <w:rPr>
                <w:rFonts w:cstheme="minorHAnsi"/>
                <w:b/>
                <w:bCs/>
              </w:rPr>
            </w:pPr>
            <w:r w:rsidRPr="00495BF1">
              <w:rPr>
                <w:rFonts w:cstheme="minorHAnsi"/>
              </w:rPr>
              <w:t>Some industry submissions contend that the bait and berley pathway is not properly assessed or understood.</w:t>
            </w:r>
          </w:p>
        </w:tc>
        <w:tc>
          <w:tcPr>
            <w:tcW w:w="4961" w:type="dxa"/>
          </w:tcPr>
          <w:p w14:paraId="2875913C" w14:textId="501A0E4E" w:rsidR="00673340" w:rsidRPr="00495BF1" w:rsidRDefault="00673340" w:rsidP="00673340">
            <w:pPr>
              <w:rPr>
                <w:rFonts w:cstheme="minorHAnsi"/>
              </w:rPr>
            </w:pPr>
            <w:r w:rsidRPr="00495BF1">
              <w:rPr>
                <w:rFonts w:cstheme="minorHAnsi"/>
              </w:rPr>
              <w:t>The Expert Panel Review (April 21) noted:</w:t>
            </w:r>
          </w:p>
          <w:p w14:paraId="3D8F9CD9" w14:textId="77777777" w:rsidR="00673340" w:rsidRPr="00495BF1" w:rsidRDefault="00673340" w:rsidP="00673340">
            <w:pPr>
              <w:rPr>
                <w:rFonts w:cstheme="minorHAnsi"/>
              </w:rPr>
            </w:pPr>
          </w:p>
          <w:p w14:paraId="498103ED" w14:textId="12A3B7DB" w:rsidR="00673340" w:rsidRPr="00495BF1" w:rsidRDefault="00673340" w:rsidP="00673340">
            <w:pPr>
              <w:ind w:left="720"/>
              <w:rPr>
                <w:rFonts w:cstheme="minorHAnsi"/>
              </w:rPr>
            </w:pPr>
            <w:r w:rsidRPr="00495BF1">
              <w:rPr>
                <w:rFonts w:cstheme="minorHAnsi"/>
              </w:rPr>
              <w:t xml:space="preserve"> “The Draft Report acknowledges that imported prawns and prawns intended for human consumption are widely used as bait or berley for recreational fishing, with ‘price and convenience’ a major driver. The Draft Report also acknowledges that the bait pathway risk has not been controlled with warning signs or education campaigns but contends that the tightening of biosecurity measures since 2017, along with several monitoring activities related to import </w:t>
            </w:r>
            <w:r w:rsidRPr="00495BF1">
              <w:rPr>
                <w:rFonts w:cstheme="minorHAnsi"/>
              </w:rPr>
              <w:lastRenderedPageBreak/>
              <w:t xml:space="preserve">conditions, are effective in achieving Australia’s </w:t>
            </w:r>
            <w:proofErr w:type="spellStart"/>
            <w:r w:rsidRPr="00495BF1">
              <w:rPr>
                <w:rFonts w:cstheme="minorHAnsi"/>
              </w:rPr>
              <w:t>ALoP</w:t>
            </w:r>
            <w:proofErr w:type="spellEnd"/>
            <w:r w:rsidRPr="00495BF1">
              <w:rPr>
                <w:rFonts w:cstheme="minorHAnsi"/>
              </w:rPr>
              <w:t>. To address industry concerns, further elaboration of the risk management measures that are in place to manage the bait and berley pathway would be helpful. The Draft Report should incorporate updated information and data from the recreational fishing survey if possible.”</w:t>
            </w:r>
          </w:p>
          <w:p w14:paraId="20DA464A" w14:textId="77777777" w:rsidR="00673340" w:rsidRPr="00495BF1" w:rsidRDefault="00673340" w:rsidP="00673340">
            <w:pPr>
              <w:rPr>
                <w:rFonts w:cstheme="minorHAnsi"/>
              </w:rPr>
            </w:pPr>
          </w:p>
        </w:tc>
        <w:tc>
          <w:tcPr>
            <w:tcW w:w="5387" w:type="dxa"/>
          </w:tcPr>
          <w:p w14:paraId="6C345EA2" w14:textId="77777777" w:rsidR="00673340" w:rsidRPr="00495BF1" w:rsidRDefault="00673340" w:rsidP="00673340">
            <w:pPr>
              <w:rPr>
                <w:rFonts w:cstheme="minorHAnsi"/>
                <w:color w:val="4472C4" w:themeColor="accent1"/>
              </w:rPr>
            </w:pPr>
            <w:r w:rsidRPr="00495BF1">
              <w:rPr>
                <w:rFonts w:cstheme="minorHAnsi"/>
                <w:color w:val="4472C4" w:themeColor="accent1"/>
              </w:rPr>
              <w:lastRenderedPageBreak/>
              <w:t>PARTIALLY ADDRESSED</w:t>
            </w:r>
          </w:p>
          <w:p w14:paraId="301F6FE7" w14:textId="77777777" w:rsidR="00673340" w:rsidRPr="00495BF1" w:rsidRDefault="00673340" w:rsidP="00673340">
            <w:pPr>
              <w:rPr>
                <w:rFonts w:cstheme="minorHAnsi"/>
                <w:color w:val="4472C4" w:themeColor="accent1"/>
              </w:rPr>
            </w:pPr>
          </w:p>
          <w:p w14:paraId="4114BEEB" w14:textId="433571CE" w:rsidR="00673340" w:rsidRPr="00495BF1" w:rsidRDefault="00673340" w:rsidP="00673340">
            <w:pPr>
              <w:rPr>
                <w:rFonts w:cstheme="minorHAnsi"/>
                <w:color w:val="4472C4" w:themeColor="accent1"/>
              </w:rPr>
            </w:pPr>
            <w:r w:rsidRPr="00495BF1">
              <w:rPr>
                <w:rFonts w:cstheme="minorHAnsi"/>
                <w:color w:val="4472C4" w:themeColor="accent1"/>
              </w:rPr>
              <w:t xml:space="preserve">Significant new information on the bait and berley pathway, including updated information and data from the recreational fishing survey is included throughout:  </w:t>
            </w:r>
          </w:p>
          <w:p w14:paraId="53ED1A95" w14:textId="77777777" w:rsidR="00673340" w:rsidRPr="00495BF1" w:rsidRDefault="00673340" w:rsidP="00673340">
            <w:pPr>
              <w:pStyle w:val="ListParagraph"/>
              <w:numPr>
                <w:ilvl w:val="0"/>
                <w:numId w:val="5"/>
              </w:numPr>
              <w:rPr>
                <w:rFonts w:cstheme="minorHAnsi"/>
                <w:color w:val="4472C4" w:themeColor="accent1"/>
              </w:rPr>
            </w:pPr>
            <w:r w:rsidRPr="00495BF1">
              <w:rPr>
                <w:rFonts w:cstheme="minorHAnsi"/>
                <w:color w:val="4472C4" w:themeColor="accent1"/>
              </w:rPr>
              <w:t xml:space="preserve">Chapter 4 ‘Risk assessment methodology and summary of general considerations’, </w:t>
            </w:r>
          </w:p>
          <w:p w14:paraId="4A219E78" w14:textId="77777777" w:rsidR="00673340" w:rsidRPr="00495BF1" w:rsidRDefault="00673340" w:rsidP="00673340">
            <w:pPr>
              <w:pStyle w:val="ListParagraph"/>
              <w:numPr>
                <w:ilvl w:val="0"/>
                <w:numId w:val="5"/>
              </w:numPr>
              <w:rPr>
                <w:rFonts w:cstheme="minorHAnsi"/>
                <w:color w:val="4472C4" w:themeColor="accent1"/>
              </w:rPr>
            </w:pPr>
            <w:r w:rsidRPr="00495BF1">
              <w:rPr>
                <w:rFonts w:cstheme="minorHAnsi"/>
                <w:color w:val="4472C4" w:themeColor="accent1"/>
              </w:rPr>
              <w:t xml:space="preserve">Section 4.3.2 ‘Identification of exposure pathways’ </w:t>
            </w:r>
          </w:p>
          <w:p w14:paraId="06C9415B" w14:textId="77777777" w:rsidR="00673340" w:rsidRPr="00495BF1" w:rsidRDefault="00673340" w:rsidP="00673340">
            <w:pPr>
              <w:pStyle w:val="ListParagraph"/>
              <w:numPr>
                <w:ilvl w:val="0"/>
                <w:numId w:val="5"/>
              </w:numPr>
              <w:rPr>
                <w:rFonts w:cstheme="minorHAnsi"/>
                <w:color w:val="4472C4" w:themeColor="accent1"/>
              </w:rPr>
            </w:pPr>
            <w:r w:rsidRPr="00495BF1">
              <w:rPr>
                <w:rFonts w:cstheme="minorHAnsi"/>
                <w:color w:val="4472C4" w:themeColor="accent1"/>
              </w:rPr>
              <w:t xml:space="preserve">Table 7 ‘Summary of Major and Minor Pathways for Imported Prawns’ </w:t>
            </w:r>
          </w:p>
          <w:p w14:paraId="71DCF8C7" w14:textId="77777777" w:rsidR="00673340" w:rsidRPr="00495BF1" w:rsidRDefault="00673340" w:rsidP="00673340">
            <w:pPr>
              <w:pStyle w:val="ListParagraph"/>
              <w:numPr>
                <w:ilvl w:val="0"/>
                <w:numId w:val="5"/>
              </w:numPr>
              <w:rPr>
                <w:rFonts w:cstheme="minorHAnsi"/>
                <w:color w:val="4472C4" w:themeColor="accent1"/>
              </w:rPr>
            </w:pPr>
            <w:r w:rsidRPr="00495BF1">
              <w:rPr>
                <w:rFonts w:cstheme="minorHAnsi"/>
                <w:color w:val="4472C4" w:themeColor="accent1"/>
              </w:rPr>
              <w:t>Section 4.3.3 ‘Key considerations of the exposure assessment’</w:t>
            </w:r>
          </w:p>
          <w:p w14:paraId="4540D763" w14:textId="77777777" w:rsidR="00673340" w:rsidRPr="00495BF1" w:rsidRDefault="00673340" w:rsidP="00673340">
            <w:pPr>
              <w:pStyle w:val="ListParagraph"/>
              <w:ind w:left="360"/>
              <w:rPr>
                <w:rFonts w:cstheme="minorHAnsi"/>
                <w:color w:val="4472C4" w:themeColor="accent1"/>
              </w:rPr>
            </w:pPr>
          </w:p>
          <w:p w14:paraId="6393DCC9" w14:textId="3D415EC2" w:rsidR="00673340" w:rsidRPr="00495BF1" w:rsidRDefault="00393C4A" w:rsidP="00673340">
            <w:pPr>
              <w:rPr>
                <w:rFonts w:cstheme="minorHAnsi"/>
                <w:color w:val="0070C0"/>
              </w:rPr>
            </w:pPr>
            <w:r w:rsidRPr="00495BF1">
              <w:rPr>
                <w:rFonts w:cstheme="minorHAnsi"/>
                <w:color w:val="0070C0"/>
              </w:rPr>
              <w:t xml:space="preserve">In </w:t>
            </w:r>
            <w:r w:rsidR="00673340" w:rsidRPr="00495BF1">
              <w:rPr>
                <w:rFonts w:cstheme="minorHAnsi"/>
                <w:color w:val="0070C0"/>
              </w:rPr>
              <w:t xml:space="preserve">Chapter 5 ‘Options for biosecurity management of imported prawns, Section 5.1 Biosecurity measures’ considered further, </w:t>
            </w:r>
            <w:r w:rsidRPr="00495BF1">
              <w:rPr>
                <w:rFonts w:cstheme="minorHAnsi"/>
                <w:color w:val="0070C0"/>
              </w:rPr>
              <w:t>several</w:t>
            </w:r>
            <w:r w:rsidR="00673340" w:rsidRPr="00495BF1">
              <w:rPr>
                <w:rFonts w:cstheme="minorHAnsi"/>
                <w:color w:val="0070C0"/>
              </w:rPr>
              <w:t xml:space="preserve"> additional matters relevant to the various risk management options, including some changes to assumptions following incorporation of data from the recreational fishing survey, have been added. </w:t>
            </w:r>
          </w:p>
          <w:p w14:paraId="3A89F378" w14:textId="77777777" w:rsidR="00673340" w:rsidRPr="00495BF1" w:rsidRDefault="00673340" w:rsidP="00673340">
            <w:pPr>
              <w:rPr>
                <w:rFonts w:cstheme="minorHAnsi"/>
                <w:color w:val="4472C4" w:themeColor="accent1"/>
                <w:highlight w:val="yellow"/>
              </w:rPr>
            </w:pPr>
          </w:p>
          <w:p w14:paraId="594E2460" w14:textId="5A9FE39E" w:rsidR="00673340" w:rsidRPr="00495BF1" w:rsidRDefault="00673340" w:rsidP="00673340">
            <w:pPr>
              <w:rPr>
                <w:rFonts w:cstheme="minorHAnsi"/>
                <w:color w:val="0070C0"/>
              </w:rPr>
            </w:pPr>
            <w:r w:rsidRPr="00495BF1">
              <w:rPr>
                <w:rFonts w:cstheme="minorHAnsi"/>
                <w:color w:val="0070C0"/>
              </w:rPr>
              <w:t>However, in some cases, it is not clear what adjustments the Department has made to its risk management approach. For example, the discussion on p</w:t>
            </w:r>
            <w:r w:rsidR="00C2607C" w:rsidRPr="00495BF1">
              <w:rPr>
                <w:rFonts w:cstheme="minorHAnsi"/>
                <w:color w:val="0070C0"/>
              </w:rPr>
              <w:t xml:space="preserve">age </w:t>
            </w:r>
            <w:r w:rsidRPr="00495BF1">
              <w:rPr>
                <w:rFonts w:cstheme="minorHAnsi"/>
                <w:color w:val="0070C0"/>
              </w:rPr>
              <w:t>84 relating to cooked prawns gives the impression that there is less risk now because cooked prawns represent a higher proportion of bait and berley used by recreational fisher</w:t>
            </w:r>
            <w:r w:rsidR="00C2607C" w:rsidRPr="00495BF1">
              <w:rPr>
                <w:rFonts w:cstheme="minorHAnsi"/>
                <w:color w:val="0070C0"/>
              </w:rPr>
              <w:t>s</w:t>
            </w:r>
            <w:r w:rsidRPr="00495BF1">
              <w:rPr>
                <w:rFonts w:cstheme="minorHAnsi"/>
                <w:color w:val="0070C0"/>
              </w:rPr>
              <w:t xml:space="preserve"> than previous data suggested.</w:t>
            </w:r>
            <w:r w:rsidRPr="00495BF1">
              <w:rPr>
                <w:rFonts w:cstheme="minorHAnsi"/>
              </w:rPr>
              <w:t xml:space="preserve"> </w:t>
            </w:r>
            <w:r w:rsidRPr="00495BF1">
              <w:rPr>
                <w:rFonts w:cstheme="minorHAnsi"/>
                <w:color w:val="0070C0"/>
              </w:rPr>
              <w:t xml:space="preserve">The first reference on page 84 becomes clearer only in the context of the risk assessment on page 237.  </w:t>
            </w:r>
          </w:p>
          <w:p w14:paraId="25D6524A" w14:textId="77777777" w:rsidR="00673340" w:rsidRPr="00495BF1" w:rsidRDefault="00673340" w:rsidP="00673340">
            <w:pPr>
              <w:rPr>
                <w:rFonts w:cstheme="minorHAnsi"/>
                <w:color w:val="0070C0"/>
              </w:rPr>
            </w:pPr>
          </w:p>
          <w:p w14:paraId="2A1FAB70" w14:textId="7C02849C" w:rsidR="00673340" w:rsidRPr="00495BF1" w:rsidRDefault="00673340" w:rsidP="00673340">
            <w:pPr>
              <w:rPr>
                <w:rFonts w:cstheme="minorHAnsi"/>
                <w:color w:val="0070C0"/>
              </w:rPr>
            </w:pPr>
            <w:r w:rsidRPr="00495BF1">
              <w:rPr>
                <w:rFonts w:cstheme="minorHAnsi"/>
                <w:color w:val="0070C0"/>
              </w:rPr>
              <w:t xml:space="preserve">The Expert Panel recommends that the Department check the wording on page 84, second paragraph to ensure clarity.  The Department may wish to </w:t>
            </w:r>
            <w:r w:rsidR="00393C4A" w:rsidRPr="00495BF1">
              <w:rPr>
                <w:rFonts w:cstheme="minorHAnsi"/>
                <w:color w:val="0070C0"/>
              </w:rPr>
              <w:t>consider giving</w:t>
            </w:r>
            <w:r w:rsidRPr="00495BF1">
              <w:rPr>
                <w:rFonts w:cstheme="minorHAnsi"/>
                <w:color w:val="0070C0"/>
              </w:rPr>
              <w:t xml:space="preserve"> more context on page 84, or cross-reference page 237</w:t>
            </w:r>
            <w:r w:rsidR="00393C4A" w:rsidRPr="00495BF1">
              <w:rPr>
                <w:rFonts w:cstheme="minorHAnsi"/>
                <w:color w:val="0070C0"/>
              </w:rPr>
              <w:t>,</w:t>
            </w:r>
            <w:r w:rsidRPr="00495BF1">
              <w:rPr>
                <w:rFonts w:cstheme="minorHAnsi"/>
                <w:color w:val="0070C0"/>
              </w:rPr>
              <w:t xml:space="preserve"> or reword the entry on page 84.</w:t>
            </w:r>
          </w:p>
          <w:p w14:paraId="1C00B744" w14:textId="77777777" w:rsidR="00673340" w:rsidRPr="00495BF1" w:rsidRDefault="00673340" w:rsidP="00673340">
            <w:pPr>
              <w:rPr>
                <w:rFonts w:cstheme="minorHAnsi"/>
                <w:color w:val="0070C0"/>
              </w:rPr>
            </w:pPr>
          </w:p>
          <w:p w14:paraId="70C736EF" w14:textId="51D8C2B7" w:rsidR="00673340" w:rsidRPr="00495BF1" w:rsidRDefault="00673340" w:rsidP="00673340">
            <w:pPr>
              <w:rPr>
                <w:rFonts w:cstheme="minorHAnsi"/>
                <w:color w:val="4472C4" w:themeColor="accent1"/>
              </w:rPr>
            </w:pPr>
            <w:r w:rsidRPr="00495BF1">
              <w:rPr>
                <w:rFonts w:cstheme="minorHAnsi"/>
                <w:color w:val="0070C0"/>
                <w:lang w:eastAsia="ja-JP"/>
              </w:rPr>
              <w:t xml:space="preserve">The Expert Panel </w:t>
            </w:r>
            <w:r w:rsidR="009C618D" w:rsidRPr="00495BF1">
              <w:rPr>
                <w:rFonts w:cstheme="minorHAnsi"/>
                <w:color w:val="0070C0"/>
                <w:lang w:eastAsia="ja-JP"/>
              </w:rPr>
              <w:t>also</w:t>
            </w:r>
            <w:r w:rsidRPr="00495BF1">
              <w:rPr>
                <w:rFonts w:cstheme="minorHAnsi"/>
                <w:color w:val="0070C0"/>
                <w:lang w:eastAsia="ja-JP"/>
              </w:rPr>
              <w:t xml:space="preserve"> </w:t>
            </w:r>
            <w:r w:rsidR="009C618D" w:rsidRPr="00495BF1">
              <w:rPr>
                <w:rFonts w:cstheme="minorHAnsi"/>
                <w:color w:val="0070C0"/>
                <w:lang w:eastAsia="ja-JP"/>
              </w:rPr>
              <w:t>recommends</w:t>
            </w:r>
            <w:r w:rsidRPr="00495BF1">
              <w:rPr>
                <w:rFonts w:cstheme="minorHAnsi"/>
                <w:color w:val="0070C0"/>
                <w:lang w:eastAsia="ja-JP"/>
              </w:rPr>
              <w:t xml:space="preserve"> that the Department clarify how this risk could be </w:t>
            </w:r>
            <w:r w:rsidR="00964613" w:rsidRPr="00495BF1">
              <w:rPr>
                <w:rFonts w:cstheme="minorHAnsi"/>
                <w:color w:val="0070C0"/>
                <w:lang w:eastAsia="ja-JP"/>
              </w:rPr>
              <w:t xml:space="preserve">further </w:t>
            </w:r>
            <w:r w:rsidRPr="00495BF1">
              <w:rPr>
                <w:rFonts w:cstheme="minorHAnsi"/>
                <w:color w:val="0070C0"/>
                <w:lang w:eastAsia="ja-JP"/>
              </w:rPr>
              <w:t>lessened.  Some te</w:t>
            </w:r>
            <w:r w:rsidR="00964613" w:rsidRPr="00495BF1">
              <w:rPr>
                <w:rFonts w:cstheme="minorHAnsi"/>
                <w:color w:val="0070C0"/>
                <w:lang w:eastAsia="ja-JP"/>
              </w:rPr>
              <w:t>x</w:t>
            </w:r>
            <w:r w:rsidRPr="00495BF1">
              <w:rPr>
                <w:rFonts w:cstheme="minorHAnsi"/>
                <w:color w:val="0070C0"/>
                <w:lang w:eastAsia="ja-JP"/>
              </w:rPr>
              <w:t xml:space="preserve">t alludes to changes in labelling.  </w:t>
            </w:r>
            <w:r w:rsidR="00964613" w:rsidRPr="00495BF1">
              <w:rPr>
                <w:rFonts w:cstheme="minorHAnsi"/>
                <w:color w:val="0070C0"/>
                <w:lang w:eastAsia="ja-JP"/>
              </w:rPr>
              <w:t xml:space="preserve">  Is there more that can be done?  </w:t>
            </w:r>
            <w:r w:rsidRPr="00495BF1">
              <w:rPr>
                <w:rFonts w:cstheme="minorHAnsi"/>
                <w:color w:val="0070C0"/>
                <w:lang w:eastAsia="ja-JP"/>
              </w:rPr>
              <w:t xml:space="preserve">The Panel notes that </w:t>
            </w:r>
            <w:r w:rsidR="00964613" w:rsidRPr="00495BF1">
              <w:rPr>
                <w:rFonts w:cstheme="minorHAnsi"/>
                <w:color w:val="0070C0"/>
                <w:lang w:eastAsia="ja-JP"/>
              </w:rPr>
              <w:t xml:space="preserve">other </w:t>
            </w:r>
            <w:r w:rsidRPr="00495BF1">
              <w:rPr>
                <w:rFonts w:cstheme="minorHAnsi"/>
                <w:color w:val="0070C0"/>
                <w:lang w:eastAsia="ja-JP"/>
              </w:rPr>
              <w:t xml:space="preserve">action may be under the jurisdiction of States or Territory Governments.  </w:t>
            </w:r>
          </w:p>
        </w:tc>
      </w:tr>
      <w:tr w:rsidR="00673340" w:rsidRPr="003E0689" w14:paraId="78E5A1F0" w14:textId="77777777" w:rsidTr="00703179">
        <w:tc>
          <w:tcPr>
            <w:tcW w:w="3539" w:type="dxa"/>
          </w:tcPr>
          <w:p w14:paraId="5F4EF1A6" w14:textId="483E232D" w:rsidR="00673340" w:rsidRPr="00495BF1" w:rsidRDefault="00C2607C" w:rsidP="00673340">
            <w:pPr>
              <w:rPr>
                <w:rFonts w:cstheme="minorHAnsi"/>
                <w:b/>
                <w:bCs/>
              </w:rPr>
            </w:pPr>
            <w:r w:rsidRPr="00495BF1">
              <w:rPr>
                <w:rFonts w:cstheme="minorHAnsi"/>
                <w:b/>
                <w:bCs/>
              </w:rPr>
              <w:lastRenderedPageBreak/>
              <w:t>4</w:t>
            </w:r>
            <w:r w:rsidR="00673340" w:rsidRPr="00495BF1">
              <w:rPr>
                <w:rFonts w:cstheme="minorHAnsi"/>
                <w:b/>
                <w:bCs/>
              </w:rPr>
              <w:t>. Entry assessment has a history of failure (</w:t>
            </w:r>
            <w:r w:rsidR="00393C4A" w:rsidRPr="00495BF1">
              <w:rPr>
                <w:rFonts w:cstheme="minorHAnsi"/>
                <w:b/>
                <w:bCs/>
              </w:rPr>
              <w:t>i</w:t>
            </w:r>
            <w:r w:rsidR="00673340" w:rsidRPr="00495BF1">
              <w:rPr>
                <w:rFonts w:cstheme="minorHAnsi"/>
                <w:b/>
                <w:bCs/>
              </w:rPr>
              <w:t xml:space="preserve">ndustry </w:t>
            </w:r>
            <w:r w:rsidR="00964613" w:rsidRPr="00495BF1">
              <w:rPr>
                <w:rFonts w:cstheme="minorHAnsi"/>
                <w:b/>
                <w:bCs/>
              </w:rPr>
              <w:t>stakeholder</w:t>
            </w:r>
            <w:r w:rsidR="00393C4A" w:rsidRPr="00495BF1">
              <w:rPr>
                <w:rFonts w:cstheme="minorHAnsi"/>
                <w:b/>
                <w:bCs/>
              </w:rPr>
              <w:t xml:space="preserve"> </w:t>
            </w:r>
            <w:r w:rsidR="00673340" w:rsidRPr="00495BF1">
              <w:rPr>
                <w:rFonts w:cstheme="minorHAnsi"/>
                <w:b/>
                <w:bCs/>
              </w:rPr>
              <w:t xml:space="preserve">input) </w:t>
            </w:r>
          </w:p>
          <w:p w14:paraId="729963C3" w14:textId="77777777" w:rsidR="00673340" w:rsidRPr="00495BF1" w:rsidRDefault="00673340" w:rsidP="00673340">
            <w:pPr>
              <w:ind w:left="720"/>
              <w:rPr>
                <w:rFonts w:cstheme="minorHAnsi"/>
              </w:rPr>
            </w:pPr>
          </w:p>
          <w:p w14:paraId="019536B7" w14:textId="74AFCDC2" w:rsidR="00673340" w:rsidRPr="00495BF1" w:rsidRDefault="00673340" w:rsidP="00673340">
            <w:pPr>
              <w:rPr>
                <w:rFonts w:cstheme="minorHAnsi"/>
              </w:rPr>
            </w:pPr>
            <w:r w:rsidRPr="00495BF1">
              <w:rPr>
                <w:rFonts w:cstheme="minorHAnsi"/>
              </w:rPr>
              <w:t>Many industry submissions are critical of the Draft Report’s confidence in the effectiveness of testing at the border which has failed in the past due to inspection confusion, system rorting and testing failure. Some submissions suggest that inadequate resourcing is a major reason for failure, and one suggests that the resources needed to enforce import biosecurity protocols should be cost-recoverable.</w:t>
            </w:r>
          </w:p>
          <w:p w14:paraId="5460BC28" w14:textId="77777777" w:rsidR="00673340" w:rsidRPr="00495BF1" w:rsidRDefault="00673340" w:rsidP="00673340">
            <w:pPr>
              <w:rPr>
                <w:rFonts w:cstheme="minorHAnsi"/>
              </w:rPr>
            </w:pPr>
          </w:p>
        </w:tc>
        <w:tc>
          <w:tcPr>
            <w:tcW w:w="4961" w:type="dxa"/>
          </w:tcPr>
          <w:p w14:paraId="1E1F34C8" w14:textId="41FD760C" w:rsidR="00673340" w:rsidRPr="00495BF1" w:rsidRDefault="00673340" w:rsidP="00673340">
            <w:pPr>
              <w:rPr>
                <w:rFonts w:cstheme="minorHAnsi"/>
              </w:rPr>
            </w:pPr>
            <w:r w:rsidRPr="00495BF1">
              <w:rPr>
                <w:rFonts w:cstheme="minorHAnsi"/>
              </w:rPr>
              <w:t xml:space="preserve">The Expert Panel Review (April 21) noted: </w:t>
            </w:r>
          </w:p>
          <w:p w14:paraId="404E80E8" w14:textId="77777777" w:rsidR="00673340" w:rsidRPr="00495BF1" w:rsidRDefault="00673340" w:rsidP="00673340">
            <w:pPr>
              <w:rPr>
                <w:rFonts w:cstheme="minorHAnsi"/>
              </w:rPr>
            </w:pPr>
          </w:p>
          <w:p w14:paraId="4FF7A0BB" w14:textId="6C15B991" w:rsidR="00673340" w:rsidRPr="00495BF1" w:rsidRDefault="00673340" w:rsidP="00673340">
            <w:pPr>
              <w:ind w:left="720"/>
              <w:rPr>
                <w:rFonts w:cstheme="minorHAnsi"/>
              </w:rPr>
            </w:pPr>
            <w:r w:rsidRPr="00495BF1">
              <w:rPr>
                <w:rFonts w:cstheme="minorHAnsi"/>
              </w:rPr>
              <w:t>“The Draft Report does not provide a clear explanation of how deficiencies in the testing regime will be addressed nor the resources that would be needed to strengthen the testing regime. The Draft Report should further consider the recommendations put forward by industry seeking a clearer outline of the testing regime for each of the prawn categories, the justification for the categories and trigger mechanisms for increased surveillance of each of the categories.</w:t>
            </w:r>
            <w:r w:rsidR="00D82256" w:rsidRPr="00495BF1">
              <w:rPr>
                <w:rFonts w:cstheme="minorHAnsi"/>
              </w:rPr>
              <w:t>”</w:t>
            </w:r>
          </w:p>
          <w:p w14:paraId="4408DD29" w14:textId="77777777" w:rsidR="00673340" w:rsidRPr="00495BF1" w:rsidRDefault="00673340" w:rsidP="00673340">
            <w:pPr>
              <w:ind w:left="720"/>
              <w:rPr>
                <w:rFonts w:cstheme="minorHAnsi"/>
              </w:rPr>
            </w:pPr>
          </w:p>
          <w:p w14:paraId="69DE0F21" w14:textId="01CC4AA2" w:rsidR="00673340" w:rsidRPr="00495BF1" w:rsidRDefault="00673340" w:rsidP="00673340">
            <w:pPr>
              <w:ind w:left="720"/>
              <w:rPr>
                <w:rFonts w:cstheme="minorHAnsi"/>
              </w:rPr>
            </w:pPr>
          </w:p>
        </w:tc>
        <w:tc>
          <w:tcPr>
            <w:tcW w:w="5387" w:type="dxa"/>
          </w:tcPr>
          <w:p w14:paraId="06F76618" w14:textId="1FCE583E" w:rsidR="00673340" w:rsidRPr="00495BF1" w:rsidRDefault="00673340" w:rsidP="00673340">
            <w:pPr>
              <w:rPr>
                <w:rFonts w:cstheme="minorHAnsi"/>
                <w:color w:val="0070C0"/>
              </w:rPr>
            </w:pPr>
            <w:r w:rsidRPr="00495BF1">
              <w:rPr>
                <w:rFonts w:cstheme="minorHAnsi"/>
                <w:color w:val="0070C0"/>
              </w:rPr>
              <w:t>ADDRESSED</w:t>
            </w:r>
            <w:r w:rsidR="00051017" w:rsidRPr="00495BF1">
              <w:rPr>
                <w:rFonts w:cstheme="minorHAnsi"/>
                <w:color w:val="0070C0"/>
              </w:rPr>
              <w:t xml:space="preserve"> with a SUGGESTION</w:t>
            </w:r>
          </w:p>
          <w:p w14:paraId="5C1458EB" w14:textId="77777777" w:rsidR="00673340" w:rsidRPr="00495BF1" w:rsidRDefault="00673340" w:rsidP="00673340">
            <w:pPr>
              <w:rPr>
                <w:rFonts w:cstheme="minorHAnsi"/>
                <w:color w:val="0070C0"/>
              </w:rPr>
            </w:pPr>
          </w:p>
          <w:p w14:paraId="7CE20E11" w14:textId="4D758BCF" w:rsidR="00673340" w:rsidRPr="00495BF1" w:rsidRDefault="00673340" w:rsidP="00673340">
            <w:pPr>
              <w:rPr>
                <w:rFonts w:cstheme="minorHAnsi"/>
                <w:color w:val="0070C0"/>
              </w:rPr>
            </w:pPr>
            <w:r w:rsidRPr="00495BF1">
              <w:rPr>
                <w:rFonts w:cstheme="minorHAnsi"/>
                <w:color w:val="0070C0"/>
              </w:rPr>
              <w:t>(This issue is closely related to Issue 65 addressed above)</w:t>
            </w:r>
          </w:p>
          <w:p w14:paraId="2225975F" w14:textId="77777777" w:rsidR="00673340" w:rsidRPr="00495BF1" w:rsidRDefault="00673340" w:rsidP="00673340">
            <w:pPr>
              <w:rPr>
                <w:rFonts w:cstheme="minorHAnsi"/>
                <w:color w:val="0070C0"/>
              </w:rPr>
            </w:pPr>
          </w:p>
          <w:p w14:paraId="737990D6" w14:textId="77777777" w:rsidR="00C2607C" w:rsidRPr="00495BF1" w:rsidRDefault="00673340" w:rsidP="00673340">
            <w:pPr>
              <w:rPr>
                <w:rFonts w:cstheme="minorHAnsi"/>
                <w:color w:val="0070C0"/>
              </w:rPr>
            </w:pPr>
            <w:r w:rsidRPr="00495BF1">
              <w:rPr>
                <w:rFonts w:cstheme="minorHAnsi"/>
                <w:color w:val="0070C0"/>
              </w:rPr>
              <w:t xml:space="preserve">New Chapter 17 ‘Testing of imported prawns’ contains a comprehensive description of the testing regime for uncooked prawns, including additional information on testing for WSSV and YHV1. </w:t>
            </w:r>
          </w:p>
          <w:p w14:paraId="04067C2E" w14:textId="77777777" w:rsidR="00C2607C" w:rsidRPr="00495BF1" w:rsidRDefault="00C2607C" w:rsidP="00673340">
            <w:pPr>
              <w:rPr>
                <w:rFonts w:cstheme="minorHAnsi"/>
                <w:color w:val="0070C0"/>
              </w:rPr>
            </w:pPr>
          </w:p>
          <w:p w14:paraId="13A4240A" w14:textId="5BA77EAA" w:rsidR="00673340" w:rsidRPr="00495BF1" w:rsidRDefault="00C2607C" w:rsidP="00673340">
            <w:pPr>
              <w:rPr>
                <w:rFonts w:cstheme="minorHAnsi"/>
                <w:color w:val="0070C0"/>
              </w:rPr>
            </w:pPr>
            <w:r w:rsidRPr="00495BF1">
              <w:rPr>
                <w:rFonts w:cstheme="minorHAnsi"/>
                <w:color w:val="0070C0"/>
              </w:rPr>
              <w:t>The Expert Panel suggests that the</w:t>
            </w:r>
            <w:r w:rsidR="00673340" w:rsidRPr="00495BF1">
              <w:rPr>
                <w:rFonts w:cstheme="minorHAnsi"/>
                <w:color w:val="0070C0"/>
              </w:rPr>
              <w:t xml:space="preserve"> Department may wish to consider whether it would be worthwhile adding specific references to the other eight diseases</w:t>
            </w:r>
            <w:r w:rsidRPr="00495BF1">
              <w:rPr>
                <w:rFonts w:cstheme="minorHAnsi"/>
                <w:color w:val="0070C0"/>
              </w:rPr>
              <w:t xml:space="preserve"> in this chapter</w:t>
            </w:r>
            <w:r w:rsidR="00673340" w:rsidRPr="00495BF1">
              <w:rPr>
                <w:rFonts w:cstheme="minorHAnsi"/>
                <w:color w:val="0070C0"/>
              </w:rPr>
              <w:t>.</w:t>
            </w:r>
          </w:p>
          <w:p w14:paraId="5CCA7065" w14:textId="69D83222" w:rsidR="00673340" w:rsidRPr="00495BF1" w:rsidRDefault="00673340" w:rsidP="00673340">
            <w:pPr>
              <w:rPr>
                <w:rFonts w:cstheme="minorHAnsi"/>
                <w:color w:val="0070C0"/>
              </w:rPr>
            </w:pPr>
          </w:p>
          <w:p w14:paraId="7CFC3C10" w14:textId="77777777" w:rsidR="00673340" w:rsidRPr="00495BF1" w:rsidRDefault="00673340" w:rsidP="00673340">
            <w:pPr>
              <w:rPr>
                <w:rFonts w:cstheme="minorHAnsi"/>
                <w:color w:val="0070C0"/>
              </w:rPr>
            </w:pPr>
          </w:p>
          <w:p w14:paraId="02F7D651" w14:textId="315DDF5F" w:rsidR="00673340" w:rsidRPr="00495BF1" w:rsidRDefault="00673340" w:rsidP="00673340">
            <w:pPr>
              <w:rPr>
                <w:rFonts w:cstheme="minorHAnsi"/>
                <w:color w:val="0070C0"/>
              </w:rPr>
            </w:pPr>
          </w:p>
        </w:tc>
      </w:tr>
      <w:tr w:rsidR="00673340" w:rsidRPr="007D33F6" w14:paraId="7AE2B7FC" w14:textId="77777777" w:rsidTr="00703179">
        <w:tc>
          <w:tcPr>
            <w:tcW w:w="3539" w:type="dxa"/>
          </w:tcPr>
          <w:p w14:paraId="077B4F6B" w14:textId="342A0459" w:rsidR="00673340" w:rsidRPr="00495BF1" w:rsidRDefault="00673340" w:rsidP="00673340">
            <w:pPr>
              <w:rPr>
                <w:rFonts w:cstheme="minorHAnsi"/>
                <w:b/>
                <w:bCs/>
              </w:rPr>
            </w:pPr>
            <w:r w:rsidRPr="00495BF1">
              <w:rPr>
                <w:rFonts w:cstheme="minorHAnsi"/>
                <w:b/>
                <w:bCs/>
              </w:rPr>
              <w:t>5. Chapter 1, section 1.3, and Figure 1 (Provisional Final Report)</w:t>
            </w:r>
          </w:p>
          <w:p w14:paraId="306B5806" w14:textId="77777777" w:rsidR="00673340" w:rsidRPr="00495BF1" w:rsidRDefault="00673340" w:rsidP="00673340">
            <w:pPr>
              <w:rPr>
                <w:rFonts w:cstheme="minorHAnsi"/>
                <w:b/>
                <w:bCs/>
              </w:rPr>
            </w:pPr>
          </w:p>
          <w:p w14:paraId="0DCA98CE" w14:textId="696704A4" w:rsidR="00673340" w:rsidRPr="00495BF1" w:rsidRDefault="00673340" w:rsidP="00673340">
            <w:pPr>
              <w:rPr>
                <w:rFonts w:cstheme="minorHAnsi"/>
              </w:rPr>
            </w:pPr>
            <w:r w:rsidRPr="00495BF1">
              <w:rPr>
                <w:rFonts w:cstheme="minorHAnsi"/>
              </w:rPr>
              <w:t>Prawn catch data.</w:t>
            </w:r>
          </w:p>
        </w:tc>
        <w:tc>
          <w:tcPr>
            <w:tcW w:w="4961" w:type="dxa"/>
          </w:tcPr>
          <w:p w14:paraId="04184C8E" w14:textId="697752A3" w:rsidR="00673340" w:rsidRPr="00495BF1" w:rsidRDefault="00673340" w:rsidP="00673340">
            <w:pPr>
              <w:rPr>
                <w:rFonts w:cstheme="minorHAnsi"/>
              </w:rPr>
            </w:pPr>
            <w:r w:rsidRPr="00495BF1">
              <w:rPr>
                <w:rFonts w:cstheme="minorHAnsi"/>
              </w:rPr>
              <w:t>This is new material to the Provisional Final Report.</w:t>
            </w:r>
          </w:p>
          <w:p w14:paraId="21AA23DD" w14:textId="77777777" w:rsidR="00673340" w:rsidRPr="00495BF1" w:rsidRDefault="00673340" w:rsidP="00673340">
            <w:pPr>
              <w:rPr>
                <w:rFonts w:cstheme="minorHAnsi"/>
              </w:rPr>
            </w:pPr>
          </w:p>
          <w:p w14:paraId="1EEDFB43" w14:textId="4B027AE2" w:rsidR="00673340" w:rsidRPr="00495BF1" w:rsidRDefault="00673340" w:rsidP="00673340">
            <w:pPr>
              <w:rPr>
                <w:rFonts w:cstheme="minorHAnsi"/>
                <w:lang w:eastAsia="ja-JP"/>
              </w:rPr>
            </w:pPr>
            <w:r w:rsidRPr="00495BF1">
              <w:rPr>
                <w:rFonts w:cstheme="minorHAnsi"/>
                <w:lang w:eastAsia="ja-JP"/>
              </w:rPr>
              <w:t xml:space="preserve">The Expert Panel notes that while the map in Figure 1 indicates that there is wild catch of prawns in South Australia, this is not mentioned in the text in section 1.3.  </w:t>
            </w:r>
          </w:p>
          <w:p w14:paraId="3054D255" w14:textId="77777777" w:rsidR="00673340" w:rsidRPr="00495BF1" w:rsidRDefault="00673340" w:rsidP="00673340">
            <w:pPr>
              <w:rPr>
                <w:rFonts w:cstheme="minorHAnsi"/>
              </w:rPr>
            </w:pPr>
          </w:p>
        </w:tc>
        <w:tc>
          <w:tcPr>
            <w:tcW w:w="5387" w:type="dxa"/>
          </w:tcPr>
          <w:p w14:paraId="4115C2E6" w14:textId="33A9A01A" w:rsidR="00673340" w:rsidRPr="00495BF1" w:rsidRDefault="00673340" w:rsidP="00673340">
            <w:pPr>
              <w:rPr>
                <w:rFonts w:cstheme="minorHAnsi"/>
                <w:color w:val="0070C0"/>
                <w:lang w:eastAsia="ja-JP"/>
              </w:rPr>
            </w:pPr>
            <w:r w:rsidRPr="00495BF1">
              <w:rPr>
                <w:rFonts w:cstheme="minorHAnsi"/>
                <w:color w:val="0070C0"/>
                <w:lang w:eastAsia="ja-JP"/>
              </w:rPr>
              <w:t>The Expert Panel recommends addition</w:t>
            </w:r>
            <w:r w:rsidR="00393C4A" w:rsidRPr="00495BF1">
              <w:rPr>
                <w:rFonts w:cstheme="minorHAnsi"/>
                <w:color w:val="0070C0"/>
                <w:lang w:eastAsia="ja-JP"/>
              </w:rPr>
              <w:t>al</w:t>
            </w:r>
            <w:r w:rsidRPr="00495BF1">
              <w:rPr>
                <w:rFonts w:cstheme="minorHAnsi"/>
                <w:color w:val="0070C0"/>
                <w:lang w:eastAsia="ja-JP"/>
              </w:rPr>
              <w:t xml:space="preserve"> text to indicate S</w:t>
            </w:r>
            <w:r w:rsidR="00393C4A" w:rsidRPr="00495BF1">
              <w:rPr>
                <w:rFonts w:cstheme="minorHAnsi"/>
                <w:color w:val="0070C0"/>
                <w:lang w:eastAsia="ja-JP"/>
              </w:rPr>
              <w:t>outh Australia</w:t>
            </w:r>
            <w:r w:rsidRPr="00495BF1">
              <w:rPr>
                <w:rFonts w:cstheme="minorHAnsi"/>
                <w:color w:val="0070C0"/>
                <w:lang w:eastAsia="ja-JP"/>
              </w:rPr>
              <w:t xml:space="preserve"> has an annual wild catch of approximately 2,000 tons.</w:t>
            </w:r>
          </w:p>
        </w:tc>
      </w:tr>
      <w:tr w:rsidR="00673340" w:rsidRPr="007D33F6" w14:paraId="10BDE327" w14:textId="77777777" w:rsidTr="00703179">
        <w:tc>
          <w:tcPr>
            <w:tcW w:w="3539" w:type="dxa"/>
          </w:tcPr>
          <w:p w14:paraId="198A1D44" w14:textId="43390D8B" w:rsidR="00673340" w:rsidRPr="00495BF1" w:rsidRDefault="00673340" w:rsidP="00673340">
            <w:pPr>
              <w:rPr>
                <w:rFonts w:cstheme="minorHAnsi"/>
              </w:rPr>
            </w:pPr>
            <w:r w:rsidRPr="00495BF1">
              <w:rPr>
                <w:rFonts w:cstheme="minorHAnsi"/>
                <w:b/>
                <w:bCs/>
              </w:rPr>
              <w:t>6. Chapter 2 and Appendix F (Provisional Final Report)</w:t>
            </w:r>
          </w:p>
          <w:p w14:paraId="5489FB58" w14:textId="229D49FF" w:rsidR="00673340" w:rsidRPr="00495BF1" w:rsidRDefault="00673340" w:rsidP="00673340">
            <w:pPr>
              <w:rPr>
                <w:rFonts w:cstheme="minorHAnsi"/>
              </w:rPr>
            </w:pPr>
          </w:p>
        </w:tc>
        <w:tc>
          <w:tcPr>
            <w:tcW w:w="4961" w:type="dxa"/>
          </w:tcPr>
          <w:p w14:paraId="01BD6C6E" w14:textId="1DD7FD53" w:rsidR="00673340" w:rsidRPr="00495BF1" w:rsidRDefault="00673340" w:rsidP="00673340">
            <w:pPr>
              <w:rPr>
                <w:rFonts w:cstheme="minorHAnsi"/>
              </w:rPr>
            </w:pPr>
            <w:r w:rsidRPr="00495BF1">
              <w:rPr>
                <w:rFonts w:cstheme="minorHAnsi"/>
              </w:rPr>
              <w:t xml:space="preserve">This is new material to the Provisional Final Report. </w:t>
            </w:r>
          </w:p>
          <w:p w14:paraId="021E2A9A" w14:textId="77777777" w:rsidR="00673340" w:rsidRPr="00495BF1" w:rsidRDefault="00673340" w:rsidP="00673340">
            <w:pPr>
              <w:rPr>
                <w:rFonts w:cstheme="minorHAnsi"/>
              </w:rPr>
            </w:pPr>
          </w:p>
          <w:p w14:paraId="4C7C32D0" w14:textId="3E4BBE7B" w:rsidR="00673340" w:rsidRPr="00495BF1" w:rsidRDefault="00673340" w:rsidP="00673340">
            <w:pPr>
              <w:rPr>
                <w:rFonts w:cstheme="minorHAnsi"/>
              </w:rPr>
            </w:pPr>
            <w:r w:rsidRPr="00495BF1">
              <w:rPr>
                <w:rFonts w:cstheme="minorHAnsi"/>
              </w:rPr>
              <w:t xml:space="preserve">The Expert Panel notes that Table 25 in Appendix F provides a comprehensive view of the source information that underpins </w:t>
            </w:r>
            <w:r w:rsidR="004A788E" w:rsidRPr="00495BF1">
              <w:rPr>
                <w:rFonts w:cstheme="minorHAnsi"/>
              </w:rPr>
              <w:t>Table 1</w:t>
            </w:r>
            <w:r w:rsidRPr="00495BF1">
              <w:rPr>
                <w:rFonts w:cstheme="minorHAnsi"/>
              </w:rPr>
              <w:t xml:space="preserve">.  </w:t>
            </w:r>
          </w:p>
        </w:tc>
        <w:tc>
          <w:tcPr>
            <w:tcW w:w="5387" w:type="dxa"/>
          </w:tcPr>
          <w:p w14:paraId="53B63937" w14:textId="5FCED1ED" w:rsidR="00673340" w:rsidRPr="00495BF1" w:rsidRDefault="00673340" w:rsidP="00673340">
            <w:pPr>
              <w:rPr>
                <w:rFonts w:cstheme="minorHAnsi"/>
                <w:color w:val="0070C0"/>
              </w:rPr>
            </w:pPr>
            <w:r w:rsidRPr="00495BF1">
              <w:rPr>
                <w:rFonts w:cstheme="minorHAnsi"/>
                <w:color w:val="0070C0"/>
              </w:rPr>
              <w:t>The Expert Panel suggests it may be of value to the reader to have a pointer to Table 25 in the text immediately above Table 1 (</w:t>
            </w:r>
            <w:proofErr w:type="gramStart"/>
            <w:r w:rsidRPr="00495BF1">
              <w:rPr>
                <w:rFonts w:cstheme="minorHAnsi"/>
                <w:color w:val="0070C0"/>
              </w:rPr>
              <w:t>e.g.</w:t>
            </w:r>
            <w:proofErr w:type="gramEnd"/>
            <w:r w:rsidRPr="00495BF1">
              <w:rPr>
                <w:rFonts w:cstheme="minorHAnsi"/>
                <w:color w:val="0070C0"/>
              </w:rPr>
              <w:t xml:space="preserve"> </w:t>
            </w:r>
            <w:r w:rsidRPr="00495BF1">
              <w:rPr>
                <w:rFonts w:cstheme="minorHAnsi"/>
                <w:i/>
                <w:iCs/>
                <w:color w:val="0070C0"/>
              </w:rPr>
              <w:t>see Table 25, Appendix F, for the risk assessment values for imported prawns for different biosecurity measures</w:t>
            </w:r>
            <w:r w:rsidRPr="00495BF1">
              <w:rPr>
                <w:rFonts w:cstheme="minorHAnsi"/>
                <w:color w:val="0070C0"/>
              </w:rPr>
              <w:t>).</w:t>
            </w:r>
          </w:p>
        </w:tc>
      </w:tr>
      <w:tr w:rsidR="00673340" w:rsidRPr="007D33F6" w14:paraId="30E87CD8" w14:textId="77777777" w:rsidTr="00703179">
        <w:tc>
          <w:tcPr>
            <w:tcW w:w="3539" w:type="dxa"/>
          </w:tcPr>
          <w:p w14:paraId="06562888" w14:textId="41E2121B" w:rsidR="00673340" w:rsidRPr="00495BF1" w:rsidRDefault="00673340" w:rsidP="00673340">
            <w:pPr>
              <w:rPr>
                <w:rFonts w:cstheme="minorHAnsi"/>
                <w:b/>
                <w:bCs/>
              </w:rPr>
            </w:pPr>
            <w:r w:rsidRPr="00495BF1">
              <w:rPr>
                <w:rFonts w:cstheme="minorHAnsi"/>
                <w:b/>
                <w:bCs/>
              </w:rPr>
              <w:lastRenderedPageBreak/>
              <w:t>7.  Chapter 14, sections 14.4.3 and 14.4.4 (Provisional Final Report)</w:t>
            </w:r>
          </w:p>
          <w:p w14:paraId="5ED61085" w14:textId="77777777" w:rsidR="00673340" w:rsidRPr="00495BF1" w:rsidRDefault="00673340" w:rsidP="00673340">
            <w:pPr>
              <w:rPr>
                <w:rFonts w:cstheme="minorHAnsi"/>
                <w:b/>
                <w:bCs/>
              </w:rPr>
            </w:pPr>
          </w:p>
          <w:p w14:paraId="44D225C1" w14:textId="3ED3A046" w:rsidR="00673340" w:rsidRPr="00495BF1" w:rsidRDefault="00673340" w:rsidP="00673340">
            <w:pPr>
              <w:rPr>
                <w:rFonts w:cstheme="minorHAnsi"/>
              </w:rPr>
            </w:pPr>
            <w:r w:rsidRPr="00495BF1">
              <w:rPr>
                <w:rFonts w:cstheme="minorHAnsi"/>
              </w:rPr>
              <w:t>Biosecurity measures for uncooked prawns with pre-import and on arrival batch testing (see page 237)</w:t>
            </w:r>
          </w:p>
        </w:tc>
        <w:tc>
          <w:tcPr>
            <w:tcW w:w="4961" w:type="dxa"/>
          </w:tcPr>
          <w:p w14:paraId="3EA4415D" w14:textId="007E9B65" w:rsidR="00673340" w:rsidRPr="00495BF1" w:rsidRDefault="00673340" w:rsidP="00673340">
            <w:pPr>
              <w:rPr>
                <w:rFonts w:cstheme="minorHAnsi"/>
              </w:rPr>
            </w:pPr>
            <w:r w:rsidRPr="00495BF1">
              <w:rPr>
                <w:rFonts w:cstheme="minorHAnsi"/>
              </w:rPr>
              <w:t xml:space="preserve"> The Expert Panel notes that the overall restricted risk for uncooked prawns with head, shell removal and pre-border testing is ‘moderate</w:t>
            </w:r>
            <w:proofErr w:type="gramStart"/>
            <w:r w:rsidRPr="00495BF1">
              <w:rPr>
                <w:rFonts w:cstheme="minorHAnsi"/>
              </w:rPr>
              <w:t>’</w:t>
            </w:r>
            <w:proofErr w:type="gramEnd"/>
            <w:r w:rsidRPr="00495BF1">
              <w:rPr>
                <w:rFonts w:cstheme="minorHAnsi"/>
              </w:rPr>
              <w:t xml:space="preserve"> but the introduction of on-arrival batch testing reduces the risk to ‘very low’.</w:t>
            </w:r>
          </w:p>
          <w:p w14:paraId="4CFF396D" w14:textId="5D59401D" w:rsidR="00673340" w:rsidRPr="00495BF1" w:rsidRDefault="00673340" w:rsidP="00673340">
            <w:pPr>
              <w:rPr>
                <w:rFonts w:cstheme="minorHAnsi"/>
              </w:rPr>
            </w:pPr>
            <w:r w:rsidRPr="00495BF1">
              <w:rPr>
                <w:rFonts w:cstheme="minorHAnsi"/>
              </w:rPr>
              <w:t>The arguments for this large drop between the two categories was not clear.  The third dot point in section 14.4.4 was confusing.</w:t>
            </w:r>
          </w:p>
        </w:tc>
        <w:tc>
          <w:tcPr>
            <w:tcW w:w="5387" w:type="dxa"/>
          </w:tcPr>
          <w:p w14:paraId="764ADC0B" w14:textId="797B2753" w:rsidR="00673340" w:rsidRPr="00495BF1" w:rsidRDefault="00673340" w:rsidP="00673340">
            <w:pPr>
              <w:rPr>
                <w:rFonts w:cstheme="minorHAnsi"/>
                <w:color w:val="0070C0"/>
                <w:lang w:eastAsia="ja-JP"/>
              </w:rPr>
            </w:pPr>
            <w:r w:rsidRPr="00495BF1">
              <w:rPr>
                <w:rFonts w:cstheme="minorHAnsi"/>
                <w:color w:val="0070C0"/>
                <w:lang w:eastAsia="ja-JP"/>
              </w:rPr>
              <w:t xml:space="preserve">The Expert Panel recommends that the Department consider the wording of sections 14.4.3 and 14.4.4 to ensure </w:t>
            </w:r>
            <w:r w:rsidR="00964613" w:rsidRPr="00495BF1">
              <w:rPr>
                <w:rFonts w:cstheme="minorHAnsi"/>
                <w:color w:val="0070C0"/>
                <w:lang w:eastAsia="ja-JP"/>
              </w:rPr>
              <w:t>clarity.</w:t>
            </w:r>
          </w:p>
        </w:tc>
      </w:tr>
      <w:tr w:rsidR="00673340" w:rsidRPr="003520FD" w14:paraId="71066D6E" w14:textId="77777777" w:rsidTr="00703179">
        <w:tc>
          <w:tcPr>
            <w:tcW w:w="3539" w:type="dxa"/>
          </w:tcPr>
          <w:p w14:paraId="04BA19D5" w14:textId="4DDFC819" w:rsidR="00673340" w:rsidRPr="00495BF1" w:rsidRDefault="00673340" w:rsidP="00673340">
            <w:pPr>
              <w:rPr>
                <w:rFonts w:cstheme="minorHAnsi"/>
                <w:b/>
                <w:bCs/>
              </w:rPr>
            </w:pPr>
            <w:r w:rsidRPr="00495BF1">
              <w:rPr>
                <w:rFonts w:cstheme="minorHAnsi"/>
                <w:b/>
                <w:bCs/>
              </w:rPr>
              <w:t xml:space="preserve">8.  Appendix B, issue 38 (Provisional </w:t>
            </w:r>
            <w:r w:rsidR="00393C4A" w:rsidRPr="00495BF1">
              <w:rPr>
                <w:rFonts w:cstheme="minorHAnsi"/>
                <w:b/>
                <w:bCs/>
              </w:rPr>
              <w:t xml:space="preserve">Final </w:t>
            </w:r>
            <w:r w:rsidRPr="00495BF1">
              <w:rPr>
                <w:rFonts w:cstheme="minorHAnsi"/>
                <w:b/>
                <w:bCs/>
              </w:rPr>
              <w:t xml:space="preserve">Report) </w:t>
            </w:r>
          </w:p>
          <w:p w14:paraId="5DCB0ED0" w14:textId="77777777" w:rsidR="00673340" w:rsidRPr="00495BF1" w:rsidRDefault="00673340" w:rsidP="00673340">
            <w:pPr>
              <w:rPr>
                <w:rFonts w:cstheme="minorHAnsi"/>
                <w:b/>
                <w:bCs/>
              </w:rPr>
            </w:pPr>
          </w:p>
          <w:p w14:paraId="6A04E541" w14:textId="77777777" w:rsidR="00673340" w:rsidRPr="00495BF1" w:rsidRDefault="00673340" w:rsidP="00673340">
            <w:pPr>
              <w:rPr>
                <w:rFonts w:cstheme="minorHAnsi"/>
                <w:b/>
                <w:bCs/>
              </w:rPr>
            </w:pPr>
          </w:p>
          <w:p w14:paraId="380245D7" w14:textId="3FC354C0" w:rsidR="00673340" w:rsidRPr="00495BF1" w:rsidRDefault="00673340" w:rsidP="00673340">
            <w:pPr>
              <w:rPr>
                <w:rFonts w:cstheme="minorHAnsi"/>
              </w:rPr>
            </w:pPr>
            <w:r w:rsidRPr="00495BF1">
              <w:rPr>
                <w:rFonts w:cstheme="minorHAnsi"/>
              </w:rPr>
              <w:t>See page 297</w:t>
            </w:r>
          </w:p>
          <w:p w14:paraId="4D4B0A06" w14:textId="77777777" w:rsidR="00673340" w:rsidRPr="00495BF1" w:rsidRDefault="00673340" w:rsidP="00673340">
            <w:pPr>
              <w:rPr>
                <w:rFonts w:cstheme="minorHAnsi"/>
                <w:b/>
                <w:bCs/>
              </w:rPr>
            </w:pPr>
          </w:p>
          <w:p w14:paraId="52CC702E" w14:textId="77777777" w:rsidR="00673340" w:rsidRPr="00495BF1" w:rsidRDefault="00673340" w:rsidP="00673340">
            <w:pPr>
              <w:rPr>
                <w:rFonts w:cstheme="minorHAnsi"/>
                <w:b/>
                <w:bCs/>
              </w:rPr>
            </w:pPr>
          </w:p>
        </w:tc>
        <w:tc>
          <w:tcPr>
            <w:tcW w:w="4961" w:type="dxa"/>
          </w:tcPr>
          <w:p w14:paraId="776EE180" w14:textId="64A58691" w:rsidR="00673340" w:rsidRPr="00495BF1" w:rsidRDefault="00673340" w:rsidP="00673340">
            <w:pPr>
              <w:rPr>
                <w:rFonts w:cstheme="minorHAnsi"/>
                <w:bCs/>
                <w:lang w:eastAsia="ja-JP"/>
              </w:rPr>
            </w:pPr>
            <w:r w:rsidRPr="00495BF1">
              <w:rPr>
                <w:rFonts w:cstheme="minorHAnsi"/>
                <w:bCs/>
                <w:lang w:eastAsia="ja-JP"/>
              </w:rPr>
              <w:t>The text reads</w:t>
            </w:r>
          </w:p>
          <w:p w14:paraId="1246E226" w14:textId="43503786" w:rsidR="00673340" w:rsidRPr="00495BF1" w:rsidRDefault="00673340" w:rsidP="00673340">
            <w:pPr>
              <w:ind w:left="720"/>
              <w:rPr>
                <w:rFonts w:cstheme="minorHAnsi"/>
                <w:i/>
                <w:iCs/>
                <w:lang w:eastAsia="ja-JP"/>
              </w:rPr>
            </w:pPr>
            <w:r w:rsidRPr="00495BF1">
              <w:rPr>
                <w:rFonts w:cstheme="minorHAnsi"/>
                <w:bCs/>
                <w:lang w:eastAsia="ja-JP"/>
              </w:rPr>
              <w:t>“</w:t>
            </w:r>
            <w:r w:rsidRPr="00495BF1">
              <w:rPr>
                <w:rFonts w:cstheme="minorHAnsi"/>
                <w:bCs/>
                <w:i/>
                <w:iCs/>
                <w:lang w:eastAsia="ja-JP"/>
              </w:rPr>
              <w:t xml:space="preserve">Australian farmed prawns exported overseas for processing and re-imported should have import requirements similar to </w:t>
            </w:r>
            <w:r w:rsidRPr="00495BF1">
              <w:rPr>
                <w:rFonts w:cstheme="minorHAnsi"/>
                <w:i/>
                <w:iCs/>
                <w:lang w:eastAsia="ja-JP"/>
              </w:rPr>
              <w:t>current import conditions for Australian prawns processed overseas in a departmental approved facility.”</w:t>
            </w:r>
          </w:p>
          <w:p w14:paraId="07F8730D" w14:textId="77777777" w:rsidR="00673340" w:rsidRPr="00495BF1" w:rsidRDefault="00673340" w:rsidP="00673340">
            <w:pPr>
              <w:rPr>
                <w:rFonts w:cstheme="minorHAnsi"/>
              </w:rPr>
            </w:pPr>
          </w:p>
        </w:tc>
        <w:tc>
          <w:tcPr>
            <w:tcW w:w="5387" w:type="dxa"/>
          </w:tcPr>
          <w:p w14:paraId="16354406" w14:textId="77777777" w:rsidR="00673340" w:rsidRPr="00495BF1" w:rsidRDefault="00673340" w:rsidP="00673340">
            <w:pPr>
              <w:rPr>
                <w:rFonts w:cstheme="minorHAnsi"/>
                <w:color w:val="0070C0"/>
                <w:lang w:eastAsia="ja-JP"/>
              </w:rPr>
            </w:pPr>
            <w:r w:rsidRPr="00495BF1">
              <w:rPr>
                <w:rFonts w:cstheme="minorHAnsi"/>
                <w:color w:val="0070C0"/>
                <w:lang w:eastAsia="ja-JP"/>
              </w:rPr>
              <w:t>QUERY</w:t>
            </w:r>
          </w:p>
          <w:p w14:paraId="147F5886" w14:textId="77777777" w:rsidR="00673340" w:rsidRPr="00495BF1" w:rsidRDefault="00673340" w:rsidP="00673340">
            <w:pPr>
              <w:rPr>
                <w:rFonts w:cstheme="minorHAnsi"/>
                <w:color w:val="0070C0"/>
                <w:lang w:eastAsia="ja-JP"/>
              </w:rPr>
            </w:pPr>
          </w:p>
          <w:p w14:paraId="7473C4F3" w14:textId="0D6FE415" w:rsidR="00673340" w:rsidRPr="00495BF1" w:rsidRDefault="00673340" w:rsidP="00673340">
            <w:pPr>
              <w:rPr>
                <w:rFonts w:cstheme="minorHAnsi"/>
                <w:color w:val="0070C0"/>
              </w:rPr>
            </w:pPr>
            <w:r w:rsidRPr="00495BF1">
              <w:rPr>
                <w:rFonts w:cstheme="minorHAnsi"/>
                <w:color w:val="0070C0"/>
                <w:lang w:eastAsia="ja-JP"/>
              </w:rPr>
              <w:t xml:space="preserve">Should the reference be to ‘Australian </w:t>
            </w:r>
            <w:r w:rsidRPr="00495BF1">
              <w:rPr>
                <w:rFonts w:cstheme="minorHAnsi"/>
                <w:i/>
                <w:iCs/>
                <w:color w:val="0070C0"/>
                <w:u w:val="single"/>
                <w:lang w:eastAsia="ja-JP"/>
              </w:rPr>
              <w:t>wild</w:t>
            </w:r>
            <w:r w:rsidRPr="00495BF1">
              <w:rPr>
                <w:rFonts w:cstheme="minorHAnsi"/>
                <w:i/>
                <w:iCs/>
                <w:color w:val="0070C0"/>
                <w:lang w:eastAsia="ja-JP"/>
              </w:rPr>
              <w:t xml:space="preserve"> </w:t>
            </w:r>
            <w:r w:rsidRPr="00495BF1">
              <w:rPr>
                <w:rFonts w:cstheme="minorHAnsi"/>
                <w:color w:val="0070C0"/>
                <w:lang w:eastAsia="ja-JP"/>
              </w:rPr>
              <w:t>prawns processed overseas in a departmental approved facility’</w:t>
            </w:r>
            <w:r w:rsidR="00393C4A" w:rsidRPr="00495BF1">
              <w:rPr>
                <w:rFonts w:cstheme="minorHAnsi"/>
                <w:color w:val="0070C0"/>
                <w:lang w:eastAsia="ja-JP"/>
              </w:rPr>
              <w:t>?</w:t>
            </w:r>
          </w:p>
          <w:p w14:paraId="185787EE" w14:textId="77777777" w:rsidR="00673340" w:rsidRPr="00495BF1" w:rsidRDefault="00673340" w:rsidP="00673340">
            <w:pPr>
              <w:rPr>
                <w:rFonts w:cstheme="minorHAnsi"/>
                <w:color w:val="0070C0"/>
              </w:rPr>
            </w:pPr>
          </w:p>
        </w:tc>
      </w:tr>
    </w:tbl>
    <w:p w14:paraId="72286421" w14:textId="77777777" w:rsidR="00C365DE" w:rsidRPr="00703179" w:rsidRDefault="00C365DE" w:rsidP="00C365DE">
      <w:pPr>
        <w:rPr>
          <w:rFonts w:cstheme="minorHAnsi"/>
        </w:rPr>
      </w:pPr>
    </w:p>
    <w:p w14:paraId="7B68B428" w14:textId="77777777" w:rsidR="00157C17" w:rsidRDefault="00157C17" w:rsidP="000609B0">
      <w:pPr>
        <w:rPr>
          <w:rFonts w:cstheme="minorHAnsi"/>
          <w:sz w:val="28"/>
          <w:szCs w:val="28"/>
        </w:rPr>
        <w:sectPr w:rsidR="00157C17" w:rsidSect="00B36E32">
          <w:pgSz w:w="16840" w:h="11900" w:orient="landscape"/>
          <w:pgMar w:top="1440" w:right="1440" w:bottom="1440" w:left="1440" w:header="708" w:footer="708" w:gutter="0"/>
          <w:cols w:space="708"/>
          <w:docGrid w:linePitch="360"/>
        </w:sectPr>
      </w:pPr>
    </w:p>
    <w:p w14:paraId="32C6928A" w14:textId="77777777" w:rsidR="00157C17" w:rsidRPr="00FC41BF" w:rsidRDefault="00157C17" w:rsidP="00157C17">
      <w:pPr>
        <w:pStyle w:val="Heading1"/>
      </w:pPr>
      <w:bookmarkStart w:id="5" w:name="_Toc118879057"/>
      <w:bookmarkStart w:id="6" w:name="_Toc119497279"/>
      <w:r w:rsidRPr="00FC41BF">
        <w:lastRenderedPageBreak/>
        <w:t xml:space="preserve">Appendix 2: </w:t>
      </w:r>
      <w:bookmarkStart w:id="7" w:name="_Hlk118878562"/>
      <w:r w:rsidRPr="00FC41BF">
        <w:t>Expert panel biographies</w:t>
      </w:r>
      <w:bookmarkEnd w:id="5"/>
      <w:bookmarkEnd w:id="6"/>
      <w:r w:rsidRPr="00FC41BF">
        <w:t xml:space="preserve"> </w:t>
      </w:r>
      <w:bookmarkEnd w:id="7"/>
    </w:p>
    <w:p w14:paraId="0B37D5CF" w14:textId="77777777" w:rsidR="00FC41BF" w:rsidRDefault="00FC41BF" w:rsidP="00157C17">
      <w:pPr>
        <w:rPr>
          <w:b/>
          <w:bCs/>
          <w:color w:val="2F5496" w:themeColor="accent1" w:themeShade="BF"/>
        </w:rPr>
      </w:pPr>
    </w:p>
    <w:p w14:paraId="602A6F58" w14:textId="45272EB6" w:rsidR="00157C17" w:rsidRPr="00157C17" w:rsidRDefault="00157C17" w:rsidP="00157C17">
      <w:pPr>
        <w:rPr>
          <w:b/>
          <w:bCs/>
          <w:color w:val="2F5496" w:themeColor="accent1" w:themeShade="BF"/>
        </w:rPr>
      </w:pPr>
      <w:r w:rsidRPr="00157C17">
        <w:rPr>
          <w:b/>
          <w:bCs/>
          <w:color w:val="2F5496" w:themeColor="accent1" w:themeShade="BF"/>
        </w:rPr>
        <w:t>Joanne Daly (Chair)</w:t>
      </w:r>
    </w:p>
    <w:p w14:paraId="56FE7DC6" w14:textId="77777777" w:rsidR="00157C17" w:rsidRPr="00FC41BF" w:rsidRDefault="00157C17" w:rsidP="00157C17">
      <w:pPr>
        <w:rPr>
          <w:rFonts w:asciiTheme="majorHAnsi" w:hAnsiTheme="majorHAnsi" w:cstheme="majorHAnsi"/>
        </w:rPr>
      </w:pPr>
      <w:r w:rsidRPr="00FC41BF">
        <w:rPr>
          <w:rFonts w:asciiTheme="majorHAnsi" w:hAnsiTheme="majorHAnsi" w:cstheme="majorHAnsi"/>
        </w:rPr>
        <w:t>BSc (Hons), PhD, PSM, FTSE, GAICD</w:t>
      </w:r>
    </w:p>
    <w:p w14:paraId="7C2C09F7" w14:textId="77777777" w:rsidR="00157C17" w:rsidRPr="00FC41BF" w:rsidRDefault="00157C17" w:rsidP="00157C17">
      <w:pPr>
        <w:rPr>
          <w:rFonts w:asciiTheme="majorHAnsi" w:hAnsiTheme="majorHAnsi" w:cstheme="majorHAnsi"/>
        </w:rPr>
      </w:pPr>
    </w:p>
    <w:p w14:paraId="40873E4B" w14:textId="77777777" w:rsidR="00157C17" w:rsidRPr="00FC41BF" w:rsidRDefault="00157C17" w:rsidP="00FC41BF">
      <w:pPr>
        <w:spacing w:after="240"/>
        <w:rPr>
          <w:rFonts w:cstheme="minorHAnsi"/>
        </w:rPr>
      </w:pPr>
      <w:r w:rsidRPr="00FC41BF">
        <w:rPr>
          <w:rFonts w:cstheme="minorHAnsi"/>
        </w:rPr>
        <w:t xml:space="preserve">Dr Joanne Daly is a consultant in agricultural sciences. She has extensive experience in research, research management and governance in the areas of agricultural sciences, evolutionary </w:t>
      </w:r>
      <w:proofErr w:type="gramStart"/>
      <w:r w:rsidRPr="00FC41BF">
        <w:rPr>
          <w:rFonts w:cstheme="minorHAnsi"/>
        </w:rPr>
        <w:t>biology</w:t>
      </w:r>
      <w:proofErr w:type="gramEnd"/>
      <w:r w:rsidRPr="00FC41BF">
        <w:rPr>
          <w:rFonts w:cstheme="minorHAnsi"/>
        </w:rPr>
        <w:t xml:space="preserve"> and biosecurity. She worked in CSIRO (1984-2015) where she held a range of senior and executive roles in entomology, agricultural and food sciences, and in national research collections. She has a PhD from the Australian National University (1979) in evolutionary biology.</w:t>
      </w:r>
    </w:p>
    <w:p w14:paraId="1F6D9CF0" w14:textId="77777777" w:rsidR="00157C17" w:rsidRPr="00FC41BF" w:rsidRDefault="00157C17" w:rsidP="00FC41BF">
      <w:pPr>
        <w:spacing w:after="240"/>
        <w:rPr>
          <w:rFonts w:cstheme="minorHAnsi"/>
        </w:rPr>
      </w:pPr>
      <w:r w:rsidRPr="00FC41BF">
        <w:rPr>
          <w:rFonts w:cstheme="minorHAnsi"/>
        </w:rPr>
        <w:t xml:space="preserve">Joanne has had extensive experience in biosecurity. She is a Director of Plant Health Australia (2015- ). In CSIRO, her portfolio of responsibility included strategic oversight of biosecurity research activities and facilities in both plants and animals (1994-2010). She has been a member of a range of government advisory bodies in agricultural biosecurity, including Biosecurity Advisory Council (2010-2013) and Quarantine and Export Advisory Committee (2005-2009). She is a member of the Advisory Committee on Chemical Scheduling for the Therapeutic Goods Administration (2019- ).    </w:t>
      </w:r>
    </w:p>
    <w:p w14:paraId="4B2A66EC" w14:textId="77777777" w:rsidR="00157C17" w:rsidRPr="00FC41BF" w:rsidRDefault="00157C17" w:rsidP="00FC41BF">
      <w:pPr>
        <w:spacing w:after="240"/>
        <w:rPr>
          <w:rFonts w:cstheme="minorHAnsi"/>
        </w:rPr>
      </w:pPr>
      <w:r w:rsidRPr="00FC41BF">
        <w:rPr>
          <w:rFonts w:cstheme="minorHAnsi"/>
        </w:rPr>
        <w:t xml:space="preserve">She was Chair of the Science Reference Panel for yellow canopy syndrome in sugarcane (2016-2020) for Sugar Research Australia and a Commissioner for the Australian Centre of Agricultural Research, ACIAR (2009-2015). She has had </w:t>
      </w:r>
      <w:proofErr w:type="gramStart"/>
      <w:r w:rsidRPr="00FC41BF">
        <w:rPr>
          <w:rFonts w:cstheme="minorHAnsi"/>
        </w:rPr>
        <w:t>a number of</w:t>
      </w:r>
      <w:proofErr w:type="gramEnd"/>
      <w:r w:rsidRPr="00FC41BF">
        <w:rPr>
          <w:rFonts w:cstheme="minorHAnsi"/>
        </w:rPr>
        <w:t xml:space="preserve"> roles in the use of online approaches to identification of species, biodiversity. She was Chair of the international Global Biodiversity Information Facility (2009-2013). Joanne chaired the ‘Expert Working Group on Security Australia’s Agricultural Future’ for the Australian Council of Learned Academies, as a Fellow of ATSE.  </w:t>
      </w:r>
    </w:p>
    <w:p w14:paraId="3F5A048F" w14:textId="77777777" w:rsidR="00157C17" w:rsidRPr="00FC41BF" w:rsidRDefault="00157C17" w:rsidP="00157C17">
      <w:pPr>
        <w:rPr>
          <w:rFonts w:cstheme="minorHAnsi"/>
        </w:rPr>
      </w:pPr>
    </w:p>
    <w:p w14:paraId="7B6DBF15" w14:textId="77777777" w:rsidR="00157C17" w:rsidRPr="00157C17" w:rsidRDefault="00157C17" w:rsidP="00157C17">
      <w:pPr>
        <w:rPr>
          <w:b/>
          <w:bCs/>
          <w:color w:val="2F5496" w:themeColor="accent1" w:themeShade="BF"/>
        </w:rPr>
      </w:pPr>
      <w:r w:rsidRPr="00157C17">
        <w:rPr>
          <w:b/>
          <w:bCs/>
          <w:color w:val="2F5496" w:themeColor="accent1" w:themeShade="BF"/>
        </w:rPr>
        <w:t>Steve McCutcheon</w:t>
      </w:r>
    </w:p>
    <w:p w14:paraId="3C48805D" w14:textId="77777777" w:rsidR="00157C17" w:rsidRPr="00E00F7F" w:rsidRDefault="00157C17" w:rsidP="00157C17">
      <w:pPr>
        <w:rPr>
          <w:rFonts w:ascii="Calibri Light" w:hAnsi="Calibri Light" w:cs="Calibri Light"/>
        </w:rPr>
      </w:pPr>
      <w:proofErr w:type="spellStart"/>
      <w:r w:rsidRPr="00E00F7F">
        <w:rPr>
          <w:rFonts w:ascii="Calibri Light" w:hAnsi="Calibri Light" w:cs="Calibri Light"/>
        </w:rPr>
        <w:t>BEc</w:t>
      </w:r>
      <w:proofErr w:type="spellEnd"/>
      <w:r w:rsidRPr="00E00F7F">
        <w:rPr>
          <w:rFonts w:ascii="Calibri Light" w:hAnsi="Calibri Light" w:cs="Calibri Light"/>
        </w:rPr>
        <w:t>, Grad Dip Public Law, GAICD</w:t>
      </w:r>
    </w:p>
    <w:p w14:paraId="447153D1" w14:textId="77777777" w:rsidR="00157C17" w:rsidRPr="00E00F7F" w:rsidRDefault="00157C17" w:rsidP="00157C17">
      <w:pPr>
        <w:rPr>
          <w:rFonts w:ascii="Calibri Light" w:hAnsi="Calibri Light" w:cs="Calibri Light"/>
        </w:rPr>
      </w:pPr>
    </w:p>
    <w:p w14:paraId="4AA93F35" w14:textId="77777777" w:rsidR="00157C17" w:rsidRPr="00E00F7F" w:rsidRDefault="00157C17" w:rsidP="00FC41BF">
      <w:pPr>
        <w:spacing w:after="240"/>
        <w:rPr>
          <w:rFonts w:cstheme="minorHAnsi"/>
        </w:rPr>
      </w:pPr>
      <w:r w:rsidRPr="00E00F7F">
        <w:rPr>
          <w:rFonts w:cstheme="minorHAnsi"/>
        </w:rPr>
        <w:t>Steve has worked with the food and agriculture sectors for his entire career. From 1997 to 2007, he held senior leadership roles within the Australian Government Department of Agriculture relating to animal and plant health and food safety. In 2007, he was appointed Chief Executive Officer of Food Standards Australia New Zealand (FSANZ) and remained in that role until 2017. Throughout his 20 years in public sector leadership roles, he was a member and/or chair of national committees related to animal health, plant health and food safety and leader of Australian Government delegations to multilateral and regional consultations on food safety and food standards.</w:t>
      </w:r>
    </w:p>
    <w:p w14:paraId="59EABCA1" w14:textId="77777777" w:rsidR="00157C17" w:rsidRPr="00E00F7F" w:rsidRDefault="00157C17" w:rsidP="00FC41BF">
      <w:pPr>
        <w:spacing w:after="240"/>
        <w:rPr>
          <w:rFonts w:cstheme="minorHAnsi"/>
        </w:rPr>
      </w:pPr>
      <w:r w:rsidRPr="00E00F7F">
        <w:rPr>
          <w:rFonts w:cstheme="minorHAnsi"/>
        </w:rPr>
        <w:t xml:space="preserve">Steve is currently a Non-Executive Director and Chair of Plant Health Australia Limited, Non-Executive Director and Chair of </w:t>
      </w:r>
      <w:proofErr w:type="spellStart"/>
      <w:r w:rsidRPr="00E00F7F">
        <w:rPr>
          <w:rFonts w:cstheme="minorHAnsi"/>
        </w:rPr>
        <w:t>Valmar</w:t>
      </w:r>
      <w:proofErr w:type="spellEnd"/>
      <w:r w:rsidRPr="00E00F7F">
        <w:rPr>
          <w:rFonts w:cstheme="minorHAnsi"/>
        </w:rPr>
        <w:t xml:space="preserve"> Support Services Limited, Acting Chair of the FSANZ Board and a member of the Governing Board of the Joint Accreditation System of Australia </w:t>
      </w:r>
      <w:r w:rsidRPr="00E00F7F">
        <w:rPr>
          <w:rFonts w:cstheme="minorHAnsi"/>
        </w:rPr>
        <w:lastRenderedPageBreak/>
        <w:t xml:space="preserve">and New Zealand (JAS-ANZ). </w:t>
      </w:r>
      <w:bookmarkStart w:id="8" w:name="_Hlk118878764"/>
      <w:r w:rsidRPr="00E00F7F">
        <w:rPr>
          <w:rFonts w:cstheme="minorHAnsi"/>
        </w:rPr>
        <w:t>He has been a member of the Department of Agriculture, Fisheries and Forestry’s Scientific Advisory Group since 2016</w:t>
      </w:r>
      <w:bookmarkEnd w:id="8"/>
      <w:r w:rsidRPr="00E00F7F">
        <w:rPr>
          <w:rFonts w:cstheme="minorHAnsi"/>
        </w:rPr>
        <w:t>.</w:t>
      </w:r>
    </w:p>
    <w:p w14:paraId="1EE33482" w14:textId="77777777" w:rsidR="00157C17" w:rsidRPr="00E00F7F" w:rsidRDefault="00157C17" w:rsidP="00157C17">
      <w:pPr>
        <w:rPr>
          <w:rFonts w:cstheme="minorHAnsi"/>
        </w:rPr>
      </w:pPr>
    </w:p>
    <w:p w14:paraId="0D622969" w14:textId="77777777" w:rsidR="00157C17" w:rsidRPr="00157C17" w:rsidRDefault="00157C17" w:rsidP="00157C17">
      <w:pPr>
        <w:rPr>
          <w:b/>
          <w:bCs/>
          <w:color w:val="2F5496" w:themeColor="accent1" w:themeShade="BF"/>
        </w:rPr>
      </w:pPr>
      <w:r w:rsidRPr="00157C17">
        <w:rPr>
          <w:b/>
          <w:bCs/>
          <w:color w:val="2F5496" w:themeColor="accent1" w:themeShade="BF"/>
        </w:rPr>
        <w:t>Will Zacharin CF</w:t>
      </w:r>
    </w:p>
    <w:p w14:paraId="09DB4DE1" w14:textId="77777777" w:rsidR="00157C17" w:rsidRPr="00E00F7F" w:rsidRDefault="00157C17" w:rsidP="00157C17">
      <w:pPr>
        <w:rPr>
          <w:rFonts w:ascii="Calibri Light" w:hAnsi="Calibri Light" w:cs="Calibri Light"/>
        </w:rPr>
      </w:pPr>
      <w:r w:rsidRPr="00E00F7F">
        <w:rPr>
          <w:rFonts w:ascii="Calibri Light" w:hAnsi="Calibri Light" w:cs="Calibri Light"/>
        </w:rPr>
        <w:t xml:space="preserve">BSc (Hons), MSc, Grad Dip Bus </w:t>
      </w:r>
      <w:proofErr w:type="spellStart"/>
      <w:r w:rsidRPr="00E00F7F">
        <w:rPr>
          <w:rFonts w:ascii="Calibri Light" w:hAnsi="Calibri Light" w:cs="Calibri Light"/>
        </w:rPr>
        <w:t>Mangt</w:t>
      </w:r>
      <w:proofErr w:type="spellEnd"/>
      <w:r w:rsidRPr="00E00F7F">
        <w:rPr>
          <w:rFonts w:ascii="Calibri Light" w:hAnsi="Calibri Light" w:cs="Calibri Light"/>
        </w:rPr>
        <w:t>, GAICD</w:t>
      </w:r>
    </w:p>
    <w:p w14:paraId="3D477513" w14:textId="77777777" w:rsidR="00157C17" w:rsidRPr="00E00F7F" w:rsidRDefault="00157C17" w:rsidP="00157C17">
      <w:pPr>
        <w:rPr>
          <w:rFonts w:cstheme="minorHAnsi"/>
        </w:rPr>
      </w:pPr>
    </w:p>
    <w:p w14:paraId="7963268D" w14:textId="77777777" w:rsidR="00157C17" w:rsidRPr="00E00F7F" w:rsidRDefault="00157C17" w:rsidP="00FC41BF">
      <w:pPr>
        <w:spacing w:after="240"/>
        <w:rPr>
          <w:rFonts w:cstheme="minorHAnsi"/>
        </w:rPr>
      </w:pPr>
      <w:r w:rsidRPr="00E00F7F">
        <w:rPr>
          <w:rFonts w:cstheme="minorHAnsi"/>
        </w:rPr>
        <w:t>Will currently works as a private consultant specialising in the areas of fisheries and biosecurity. He spent 20 years as a Senior Executive with the Department of Primary Industries and Regions South Australia, with his last 9 years as the Executive Director, Biosecurity SA from 2010 to 2019, responsible for animal and plant pest and disease management. During this period, he was the South Australian Government representative on the National Biosecurity Committee. Will has also been involved in fisheries science and management throughout his public service career and was the Executive Director, Fisheries for a period of 10 years. In 2019, he was appointed a member of the Department of Agriculture, Fisheries and Forestry’s Scientific Advisory Group. Will holds post graduate qualifications in science and business.</w:t>
      </w:r>
    </w:p>
    <w:p w14:paraId="5051E08E" w14:textId="10480C2A" w:rsidR="00C365DE" w:rsidRPr="00E00F7F" w:rsidRDefault="00C365DE" w:rsidP="000609B0">
      <w:pPr>
        <w:rPr>
          <w:rFonts w:cstheme="minorHAnsi"/>
        </w:rPr>
      </w:pPr>
    </w:p>
    <w:sectPr w:rsidR="00C365DE" w:rsidRPr="00E00F7F" w:rsidSect="00FC41B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2344" w14:textId="77777777" w:rsidR="0061283D" w:rsidRDefault="0061283D" w:rsidP="00E33C67">
      <w:r>
        <w:separator/>
      </w:r>
    </w:p>
  </w:endnote>
  <w:endnote w:type="continuationSeparator" w:id="0">
    <w:p w14:paraId="01C6CE7F" w14:textId="77777777" w:rsidR="0061283D" w:rsidRDefault="0061283D" w:rsidP="00E3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4518653"/>
      <w:docPartObj>
        <w:docPartGallery w:val="Page Numbers (Bottom of Page)"/>
        <w:docPartUnique/>
      </w:docPartObj>
    </w:sdtPr>
    <w:sdtEndPr>
      <w:rPr>
        <w:rStyle w:val="PageNumber"/>
      </w:rPr>
    </w:sdtEndPr>
    <w:sdtContent>
      <w:p w14:paraId="664CA712" w14:textId="2304BC9B" w:rsidR="00E33C67" w:rsidRDefault="00E33C67" w:rsidP="00327C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D2D06">
          <w:rPr>
            <w:rStyle w:val="PageNumber"/>
            <w:noProof/>
          </w:rPr>
          <w:t>1</w:t>
        </w:r>
        <w:r>
          <w:rPr>
            <w:rStyle w:val="PageNumber"/>
          </w:rPr>
          <w:fldChar w:fldCharType="end"/>
        </w:r>
      </w:p>
    </w:sdtContent>
  </w:sdt>
  <w:p w14:paraId="308A43B4" w14:textId="77777777" w:rsidR="00E33C67" w:rsidRDefault="00E33C67" w:rsidP="00E33C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0286111"/>
      <w:docPartObj>
        <w:docPartGallery w:val="Page Numbers (Bottom of Page)"/>
        <w:docPartUnique/>
      </w:docPartObj>
    </w:sdtPr>
    <w:sdtEndPr>
      <w:rPr>
        <w:rStyle w:val="PageNumber"/>
      </w:rPr>
    </w:sdtEndPr>
    <w:sdtContent>
      <w:p w14:paraId="31C1AACB" w14:textId="77777777" w:rsidR="00E33C67" w:rsidRDefault="00E33C67" w:rsidP="00327C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218A20B4" w14:textId="77777777" w:rsidR="00393C4A" w:rsidRDefault="00393C4A" w:rsidP="00E33C67">
    <w:pPr>
      <w:pStyle w:val="Footer"/>
      <w:ind w:right="360"/>
    </w:pPr>
  </w:p>
  <w:p w14:paraId="2EB5DB54" w14:textId="3C6A0893" w:rsidR="00E33C67" w:rsidRDefault="00E33C67" w:rsidP="00E33C67">
    <w:pPr>
      <w:pStyle w:val="Footer"/>
      <w:ind w:right="360"/>
    </w:pPr>
    <w:r>
      <w:t xml:space="preserve">Expert Panel Review of the Provisional Final Report </w:t>
    </w:r>
    <w:r w:rsidR="00754CC8">
      <w:t>/ November 2022</w:t>
    </w:r>
  </w:p>
  <w:p w14:paraId="56E0FC21" w14:textId="77777777" w:rsidR="00754CC8" w:rsidRDefault="00754CC8" w:rsidP="00E33C67">
    <w:pPr>
      <w:pStyle w:val="Footer"/>
      <w:ind w:right="360"/>
    </w:pPr>
  </w:p>
  <w:p w14:paraId="0F214865" w14:textId="77777777" w:rsidR="00E33C67" w:rsidRDefault="00E33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0256" w14:textId="77777777" w:rsidR="0061283D" w:rsidRDefault="0061283D" w:rsidP="00E33C67">
      <w:r>
        <w:separator/>
      </w:r>
    </w:p>
  </w:footnote>
  <w:footnote w:type="continuationSeparator" w:id="0">
    <w:p w14:paraId="1211CE22" w14:textId="77777777" w:rsidR="0061283D" w:rsidRDefault="0061283D" w:rsidP="00E33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D4BD2"/>
    <w:multiLevelType w:val="hybridMultilevel"/>
    <w:tmpl w:val="1186BE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C74F8D"/>
    <w:multiLevelType w:val="hybridMultilevel"/>
    <w:tmpl w:val="3B908B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277C1A"/>
    <w:multiLevelType w:val="hybridMultilevel"/>
    <w:tmpl w:val="82404BC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8C43F62"/>
    <w:multiLevelType w:val="hybridMultilevel"/>
    <w:tmpl w:val="BB682A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9D50617"/>
    <w:multiLevelType w:val="hybridMultilevel"/>
    <w:tmpl w:val="E816228C"/>
    <w:lvl w:ilvl="0" w:tplc="0809000F">
      <w:start w:val="1"/>
      <w:numFmt w:val="decimal"/>
      <w:lvlText w:val="%1."/>
      <w:lvlJc w:val="left"/>
      <w:pPr>
        <w:ind w:left="360" w:hanging="360"/>
      </w:pPr>
      <w:rPr>
        <w:rFonts w:hint="default"/>
      </w:rPr>
    </w:lvl>
    <w:lvl w:ilvl="1" w:tplc="08090003">
      <w:start w:val="1"/>
      <w:numFmt w:val="bullet"/>
      <w:lvlText w:val="o"/>
      <w:lvlJc w:val="left"/>
      <w:pPr>
        <w:ind w:left="775" w:hanging="360"/>
      </w:pPr>
      <w:rPr>
        <w:rFonts w:ascii="Courier New" w:hAnsi="Courier New" w:cs="Courier New" w:hint="default"/>
      </w:rPr>
    </w:lvl>
    <w:lvl w:ilvl="2" w:tplc="08090003">
      <w:start w:val="1"/>
      <w:numFmt w:val="bullet"/>
      <w:lvlText w:val="o"/>
      <w:lvlJc w:val="left"/>
      <w:pPr>
        <w:ind w:left="1080" w:hanging="360"/>
      </w:pPr>
      <w:rPr>
        <w:rFonts w:ascii="Courier New" w:hAnsi="Courier New" w:cs="Courier New" w:hint="default"/>
      </w:rPr>
    </w:lvl>
    <w:lvl w:ilvl="3" w:tplc="08090001" w:tentative="1">
      <w:start w:val="1"/>
      <w:numFmt w:val="bullet"/>
      <w:lvlText w:val=""/>
      <w:lvlJc w:val="left"/>
      <w:pPr>
        <w:ind w:left="2215" w:hanging="360"/>
      </w:pPr>
      <w:rPr>
        <w:rFonts w:ascii="Symbol" w:hAnsi="Symbol" w:hint="default"/>
      </w:rPr>
    </w:lvl>
    <w:lvl w:ilvl="4" w:tplc="08090003" w:tentative="1">
      <w:start w:val="1"/>
      <w:numFmt w:val="bullet"/>
      <w:lvlText w:val="o"/>
      <w:lvlJc w:val="left"/>
      <w:pPr>
        <w:ind w:left="2935" w:hanging="360"/>
      </w:pPr>
      <w:rPr>
        <w:rFonts w:ascii="Courier New" w:hAnsi="Courier New" w:cs="Courier New" w:hint="default"/>
      </w:rPr>
    </w:lvl>
    <w:lvl w:ilvl="5" w:tplc="08090005" w:tentative="1">
      <w:start w:val="1"/>
      <w:numFmt w:val="bullet"/>
      <w:lvlText w:val=""/>
      <w:lvlJc w:val="left"/>
      <w:pPr>
        <w:ind w:left="3655" w:hanging="360"/>
      </w:pPr>
      <w:rPr>
        <w:rFonts w:ascii="Wingdings" w:hAnsi="Wingdings" w:hint="default"/>
      </w:rPr>
    </w:lvl>
    <w:lvl w:ilvl="6" w:tplc="08090001" w:tentative="1">
      <w:start w:val="1"/>
      <w:numFmt w:val="bullet"/>
      <w:lvlText w:val=""/>
      <w:lvlJc w:val="left"/>
      <w:pPr>
        <w:ind w:left="4375" w:hanging="360"/>
      </w:pPr>
      <w:rPr>
        <w:rFonts w:ascii="Symbol" w:hAnsi="Symbol" w:hint="default"/>
      </w:rPr>
    </w:lvl>
    <w:lvl w:ilvl="7" w:tplc="08090003" w:tentative="1">
      <w:start w:val="1"/>
      <w:numFmt w:val="bullet"/>
      <w:lvlText w:val="o"/>
      <w:lvlJc w:val="left"/>
      <w:pPr>
        <w:ind w:left="5095" w:hanging="360"/>
      </w:pPr>
      <w:rPr>
        <w:rFonts w:ascii="Courier New" w:hAnsi="Courier New" w:cs="Courier New" w:hint="default"/>
      </w:rPr>
    </w:lvl>
    <w:lvl w:ilvl="8" w:tplc="08090005" w:tentative="1">
      <w:start w:val="1"/>
      <w:numFmt w:val="bullet"/>
      <w:lvlText w:val=""/>
      <w:lvlJc w:val="left"/>
      <w:pPr>
        <w:ind w:left="5815" w:hanging="360"/>
      </w:pPr>
      <w:rPr>
        <w:rFonts w:ascii="Wingdings" w:hAnsi="Wingdings" w:hint="default"/>
      </w:rPr>
    </w:lvl>
  </w:abstractNum>
  <w:abstractNum w:abstractNumId="5" w15:restartNumberingAfterBreak="0">
    <w:nsid w:val="5B8133C0"/>
    <w:multiLevelType w:val="hybridMultilevel"/>
    <w:tmpl w:val="27FEC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122D66"/>
    <w:multiLevelType w:val="hybridMultilevel"/>
    <w:tmpl w:val="DEE6BF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6272712">
    <w:abstractNumId w:val="1"/>
  </w:num>
  <w:num w:numId="2" w16cid:durableId="466093399">
    <w:abstractNumId w:val="6"/>
  </w:num>
  <w:num w:numId="3" w16cid:durableId="125197444">
    <w:abstractNumId w:val="2"/>
  </w:num>
  <w:num w:numId="4" w16cid:durableId="1742827916">
    <w:abstractNumId w:val="0"/>
  </w:num>
  <w:num w:numId="5" w16cid:durableId="743920187">
    <w:abstractNumId w:val="5"/>
  </w:num>
  <w:num w:numId="6" w16cid:durableId="646200850">
    <w:abstractNumId w:val="3"/>
  </w:num>
  <w:num w:numId="7" w16cid:durableId="2087260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32"/>
    <w:rsid w:val="000038B7"/>
    <w:rsid w:val="00017E37"/>
    <w:rsid w:val="000235F6"/>
    <w:rsid w:val="000325ED"/>
    <w:rsid w:val="00051017"/>
    <w:rsid w:val="000609B0"/>
    <w:rsid w:val="000762A3"/>
    <w:rsid w:val="000B769B"/>
    <w:rsid w:val="000C4D05"/>
    <w:rsid w:val="000E5FF3"/>
    <w:rsid w:val="000F54BF"/>
    <w:rsid w:val="00157C17"/>
    <w:rsid w:val="0018728C"/>
    <w:rsid w:val="00190AF7"/>
    <w:rsid w:val="001C53C0"/>
    <w:rsid w:val="001D1728"/>
    <w:rsid w:val="00211189"/>
    <w:rsid w:val="002123C5"/>
    <w:rsid w:val="00234E84"/>
    <w:rsid w:val="00247DC3"/>
    <w:rsid w:val="00247E41"/>
    <w:rsid w:val="002528A5"/>
    <w:rsid w:val="00265A61"/>
    <w:rsid w:val="00267CC2"/>
    <w:rsid w:val="00273252"/>
    <w:rsid w:val="0027577C"/>
    <w:rsid w:val="002A56FE"/>
    <w:rsid w:val="002C2CF4"/>
    <w:rsid w:val="002D17A6"/>
    <w:rsid w:val="00313A1B"/>
    <w:rsid w:val="003170C3"/>
    <w:rsid w:val="003262E4"/>
    <w:rsid w:val="00393C4A"/>
    <w:rsid w:val="003B23C1"/>
    <w:rsid w:val="003C698C"/>
    <w:rsid w:val="003E0295"/>
    <w:rsid w:val="003E0689"/>
    <w:rsid w:val="00411760"/>
    <w:rsid w:val="00485A97"/>
    <w:rsid w:val="00492EF8"/>
    <w:rsid w:val="00495BF1"/>
    <w:rsid w:val="004A788E"/>
    <w:rsid w:val="004C4D15"/>
    <w:rsid w:val="004F0CA7"/>
    <w:rsid w:val="004F6EDB"/>
    <w:rsid w:val="00523A3A"/>
    <w:rsid w:val="00552EE1"/>
    <w:rsid w:val="005A16A7"/>
    <w:rsid w:val="005C29F9"/>
    <w:rsid w:val="005C561F"/>
    <w:rsid w:val="005D2D47"/>
    <w:rsid w:val="005E16D4"/>
    <w:rsid w:val="005E497B"/>
    <w:rsid w:val="005E69CE"/>
    <w:rsid w:val="0061283D"/>
    <w:rsid w:val="0063321E"/>
    <w:rsid w:val="00657F83"/>
    <w:rsid w:val="00673340"/>
    <w:rsid w:val="006736F1"/>
    <w:rsid w:val="00676FF6"/>
    <w:rsid w:val="006C37EE"/>
    <w:rsid w:val="006C5CD5"/>
    <w:rsid w:val="006C5D8E"/>
    <w:rsid w:val="006D5934"/>
    <w:rsid w:val="006E6037"/>
    <w:rsid w:val="00700993"/>
    <w:rsid w:val="00703179"/>
    <w:rsid w:val="007050D4"/>
    <w:rsid w:val="007212C5"/>
    <w:rsid w:val="00754CC8"/>
    <w:rsid w:val="00762D67"/>
    <w:rsid w:val="00763BE9"/>
    <w:rsid w:val="00783168"/>
    <w:rsid w:val="007866B9"/>
    <w:rsid w:val="007D33F6"/>
    <w:rsid w:val="00835440"/>
    <w:rsid w:val="00857CC9"/>
    <w:rsid w:val="0086194C"/>
    <w:rsid w:val="008A5C70"/>
    <w:rsid w:val="008B00BB"/>
    <w:rsid w:val="008B5223"/>
    <w:rsid w:val="008C6379"/>
    <w:rsid w:val="008E0B07"/>
    <w:rsid w:val="008E6418"/>
    <w:rsid w:val="008F6C94"/>
    <w:rsid w:val="009368CA"/>
    <w:rsid w:val="0094165D"/>
    <w:rsid w:val="00951E60"/>
    <w:rsid w:val="00960201"/>
    <w:rsid w:val="00960495"/>
    <w:rsid w:val="00960D0F"/>
    <w:rsid w:val="00964613"/>
    <w:rsid w:val="00967276"/>
    <w:rsid w:val="009C03D1"/>
    <w:rsid w:val="009C618D"/>
    <w:rsid w:val="009D2D06"/>
    <w:rsid w:val="009D5149"/>
    <w:rsid w:val="009E0340"/>
    <w:rsid w:val="009F2C88"/>
    <w:rsid w:val="00A011EE"/>
    <w:rsid w:val="00A26750"/>
    <w:rsid w:val="00A413D3"/>
    <w:rsid w:val="00A5435E"/>
    <w:rsid w:val="00A72CE6"/>
    <w:rsid w:val="00A74870"/>
    <w:rsid w:val="00A9364E"/>
    <w:rsid w:val="00AE3639"/>
    <w:rsid w:val="00B05272"/>
    <w:rsid w:val="00B16F06"/>
    <w:rsid w:val="00B31D4D"/>
    <w:rsid w:val="00B33381"/>
    <w:rsid w:val="00B36E32"/>
    <w:rsid w:val="00B37F4A"/>
    <w:rsid w:val="00B470B8"/>
    <w:rsid w:val="00B71D07"/>
    <w:rsid w:val="00B822C2"/>
    <w:rsid w:val="00B9334E"/>
    <w:rsid w:val="00BB0A85"/>
    <w:rsid w:val="00BC6798"/>
    <w:rsid w:val="00C25A15"/>
    <w:rsid w:val="00C2607C"/>
    <w:rsid w:val="00C365DE"/>
    <w:rsid w:val="00C37DED"/>
    <w:rsid w:val="00C52F20"/>
    <w:rsid w:val="00C55D51"/>
    <w:rsid w:val="00C57F65"/>
    <w:rsid w:val="00C640E0"/>
    <w:rsid w:val="00C6514A"/>
    <w:rsid w:val="00C714D4"/>
    <w:rsid w:val="00C74CA1"/>
    <w:rsid w:val="00C840DD"/>
    <w:rsid w:val="00C94B07"/>
    <w:rsid w:val="00CA525D"/>
    <w:rsid w:val="00CB0A08"/>
    <w:rsid w:val="00CB66FE"/>
    <w:rsid w:val="00CD4379"/>
    <w:rsid w:val="00CE5AAE"/>
    <w:rsid w:val="00D04386"/>
    <w:rsid w:val="00D06C34"/>
    <w:rsid w:val="00D14A37"/>
    <w:rsid w:val="00D47859"/>
    <w:rsid w:val="00D52C93"/>
    <w:rsid w:val="00D6052B"/>
    <w:rsid w:val="00D60AEE"/>
    <w:rsid w:val="00D82256"/>
    <w:rsid w:val="00D94ABC"/>
    <w:rsid w:val="00DA0049"/>
    <w:rsid w:val="00DC2544"/>
    <w:rsid w:val="00DC3412"/>
    <w:rsid w:val="00DF261F"/>
    <w:rsid w:val="00E00F7F"/>
    <w:rsid w:val="00E02595"/>
    <w:rsid w:val="00E3165E"/>
    <w:rsid w:val="00E33C67"/>
    <w:rsid w:val="00E4653B"/>
    <w:rsid w:val="00E73354"/>
    <w:rsid w:val="00E779F2"/>
    <w:rsid w:val="00E83864"/>
    <w:rsid w:val="00EA56E8"/>
    <w:rsid w:val="00EC09D4"/>
    <w:rsid w:val="00ED0205"/>
    <w:rsid w:val="00EF0657"/>
    <w:rsid w:val="00F064A7"/>
    <w:rsid w:val="00F1414B"/>
    <w:rsid w:val="00F26DA5"/>
    <w:rsid w:val="00F3128C"/>
    <w:rsid w:val="00F44B6D"/>
    <w:rsid w:val="00F6168F"/>
    <w:rsid w:val="00FA457D"/>
    <w:rsid w:val="00FB1B1B"/>
    <w:rsid w:val="00FB3C87"/>
    <w:rsid w:val="00FC41BF"/>
    <w:rsid w:val="00FF6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9F5F6"/>
  <w15:chartTrackingRefBased/>
  <w15:docId w15:val="{E1D3912A-D2B1-0243-AD61-EA49741B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E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2D06"/>
    <w:pPr>
      <w:keepNext/>
      <w:keepLines/>
      <w:spacing w:before="4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E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2D06"/>
    <w:rPr>
      <w:rFonts w:asciiTheme="majorHAnsi" w:eastAsiaTheme="majorEastAsia" w:hAnsiTheme="majorHAnsi" w:cstheme="majorBidi"/>
      <w:b/>
      <w:color w:val="2F5496" w:themeColor="accent1" w:themeShade="BF"/>
      <w:sz w:val="26"/>
      <w:szCs w:val="26"/>
    </w:rPr>
  </w:style>
  <w:style w:type="table" w:styleId="TableGrid">
    <w:name w:val="Table Grid"/>
    <w:basedOn w:val="TableNormal"/>
    <w:uiPriority w:val="39"/>
    <w:rsid w:val="00B36E3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037"/>
    <w:pPr>
      <w:spacing w:after="160" w:line="259" w:lineRule="auto"/>
      <w:ind w:left="720"/>
      <w:contextualSpacing/>
    </w:pPr>
    <w:rPr>
      <w:sz w:val="22"/>
      <w:szCs w:val="22"/>
    </w:rPr>
  </w:style>
  <w:style w:type="paragraph" w:styleId="Title">
    <w:name w:val="Title"/>
    <w:basedOn w:val="Normal"/>
    <w:next w:val="Normal"/>
    <w:link w:val="TitleChar"/>
    <w:uiPriority w:val="10"/>
    <w:qFormat/>
    <w:rsid w:val="00763B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BE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33C67"/>
    <w:pPr>
      <w:tabs>
        <w:tab w:val="center" w:pos="4513"/>
        <w:tab w:val="right" w:pos="9026"/>
      </w:tabs>
    </w:pPr>
  </w:style>
  <w:style w:type="character" w:customStyle="1" w:styleId="HeaderChar">
    <w:name w:val="Header Char"/>
    <w:basedOn w:val="DefaultParagraphFont"/>
    <w:link w:val="Header"/>
    <w:uiPriority w:val="99"/>
    <w:rsid w:val="00E33C67"/>
  </w:style>
  <w:style w:type="paragraph" w:styleId="Footer">
    <w:name w:val="footer"/>
    <w:basedOn w:val="Normal"/>
    <w:link w:val="FooterChar"/>
    <w:uiPriority w:val="99"/>
    <w:unhideWhenUsed/>
    <w:rsid w:val="00E33C67"/>
    <w:pPr>
      <w:tabs>
        <w:tab w:val="center" w:pos="4513"/>
        <w:tab w:val="right" w:pos="9026"/>
      </w:tabs>
    </w:pPr>
  </w:style>
  <w:style w:type="character" w:customStyle="1" w:styleId="FooterChar">
    <w:name w:val="Footer Char"/>
    <w:basedOn w:val="DefaultParagraphFont"/>
    <w:link w:val="Footer"/>
    <w:uiPriority w:val="99"/>
    <w:rsid w:val="00E33C67"/>
  </w:style>
  <w:style w:type="character" w:styleId="PageNumber">
    <w:name w:val="page number"/>
    <w:basedOn w:val="DefaultParagraphFont"/>
    <w:uiPriority w:val="99"/>
    <w:semiHidden/>
    <w:unhideWhenUsed/>
    <w:rsid w:val="00E33C67"/>
  </w:style>
  <w:style w:type="paragraph" w:styleId="Revision">
    <w:name w:val="Revision"/>
    <w:hidden/>
    <w:uiPriority w:val="99"/>
    <w:semiHidden/>
    <w:rsid w:val="003B23C1"/>
  </w:style>
  <w:style w:type="character" w:styleId="CommentReference">
    <w:name w:val="annotation reference"/>
    <w:basedOn w:val="DefaultParagraphFont"/>
    <w:uiPriority w:val="99"/>
    <w:semiHidden/>
    <w:unhideWhenUsed/>
    <w:rsid w:val="00B16F06"/>
    <w:rPr>
      <w:sz w:val="16"/>
      <w:szCs w:val="16"/>
    </w:rPr>
  </w:style>
  <w:style w:type="paragraph" w:styleId="CommentText">
    <w:name w:val="annotation text"/>
    <w:basedOn w:val="Normal"/>
    <w:link w:val="CommentTextChar"/>
    <w:uiPriority w:val="99"/>
    <w:unhideWhenUsed/>
    <w:rsid w:val="00B16F06"/>
    <w:rPr>
      <w:sz w:val="20"/>
      <w:szCs w:val="20"/>
    </w:rPr>
  </w:style>
  <w:style w:type="character" w:customStyle="1" w:styleId="CommentTextChar">
    <w:name w:val="Comment Text Char"/>
    <w:basedOn w:val="DefaultParagraphFont"/>
    <w:link w:val="CommentText"/>
    <w:uiPriority w:val="99"/>
    <w:rsid w:val="00B16F06"/>
    <w:rPr>
      <w:sz w:val="20"/>
      <w:szCs w:val="20"/>
    </w:rPr>
  </w:style>
  <w:style w:type="paragraph" w:styleId="CommentSubject">
    <w:name w:val="annotation subject"/>
    <w:basedOn w:val="CommentText"/>
    <w:next w:val="CommentText"/>
    <w:link w:val="CommentSubjectChar"/>
    <w:uiPriority w:val="99"/>
    <w:semiHidden/>
    <w:unhideWhenUsed/>
    <w:rsid w:val="00B16F06"/>
    <w:rPr>
      <w:b/>
      <w:bCs/>
    </w:rPr>
  </w:style>
  <w:style w:type="character" w:customStyle="1" w:styleId="CommentSubjectChar">
    <w:name w:val="Comment Subject Char"/>
    <w:basedOn w:val="CommentTextChar"/>
    <w:link w:val="CommentSubject"/>
    <w:uiPriority w:val="99"/>
    <w:semiHidden/>
    <w:rsid w:val="00B16F06"/>
    <w:rPr>
      <w:b/>
      <w:bCs/>
      <w:sz w:val="20"/>
      <w:szCs w:val="20"/>
    </w:rPr>
  </w:style>
  <w:style w:type="paragraph" w:styleId="TOCHeading">
    <w:name w:val="TOC Heading"/>
    <w:basedOn w:val="Heading1"/>
    <w:next w:val="Normal"/>
    <w:uiPriority w:val="39"/>
    <w:unhideWhenUsed/>
    <w:qFormat/>
    <w:rsid w:val="00492EF8"/>
    <w:pPr>
      <w:spacing w:line="259" w:lineRule="auto"/>
      <w:outlineLvl w:val="9"/>
    </w:pPr>
    <w:rPr>
      <w:lang w:val="en-US"/>
    </w:rPr>
  </w:style>
  <w:style w:type="paragraph" w:styleId="TOC1">
    <w:name w:val="toc 1"/>
    <w:basedOn w:val="Normal"/>
    <w:next w:val="Normal"/>
    <w:autoRedefine/>
    <w:uiPriority w:val="39"/>
    <w:unhideWhenUsed/>
    <w:rsid w:val="00492EF8"/>
    <w:pPr>
      <w:spacing w:after="100"/>
    </w:pPr>
  </w:style>
  <w:style w:type="paragraph" w:styleId="TOC2">
    <w:name w:val="toc 2"/>
    <w:basedOn w:val="Normal"/>
    <w:next w:val="Normal"/>
    <w:autoRedefine/>
    <w:uiPriority w:val="39"/>
    <w:unhideWhenUsed/>
    <w:rsid w:val="00FC41BF"/>
    <w:pPr>
      <w:tabs>
        <w:tab w:val="right" w:leader="dot" w:pos="9010"/>
      </w:tabs>
      <w:spacing w:after="100"/>
      <w:ind w:left="240"/>
    </w:pPr>
  </w:style>
  <w:style w:type="character" w:styleId="Hyperlink">
    <w:name w:val="Hyperlink"/>
    <w:basedOn w:val="DefaultParagraphFont"/>
    <w:uiPriority w:val="99"/>
    <w:unhideWhenUsed/>
    <w:rsid w:val="00492E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842702">
      <w:bodyDiv w:val="1"/>
      <w:marLeft w:val="0"/>
      <w:marRight w:val="0"/>
      <w:marTop w:val="0"/>
      <w:marBottom w:val="0"/>
      <w:divBdr>
        <w:top w:val="none" w:sz="0" w:space="0" w:color="auto"/>
        <w:left w:val="none" w:sz="0" w:space="0" w:color="auto"/>
        <w:bottom w:val="none" w:sz="0" w:space="0" w:color="auto"/>
        <w:right w:val="none" w:sz="0" w:space="0" w:color="auto"/>
      </w:divBdr>
      <w:divsChild>
        <w:div w:id="2087070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25126">
              <w:marLeft w:val="0"/>
              <w:marRight w:val="0"/>
              <w:marTop w:val="0"/>
              <w:marBottom w:val="0"/>
              <w:divBdr>
                <w:top w:val="none" w:sz="0" w:space="0" w:color="auto"/>
                <w:left w:val="none" w:sz="0" w:space="0" w:color="auto"/>
                <w:bottom w:val="none" w:sz="0" w:space="0" w:color="auto"/>
                <w:right w:val="none" w:sz="0" w:space="0" w:color="auto"/>
              </w:divBdr>
              <w:divsChild>
                <w:div w:id="112140000">
                  <w:marLeft w:val="0"/>
                  <w:marRight w:val="0"/>
                  <w:marTop w:val="0"/>
                  <w:marBottom w:val="0"/>
                  <w:divBdr>
                    <w:top w:val="none" w:sz="0" w:space="0" w:color="auto"/>
                    <w:left w:val="none" w:sz="0" w:space="0" w:color="auto"/>
                    <w:bottom w:val="none" w:sz="0" w:space="0" w:color="auto"/>
                    <w:right w:val="none" w:sz="0" w:space="0" w:color="auto"/>
                  </w:divBdr>
                  <w:divsChild>
                    <w:div w:id="2070301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733358">
                          <w:marLeft w:val="0"/>
                          <w:marRight w:val="0"/>
                          <w:marTop w:val="0"/>
                          <w:marBottom w:val="0"/>
                          <w:divBdr>
                            <w:top w:val="none" w:sz="0" w:space="0" w:color="auto"/>
                            <w:left w:val="none" w:sz="0" w:space="0" w:color="auto"/>
                            <w:bottom w:val="none" w:sz="0" w:space="0" w:color="auto"/>
                            <w:right w:val="none" w:sz="0" w:space="0" w:color="auto"/>
                          </w:divBdr>
                          <w:divsChild>
                            <w:div w:id="1617371208">
                              <w:marLeft w:val="0"/>
                              <w:marRight w:val="0"/>
                              <w:marTop w:val="0"/>
                              <w:marBottom w:val="0"/>
                              <w:divBdr>
                                <w:top w:val="none" w:sz="0" w:space="0" w:color="auto"/>
                                <w:left w:val="none" w:sz="0" w:space="0" w:color="auto"/>
                                <w:bottom w:val="none" w:sz="0" w:space="0" w:color="auto"/>
                                <w:right w:val="none" w:sz="0" w:space="0" w:color="auto"/>
                              </w:divBdr>
                              <w:divsChild>
                                <w:div w:id="20677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FAEE6-9341-AB41-9810-A49D831D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2932</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Provisional Final Report - October 2022 - Expert Panel Review </vt:lpstr>
    </vt:vector>
  </TitlesOfParts>
  <Manager/>
  <Company/>
  <LinksUpToDate>false</LinksUpToDate>
  <CharactersWithSpaces>19606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Final Report - October 2022 - Expert Panel Review </dc:title>
  <dc:subject/>
  <dc:creator>Department of Agriculture, Fisheries and Forestry</dc:creator>
  <cp:keywords/>
  <dc:description/>
  <cp:lastModifiedBy>Nov, Amanda</cp:lastModifiedBy>
  <cp:revision>8</cp:revision>
  <cp:lastPrinted>2022-11-22T23:24:00Z</cp:lastPrinted>
  <dcterms:created xsi:type="dcterms:W3CDTF">2022-11-22T23:19:00Z</dcterms:created>
  <dcterms:modified xsi:type="dcterms:W3CDTF">2022-11-28T00:23:00Z</dcterms:modified>
  <cp:category/>
</cp:coreProperties>
</file>